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color w:val="auto"/>
        </w:rPr>
        <w:t>UNITED STATES</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4" w:lineRule="exact"/>
        <w:rPr>
          <w:sz w:val="24"/>
          <w:szCs w:val="24"/>
          <w:color w:val="auto"/>
        </w:rPr>
      </w:pPr>
    </w:p>
    <w:p>
      <w:pPr>
        <w:ind w:left="2940" w:hanging="228"/>
        <w:spacing w:after="0"/>
        <w:tabs>
          <w:tab w:leader="none" w:pos="294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ANNUAL REPORT PURSUANT TO SECTION 13 OR 15(d)</w:t>
      </w:r>
    </w:p>
    <w:p>
      <w:pPr>
        <w:jc w:val="center"/>
        <w:ind w:right="40"/>
        <w:spacing w:after="0" w:line="235" w:lineRule="auto"/>
        <w:rPr>
          <w:sz w:val="20"/>
          <w:szCs w:val="20"/>
          <w:color w:val="auto"/>
        </w:rPr>
      </w:pPr>
      <w:r>
        <w:rPr>
          <w:rFonts w:ascii="Arial" w:cs="Arial" w:eastAsia="Arial" w:hAnsi="Arial"/>
          <w:sz w:val="22"/>
          <w:szCs w:val="22"/>
          <w:color w:val="auto"/>
        </w:rPr>
        <w:t>OF THE SECURITIES EXCHANGE ACT OF 1934</w:t>
      </w:r>
    </w:p>
    <w:p>
      <w:pPr>
        <w:jc w:val="center"/>
        <w:ind w:right="-19"/>
        <w:spacing w:after="0" w:line="229" w:lineRule="auto"/>
        <w:rPr>
          <w:sz w:val="20"/>
          <w:szCs w:val="20"/>
          <w:color w:val="auto"/>
        </w:rPr>
      </w:pPr>
      <w:r>
        <w:rPr>
          <w:rFonts w:ascii="Arial" w:cs="Arial" w:eastAsia="Arial" w:hAnsi="Arial"/>
          <w:sz w:val="18"/>
          <w:szCs w:val="18"/>
          <w:color w:val="auto"/>
        </w:rPr>
        <w:t xml:space="preserve">For the fiscal year ended </w:t>
      </w:r>
      <w:r>
        <w:rPr>
          <w:rFonts w:ascii="Arial" w:cs="Arial" w:eastAsia="Arial" w:hAnsi="Arial"/>
          <w:sz w:val="18"/>
          <w:szCs w:val="18"/>
          <w:u w:val="single" w:color="auto"/>
          <w:color w:val="auto"/>
        </w:rPr>
        <w:t>December 31, 2016</w:t>
      </w:r>
    </w:p>
    <w:p>
      <w:pPr>
        <w:jc w:val="center"/>
        <w:ind w:right="-19"/>
        <w:spacing w:after="0" w:line="231" w:lineRule="auto"/>
        <w:rPr>
          <w:sz w:val="20"/>
          <w:szCs w:val="20"/>
          <w:color w:val="auto"/>
        </w:rPr>
      </w:pPr>
      <w:r>
        <w:rPr>
          <w:rFonts w:ascii="Arial" w:cs="Arial" w:eastAsia="Arial" w:hAnsi="Arial"/>
          <w:sz w:val="22"/>
          <w:szCs w:val="22"/>
          <w:color w:val="auto"/>
        </w:rPr>
        <w:t>OR</w:t>
      </w:r>
    </w:p>
    <w:p>
      <w:pPr>
        <w:jc w:val="center"/>
        <w:ind w:right="60"/>
        <w:spacing w:after="0"/>
        <w:rPr>
          <w:sz w:val="20"/>
          <w:szCs w:val="20"/>
          <w:color w:val="auto"/>
        </w:rPr>
      </w:pPr>
      <w:r>
        <w:rPr>
          <w:rFonts w:ascii="Arial" w:cs="Arial" w:eastAsia="Arial" w:hAnsi="Arial"/>
          <w:sz w:val="21"/>
          <w:szCs w:val="21"/>
          <w:color w:val="auto"/>
        </w:rPr>
        <w:t>o TRANSITION REPORT PURSUANT TO SECTION 13 OR 15(d)</w:t>
      </w:r>
    </w:p>
    <w:p>
      <w:pPr>
        <w:jc w:val="center"/>
        <w:ind w:right="-19"/>
        <w:spacing w:after="0" w:line="237" w:lineRule="auto"/>
        <w:rPr>
          <w:sz w:val="20"/>
          <w:szCs w:val="20"/>
          <w:color w:val="auto"/>
        </w:rPr>
      </w:pPr>
      <w:r>
        <w:rPr>
          <w:rFonts w:ascii="Arial" w:cs="Arial" w:eastAsia="Arial" w:hAnsi="Arial"/>
          <w:sz w:val="22"/>
          <w:szCs w:val="22"/>
          <w:color w:val="auto"/>
        </w:rPr>
        <w:t>OF THE SECURITIES EXCHANGE ACT OF 1934</w:t>
      </w:r>
    </w:p>
    <w:p>
      <w:pPr>
        <w:ind w:left="4100"/>
        <w:spacing w:after="0"/>
        <w:tabs>
          <w:tab w:leader="none" w:pos="68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jc w:val="center"/>
        <w:ind w:right="-19"/>
        <w:spacing w:after="0" w:line="237" w:lineRule="auto"/>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1-8974</w:t>
      </w:r>
    </w:p>
    <w:p>
      <w:pPr>
        <w:jc w:val="center"/>
        <w:ind w:right="-19"/>
        <w:spacing w:after="0"/>
        <w:rPr>
          <w:sz w:val="20"/>
          <w:szCs w:val="20"/>
          <w:color w:val="auto"/>
        </w:rPr>
      </w:pPr>
      <w:r>
        <w:rPr>
          <w:rFonts w:ascii="Arial" w:cs="Arial" w:eastAsia="Arial" w:hAnsi="Arial"/>
          <w:sz w:val="43"/>
          <w:szCs w:val="43"/>
          <w:b w:val="1"/>
          <w:bCs w:val="1"/>
          <w:color w:val="auto"/>
        </w:rPr>
        <w:t>Honeywell International Inc.</w:t>
      </w: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ind w:left="2460"/>
        <w:spacing w:after="0"/>
        <w:tabs>
          <w:tab w:leader="none" w:pos="7980" w:val="left"/>
        </w:tabs>
        <w:rPr>
          <w:sz w:val="20"/>
          <w:szCs w:val="20"/>
          <w:color w:val="auto"/>
        </w:rPr>
      </w:pPr>
      <w:r>
        <w:rPr>
          <w:rFonts w:ascii="Arial" w:cs="Arial" w:eastAsia="Arial" w:hAnsi="Arial"/>
          <w:sz w:val="17"/>
          <w:szCs w:val="17"/>
          <w:color w:val="auto"/>
        </w:rPr>
        <w:t>Delaware</w:t>
      </w:r>
      <w:r>
        <w:rPr>
          <w:sz w:val="20"/>
          <w:szCs w:val="20"/>
          <w:color w:val="auto"/>
        </w:rPr>
        <w:tab/>
      </w:r>
      <w:r>
        <w:rPr>
          <w:rFonts w:ascii="Arial" w:cs="Arial" w:eastAsia="Arial" w:hAnsi="Arial"/>
          <w:sz w:val="17"/>
          <w:szCs w:val="17"/>
          <w:color w:val="auto"/>
        </w:rPr>
        <w:t>22-2640650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65176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p>
      <w:pPr>
        <w:spacing w:after="0" w:line="16" w:lineRule="exact"/>
        <w:rPr>
          <w:sz w:val="24"/>
          <w:szCs w:val="24"/>
          <w:color w:val="auto"/>
        </w:rPr>
      </w:pPr>
    </w:p>
    <w:p>
      <w:pPr>
        <w:ind w:left="1720"/>
        <w:spacing w:after="0"/>
        <w:rPr>
          <w:sz w:val="20"/>
          <w:szCs w:val="20"/>
          <w:color w:val="auto"/>
        </w:rPr>
      </w:pPr>
      <w:r>
        <w:rPr>
          <w:rFonts w:ascii="Arial" w:cs="Arial" w:eastAsia="Arial" w:hAnsi="Arial"/>
          <w:sz w:val="18"/>
          <w:szCs w:val="18"/>
          <w:color w:val="auto"/>
        </w:rPr>
        <w:t>(State or other jurisdiction of</w:t>
      </w:r>
    </w:p>
    <w:p>
      <w:pPr>
        <w:ind w:left="1660"/>
        <w:spacing w:after="0"/>
        <w:rPr>
          <w:sz w:val="20"/>
          <w:szCs w:val="20"/>
          <w:color w:val="auto"/>
        </w:rPr>
      </w:pPr>
      <w:r>
        <w:rPr>
          <w:rFonts w:ascii="Arial" w:cs="Arial" w:eastAsia="Arial" w:hAnsi="Arial"/>
          <w:sz w:val="18"/>
          <w:szCs w:val="18"/>
          <w:color w:val="auto"/>
        </w:rPr>
        <w:t>incorporation or organization)</w:t>
      </w:r>
    </w:p>
    <w:p>
      <w:pPr>
        <w:spacing w:after="0" w:line="194" w:lineRule="exact"/>
        <w:rPr>
          <w:sz w:val="24"/>
          <w:szCs w:val="24"/>
          <w:color w:val="auto"/>
        </w:rPr>
      </w:pPr>
    </w:p>
    <w:p>
      <w:pPr>
        <w:ind w:left="2180"/>
        <w:spacing w:after="0"/>
        <w:rPr>
          <w:sz w:val="20"/>
          <w:szCs w:val="20"/>
          <w:color w:val="auto"/>
        </w:rPr>
      </w:pPr>
      <w:r>
        <w:rPr>
          <w:rFonts w:ascii="Arial" w:cs="Arial" w:eastAsia="Arial" w:hAnsi="Arial"/>
          <w:sz w:val="18"/>
          <w:szCs w:val="18"/>
          <w:color w:val="auto"/>
        </w:rPr>
        <w:t>115 Tabor Road</w:t>
      </w:r>
    </w:p>
    <w:p>
      <w:pPr>
        <w:ind w:left="1800"/>
        <w:spacing w:after="0"/>
        <w:rPr>
          <w:sz w:val="20"/>
          <w:szCs w:val="20"/>
          <w:color w:val="auto"/>
        </w:rPr>
      </w:pPr>
      <w:r>
        <w:rPr>
          <w:rFonts w:ascii="Arial" w:cs="Arial" w:eastAsia="Arial" w:hAnsi="Arial"/>
          <w:sz w:val="18"/>
          <w:szCs w:val="18"/>
          <w:color w:val="auto"/>
        </w:rPr>
        <w:t>Morris Plains, New Jersey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5934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ind w:right="1680" w:firstLine="1290"/>
        <w:spacing w:after="0"/>
        <w:rPr>
          <w:sz w:val="20"/>
          <w:szCs w:val="20"/>
          <w:color w:val="auto"/>
        </w:rPr>
      </w:pPr>
      <w:r>
        <w:rPr>
          <w:rFonts w:ascii="Arial" w:cs="Arial" w:eastAsia="Arial" w:hAnsi="Arial"/>
          <w:sz w:val="18"/>
          <w:szCs w:val="18"/>
          <w:color w:val="auto"/>
        </w:rPr>
        <w:t>(Address of principal executive offices) Registrant’s telephone number, including area code (973) 455-2000 Securities registered pursuant to Section 12(b) of the Act:</w:t>
      </w:r>
    </w:p>
    <w:p>
      <w:pPr>
        <w:spacing w:after="0" w:line="179" w:lineRule="exact"/>
        <w:rPr>
          <w:sz w:val="24"/>
          <w:szCs w:val="24"/>
          <w:color w:val="auto"/>
        </w:rPr>
      </w:pPr>
    </w:p>
    <w:p>
      <w:pPr>
        <w:ind w:left="134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5387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Common Stock, par value $1 per share*</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Floating Rate Senior Notes due 2018</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0.650% Senior Notes due 2020</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1.300% Senior Notes due 2023</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2.250% Senior Notes due 2028</w:t>
      </w:r>
    </w:p>
    <w:p>
      <w:pPr>
        <w:spacing w:after="0" w:line="5" w:lineRule="exact"/>
        <w:rPr>
          <w:sz w:val="24"/>
          <w:szCs w:val="24"/>
          <w:color w:val="auto"/>
        </w:rPr>
      </w:pPr>
    </w:p>
    <w:p>
      <w:pPr>
        <w:ind w:right="2300" w:firstLine="8"/>
        <w:spacing w:after="0" w:line="386" w:lineRule="auto"/>
        <w:tabs>
          <w:tab w:leader="none" w:pos="108"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common stock is also listed on the London Stock Exchange. Securities registered pursuant to Section 12(g) of the Act: None</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8"/>
          <w:szCs w:val="18"/>
          <w:color w:val="auto"/>
        </w:rPr>
        <w:t>(I.R.S. Employer</w:t>
      </w:r>
    </w:p>
    <w:p>
      <w:pPr>
        <w:spacing w:after="0"/>
        <w:rPr>
          <w:sz w:val="20"/>
          <w:szCs w:val="20"/>
          <w:color w:val="auto"/>
        </w:rPr>
      </w:pPr>
      <w:r>
        <w:rPr>
          <w:rFonts w:ascii="Arial" w:cs="Arial" w:eastAsia="Arial" w:hAnsi="Arial"/>
          <w:sz w:val="18"/>
          <w:szCs w:val="18"/>
          <w:color w:val="auto"/>
        </w:rPr>
        <w:t>Identification No.)</w:t>
      </w:r>
    </w:p>
    <w:p>
      <w:pPr>
        <w:spacing w:after="0" w:line="200" w:lineRule="exact"/>
        <w:rPr>
          <w:sz w:val="24"/>
          <w:szCs w:val="24"/>
          <w:color w:val="auto"/>
        </w:rPr>
      </w:pPr>
    </w:p>
    <w:p>
      <w:pPr>
        <w:spacing w:after="0" w:line="201" w:lineRule="exact"/>
        <w:rPr>
          <w:sz w:val="24"/>
          <w:szCs w:val="24"/>
          <w:color w:val="auto"/>
        </w:rPr>
      </w:pPr>
    </w:p>
    <w:p>
      <w:pPr>
        <w:jc w:val="center"/>
        <w:ind w:right="2240"/>
        <w:spacing w:after="0"/>
        <w:rPr>
          <w:sz w:val="20"/>
          <w:szCs w:val="20"/>
          <w:color w:val="auto"/>
        </w:rPr>
      </w:pPr>
      <w:r>
        <w:rPr>
          <w:rFonts w:ascii="Arial" w:cs="Arial" w:eastAsia="Arial" w:hAnsi="Arial"/>
          <w:sz w:val="18"/>
          <w:szCs w:val="18"/>
          <w:color w:val="auto"/>
        </w:rPr>
        <w:t>07950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-697865</wp:posOffset>
            </wp:positionH>
            <wp:positionV relativeFrom="paragraph">
              <wp:posOffset>-1905</wp:posOffset>
            </wp:positionV>
            <wp:extent cx="22809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jc w:val="center"/>
        <w:ind w:right="2240"/>
        <w:spacing w:after="0"/>
        <w:rPr>
          <w:sz w:val="20"/>
          <w:szCs w:val="20"/>
          <w:color w:val="auto"/>
        </w:rPr>
      </w:pPr>
      <w:r>
        <w:rPr>
          <w:rFonts w:ascii="Arial" w:cs="Arial" w:eastAsia="Arial" w:hAnsi="Arial"/>
          <w:sz w:val="18"/>
          <w:szCs w:val="18"/>
          <w:color w:val="auto"/>
        </w:rPr>
        <w:t>(Zip Code)</w:t>
      </w:r>
    </w:p>
    <w:p>
      <w:pPr>
        <w:spacing w:after="0" w:line="200" w:lineRule="exact"/>
        <w:rPr>
          <w:sz w:val="24"/>
          <w:szCs w:val="24"/>
          <w:color w:val="auto"/>
        </w:rPr>
      </w:pPr>
    </w:p>
    <w:p>
      <w:pPr>
        <w:spacing w:after="0" w:line="204" w:lineRule="exact"/>
        <w:rPr>
          <w:sz w:val="24"/>
          <w:szCs w:val="24"/>
          <w:color w:val="auto"/>
        </w:rPr>
      </w:pPr>
    </w:p>
    <w:p>
      <w:pPr>
        <w:jc w:val="center"/>
        <w:ind w:right="1500"/>
        <w:spacing w:after="0"/>
        <w:rPr>
          <w:sz w:val="20"/>
          <w:szCs w:val="20"/>
          <w:color w:val="auto"/>
        </w:rPr>
      </w:pPr>
      <w:r>
        <w:rPr>
          <w:rFonts w:ascii="Arial" w:cs="Arial" w:eastAsia="Arial" w:hAnsi="Arial"/>
          <w:sz w:val="16"/>
          <w:szCs w:val="16"/>
          <w:color w:val="auto"/>
        </w:rPr>
        <w:t>Name of Each Exchange</w:t>
      </w:r>
    </w:p>
    <w:p>
      <w:pPr>
        <w:spacing w:after="0" w:line="5" w:lineRule="exact"/>
        <w:rPr>
          <w:sz w:val="24"/>
          <w:szCs w:val="24"/>
          <w:color w:val="auto"/>
        </w:rPr>
      </w:pPr>
    </w:p>
    <w:p>
      <w:pPr>
        <w:jc w:val="center"/>
        <w:ind w:right="1500"/>
        <w:spacing w:after="0"/>
        <w:rPr>
          <w:sz w:val="20"/>
          <w:szCs w:val="20"/>
          <w:color w:val="auto"/>
        </w:rPr>
      </w:pPr>
      <w:r>
        <w:rPr>
          <w:rFonts w:ascii="Arial" w:cs="Arial" w:eastAsia="Arial" w:hAnsi="Arial"/>
          <w:sz w:val="16"/>
          <w:szCs w:val="16"/>
          <w:color w:val="auto"/>
        </w:rPr>
        <w:t>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-946785</wp:posOffset>
            </wp:positionH>
            <wp:positionV relativeFrom="paragraph">
              <wp:posOffset>1905</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New York Stock Exchange</w:t>
      </w:r>
    </w:p>
    <w:p>
      <w:pPr>
        <w:spacing w:after="0" w:line="5" w:lineRule="exact"/>
        <w:rPr>
          <w:sz w:val="24"/>
          <w:szCs w:val="24"/>
          <w:color w:val="auto"/>
        </w:rPr>
      </w:pPr>
    </w:p>
    <w:p>
      <w:pPr>
        <w:ind w:left="120"/>
        <w:spacing w:after="0"/>
        <w:rPr>
          <w:sz w:val="20"/>
          <w:szCs w:val="20"/>
          <w:color w:val="auto"/>
        </w:rPr>
      </w:pPr>
      <w:r>
        <w:rPr>
          <w:rFonts w:ascii="Arial" w:cs="Arial" w:eastAsia="Arial" w:hAnsi="Arial"/>
          <w:sz w:val="16"/>
          <w:szCs w:val="16"/>
          <w:color w:val="auto"/>
        </w:rPr>
        <w:t>New York Stock Exchange</w:t>
      </w:r>
    </w:p>
    <w:p>
      <w:pPr>
        <w:spacing w:after="0" w:line="5" w:lineRule="exact"/>
        <w:rPr>
          <w:sz w:val="24"/>
          <w:szCs w:val="24"/>
          <w:color w:val="auto"/>
        </w:rPr>
      </w:pPr>
    </w:p>
    <w:p>
      <w:pPr>
        <w:ind w:left="120"/>
        <w:spacing w:after="0"/>
        <w:rPr>
          <w:sz w:val="20"/>
          <w:szCs w:val="20"/>
          <w:color w:val="auto"/>
        </w:rPr>
      </w:pPr>
      <w:r>
        <w:rPr>
          <w:rFonts w:ascii="Arial" w:cs="Arial" w:eastAsia="Arial" w:hAnsi="Arial"/>
          <w:sz w:val="16"/>
          <w:szCs w:val="16"/>
          <w:color w:val="auto"/>
        </w:rPr>
        <w:t>New York Stock Exchange</w:t>
      </w:r>
    </w:p>
    <w:p>
      <w:pPr>
        <w:spacing w:after="0" w:line="5" w:lineRule="exact"/>
        <w:rPr>
          <w:sz w:val="24"/>
          <w:szCs w:val="24"/>
          <w:color w:val="auto"/>
        </w:rPr>
      </w:pPr>
    </w:p>
    <w:p>
      <w:pPr>
        <w:ind w:left="120"/>
        <w:spacing w:after="0"/>
        <w:rPr>
          <w:sz w:val="20"/>
          <w:szCs w:val="20"/>
          <w:color w:val="auto"/>
        </w:rPr>
      </w:pPr>
      <w:r>
        <w:rPr>
          <w:rFonts w:ascii="Arial" w:cs="Arial" w:eastAsia="Arial" w:hAnsi="Arial"/>
          <w:sz w:val="16"/>
          <w:szCs w:val="16"/>
          <w:color w:val="auto"/>
        </w:rPr>
        <w:t>New York Stock Exchange</w:t>
      </w:r>
    </w:p>
    <w:p>
      <w:pPr>
        <w:spacing w:after="0" w:line="5" w:lineRule="exact"/>
        <w:rPr>
          <w:sz w:val="24"/>
          <w:szCs w:val="24"/>
          <w:color w:val="auto"/>
        </w:rPr>
      </w:pPr>
    </w:p>
    <w:p>
      <w:pPr>
        <w:ind w:left="120"/>
        <w:spacing w:after="0"/>
        <w:rPr>
          <w:sz w:val="20"/>
          <w:szCs w:val="20"/>
          <w:color w:val="auto"/>
        </w:rPr>
      </w:pPr>
      <w:r>
        <w:rPr>
          <w:rFonts w:ascii="Arial" w:cs="Arial" w:eastAsia="Arial" w:hAnsi="Arial"/>
          <w:sz w:val="16"/>
          <w:szCs w:val="16"/>
          <w:color w:val="auto"/>
        </w:rPr>
        <w:t>New York Stock Exchange</w:t>
      </w:r>
    </w:p>
    <w:p>
      <w:pPr>
        <w:spacing w:after="0" w:line="597" w:lineRule="exact"/>
        <w:rPr>
          <w:sz w:val="24"/>
          <w:szCs w:val="24"/>
          <w:color w:val="auto"/>
        </w:rPr>
      </w:pPr>
    </w:p>
    <w:p>
      <w:pPr>
        <w:sectPr>
          <w:pgSz w:w="11900" w:h="16838" w:orient="portrait"/>
          <w:cols w:equalWidth="0" w:num="2">
            <w:col w:w="7060" w:space="720"/>
            <w:col w:w="3640"/>
          </w:cols>
          <w:pgMar w:left="240" w:top="249" w:right="2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8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Exchange Act. Yes o No </w:t>
      </w:r>
      <w:r>
        <w:rPr>
          <w:rFonts w:ascii="MS PGothic" w:cs="MS PGothic" w:eastAsia="MS PGothic" w:hAnsi="MS PGothic"/>
          <w:sz w:val="16"/>
          <w:szCs w:val="16"/>
          <w:color w:val="auto"/>
        </w:rPr>
        <w:t>☒</w:t>
      </w:r>
    </w:p>
    <w:p>
      <w:pPr>
        <w:spacing w:after="0" w:line="128"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59"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59" w:lineRule="exact"/>
        <w:rPr>
          <w:sz w:val="24"/>
          <w:szCs w:val="24"/>
          <w:color w:val="auto"/>
        </w:rPr>
      </w:pPr>
    </w:p>
    <w:p>
      <w:pPr>
        <w:jc w:val="both"/>
        <w:spacing w:after="0" w:line="244"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200" w:hanging="192"/>
        <w:spacing w:after="0" w:line="184" w:lineRule="exact"/>
        <w:tabs>
          <w:tab w:leader="none" w:pos="200" w:val="left"/>
        </w:tabs>
        <w:numPr>
          <w:ilvl w:val="0"/>
          <w:numId w:val="3"/>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90"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 (Check One):</w:t>
      </w:r>
    </w:p>
    <w:p>
      <w:pPr>
        <w:spacing w:after="0" w:line="62" w:lineRule="exact"/>
        <w:rPr>
          <w:sz w:val="24"/>
          <w:szCs w:val="24"/>
          <w:color w:val="auto"/>
        </w:rPr>
      </w:pPr>
    </w:p>
    <w:p>
      <w:pPr>
        <w:ind w:right="640" w:firstLine="475"/>
        <w:spacing w:after="0" w:line="247" w:lineRule="exact"/>
        <w:rPr>
          <w:sz w:val="20"/>
          <w:szCs w:val="20"/>
          <w:color w:val="auto"/>
        </w:rPr>
      </w:pPr>
      <w:r>
        <w:rPr>
          <w:rFonts w:ascii="Arial" w:cs="Arial" w:eastAsia="Arial" w:hAnsi="Arial"/>
          <w:sz w:val="16"/>
          <w:szCs w:val="16"/>
          <w:color w:val="auto"/>
        </w:rPr>
        <w:t xml:space="preserve">Large accelerated filer x Accelerated filer o Non-accelerated filer o Smaller reporting company o Indicate by check mark whether the Registrant is a shell company (as defined in Rule 12b-2 of the Act). Yes o No </w:t>
      </w:r>
      <w:r>
        <w:rPr>
          <w:rFonts w:ascii="MS PGothic" w:cs="MS PGothic" w:eastAsia="MS PGothic" w:hAnsi="MS PGothic"/>
          <w:sz w:val="16"/>
          <w:szCs w:val="16"/>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The aggregate market value of the voting stock held by nonaffiliates of the Registrant was approximately $88.6 billion at June 30, 2016.</w:t>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There were 761,194,241 shares of Common Stock outstanding at January 27, 2017.</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u w:val="single" w:color="auto"/>
          <w:color w:val="auto"/>
        </w:rPr>
        <w:t>Documents Incorporated by Reference</w:t>
      </w:r>
    </w:p>
    <w:p>
      <w:pPr>
        <w:spacing w:after="0" w:line="73"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Part III: Proxy Statement for Annual Meeting of Shareowners to be held April 24,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0" w:type="dxa"/>
            <w:vAlign w:val="bottom"/>
            <w:gridSpan w:val="3"/>
          </w:tcPr>
          <w:p>
            <w:pPr>
              <w:ind w:left="30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r>
      <w:tr>
        <w:trPr>
          <w:trHeight w:val="392"/>
        </w:trPr>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gridSpan w:val="6"/>
          </w:tcPr>
          <w:p>
            <w:pPr>
              <w:ind w:left="220"/>
              <w:spacing w:after="0"/>
              <w:rPr>
                <w:sz w:val="20"/>
                <w:szCs w:val="20"/>
                <w:color w:val="auto"/>
              </w:rPr>
            </w:pPr>
            <w:r>
              <w:rPr>
                <w:rFonts w:ascii="Arial" w:cs="Arial" w:eastAsia="Arial" w:hAnsi="Arial"/>
                <w:sz w:val="18"/>
                <w:szCs w:val="18"/>
                <w:b w:val="1"/>
                <w:bCs w:val="1"/>
                <w:color w:val="auto"/>
              </w:rPr>
              <w:t>Item</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8"/>
                <w:szCs w:val="18"/>
                <w:b w:val="1"/>
                <w:bCs w:val="1"/>
                <w:color w:val="auto"/>
              </w:rPr>
              <w:t>Page</w:t>
            </w:r>
          </w:p>
        </w:tc>
      </w:tr>
      <w:tr>
        <w:trPr>
          <w:trHeight w:val="372"/>
        </w:trPr>
        <w:tc>
          <w:tcPr>
            <w:tcW w:w="440" w:type="dxa"/>
            <w:vAlign w:val="bottom"/>
            <w:tcBorders>
              <w:bottom w:val="single" w:sz="8" w:color="0000EE"/>
            </w:tcBorders>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w:t>
              </w:r>
            </w:hyperlink>
          </w:p>
        </w:tc>
        <w:tc>
          <w:tcPr>
            <w:tcW w:w="600" w:type="dxa"/>
            <w:vAlign w:val="bottom"/>
            <w:gridSpan w:val="2"/>
          </w:tcPr>
          <w:p>
            <w:pPr>
              <w:spacing w:after="0"/>
              <w:rPr>
                <w:sz w:val="24"/>
                <w:szCs w:val="24"/>
                <w:color w:val="auto"/>
              </w:rPr>
            </w:pPr>
          </w:p>
        </w:tc>
        <w:tc>
          <w:tcPr>
            <w:tcW w:w="580" w:type="dxa"/>
            <w:vAlign w:val="bottom"/>
            <w:tcBorders>
              <w:top w:val="single" w:sz="8" w:color="auto"/>
            </w:tcBorders>
            <w:gridSpan w:val="4"/>
          </w:tcPr>
          <w:p>
            <w:pPr>
              <w:spacing w:after="0"/>
              <w:rPr>
                <w:sz w:val="24"/>
                <w:szCs w:val="24"/>
                <w:color w:val="auto"/>
              </w:rPr>
            </w:pPr>
          </w:p>
        </w:tc>
        <w:tc>
          <w:tcPr>
            <w:tcW w:w="92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r>
      <w:tr>
        <w:trPr>
          <w:trHeight w:val="183"/>
        </w:trPr>
        <w:tc>
          <w:tcPr>
            <w:tcW w:w="1640" w:type="dxa"/>
            <w:vAlign w:val="bottom"/>
            <w:gridSpan w:val="8"/>
          </w:tcPr>
          <w:p>
            <w:pPr>
              <w:jc w:val="right"/>
              <w:ind w:right="20"/>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900" w:type="dxa"/>
            <w:vAlign w:val="bottom"/>
          </w:tcPr>
          <w:p>
            <w:pPr>
              <w:spacing w:after="0"/>
              <w:rPr>
                <w:sz w:val="15"/>
                <w:szCs w:val="15"/>
                <w:color w:val="auto"/>
              </w:rPr>
            </w:pPr>
          </w:p>
        </w:tc>
        <w:tc>
          <w:tcPr>
            <w:tcW w:w="8320" w:type="dxa"/>
            <w:vAlign w:val="bottom"/>
            <w:gridSpan w:val="8"/>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3</w:t>
            </w: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2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Executive Officers of the Registrant</w:t>
              </w:r>
            </w:hyperlink>
          </w:p>
        </w:tc>
        <w:tc>
          <w:tcPr>
            <w:tcW w:w="5500" w:type="dxa"/>
            <w:vAlign w:val="bottom"/>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7</w:t>
            </w:r>
          </w:p>
        </w:tc>
      </w:tr>
      <w:tr>
        <w:trPr>
          <w:trHeight w:val="183"/>
        </w:trPr>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Borders>
              <w:bottom w:val="single" w:sz="8" w:color="0000EE"/>
            </w:tcBorders>
            <w:gridSpan w:val="4"/>
          </w:tcPr>
          <w:p>
            <w:pPr>
              <w:jc w:val="right"/>
              <w:ind w:right="20"/>
              <w:spacing w:after="0" w:line="182"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1A.</w:t>
              </w:r>
            </w:hyperlink>
          </w:p>
        </w:tc>
        <w:tc>
          <w:tcPr>
            <w:tcW w:w="900" w:type="dxa"/>
            <w:vAlign w:val="bottom"/>
          </w:tcPr>
          <w:p>
            <w:pPr>
              <w:spacing w:after="0"/>
              <w:rPr>
                <w:sz w:val="15"/>
                <w:szCs w:val="15"/>
                <w:color w:val="auto"/>
              </w:rPr>
            </w:pPr>
          </w:p>
        </w:tc>
        <w:tc>
          <w:tcPr>
            <w:tcW w:w="1000" w:type="dxa"/>
            <w:vAlign w:val="bottom"/>
            <w:tcBorders>
              <w:bottom w:val="single" w:sz="8" w:color="0000EE"/>
            </w:tcBorders>
            <w:gridSpan w:val="3"/>
          </w:tcPr>
          <w:p>
            <w:pPr>
              <w:spacing w:after="0" w:line="182" w:lineRule="exact"/>
              <w:rPr>
                <w:rFonts w:ascii="Arial" w:cs="Arial" w:eastAsia="Arial" w:hAnsi="Arial"/>
                <w:sz w:val="18"/>
                <w:szCs w:val="18"/>
                <w:color w:val="0000EE"/>
                <w:w w:val="97"/>
              </w:rPr>
            </w:pPr>
            <w:hyperlink w:anchor="page8">
              <w:r>
                <w:rPr>
                  <w:rFonts w:ascii="Arial" w:cs="Arial" w:eastAsia="Arial" w:hAnsi="Arial"/>
                  <w:sz w:val="18"/>
                  <w:szCs w:val="18"/>
                  <w:color w:val="0000EE"/>
                  <w:w w:val="97"/>
                </w:rPr>
                <w:t>Risk Factors</w:t>
              </w:r>
            </w:hyperlink>
          </w:p>
        </w:tc>
        <w:tc>
          <w:tcPr>
            <w:tcW w:w="7320" w:type="dxa"/>
            <w:vAlign w:val="bottom"/>
            <w:gridSpan w:val="5"/>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8</w:t>
            </w:r>
          </w:p>
        </w:tc>
      </w:tr>
      <w:tr>
        <w:trPr>
          <w:trHeight w:val="183"/>
        </w:trPr>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gridSpan w:val="4"/>
          </w:tcPr>
          <w:p>
            <w:pPr>
              <w:jc w:val="right"/>
              <w:ind w:right="20"/>
              <w:spacing w:after="0" w:line="182" w:lineRule="exact"/>
              <w:rPr>
                <w:rFonts w:ascii="Arial" w:cs="Arial" w:eastAsia="Arial" w:hAnsi="Arial"/>
                <w:sz w:val="18"/>
                <w:szCs w:val="18"/>
                <w:color w:val="0000EE"/>
                <w:w w:val="88"/>
              </w:rPr>
            </w:pPr>
            <w:hyperlink w:anchor="page12">
              <w:r>
                <w:rPr>
                  <w:rFonts w:ascii="Arial" w:cs="Arial" w:eastAsia="Arial" w:hAnsi="Arial"/>
                  <w:sz w:val="18"/>
                  <w:szCs w:val="18"/>
                  <w:color w:val="0000EE"/>
                  <w:w w:val="88"/>
                </w:rPr>
                <w:t>1B.</w:t>
              </w:r>
            </w:hyperlink>
          </w:p>
        </w:tc>
        <w:tc>
          <w:tcPr>
            <w:tcW w:w="900" w:type="dxa"/>
            <w:vAlign w:val="bottom"/>
          </w:tcPr>
          <w:p>
            <w:pPr>
              <w:spacing w:after="0"/>
              <w:rPr>
                <w:sz w:val="15"/>
                <w:szCs w:val="15"/>
                <w:color w:val="auto"/>
              </w:rPr>
            </w:pPr>
          </w:p>
        </w:tc>
        <w:tc>
          <w:tcPr>
            <w:tcW w:w="8320" w:type="dxa"/>
            <w:vAlign w:val="bottom"/>
            <w:gridSpan w:val="8"/>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Unresolved Staff Comments</w:t>
              </w:r>
            </w:hyperlink>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12</w:t>
            </w:r>
          </w:p>
        </w:tc>
      </w:tr>
      <w:tr>
        <w:trPr>
          <w:trHeight w:val="183"/>
        </w:trPr>
        <w:tc>
          <w:tcPr>
            <w:tcW w:w="1360" w:type="dxa"/>
            <w:vAlign w:val="bottom"/>
            <w:gridSpan w:val="4"/>
          </w:tcPr>
          <w:p>
            <w:pPr>
              <w:spacing w:after="0"/>
              <w:rPr>
                <w:sz w:val="15"/>
                <w:szCs w:val="15"/>
                <w:color w:val="auto"/>
              </w:rPr>
            </w:pPr>
          </w:p>
        </w:tc>
        <w:tc>
          <w:tcPr>
            <w:tcW w:w="280" w:type="dxa"/>
            <w:vAlign w:val="bottom"/>
            <w:tcBorders>
              <w:top w:val="single" w:sz="8" w:color="0000EE"/>
            </w:tcBorders>
            <w:gridSpan w:val="4"/>
          </w:tcPr>
          <w:p>
            <w:pPr>
              <w:jc w:val="right"/>
              <w:ind w:right="20"/>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2.</w:t>
              </w:r>
            </w:hyperlink>
          </w:p>
        </w:tc>
        <w:tc>
          <w:tcPr>
            <w:tcW w:w="900" w:type="dxa"/>
            <w:vAlign w:val="bottom"/>
          </w:tcPr>
          <w:p>
            <w:pPr>
              <w:spacing w:after="0"/>
              <w:rPr>
                <w:sz w:val="15"/>
                <w:szCs w:val="15"/>
                <w:color w:val="auto"/>
              </w:rPr>
            </w:pPr>
          </w:p>
        </w:tc>
        <w:tc>
          <w:tcPr>
            <w:tcW w:w="224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Properties</w:t>
              </w:r>
            </w:hyperlink>
          </w:p>
        </w:tc>
        <w:tc>
          <w:tcPr>
            <w:tcW w:w="6080" w:type="dxa"/>
            <w:vAlign w:val="bottom"/>
            <w:gridSpan w:val="2"/>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12</w:t>
            </w:r>
          </w:p>
        </w:tc>
      </w:tr>
      <w:tr>
        <w:trPr>
          <w:trHeight w:val="20"/>
        </w:trPr>
        <w:tc>
          <w:tcPr>
            <w:tcW w:w="54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1640" w:type="dxa"/>
            <w:vAlign w:val="bottom"/>
            <w:gridSpan w:val="8"/>
          </w:tcPr>
          <w:p>
            <w:pPr>
              <w:jc w:val="right"/>
              <w:ind w:right="20"/>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3.</w:t>
              </w:r>
            </w:hyperlink>
          </w:p>
        </w:tc>
        <w:tc>
          <w:tcPr>
            <w:tcW w:w="900" w:type="dxa"/>
            <w:vAlign w:val="bottom"/>
          </w:tcPr>
          <w:p>
            <w:pPr>
              <w:spacing w:after="0"/>
              <w:rPr>
                <w:sz w:val="15"/>
                <w:szCs w:val="15"/>
                <w:color w:val="auto"/>
              </w:rPr>
            </w:pPr>
          </w:p>
        </w:tc>
        <w:tc>
          <w:tcPr>
            <w:tcW w:w="8320" w:type="dxa"/>
            <w:vAlign w:val="bottom"/>
            <w:gridSpan w:val="8"/>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Legal Proceedings</w:t>
              </w:r>
            </w:hyperlink>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12</w:t>
            </w:r>
          </w:p>
        </w:tc>
      </w:tr>
      <w:tr>
        <w:trPr>
          <w:trHeight w:val="20"/>
        </w:trPr>
        <w:tc>
          <w:tcPr>
            <w:tcW w:w="54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1640" w:type="dxa"/>
            <w:vAlign w:val="bottom"/>
            <w:gridSpan w:val="8"/>
          </w:tcPr>
          <w:p>
            <w:pPr>
              <w:jc w:val="right"/>
              <w:ind w:right="20"/>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4.</w:t>
              </w:r>
            </w:hyperlink>
          </w:p>
        </w:tc>
        <w:tc>
          <w:tcPr>
            <w:tcW w:w="900" w:type="dxa"/>
            <w:vAlign w:val="bottom"/>
          </w:tcPr>
          <w:p>
            <w:pPr>
              <w:spacing w:after="0"/>
              <w:rPr>
                <w:sz w:val="15"/>
                <w:szCs w:val="15"/>
                <w:color w:val="auto"/>
              </w:rPr>
            </w:pPr>
          </w:p>
        </w:tc>
        <w:tc>
          <w:tcPr>
            <w:tcW w:w="8320" w:type="dxa"/>
            <w:vAlign w:val="bottom"/>
            <w:gridSpan w:val="8"/>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Mine Safety Disclosures</w:t>
              </w:r>
            </w:hyperlink>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12</w:t>
            </w:r>
          </w:p>
        </w:tc>
      </w:tr>
      <w:tr>
        <w:trPr>
          <w:trHeight w:val="183"/>
        </w:trPr>
        <w:tc>
          <w:tcPr>
            <w:tcW w:w="540" w:type="dxa"/>
            <w:vAlign w:val="bottom"/>
            <w:tcBorders>
              <w:bottom w:val="single" w:sz="8" w:color="0000EE"/>
            </w:tcBorders>
            <w:gridSpan w:val="2"/>
          </w:tcPr>
          <w:p>
            <w:pPr>
              <w:spacing w:after="0" w:line="182" w:lineRule="exact"/>
              <w:rPr>
                <w:rFonts w:ascii="Arial" w:cs="Arial" w:eastAsia="Arial" w:hAnsi="Arial"/>
                <w:sz w:val="18"/>
                <w:szCs w:val="18"/>
                <w:color w:val="0000EE"/>
                <w:w w:val="97"/>
              </w:rPr>
            </w:pPr>
            <w:hyperlink w:anchor="page13">
              <w:r>
                <w:rPr>
                  <w:rFonts w:ascii="Arial" w:cs="Arial" w:eastAsia="Arial" w:hAnsi="Arial"/>
                  <w:sz w:val="18"/>
                  <w:szCs w:val="18"/>
                  <w:color w:val="0000EE"/>
                  <w:w w:val="97"/>
                </w:rPr>
                <w:t>Part II.</w:t>
              </w:r>
            </w:hyperlink>
          </w:p>
        </w:tc>
        <w:tc>
          <w:tcPr>
            <w:tcW w:w="960" w:type="dxa"/>
            <w:vAlign w:val="bottom"/>
            <w:gridSpan w:val="4"/>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920" w:type="dxa"/>
            <w:vAlign w:val="bottom"/>
            <w:gridSpan w:val="2"/>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560" w:type="dxa"/>
            <w:vAlign w:val="bottom"/>
          </w:tcPr>
          <w:p>
            <w:pPr>
              <w:spacing w:after="0"/>
              <w:rPr>
                <w:sz w:val="15"/>
                <w:szCs w:val="15"/>
                <w:color w:val="auto"/>
              </w:rPr>
            </w:pPr>
          </w:p>
        </w:tc>
      </w:tr>
    </w:tbl>
    <w:p>
      <w:pPr>
        <w:ind w:left="2540" w:hanging="1061"/>
        <w:spacing w:after="0" w:line="219" w:lineRule="auto"/>
        <w:tabs>
          <w:tab w:leader="none" w:pos="2540" w:val="left"/>
        </w:tabs>
        <w:numPr>
          <w:ilvl w:val="0"/>
          <w:numId w:val="4"/>
        </w:numPr>
        <w:rPr>
          <w:rFonts w:ascii="Arial" w:cs="Arial" w:eastAsia="Arial" w:hAnsi="Arial"/>
          <w:sz w:val="18"/>
          <w:szCs w:val="18"/>
          <w:color w:val="0000EE"/>
        </w:rPr>
      </w:pPr>
      <w:hyperlink w:anchor="page13">
        <w:r>
          <w:rPr>
            <w:rFonts w:ascii="Arial" w:cs="Arial" w:eastAsia="Arial" w:hAnsi="Arial"/>
            <w:sz w:val="18"/>
            <w:szCs w:val="18"/>
            <w:color w:val="0000EE"/>
          </w:rPr>
          <w:t>Market for Registrant’s Common Equity, Related Stockholder Matters and Issuer Purchases of Equity</w:t>
        </w:r>
      </w:hyperlink>
    </w:p>
    <w:tbl>
      <w:tblPr>
        <w:tblLayout w:type="fixed"/>
        <w:tblInd w:w="0" w:type="dxa"/>
        <w:tblCellMar>
          <w:top w:w="0" w:type="dxa"/>
          <w:left w:w="0" w:type="dxa"/>
          <w:bottom w:w="0" w:type="dxa"/>
          <w:right w:w="0" w:type="dxa"/>
        </w:tblCellMar>
      </w:tblPr>
      <w:tr>
        <w:trPr>
          <w:trHeight w:val="183"/>
        </w:trPr>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786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Securities</w:t>
              </w:r>
            </w:hyperlink>
          </w:p>
        </w:tc>
        <w:tc>
          <w:tcPr>
            <w:tcW w:w="840" w:type="dxa"/>
            <w:vAlign w:val="bottom"/>
          </w:tcPr>
          <w:p>
            <w:pPr>
              <w:jc w:val="right"/>
              <w:ind w:right="90"/>
              <w:spacing w:after="0" w:line="18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gridSpan w:val="3"/>
          </w:tcPr>
          <w:p>
            <w:pPr>
              <w:jc w:val="right"/>
              <w:spacing w:after="0" w:line="182" w:lineRule="exact"/>
              <w:rPr>
                <w:rFonts w:ascii="Arial" w:cs="Arial" w:eastAsia="Arial" w:hAnsi="Arial"/>
                <w:sz w:val="18"/>
                <w:szCs w:val="18"/>
                <w:color w:val="0000EE"/>
              </w:rPr>
            </w:pPr>
            <w:hyperlink w:anchor="page15">
              <w:r>
                <w:rPr>
                  <w:rFonts w:ascii="Arial" w:cs="Arial" w:eastAsia="Arial" w:hAnsi="Arial"/>
                  <w:sz w:val="18"/>
                  <w:szCs w:val="18"/>
                  <w:color w:val="0000EE"/>
                </w:rPr>
                <w:t>6.</w:t>
              </w:r>
            </w:hyperlink>
          </w:p>
        </w:tc>
        <w:tc>
          <w:tcPr>
            <w:tcW w:w="920" w:type="dxa"/>
            <w:vAlign w:val="bottom"/>
          </w:tcPr>
          <w:p>
            <w:pPr>
              <w:spacing w:after="0"/>
              <w:rPr>
                <w:sz w:val="15"/>
                <w:szCs w:val="15"/>
                <w:color w:val="auto"/>
              </w:rPr>
            </w:pPr>
          </w:p>
        </w:tc>
        <w:tc>
          <w:tcPr>
            <w:tcW w:w="8040" w:type="dxa"/>
            <w:vAlign w:val="bottom"/>
            <w:gridSpan w:val="15"/>
          </w:tcPr>
          <w:p>
            <w:pPr>
              <w:spacing w:after="0" w:line="182" w:lineRule="exact"/>
              <w:rPr>
                <w:rFonts w:ascii="Arial" w:cs="Arial" w:eastAsia="Arial" w:hAnsi="Arial"/>
                <w:sz w:val="18"/>
                <w:szCs w:val="18"/>
                <w:color w:val="0000EE"/>
              </w:rPr>
            </w:pPr>
            <w:hyperlink w:anchor="page15">
              <w:r>
                <w:rPr>
                  <w:rFonts w:ascii="Arial" w:cs="Arial" w:eastAsia="Arial" w:hAnsi="Arial"/>
                  <w:sz w:val="18"/>
                  <w:szCs w:val="18"/>
                  <w:color w:val="0000EE"/>
                </w:rPr>
                <w:t>Selected Financial Data</w:t>
              </w:r>
            </w:hyperlink>
          </w:p>
        </w:tc>
        <w:tc>
          <w:tcPr>
            <w:tcW w:w="840" w:type="dxa"/>
            <w:vAlign w:val="bottom"/>
          </w:tcPr>
          <w:p>
            <w:pPr>
              <w:jc w:val="right"/>
              <w:ind w:right="90"/>
              <w:spacing w:after="0" w:line="18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gridSpan w:val="3"/>
          </w:tcPr>
          <w:p>
            <w:pPr>
              <w:jc w:val="right"/>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7.</w:t>
              </w:r>
            </w:hyperlink>
          </w:p>
        </w:tc>
        <w:tc>
          <w:tcPr>
            <w:tcW w:w="920" w:type="dxa"/>
            <w:vAlign w:val="bottom"/>
          </w:tcPr>
          <w:p>
            <w:pPr>
              <w:spacing w:after="0"/>
              <w:rPr>
                <w:sz w:val="15"/>
                <w:szCs w:val="15"/>
                <w:color w:val="auto"/>
              </w:rPr>
            </w:pPr>
          </w:p>
        </w:tc>
        <w:tc>
          <w:tcPr>
            <w:tcW w:w="8040" w:type="dxa"/>
            <w:vAlign w:val="bottom"/>
            <w:gridSpan w:val="15"/>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840" w:type="dxa"/>
            <w:vAlign w:val="bottom"/>
          </w:tcPr>
          <w:p>
            <w:pPr>
              <w:jc w:val="right"/>
              <w:ind w:right="90"/>
              <w:spacing w:after="0" w:line="18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gridSpan w:val="4"/>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7A.</w:t>
              </w:r>
            </w:hyperlink>
          </w:p>
        </w:tc>
        <w:tc>
          <w:tcPr>
            <w:tcW w:w="8040" w:type="dxa"/>
            <w:vAlign w:val="bottom"/>
            <w:gridSpan w:val="15"/>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Risks</w:t>
              </w:r>
            </w:hyperlink>
          </w:p>
        </w:tc>
        <w:tc>
          <w:tcPr>
            <w:tcW w:w="840" w:type="dxa"/>
            <w:vAlign w:val="bottom"/>
          </w:tcPr>
          <w:p>
            <w:pPr>
              <w:jc w:val="right"/>
              <w:ind w:right="90"/>
              <w:spacing w:after="0" w:line="18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Borders>
              <w:top w:val="single" w:sz="8" w:color="0000EE"/>
            </w:tcBorders>
            <w:gridSpan w:val="3"/>
          </w:tcPr>
          <w:p>
            <w:pPr>
              <w:jc w:val="right"/>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8.</w:t>
              </w:r>
            </w:hyperlink>
          </w:p>
        </w:tc>
        <w:tc>
          <w:tcPr>
            <w:tcW w:w="920" w:type="dxa"/>
            <w:vAlign w:val="bottom"/>
          </w:tcPr>
          <w:p>
            <w:pPr>
              <w:spacing w:after="0"/>
              <w:rPr>
                <w:sz w:val="15"/>
                <w:szCs w:val="15"/>
                <w:color w:val="auto"/>
              </w:rPr>
            </w:pPr>
          </w:p>
        </w:tc>
        <w:tc>
          <w:tcPr>
            <w:tcW w:w="480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Financial Statements and Supplementary Data</w:t>
              </w:r>
            </w:hyperlink>
          </w:p>
        </w:tc>
        <w:tc>
          <w:tcPr>
            <w:tcW w:w="3240" w:type="dxa"/>
            <w:vAlign w:val="bottom"/>
            <w:gridSpan w:val="4"/>
          </w:tcPr>
          <w:p>
            <w:pPr>
              <w:spacing w:after="0"/>
              <w:rPr>
                <w:sz w:val="15"/>
                <w:szCs w:val="15"/>
                <w:color w:val="auto"/>
              </w:rPr>
            </w:pPr>
          </w:p>
        </w:tc>
        <w:tc>
          <w:tcPr>
            <w:tcW w:w="840" w:type="dxa"/>
            <w:vAlign w:val="bottom"/>
          </w:tcPr>
          <w:p>
            <w:pPr>
              <w:jc w:val="right"/>
              <w:ind w:right="90"/>
              <w:spacing w:after="0" w:line="18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gridSpan w:val="3"/>
          </w:tcPr>
          <w:p>
            <w:pPr>
              <w:jc w:val="right"/>
              <w:spacing w:after="0" w:line="182" w:lineRule="exact"/>
              <w:rPr>
                <w:rFonts w:ascii="Arial" w:cs="Arial" w:eastAsia="Arial" w:hAnsi="Arial"/>
                <w:sz w:val="18"/>
                <w:szCs w:val="18"/>
                <w:color w:val="0000EE"/>
              </w:rPr>
            </w:pPr>
            <w:hyperlink w:anchor="page86">
              <w:r>
                <w:rPr>
                  <w:rFonts w:ascii="Arial" w:cs="Arial" w:eastAsia="Arial" w:hAnsi="Arial"/>
                  <w:sz w:val="18"/>
                  <w:szCs w:val="18"/>
                  <w:color w:val="0000EE"/>
                </w:rPr>
                <w:t>9.</w:t>
              </w:r>
            </w:hyperlink>
          </w:p>
        </w:tc>
        <w:tc>
          <w:tcPr>
            <w:tcW w:w="920" w:type="dxa"/>
            <w:vAlign w:val="bottom"/>
          </w:tcPr>
          <w:p>
            <w:pPr>
              <w:spacing w:after="0"/>
              <w:rPr>
                <w:sz w:val="15"/>
                <w:szCs w:val="15"/>
                <w:color w:val="auto"/>
              </w:rPr>
            </w:pPr>
          </w:p>
        </w:tc>
        <w:tc>
          <w:tcPr>
            <w:tcW w:w="8040" w:type="dxa"/>
            <w:vAlign w:val="bottom"/>
            <w:gridSpan w:val="15"/>
          </w:tcPr>
          <w:p>
            <w:pPr>
              <w:spacing w:after="0" w:line="182" w:lineRule="exact"/>
              <w:rPr>
                <w:rFonts w:ascii="Arial" w:cs="Arial" w:eastAsia="Arial" w:hAnsi="Arial"/>
                <w:sz w:val="18"/>
                <w:szCs w:val="18"/>
                <w:color w:val="0000EE"/>
              </w:rPr>
            </w:pPr>
            <w:hyperlink w:anchor="page86">
              <w:r>
                <w:rPr>
                  <w:rFonts w:ascii="Arial" w:cs="Arial" w:eastAsia="Arial" w:hAnsi="Arial"/>
                  <w:sz w:val="18"/>
                  <w:szCs w:val="18"/>
                  <w:color w:val="0000EE"/>
                </w:rPr>
                <w:t>Changes in and Disagreements with Accountants on Accounting and Financial Disclosure</w:t>
              </w:r>
            </w:hyperlink>
          </w:p>
        </w:tc>
        <w:tc>
          <w:tcPr>
            <w:tcW w:w="840" w:type="dxa"/>
            <w:vAlign w:val="bottom"/>
          </w:tcPr>
          <w:p>
            <w:pPr>
              <w:jc w:val="right"/>
              <w:ind w:right="90"/>
              <w:spacing w:after="0" w:line="18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180" w:type="dxa"/>
            <w:vAlign w:val="bottom"/>
            <w:gridSpan w:val="3"/>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gridSpan w:val="4"/>
          </w:tcPr>
          <w:p>
            <w:pPr>
              <w:spacing w:after="0" w:line="182" w:lineRule="exact"/>
              <w:rPr>
                <w:rFonts w:ascii="Arial" w:cs="Arial" w:eastAsia="Arial" w:hAnsi="Arial"/>
                <w:sz w:val="18"/>
                <w:szCs w:val="18"/>
                <w:color w:val="0000EE"/>
              </w:rPr>
            </w:pPr>
            <w:hyperlink w:anchor="page86">
              <w:r>
                <w:rPr>
                  <w:rFonts w:ascii="Arial" w:cs="Arial" w:eastAsia="Arial" w:hAnsi="Arial"/>
                  <w:sz w:val="18"/>
                  <w:szCs w:val="18"/>
                  <w:color w:val="0000EE"/>
                </w:rPr>
                <w:t>9A.</w:t>
              </w:r>
            </w:hyperlink>
          </w:p>
        </w:tc>
        <w:tc>
          <w:tcPr>
            <w:tcW w:w="8040" w:type="dxa"/>
            <w:vAlign w:val="bottom"/>
            <w:gridSpan w:val="15"/>
          </w:tcPr>
          <w:p>
            <w:pPr>
              <w:spacing w:after="0" w:line="182" w:lineRule="exact"/>
              <w:rPr>
                <w:rFonts w:ascii="Arial" w:cs="Arial" w:eastAsia="Arial" w:hAnsi="Arial"/>
                <w:sz w:val="18"/>
                <w:szCs w:val="18"/>
                <w:color w:val="0000EE"/>
              </w:rPr>
            </w:pPr>
            <w:hyperlink w:anchor="page86">
              <w:r>
                <w:rPr>
                  <w:rFonts w:ascii="Arial" w:cs="Arial" w:eastAsia="Arial" w:hAnsi="Arial"/>
                  <w:sz w:val="18"/>
                  <w:szCs w:val="18"/>
                  <w:color w:val="0000EE"/>
                </w:rPr>
                <w:t>Controls and Procedures</w:t>
              </w:r>
            </w:hyperlink>
          </w:p>
        </w:tc>
        <w:tc>
          <w:tcPr>
            <w:tcW w:w="840" w:type="dxa"/>
            <w:vAlign w:val="bottom"/>
          </w:tcPr>
          <w:p>
            <w:pPr>
              <w:jc w:val="right"/>
              <w:ind w:right="90"/>
              <w:spacing w:after="0" w:line="18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60" w:type="dxa"/>
            <w:vAlign w:val="bottom"/>
            <w:gridSpan w:val="4"/>
            <w:vMerge w:val="restart"/>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Part III.</w:t>
              </w:r>
            </w:hyperlink>
          </w:p>
        </w:tc>
        <w:tc>
          <w:tcPr>
            <w:tcW w:w="1180" w:type="dxa"/>
            <w:vAlign w:val="bottom"/>
            <w:gridSpan w:val="4"/>
          </w:tcPr>
          <w:p>
            <w:pPr>
              <w:spacing w:after="0" w:line="182" w:lineRule="exact"/>
              <w:rPr>
                <w:rFonts w:ascii="Arial" w:cs="Arial" w:eastAsia="Arial" w:hAnsi="Arial"/>
                <w:sz w:val="18"/>
                <w:szCs w:val="18"/>
                <w:color w:val="0000EE"/>
              </w:rPr>
            </w:pPr>
            <w:hyperlink w:anchor="page86">
              <w:r>
                <w:rPr>
                  <w:rFonts w:ascii="Arial" w:cs="Arial" w:eastAsia="Arial" w:hAnsi="Arial"/>
                  <w:sz w:val="18"/>
                  <w:szCs w:val="18"/>
                  <w:color w:val="0000EE"/>
                </w:rPr>
                <w:t>9B.</w:t>
              </w:r>
            </w:hyperlink>
          </w:p>
        </w:tc>
        <w:tc>
          <w:tcPr>
            <w:tcW w:w="8040" w:type="dxa"/>
            <w:vAlign w:val="bottom"/>
            <w:gridSpan w:val="15"/>
          </w:tcPr>
          <w:p>
            <w:pPr>
              <w:spacing w:after="0" w:line="182" w:lineRule="exact"/>
              <w:rPr>
                <w:rFonts w:ascii="Arial" w:cs="Arial" w:eastAsia="Arial" w:hAnsi="Arial"/>
                <w:sz w:val="18"/>
                <w:szCs w:val="18"/>
                <w:color w:val="0000EE"/>
              </w:rPr>
            </w:pPr>
            <w:hyperlink w:anchor="page86">
              <w:r>
                <w:rPr>
                  <w:rFonts w:ascii="Arial" w:cs="Arial" w:eastAsia="Arial" w:hAnsi="Arial"/>
                  <w:sz w:val="18"/>
                  <w:szCs w:val="18"/>
                  <w:color w:val="0000EE"/>
                </w:rPr>
                <w:t>Other Information</w:t>
              </w:r>
            </w:hyperlink>
          </w:p>
        </w:tc>
        <w:tc>
          <w:tcPr>
            <w:tcW w:w="840" w:type="dxa"/>
            <w:vAlign w:val="bottom"/>
          </w:tcPr>
          <w:p>
            <w:pPr>
              <w:jc w:val="right"/>
              <w:ind w:right="90"/>
              <w:spacing w:after="0" w:line="18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1360" w:type="dxa"/>
            <w:vAlign w:val="bottom"/>
            <w:gridSpan w:val="4"/>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60" w:type="dxa"/>
            <w:vAlign w:val="bottom"/>
            <w:gridSpan w:val="4"/>
            <w:vMerge w:val="continue"/>
          </w:tcPr>
          <w:p>
            <w:pPr>
              <w:spacing w:after="0"/>
              <w:rPr>
                <w:sz w:val="15"/>
                <w:szCs w:val="15"/>
                <w:color w:val="auto"/>
              </w:rPr>
            </w:pPr>
          </w:p>
        </w:tc>
        <w:tc>
          <w:tcPr>
            <w:tcW w:w="260" w:type="dxa"/>
            <w:vAlign w:val="bottom"/>
            <w:gridSpan w:val="3"/>
            <w:vMerge w:val="restart"/>
          </w:tcPr>
          <w:p>
            <w:pPr>
              <w:jc w:val="right"/>
              <w:spacing w:after="0"/>
              <w:rPr>
                <w:rFonts w:ascii="Arial" w:cs="Arial" w:eastAsia="Arial" w:hAnsi="Arial"/>
                <w:sz w:val="18"/>
                <w:szCs w:val="18"/>
                <w:color w:val="0000EE"/>
                <w:w w:val="95"/>
              </w:rPr>
            </w:pPr>
            <w:hyperlink w:anchor="page88">
              <w:r>
                <w:rPr>
                  <w:rFonts w:ascii="Arial" w:cs="Arial" w:eastAsia="Arial" w:hAnsi="Arial"/>
                  <w:sz w:val="18"/>
                  <w:szCs w:val="18"/>
                  <w:color w:val="0000EE"/>
                  <w:w w:val="95"/>
                </w:rPr>
                <w:t>10.</w:t>
              </w:r>
            </w:hyperlink>
          </w:p>
        </w:tc>
        <w:tc>
          <w:tcPr>
            <w:tcW w:w="920" w:type="dxa"/>
            <w:vAlign w:val="bottom"/>
          </w:tcPr>
          <w:p>
            <w:pPr>
              <w:spacing w:after="0"/>
              <w:rPr>
                <w:sz w:val="15"/>
                <w:szCs w:val="15"/>
                <w:color w:val="auto"/>
              </w:rPr>
            </w:pPr>
          </w:p>
        </w:tc>
        <w:tc>
          <w:tcPr>
            <w:tcW w:w="8040" w:type="dxa"/>
            <w:vAlign w:val="bottom"/>
            <w:gridSpan w:val="15"/>
            <w:vMerge w:val="restart"/>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Directors and Executive Officers of the Registrant</w:t>
              </w:r>
            </w:hyperlink>
          </w:p>
        </w:tc>
        <w:tc>
          <w:tcPr>
            <w:tcW w:w="840" w:type="dxa"/>
            <w:vAlign w:val="bottom"/>
            <w:vMerge w:val="restart"/>
          </w:tcPr>
          <w:p>
            <w:pPr>
              <w:jc w:val="right"/>
              <w:ind w:right="9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83"/>
        </w:trPr>
        <w:tc>
          <w:tcPr>
            <w:tcW w:w="5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gridSpan w:val="3"/>
            <w:vMerge w:val="continue"/>
          </w:tcPr>
          <w:p>
            <w:pPr>
              <w:spacing w:after="0"/>
              <w:rPr>
                <w:sz w:val="15"/>
                <w:szCs w:val="15"/>
                <w:color w:val="auto"/>
              </w:rPr>
            </w:pPr>
          </w:p>
        </w:tc>
        <w:tc>
          <w:tcPr>
            <w:tcW w:w="920" w:type="dxa"/>
            <w:vAlign w:val="bottom"/>
          </w:tcPr>
          <w:p>
            <w:pPr>
              <w:spacing w:after="0"/>
              <w:rPr>
                <w:sz w:val="15"/>
                <w:szCs w:val="15"/>
                <w:color w:val="auto"/>
              </w:rPr>
            </w:pPr>
          </w:p>
        </w:tc>
        <w:tc>
          <w:tcPr>
            <w:tcW w:w="8040" w:type="dxa"/>
            <w:vAlign w:val="bottom"/>
            <w:gridSpan w:val="15"/>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160" w:type="dxa"/>
            <w:vAlign w:val="bottom"/>
            <w:gridSpan w:val="6"/>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gridSpan w:val="3"/>
          </w:tcPr>
          <w:p>
            <w:pPr>
              <w:jc w:val="right"/>
              <w:spacing w:after="0" w:line="182" w:lineRule="exact"/>
              <w:rPr>
                <w:rFonts w:ascii="Arial" w:cs="Arial" w:eastAsia="Arial" w:hAnsi="Arial"/>
                <w:sz w:val="18"/>
                <w:szCs w:val="18"/>
                <w:color w:val="0000EE"/>
                <w:w w:val="95"/>
              </w:rPr>
            </w:pPr>
            <w:hyperlink w:anchor="page88">
              <w:r>
                <w:rPr>
                  <w:rFonts w:ascii="Arial" w:cs="Arial" w:eastAsia="Arial" w:hAnsi="Arial"/>
                  <w:sz w:val="18"/>
                  <w:szCs w:val="18"/>
                  <w:color w:val="0000EE"/>
                  <w:w w:val="95"/>
                </w:rPr>
                <w:t>11.</w:t>
              </w:r>
            </w:hyperlink>
          </w:p>
        </w:tc>
        <w:tc>
          <w:tcPr>
            <w:tcW w:w="920" w:type="dxa"/>
            <w:vAlign w:val="bottom"/>
          </w:tcPr>
          <w:p>
            <w:pPr>
              <w:spacing w:after="0"/>
              <w:rPr>
                <w:sz w:val="15"/>
                <w:szCs w:val="15"/>
                <w:color w:val="auto"/>
              </w:rPr>
            </w:pPr>
          </w:p>
        </w:tc>
        <w:tc>
          <w:tcPr>
            <w:tcW w:w="8040" w:type="dxa"/>
            <w:vAlign w:val="bottom"/>
            <w:gridSpan w:val="15"/>
          </w:tcPr>
          <w:p>
            <w:pPr>
              <w:spacing w:after="0" w:line="182" w:lineRule="exact"/>
              <w:rPr>
                <w:rFonts w:ascii="Arial" w:cs="Arial" w:eastAsia="Arial" w:hAnsi="Arial"/>
                <w:sz w:val="18"/>
                <w:szCs w:val="18"/>
                <w:color w:val="0000EE"/>
              </w:rPr>
            </w:pPr>
            <w:hyperlink w:anchor="page88">
              <w:r>
                <w:rPr>
                  <w:rFonts w:ascii="Arial" w:cs="Arial" w:eastAsia="Arial" w:hAnsi="Arial"/>
                  <w:sz w:val="18"/>
                  <w:szCs w:val="18"/>
                  <w:color w:val="0000EE"/>
                </w:rPr>
                <w:t>Executive Compensation</w:t>
              </w:r>
            </w:hyperlink>
          </w:p>
        </w:tc>
        <w:tc>
          <w:tcPr>
            <w:tcW w:w="840" w:type="dxa"/>
            <w:vAlign w:val="bottom"/>
          </w:tcPr>
          <w:p>
            <w:pPr>
              <w:jc w:val="right"/>
              <w:ind w:right="90"/>
              <w:spacing w:after="0" w:line="18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gridSpan w:val="3"/>
          </w:tcPr>
          <w:p>
            <w:pPr>
              <w:jc w:val="right"/>
              <w:spacing w:after="0" w:line="182" w:lineRule="exact"/>
              <w:rPr>
                <w:rFonts w:ascii="Arial" w:cs="Arial" w:eastAsia="Arial" w:hAnsi="Arial"/>
                <w:sz w:val="18"/>
                <w:szCs w:val="18"/>
                <w:color w:val="0000EE"/>
                <w:w w:val="95"/>
              </w:rPr>
            </w:pPr>
            <w:hyperlink w:anchor="page88">
              <w:r>
                <w:rPr>
                  <w:rFonts w:ascii="Arial" w:cs="Arial" w:eastAsia="Arial" w:hAnsi="Arial"/>
                  <w:sz w:val="18"/>
                  <w:szCs w:val="18"/>
                  <w:color w:val="0000EE"/>
                  <w:w w:val="95"/>
                </w:rPr>
                <w:t>12.</w:t>
              </w:r>
            </w:hyperlink>
          </w:p>
        </w:tc>
        <w:tc>
          <w:tcPr>
            <w:tcW w:w="920" w:type="dxa"/>
            <w:vAlign w:val="bottom"/>
          </w:tcPr>
          <w:p>
            <w:pPr>
              <w:spacing w:after="0"/>
              <w:rPr>
                <w:sz w:val="15"/>
                <w:szCs w:val="15"/>
                <w:color w:val="auto"/>
              </w:rPr>
            </w:pPr>
          </w:p>
        </w:tc>
        <w:tc>
          <w:tcPr>
            <w:tcW w:w="8040" w:type="dxa"/>
            <w:vAlign w:val="bottom"/>
            <w:gridSpan w:val="15"/>
          </w:tcPr>
          <w:p>
            <w:pPr>
              <w:spacing w:after="0" w:line="182" w:lineRule="exact"/>
              <w:rPr>
                <w:rFonts w:ascii="Arial" w:cs="Arial" w:eastAsia="Arial" w:hAnsi="Arial"/>
                <w:sz w:val="18"/>
                <w:szCs w:val="18"/>
                <w:color w:val="0000EE"/>
              </w:rPr>
            </w:pPr>
            <w:hyperlink w:anchor="page88">
              <w:r>
                <w:rPr>
                  <w:rFonts w:ascii="Arial" w:cs="Arial" w:eastAsia="Arial" w:hAnsi="Arial"/>
                  <w:sz w:val="18"/>
                  <w:szCs w:val="18"/>
                  <w:color w:val="0000EE"/>
                </w:rPr>
                <w:t>Security Ownership of Certain Beneficial Owners and Management and Related Stockholder Matters</w:t>
              </w:r>
            </w:hyperlink>
          </w:p>
        </w:tc>
        <w:tc>
          <w:tcPr>
            <w:tcW w:w="840" w:type="dxa"/>
            <w:vAlign w:val="bottom"/>
          </w:tcPr>
          <w:p>
            <w:pPr>
              <w:jc w:val="right"/>
              <w:ind w:right="90"/>
              <w:spacing w:after="0" w:line="18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160" w:type="dxa"/>
            <w:vAlign w:val="bottom"/>
            <w:gridSpan w:val="6"/>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gridSpan w:val="3"/>
          </w:tcPr>
          <w:p>
            <w:pPr>
              <w:jc w:val="right"/>
              <w:spacing w:after="0" w:line="182" w:lineRule="exact"/>
              <w:rPr>
                <w:rFonts w:ascii="Arial" w:cs="Arial" w:eastAsia="Arial" w:hAnsi="Arial"/>
                <w:sz w:val="18"/>
                <w:szCs w:val="18"/>
                <w:color w:val="0000EE"/>
                <w:w w:val="95"/>
              </w:rPr>
            </w:pPr>
            <w:hyperlink w:anchor="page90">
              <w:r>
                <w:rPr>
                  <w:rFonts w:ascii="Arial" w:cs="Arial" w:eastAsia="Arial" w:hAnsi="Arial"/>
                  <w:sz w:val="18"/>
                  <w:szCs w:val="18"/>
                  <w:color w:val="0000EE"/>
                  <w:w w:val="95"/>
                </w:rPr>
                <w:t>13.</w:t>
              </w:r>
            </w:hyperlink>
          </w:p>
        </w:tc>
        <w:tc>
          <w:tcPr>
            <w:tcW w:w="920" w:type="dxa"/>
            <w:vAlign w:val="bottom"/>
          </w:tcPr>
          <w:p>
            <w:pPr>
              <w:spacing w:after="0"/>
              <w:rPr>
                <w:sz w:val="15"/>
                <w:szCs w:val="15"/>
                <w:color w:val="auto"/>
              </w:rPr>
            </w:pPr>
          </w:p>
        </w:tc>
        <w:tc>
          <w:tcPr>
            <w:tcW w:w="8040" w:type="dxa"/>
            <w:vAlign w:val="bottom"/>
            <w:gridSpan w:val="15"/>
          </w:tcPr>
          <w:p>
            <w:pPr>
              <w:spacing w:after="0" w:line="182" w:lineRule="exact"/>
              <w:rPr>
                <w:rFonts w:ascii="Arial" w:cs="Arial" w:eastAsia="Arial" w:hAnsi="Arial"/>
                <w:sz w:val="18"/>
                <w:szCs w:val="18"/>
                <w:color w:val="0000EE"/>
              </w:rPr>
            </w:pPr>
            <w:hyperlink w:anchor="page90">
              <w:r>
                <w:rPr>
                  <w:rFonts w:ascii="Arial" w:cs="Arial" w:eastAsia="Arial" w:hAnsi="Arial"/>
                  <w:sz w:val="18"/>
                  <w:szCs w:val="18"/>
                  <w:color w:val="0000EE"/>
                </w:rPr>
                <w:t>Certain Relationships and Related Transactions</w:t>
              </w:r>
            </w:hyperlink>
          </w:p>
        </w:tc>
        <w:tc>
          <w:tcPr>
            <w:tcW w:w="840" w:type="dxa"/>
            <w:vAlign w:val="bottom"/>
          </w:tcPr>
          <w:p>
            <w:pPr>
              <w:jc w:val="right"/>
              <w:ind w:right="90"/>
              <w:spacing w:after="0" w:line="18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160" w:type="dxa"/>
            <w:vAlign w:val="bottom"/>
            <w:gridSpan w:val="6"/>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4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gridSpan w:val="3"/>
          </w:tcPr>
          <w:p>
            <w:pPr>
              <w:jc w:val="right"/>
              <w:spacing w:after="0" w:line="182" w:lineRule="exact"/>
              <w:rPr>
                <w:rFonts w:ascii="Arial" w:cs="Arial" w:eastAsia="Arial" w:hAnsi="Arial"/>
                <w:sz w:val="18"/>
                <w:szCs w:val="18"/>
                <w:color w:val="0000EE"/>
                <w:w w:val="95"/>
              </w:rPr>
            </w:pPr>
            <w:hyperlink w:anchor="page90">
              <w:r>
                <w:rPr>
                  <w:rFonts w:ascii="Arial" w:cs="Arial" w:eastAsia="Arial" w:hAnsi="Arial"/>
                  <w:sz w:val="18"/>
                  <w:szCs w:val="18"/>
                  <w:color w:val="0000EE"/>
                  <w:w w:val="95"/>
                </w:rPr>
                <w:t>14.</w:t>
              </w:r>
            </w:hyperlink>
          </w:p>
        </w:tc>
        <w:tc>
          <w:tcPr>
            <w:tcW w:w="920" w:type="dxa"/>
            <w:vAlign w:val="bottom"/>
          </w:tcPr>
          <w:p>
            <w:pPr>
              <w:spacing w:after="0"/>
              <w:rPr>
                <w:sz w:val="15"/>
                <w:szCs w:val="15"/>
                <w:color w:val="auto"/>
              </w:rPr>
            </w:pPr>
          </w:p>
        </w:tc>
        <w:tc>
          <w:tcPr>
            <w:tcW w:w="8040" w:type="dxa"/>
            <w:vAlign w:val="bottom"/>
            <w:gridSpan w:val="15"/>
          </w:tcPr>
          <w:p>
            <w:pPr>
              <w:spacing w:after="0" w:line="182" w:lineRule="exact"/>
              <w:rPr>
                <w:rFonts w:ascii="Arial" w:cs="Arial" w:eastAsia="Arial" w:hAnsi="Arial"/>
                <w:sz w:val="18"/>
                <w:szCs w:val="18"/>
                <w:color w:val="0000EE"/>
              </w:rPr>
            </w:pPr>
            <w:hyperlink w:anchor="page90">
              <w:r>
                <w:rPr>
                  <w:rFonts w:ascii="Arial" w:cs="Arial" w:eastAsia="Arial" w:hAnsi="Arial"/>
                  <w:sz w:val="18"/>
                  <w:szCs w:val="18"/>
                  <w:color w:val="0000EE"/>
                </w:rPr>
                <w:t>Principal Accounting Fees and Services</w:t>
              </w:r>
            </w:hyperlink>
          </w:p>
        </w:tc>
        <w:tc>
          <w:tcPr>
            <w:tcW w:w="840" w:type="dxa"/>
            <w:vAlign w:val="bottom"/>
          </w:tcPr>
          <w:p>
            <w:pPr>
              <w:jc w:val="right"/>
              <w:ind w:right="90"/>
              <w:spacing w:after="0" w:line="18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160" w:type="dxa"/>
            <w:vAlign w:val="bottom"/>
            <w:gridSpan w:val="6"/>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54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00" w:type="dxa"/>
            <w:vAlign w:val="bottom"/>
            <w:gridSpan w:val="2"/>
          </w:tcPr>
          <w:p>
            <w:pPr>
              <w:spacing w:after="0"/>
              <w:rPr>
                <w:rFonts w:ascii="Arial" w:cs="Arial" w:eastAsia="Arial" w:hAnsi="Arial"/>
                <w:sz w:val="18"/>
                <w:szCs w:val="18"/>
                <w:color w:val="0000EE"/>
                <w:w w:val="96"/>
              </w:rPr>
            </w:pPr>
            <w:hyperlink w:anchor="page91">
              <w:r>
                <w:rPr>
                  <w:rFonts w:ascii="Arial" w:cs="Arial" w:eastAsia="Arial" w:hAnsi="Arial"/>
                  <w:sz w:val="18"/>
                  <w:szCs w:val="18"/>
                  <w:color w:val="0000EE"/>
                  <w:w w:val="96"/>
                </w:rPr>
                <w:t>Part IV.</w:t>
              </w:r>
            </w:hyperlink>
          </w:p>
        </w:tc>
        <w:tc>
          <w:tcPr>
            <w:tcW w:w="760" w:type="dxa"/>
            <w:vAlign w:val="bottom"/>
            <w:gridSpan w:val="2"/>
          </w:tcPr>
          <w:p>
            <w:pPr>
              <w:spacing w:after="0"/>
              <w:rPr>
                <w:sz w:val="24"/>
                <w:szCs w:val="24"/>
                <w:color w:val="auto"/>
              </w:rPr>
            </w:pPr>
          </w:p>
        </w:tc>
        <w:tc>
          <w:tcPr>
            <w:tcW w:w="260" w:type="dxa"/>
            <w:vAlign w:val="bottom"/>
            <w:gridSpan w:val="3"/>
          </w:tcPr>
          <w:p>
            <w:pPr>
              <w:jc w:val="right"/>
              <w:spacing w:after="0"/>
              <w:rPr>
                <w:rFonts w:ascii="Arial" w:cs="Arial" w:eastAsia="Arial" w:hAnsi="Arial"/>
                <w:sz w:val="18"/>
                <w:szCs w:val="18"/>
                <w:color w:val="0000EE"/>
                <w:w w:val="95"/>
              </w:rPr>
            </w:pPr>
            <w:hyperlink w:anchor="page91">
              <w:r>
                <w:rPr>
                  <w:rFonts w:ascii="Arial" w:cs="Arial" w:eastAsia="Arial" w:hAnsi="Arial"/>
                  <w:sz w:val="18"/>
                  <w:szCs w:val="18"/>
                  <w:color w:val="0000EE"/>
                  <w:w w:val="95"/>
                </w:rPr>
                <w:t>15.</w:t>
              </w:r>
            </w:hyperlink>
          </w:p>
        </w:tc>
        <w:tc>
          <w:tcPr>
            <w:tcW w:w="920" w:type="dxa"/>
            <w:vAlign w:val="bottom"/>
          </w:tcPr>
          <w:p>
            <w:pPr>
              <w:spacing w:after="0"/>
              <w:rPr>
                <w:sz w:val="24"/>
                <w:szCs w:val="24"/>
                <w:color w:val="auto"/>
              </w:rPr>
            </w:pPr>
          </w:p>
        </w:tc>
        <w:tc>
          <w:tcPr>
            <w:tcW w:w="8040" w:type="dxa"/>
            <w:vAlign w:val="bottom"/>
            <w:gridSpan w:val="15"/>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Exhibits and Financial Statement Schedules</w:t>
              </w:r>
            </w:hyperlink>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60" w:type="dxa"/>
            <w:vAlign w:val="bottom"/>
            <w:gridSpan w:val="4"/>
          </w:tcPr>
          <w:p>
            <w:pPr>
              <w:spacing w:after="0" w:line="182" w:lineRule="exact"/>
              <w:rPr>
                <w:rFonts w:ascii="Arial" w:cs="Arial" w:eastAsia="Arial" w:hAnsi="Arial"/>
                <w:sz w:val="18"/>
                <w:szCs w:val="18"/>
                <w:color w:val="0000EE"/>
              </w:rPr>
            </w:pPr>
            <w:hyperlink w:anchor="page92">
              <w:r>
                <w:rPr>
                  <w:rFonts w:ascii="Arial" w:cs="Arial" w:eastAsia="Arial" w:hAnsi="Arial"/>
                  <w:sz w:val="18"/>
                  <w:szCs w:val="18"/>
                  <w:color w:val="0000EE"/>
                </w:rPr>
                <w:t>Signatures</w:t>
              </w:r>
            </w:hyperlink>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jc w:val="right"/>
              <w:ind w:right="90"/>
              <w:spacing w:after="0" w:line="18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487"/>
        </w:trPr>
        <w:tc>
          <w:tcPr>
            <w:tcW w:w="580" w:type="dxa"/>
            <w:vAlign w:val="bottom"/>
            <w:tcBorders>
              <w:top w:val="single" w:sz="8" w:color="0000EE"/>
              <w:bottom w:val="single" w:sz="8" w:color="C0C0C0"/>
            </w:tcBorders>
          </w:tcPr>
          <w:p>
            <w:pPr>
              <w:spacing w:after="0"/>
              <w:rPr>
                <w:sz w:val="24"/>
                <w:szCs w:val="24"/>
                <w:color w:val="auto"/>
              </w:rPr>
            </w:pPr>
          </w:p>
        </w:tc>
        <w:tc>
          <w:tcPr>
            <w:tcW w:w="20" w:type="dxa"/>
            <w:vAlign w:val="bottom"/>
            <w:tcBorders>
              <w:top w:val="single" w:sz="8" w:color="0000EE"/>
              <w:bottom w:val="single" w:sz="8" w:color="C0C0C0"/>
            </w:tcBorders>
          </w:tcPr>
          <w:p>
            <w:pPr>
              <w:spacing w:after="0"/>
              <w:rPr>
                <w:sz w:val="24"/>
                <w:szCs w:val="24"/>
                <w:color w:val="auto"/>
              </w:rPr>
            </w:pPr>
          </w:p>
        </w:tc>
        <w:tc>
          <w:tcPr>
            <w:tcW w:w="260" w:type="dxa"/>
            <w:vAlign w:val="bottom"/>
            <w:tcBorders>
              <w:top w:val="single" w:sz="8" w:color="0000EE"/>
              <w:bottom w:val="single" w:sz="8" w:color="C0C0C0"/>
            </w:tcBorders>
          </w:tcPr>
          <w:p>
            <w:pPr>
              <w:spacing w:after="0"/>
              <w:rPr>
                <w:sz w:val="24"/>
                <w:szCs w:val="24"/>
                <w:color w:val="auto"/>
              </w:rPr>
            </w:pPr>
          </w:p>
        </w:tc>
        <w:tc>
          <w:tcPr>
            <w:tcW w:w="500" w:type="dxa"/>
            <w:vAlign w:val="bottom"/>
            <w:tcBorders>
              <w:bottom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100" w:type="dxa"/>
            <w:vAlign w:val="bottom"/>
            <w:tcBorders>
              <w:bottom w:val="single" w:sz="8" w:color="C0C0C0"/>
            </w:tcBorders>
          </w:tcPr>
          <w:p>
            <w:pPr>
              <w:spacing w:after="0"/>
              <w:rPr>
                <w:sz w:val="24"/>
                <w:szCs w:val="24"/>
                <w:color w:val="auto"/>
              </w:rPr>
            </w:pPr>
          </w:p>
        </w:tc>
        <w:tc>
          <w:tcPr>
            <w:tcW w:w="140" w:type="dxa"/>
            <w:vAlign w:val="bottom"/>
            <w:tcBorders>
              <w:bottom w:val="single" w:sz="8" w:color="C0C0C0"/>
            </w:tcBorders>
          </w:tcPr>
          <w:p>
            <w:pPr>
              <w:spacing w:after="0"/>
              <w:rPr>
                <w:sz w:val="24"/>
                <w:szCs w:val="24"/>
                <w:color w:val="auto"/>
              </w:rPr>
            </w:pPr>
          </w:p>
        </w:tc>
        <w:tc>
          <w:tcPr>
            <w:tcW w:w="920" w:type="dxa"/>
            <w:vAlign w:val="bottom"/>
            <w:tcBorders>
              <w:bottom w:val="single" w:sz="8" w:color="C0C0C0"/>
            </w:tcBorders>
          </w:tcPr>
          <w:p>
            <w:pPr>
              <w:spacing w:after="0"/>
              <w:rPr>
                <w:sz w:val="24"/>
                <w:szCs w:val="24"/>
                <w:color w:val="auto"/>
              </w:rPr>
            </w:pPr>
          </w:p>
        </w:tc>
        <w:tc>
          <w:tcPr>
            <w:tcW w:w="180" w:type="dxa"/>
            <w:vAlign w:val="bottom"/>
            <w:tcBorders>
              <w:bottom w:val="single" w:sz="8" w:color="C0C0C0"/>
            </w:tcBorders>
          </w:tcPr>
          <w:p>
            <w:pPr>
              <w:spacing w:after="0"/>
              <w:rPr>
                <w:sz w:val="24"/>
                <w:szCs w:val="24"/>
                <w:color w:val="auto"/>
              </w:rPr>
            </w:pPr>
          </w:p>
        </w:tc>
        <w:tc>
          <w:tcPr>
            <w:tcW w:w="780" w:type="dxa"/>
            <w:vAlign w:val="bottom"/>
            <w:tcBorders>
              <w:bottom w:val="single" w:sz="8" w:color="C0C0C0"/>
            </w:tcBorders>
          </w:tcPr>
          <w:p>
            <w:pPr>
              <w:spacing w:after="0"/>
              <w:rPr>
                <w:sz w:val="24"/>
                <w:szCs w:val="24"/>
                <w:color w:val="auto"/>
              </w:rPr>
            </w:pPr>
          </w:p>
        </w:tc>
        <w:tc>
          <w:tcPr>
            <w:tcW w:w="44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tcBorders>
          </w:tcPr>
          <w:p>
            <w:pPr>
              <w:spacing w:after="0"/>
              <w:rPr>
                <w:sz w:val="24"/>
                <w:szCs w:val="24"/>
                <w:color w:val="auto"/>
              </w:rPr>
            </w:pPr>
          </w:p>
        </w:tc>
        <w:tc>
          <w:tcPr>
            <w:tcW w:w="80" w:type="dxa"/>
            <w:vAlign w:val="bottom"/>
            <w:tcBorders>
              <w:bottom w:val="single" w:sz="8" w:color="C0C0C0"/>
            </w:tcBorders>
          </w:tcPr>
          <w:p>
            <w:pPr>
              <w:spacing w:after="0"/>
              <w:rPr>
                <w:sz w:val="24"/>
                <w:szCs w:val="24"/>
                <w:color w:val="auto"/>
              </w:rPr>
            </w:pPr>
          </w:p>
        </w:tc>
        <w:tc>
          <w:tcPr>
            <w:tcW w:w="118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220" w:type="dxa"/>
            <w:vAlign w:val="bottom"/>
            <w:tcBorders>
              <w:bottom w:val="single" w:sz="8" w:color="C0C0C0"/>
            </w:tcBorders>
          </w:tcPr>
          <w:p>
            <w:pPr>
              <w:spacing w:after="0"/>
              <w:rPr>
                <w:sz w:val="24"/>
                <w:szCs w:val="24"/>
                <w:color w:val="auto"/>
              </w:rPr>
            </w:pPr>
          </w:p>
        </w:tc>
        <w:tc>
          <w:tcPr>
            <w:tcW w:w="80" w:type="dxa"/>
            <w:vAlign w:val="bottom"/>
            <w:tcBorders>
              <w:bottom w:val="single" w:sz="8" w:color="C0C0C0"/>
            </w:tcBorders>
          </w:tcPr>
          <w:p>
            <w:pPr>
              <w:spacing w:after="0"/>
              <w:rPr>
                <w:sz w:val="24"/>
                <w:szCs w:val="24"/>
                <w:color w:val="auto"/>
              </w:rPr>
            </w:pPr>
          </w:p>
        </w:tc>
        <w:tc>
          <w:tcPr>
            <w:tcW w:w="140" w:type="dxa"/>
            <w:vAlign w:val="bottom"/>
            <w:tcBorders>
              <w:bottom w:val="single" w:sz="8" w:color="C0C0C0"/>
            </w:tcBorders>
          </w:tcPr>
          <w:p>
            <w:pPr>
              <w:spacing w:after="0"/>
              <w:rPr>
                <w:sz w:val="24"/>
                <w:szCs w:val="24"/>
                <w:color w:val="auto"/>
              </w:rPr>
            </w:pPr>
          </w:p>
        </w:tc>
        <w:tc>
          <w:tcPr>
            <w:tcW w:w="860" w:type="dxa"/>
            <w:vAlign w:val="bottom"/>
            <w:tcBorders>
              <w:bottom w:val="single" w:sz="8" w:color="C0C0C0"/>
            </w:tcBorders>
          </w:tcPr>
          <w:p>
            <w:pPr>
              <w:spacing w:after="0"/>
              <w:rPr>
                <w:sz w:val="24"/>
                <w:szCs w:val="24"/>
                <w:color w:val="auto"/>
              </w:rPr>
            </w:pPr>
          </w:p>
        </w:tc>
        <w:tc>
          <w:tcPr>
            <w:tcW w:w="2280" w:type="dxa"/>
            <w:vAlign w:val="bottom"/>
            <w:tcBorders>
              <w:bottom w:val="single" w:sz="8" w:color="C0C0C0"/>
            </w:tcBorders>
          </w:tcPr>
          <w:p>
            <w:pPr>
              <w:spacing w:after="0"/>
              <w:rPr>
                <w:sz w:val="24"/>
                <w:szCs w:val="24"/>
                <w:color w:val="auto"/>
              </w:rPr>
            </w:pPr>
          </w:p>
        </w:tc>
        <w:tc>
          <w:tcPr>
            <w:tcW w:w="40" w:type="dxa"/>
            <w:vAlign w:val="bottom"/>
            <w:tcBorders>
              <w:bottom w:val="single" w:sz="8" w:color="C0C0C0"/>
            </w:tcBorders>
          </w:tcPr>
          <w:p>
            <w:pPr>
              <w:spacing w:after="0"/>
              <w:rPr>
                <w:sz w:val="24"/>
                <w:szCs w:val="24"/>
                <w:color w:val="auto"/>
              </w:rPr>
            </w:pPr>
          </w:p>
        </w:tc>
        <w:tc>
          <w:tcPr>
            <w:tcW w:w="880" w:type="dxa"/>
            <w:vAlign w:val="bottom"/>
            <w:tcBorders>
              <w:bottom w:val="single" w:sz="8" w:color="C0C0C0"/>
            </w:tcBorders>
          </w:tcPr>
          <w:p>
            <w:pPr>
              <w:spacing w:after="0"/>
              <w:rPr>
                <w:sz w:val="24"/>
                <w:szCs w:val="24"/>
                <w:color w:val="auto"/>
              </w:rPr>
            </w:pPr>
          </w:p>
        </w:tc>
        <w:tc>
          <w:tcPr>
            <w:tcW w:w="40" w:type="dxa"/>
            <w:vAlign w:val="bottom"/>
            <w:tcBorders>
              <w:bottom w:val="single" w:sz="8" w:color="C0C0C0"/>
            </w:tcBorders>
          </w:tcPr>
          <w:p>
            <w:pPr>
              <w:spacing w:after="0"/>
              <w:rPr>
                <w:sz w:val="24"/>
                <w:szCs w:val="24"/>
                <w:color w:val="auto"/>
              </w:rPr>
            </w:pPr>
          </w:p>
        </w:tc>
        <w:tc>
          <w:tcPr>
            <w:tcW w:w="84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PART I.</w:t>
      </w:r>
    </w:p>
    <w:p>
      <w:pPr>
        <w:spacing w:after="0" w:line="193"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21"/>
          <w:szCs w:val="21"/>
          <w:b w:val="1"/>
          <w:bCs w:val="1"/>
          <w:color w:val="auto"/>
        </w:rPr>
        <w:t>Business</w:t>
      </w:r>
    </w:p>
    <w:p>
      <w:pPr>
        <w:spacing w:after="0" w:line="224" w:lineRule="exact"/>
        <w:rPr>
          <w:sz w:val="20"/>
          <w:szCs w:val="20"/>
          <w:color w:val="auto"/>
        </w:rPr>
      </w:pPr>
    </w:p>
    <w:p>
      <w:pPr>
        <w:jc w:val="both"/>
        <w:ind w:firstLine="710"/>
        <w:spacing w:after="0" w:line="237" w:lineRule="auto"/>
        <w:rPr>
          <w:sz w:val="20"/>
          <w:szCs w:val="20"/>
          <w:color w:val="auto"/>
        </w:rPr>
      </w:pPr>
      <w:r>
        <w:rPr>
          <w:rFonts w:ascii="Arial" w:cs="Arial" w:eastAsia="Arial" w:hAnsi="Arial"/>
          <w:sz w:val="18"/>
          <w:szCs w:val="18"/>
          <w:color w:val="auto"/>
        </w:rPr>
        <w:t>Honeywell International Inc. (Honeywell or the Company) invents and commercializes technologies that address some of the world’s most critical challenges around energy, safety, security, productivity and global urbanization. As a diversified technology and manufacturing company, we are uniquely positioned to blend physical products with software to serve customers worldwide with aerospace products and services, turbochargers, energy efficient products and solutions for homes, businesses and transportation, specialty chemicals, electronic and advanced materials, process technology for refining and petrochemicals, and productivity, sensing, safety and security technologies for buildings, homes and industries. Our products and solutions enable a safer, more comfortable and more productive world, enhancing the quality of life of people around the globe. Honeywell was incorporated in Delaware in 1985.</w:t>
      </w:r>
    </w:p>
    <w:p>
      <w:pPr>
        <w:spacing w:after="0" w:line="19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Our Annual Report on Form 10-K, Quarterly Reports on Form 10-Q, Current Reports on Form 8-K and any amendments to those reports, are available free of charge on our website (www.honeywell.com) under the heading Investor Relations (see SEC Filings and Reports) immediately after they are filed with, or furnished to, the Securities and Exchange Commission (SEC). In addition, in this Annual Report on Form 10-K, the Company incorporates by reference certain information from parts of its Proxy Statement for the 2017 Annual Meeting of Stockholders, which we expect to file with the SEC on or about March 9, 2017, and which will also be available free of charge on our website.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Businesses</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globally manage our business operations through four operating segments: Aerospace, Home and Building Technologies, Performance Materials and Technologies, and Safety and Productivity Solutions. Financial information related to our operating segments is included in Note 21 Segment Financial Data of Notes to Financial Statements.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major products/services, customers/uses and key competitors of each of our operating segments are: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Aerospace</w:t>
      </w:r>
    </w:p>
    <w:p>
      <w:pPr>
        <w:spacing w:after="0" w:line="22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Aerospace is a leading global supplier of products, software and services for aircraft and vehicles that it sells to original equipment manufacturers (OEMs) and other customers in a variety of end markets: air transport, regional, business and general aviation aircraft, airlines, aircraft operators, defense and space contractors and automotive and truck manufacturers. Aerospace is a leading provider of aircraft engines, integrated avionics, systems and service solutions, and related products and services for aircraft manufacturers, and turbochargers to improve the performance and efficiency of passenger cars and commercial vehicles. Aerospace also provides spare parts, repair, overhaul and maintenance services (principally to aircraft operators) for the aftermarket. Aerospace products and services include auxiliary power units, propulsion engines, environmental control systems, wireless connectivity services, electric power systems, engine controls, flight safety, communications, navigation hardware and software, radar and surveillance systems, aircraft lighting, management and technical services, advanced systems and instruments, satellite and space components, aircraft wheels and brakes, repair and overhaul services, turbochargers and thermal systems.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and Building Technologies</w:t>
      </w:r>
    </w:p>
    <w:p>
      <w:pPr>
        <w:spacing w:after="0" w:line="22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Home and Building Technologies is a leading global provider of products, software, solutions and technologies that help owners of homes stay connected and in control of their comfort, security and energy use; enable commercial building owners and occupants to ensure their facilities are safe, energy efficient, sustainable and productive; and help electricity, gas and water providers supply customers and communities more efficiently. Home and Building Technologies products and services include controls and displays for heating, cooling, indoor air quality, ventilation, humidification, combustion, lighting and home automation; advanced software applications for home/building control and optimization; sensors, switches, control systems and instruments for measuring pressure, air flow, temperature and electrical current; products, services and solutions for measurement, regulation, control and metering of gases and electricity; metering and communications systems for water utilities and industries; access control; video surveillance; fire products; remote patient monitoring systems; and installation, maintenance and upgrades of systems that keep buildings safe, comfortable and productive.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Performance Materials and Technologies</w:t>
      </w:r>
    </w:p>
    <w:p>
      <w:pPr>
        <w:spacing w:after="0" w:line="220" w:lineRule="exact"/>
        <w:rPr>
          <w:sz w:val="20"/>
          <w:szCs w:val="20"/>
          <w:color w:val="auto"/>
        </w:rPr>
      </w:pPr>
    </w:p>
    <w:p>
      <w:pPr>
        <w:jc w:val="both"/>
        <w:ind w:firstLine="872"/>
        <w:spacing w:after="0" w:line="236" w:lineRule="auto"/>
        <w:rPr>
          <w:sz w:val="20"/>
          <w:szCs w:val="20"/>
          <w:color w:val="auto"/>
        </w:rPr>
      </w:pPr>
      <w:r>
        <w:rPr>
          <w:rFonts w:ascii="Arial" w:cs="Arial" w:eastAsia="Arial" w:hAnsi="Arial"/>
          <w:sz w:val="18"/>
          <w:szCs w:val="18"/>
          <w:color w:val="auto"/>
        </w:rPr>
        <w:t>Performance Materials and Technologies is a global leader in developing and manufacturing advanced materials, process technologies and automation solutions. UOP provides process technology, products, including catalysts and adsorbents, equipment and consulting services that enable customers to efficiently produce gasoline, diesel, jet fuel, petrochemicals and renewable fuels for the petroleum refining, gas processing, petrochemical, and other industries. Process Solutions is a pioneer in automation control, instrumentation, advanced software and related services for the oil and gas, refining, pulp and paper, industrial power generation, chemicals and petrochemicals, biofuels, life sciences, and metals, minerals and mining industries. Advanced Materials manufactures a wide variety of high-performance products, including fluorocarbons, hydrofluoroolefins, specialty films, waxes, additives, advanced fibers, customized research chemicals and intermediates, and electronic materials and chemicals.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and Productivity Solutions</w:t>
      </w:r>
    </w:p>
    <w:p>
      <w:pPr>
        <w:spacing w:after="0" w:line="22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Safety and Productivity Solutions is a leading global provider of products, software and connected solutions to customers around the globe that improve productivity, workplace safety and asset performance. Safety products include personal protection equipment and footwear designed for work, play and outdoor activities. Productivity Solutions products and services include gas detection technology; mobile devices and software for computing, data collection and thermal printing; supply chain and warehouse automation equipment, software and solutions; custom-engineered sensors, switches and controls for sensing and productivity solutions; and software-based data and asset management productivity solutions.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subject to competition in substantially all product and service areas. Some of our key competitors are:</w:t>
      </w:r>
    </w:p>
    <w:p>
      <w:pPr>
        <w:spacing w:after="0" w:line="198"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Aerospace: Borg-Warner (automotive), Garmin, General Electric, Rockwell Collins, Thales and United Technologies</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Home and Building Technologies: Emerson Electric, Itron, Johnson Controls, Schneider and Siemens</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Performance Materials and Technologies: Albemarle, BASF, Dow, Dupont, Emerson and Sinopec</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Safety and Productivity Solutions: 3M, Mine Safety Appliances, Kion Group, TE Connectivity and Zebra Technologies</w:t>
      </w:r>
    </w:p>
    <w:p>
      <w:pPr>
        <w:spacing w:after="0" w:line="22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Our businesses compete on a variety of factors such as price, quality, reliability, delivery, customer service, performance, applied technology, product innovation and product recognition. Brand identity, service to customers and quality are important competitive factors for our products and services, and there is considerable price competition. Other competitive factors include breadth of product line, research and development efforts and technical and managerial capability. While our competitive position varies among our products and services, we believe we are a significant competitor in each of our major product and service classes. Many of our competitors have substantial financial resources and significant technological capabilities. In addition, some of our products compete with the captive component divisions of OEMs.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Aerospace Sales</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Aerospace segment sales were 38%, 39% and 39% of our total sales in 2016, 2015 and 2014. Our sales to commercial aerospace OEMs were 6%, 8% and 6% of our total sales in 2016, 2015 and 2014. In addition, our sales to commercial aftermarket customers of aerospace products and services were 12%, 12% and 11% of our total sales in 2016, 2015 and 2014.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Sales</w:t>
      </w:r>
    </w:p>
    <w:p>
      <w:pPr>
        <w:spacing w:after="0" w:line="22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Sales to the U.S. Government (principally by Aerospace), acting through its various departments and agencies and through prime contractors, amounted to $3,330 million, $3,743 million and $ 3,693 million in 2016, 2015 and 2014, which included sales to the U.S. Department of Defense, as a prime contractor and subcontractor, of $2,647 million, $2,680 million and $2,792 million in 2016, 2015 and 2014. U.S. defense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4" w:name="page5"/>
    <w:bookmarkEnd w:id="4"/>
    <w:p>
      <w:pPr>
        <w:jc w:val="both"/>
        <w:spacing w:after="0"/>
        <w:rPr>
          <w:sz w:val="20"/>
          <w:szCs w:val="20"/>
          <w:color w:val="auto"/>
        </w:rPr>
      </w:pPr>
      <w:r>
        <w:rPr>
          <w:rFonts w:ascii="Arial" w:cs="Arial" w:eastAsia="Arial" w:hAnsi="Arial"/>
          <w:sz w:val="18"/>
          <w:szCs w:val="18"/>
          <w:color w:val="auto"/>
        </w:rPr>
        <w:t>spending decreased in 2016 compared to 2015. We do not expect our overall operating results to be significantly affected by any proposed changes in 2017 federal defense spending due principally to the varied mix of the government programs which impact us (OEMs’ production, engineering development programs, aftermarket spares and repairs and overhaul programs), as well as our diversified commercial businesses.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0"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color w:val="auto"/>
        </w:rPr>
        <w:t>Our total backlog at December 31, 2016 and 2015 was $19,075 million and $18,183 million. We anticipate that approximately $12,022 million of the 2016 backlog will be filled in 2017. We believe that backlog is not necessarily a reliable indicator of our future sales because a substantial portion of the orders constituting this backlog may be canceled at the customer’s option.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22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are engaged in manufacturing, sales, service and research and development (R&amp;D) globally. U.S. exports and non-U.S. manufactured products are significant to our operations. U.S. exports comprised 13% of our total sales in 2016 and 14% in each of 2015 and 2014. Non-U.S. manufactured products and services, mainly in Europe and Asia, were 43% of our total sales in 2016, 39% in 2015 and 41% in 2014.</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2"/>
          </w:tcPr>
          <w:p>
            <w:pPr>
              <w:jc w:val="right"/>
              <w:ind w:right="581"/>
              <w:spacing w:after="0"/>
              <w:rPr>
                <w:sz w:val="20"/>
                <w:szCs w:val="20"/>
                <w:color w:val="auto"/>
              </w:rPr>
            </w:pPr>
            <w:r>
              <w:rPr>
                <w:rFonts w:ascii="Arial" w:cs="Arial" w:eastAsia="Arial" w:hAnsi="Arial"/>
                <w:sz w:val="14"/>
                <w:szCs w:val="14"/>
                <w:b w:val="1"/>
                <w:bCs w:val="1"/>
                <w:color w:val="auto"/>
              </w:rPr>
              <w:t>Year Ended December 31, 2016</w:t>
            </w:r>
          </w:p>
        </w:tc>
        <w:tc>
          <w:tcPr>
            <w:tcW w:w="1260" w:type="dxa"/>
            <w:vAlign w:val="bottom"/>
            <w:tcBorders>
              <w:bottom w:val="single" w:sz="8" w:color="auto"/>
            </w:tcBorders>
          </w:tcPr>
          <w:p>
            <w:pPr>
              <w:spacing w:after="0"/>
              <w:rPr>
                <w:sz w:val="15"/>
                <w:szCs w:val="15"/>
                <w:color w:val="auto"/>
              </w:rPr>
            </w:pPr>
          </w:p>
        </w:tc>
      </w:tr>
      <w:tr>
        <w:trPr>
          <w:trHeight w:val="331"/>
        </w:trPr>
        <w:tc>
          <w:tcPr>
            <w:tcW w:w="4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80" w:type="dxa"/>
            <w:vAlign w:val="bottom"/>
          </w:tcPr>
          <w:p>
            <w:pPr>
              <w:jc w:val="center"/>
              <w:ind w:right="103"/>
              <w:spacing w:after="0"/>
              <w:rPr>
                <w:sz w:val="20"/>
                <w:szCs w:val="20"/>
                <w:color w:val="auto"/>
              </w:rPr>
            </w:pPr>
            <w:r>
              <w:rPr>
                <w:rFonts w:ascii="Arial" w:cs="Arial" w:eastAsia="Arial" w:hAnsi="Arial"/>
                <w:sz w:val="14"/>
                <w:szCs w:val="14"/>
                <w:b w:val="1"/>
                <w:bCs w:val="1"/>
                <w:color w:val="auto"/>
              </w:rPr>
              <w:t>Home and</w:t>
            </w:r>
          </w:p>
        </w:tc>
        <w:tc>
          <w:tcPr>
            <w:tcW w:w="1540" w:type="dxa"/>
            <w:vAlign w:val="bottom"/>
          </w:tcPr>
          <w:p>
            <w:pPr>
              <w:ind w:left="260"/>
              <w:spacing w:after="0"/>
              <w:rPr>
                <w:sz w:val="20"/>
                <w:szCs w:val="20"/>
                <w:color w:val="auto"/>
              </w:rPr>
            </w:pPr>
            <w:r>
              <w:rPr>
                <w:rFonts w:ascii="Arial" w:cs="Arial" w:eastAsia="Arial" w:hAnsi="Arial"/>
                <w:sz w:val="14"/>
                <w:szCs w:val="14"/>
                <w:b w:val="1"/>
                <w:bCs w:val="1"/>
                <w:color w:val="auto"/>
              </w:rPr>
              <w:t>Performance</w:t>
            </w:r>
          </w:p>
        </w:tc>
        <w:tc>
          <w:tcPr>
            <w:tcW w:w="1260" w:type="dxa"/>
            <w:vAlign w:val="bottom"/>
          </w:tcPr>
          <w:p>
            <w:pPr>
              <w:jc w:val="center"/>
              <w:ind w:left="1"/>
              <w:spacing w:after="0"/>
              <w:rPr>
                <w:sz w:val="20"/>
                <w:szCs w:val="20"/>
                <w:color w:val="auto"/>
              </w:rPr>
            </w:pPr>
            <w:r>
              <w:rPr>
                <w:rFonts w:ascii="Arial" w:cs="Arial" w:eastAsia="Arial" w:hAnsi="Arial"/>
                <w:sz w:val="14"/>
                <w:szCs w:val="14"/>
                <w:b w:val="1"/>
                <w:bCs w:val="1"/>
                <w:color w:val="auto"/>
              </w:rPr>
              <w:t>Safety and</w:t>
            </w:r>
          </w:p>
        </w:tc>
      </w:tr>
      <w:tr>
        <w:trPr>
          <w:trHeight w:val="162"/>
        </w:trPr>
        <w:tc>
          <w:tcPr>
            <w:tcW w:w="54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Manufactured Products and Systems and</w:t>
            </w:r>
          </w:p>
        </w:tc>
        <w:tc>
          <w:tcPr>
            <w:tcW w:w="1460" w:type="dxa"/>
            <w:vAlign w:val="bottom"/>
          </w:tcPr>
          <w:p>
            <w:pPr>
              <w:spacing w:after="0"/>
              <w:rPr>
                <w:sz w:val="14"/>
                <w:szCs w:val="14"/>
                <w:color w:val="auto"/>
              </w:rPr>
            </w:pPr>
          </w:p>
        </w:tc>
        <w:tc>
          <w:tcPr>
            <w:tcW w:w="1680" w:type="dxa"/>
            <w:vAlign w:val="bottom"/>
          </w:tcPr>
          <w:p>
            <w:pPr>
              <w:jc w:val="center"/>
              <w:ind w:right="143"/>
              <w:spacing w:after="0"/>
              <w:rPr>
                <w:sz w:val="20"/>
                <w:szCs w:val="20"/>
                <w:color w:val="auto"/>
              </w:rPr>
            </w:pPr>
            <w:r>
              <w:rPr>
                <w:rFonts w:ascii="Arial" w:cs="Arial" w:eastAsia="Arial" w:hAnsi="Arial"/>
                <w:sz w:val="14"/>
                <w:szCs w:val="14"/>
                <w:b w:val="1"/>
                <w:bCs w:val="1"/>
                <w:color w:val="auto"/>
              </w:rPr>
              <w:t>Building</w:t>
            </w:r>
          </w:p>
        </w:tc>
        <w:tc>
          <w:tcPr>
            <w:tcW w:w="1540" w:type="dxa"/>
            <w:vAlign w:val="bottom"/>
          </w:tcPr>
          <w:p>
            <w:pPr>
              <w:ind w:left="240"/>
              <w:spacing w:after="0"/>
              <w:rPr>
                <w:sz w:val="20"/>
                <w:szCs w:val="20"/>
                <w:color w:val="auto"/>
              </w:rPr>
            </w:pPr>
            <w:r>
              <w:rPr>
                <w:rFonts w:ascii="Arial" w:cs="Arial" w:eastAsia="Arial" w:hAnsi="Arial"/>
                <w:sz w:val="14"/>
                <w:szCs w:val="14"/>
                <w:b w:val="1"/>
                <w:bCs w:val="1"/>
                <w:color w:val="auto"/>
              </w:rPr>
              <w:t>Materials and</w:t>
            </w:r>
          </w:p>
        </w:tc>
        <w:tc>
          <w:tcPr>
            <w:tcW w:w="1260" w:type="dxa"/>
            <w:vAlign w:val="bottom"/>
          </w:tcPr>
          <w:p>
            <w:pPr>
              <w:jc w:val="center"/>
              <w:ind w:left="1"/>
              <w:spacing w:after="0"/>
              <w:rPr>
                <w:sz w:val="20"/>
                <w:szCs w:val="20"/>
                <w:color w:val="auto"/>
              </w:rPr>
            </w:pPr>
            <w:r>
              <w:rPr>
                <w:rFonts w:ascii="Arial" w:cs="Arial" w:eastAsia="Arial" w:hAnsi="Arial"/>
                <w:sz w:val="14"/>
                <w:szCs w:val="14"/>
                <w:b w:val="1"/>
                <w:bCs w:val="1"/>
                <w:color w:val="auto"/>
              </w:rPr>
              <w:t>Productivity</w:t>
            </w:r>
          </w:p>
        </w:tc>
      </w:tr>
      <w:tr>
        <w:trPr>
          <w:trHeight w:val="175"/>
        </w:trPr>
        <w:tc>
          <w:tcPr>
            <w:tcW w:w="54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Performance of Services</w:t>
            </w:r>
          </w:p>
        </w:tc>
        <w:tc>
          <w:tcPr>
            <w:tcW w:w="1460" w:type="dxa"/>
            <w:vAlign w:val="bottom"/>
          </w:tcPr>
          <w:p>
            <w:pPr>
              <w:jc w:val="right"/>
              <w:ind w:right="416"/>
              <w:spacing w:after="0"/>
              <w:rPr>
                <w:sz w:val="20"/>
                <w:szCs w:val="20"/>
                <w:color w:val="auto"/>
              </w:rPr>
            </w:pPr>
            <w:r>
              <w:rPr>
                <w:rFonts w:ascii="Arial" w:cs="Arial" w:eastAsia="Arial" w:hAnsi="Arial"/>
                <w:sz w:val="14"/>
                <w:szCs w:val="14"/>
                <w:b w:val="1"/>
                <w:bCs w:val="1"/>
                <w:color w:val="auto"/>
              </w:rPr>
              <w:t>Aerospace</w:t>
            </w:r>
          </w:p>
        </w:tc>
        <w:tc>
          <w:tcPr>
            <w:tcW w:w="1680" w:type="dxa"/>
            <w:vAlign w:val="bottom"/>
          </w:tcPr>
          <w:p>
            <w:pPr>
              <w:jc w:val="center"/>
              <w:ind w:right="83"/>
              <w:spacing w:after="0"/>
              <w:rPr>
                <w:sz w:val="20"/>
                <w:szCs w:val="20"/>
                <w:color w:val="auto"/>
              </w:rPr>
            </w:pPr>
            <w:r>
              <w:rPr>
                <w:rFonts w:ascii="Arial" w:cs="Arial" w:eastAsia="Arial" w:hAnsi="Arial"/>
                <w:sz w:val="14"/>
                <w:szCs w:val="14"/>
                <w:b w:val="1"/>
                <w:bCs w:val="1"/>
                <w:color w:val="auto"/>
              </w:rPr>
              <w:t>Technologies</w:t>
            </w:r>
          </w:p>
        </w:tc>
        <w:tc>
          <w:tcPr>
            <w:tcW w:w="1540" w:type="dxa"/>
            <w:vAlign w:val="bottom"/>
          </w:tcPr>
          <w:p>
            <w:pPr>
              <w:ind w:left="240"/>
              <w:spacing w:after="0"/>
              <w:rPr>
                <w:sz w:val="20"/>
                <w:szCs w:val="20"/>
                <w:color w:val="auto"/>
              </w:rPr>
            </w:pPr>
            <w:r>
              <w:rPr>
                <w:rFonts w:ascii="Arial" w:cs="Arial" w:eastAsia="Arial" w:hAnsi="Arial"/>
                <w:sz w:val="14"/>
                <w:szCs w:val="14"/>
                <w:b w:val="1"/>
                <w:bCs w:val="1"/>
                <w:color w:val="auto"/>
              </w:rPr>
              <w:t>Technologies</w:t>
            </w:r>
          </w:p>
        </w:tc>
        <w:tc>
          <w:tcPr>
            <w:tcW w:w="1260" w:type="dxa"/>
            <w:vAlign w:val="bottom"/>
          </w:tcPr>
          <w:p>
            <w:pPr>
              <w:jc w:val="center"/>
              <w:ind w:left="1"/>
              <w:spacing w:after="0"/>
              <w:rPr>
                <w:sz w:val="20"/>
                <w:szCs w:val="20"/>
                <w:color w:val="auto"/>
              </w:rPr>
            </w:pPr>
            <w:r>
              <w:rPr>
                <w:rFonts w:ascii="Arial" w:cs="Arial" w:eastAsia="Arial" w:hAnsi="Arial"/>
                <w:sz w:val="14"/>
                <w:szCs w:val="14"/>
                <w:b w:val="1"/>
                <w:bCs w:val="1"/>
                <w:color w:val="auto"/>
              </w:rPr>
              <w:t>Solutions</w:t>
            </w:r>
          </w:p>
        </w:tc>
      </w:tr>
      <w:tr>
        <w:trPr>
          <w:trHeight w:val="195"/>
        </w:trPr>
        <w:tc>
          <w:tcPr>
            <w:tcW w:w="4820" w:type="dxa"/>
            <w:vAlign w:val="bottom"/>
            <w:tcBorders>
              <w:top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3220" w:type="dxa"/>
            <w:vAlign w:val="bottom"/>
            <w:tcBorders>
              <w:top w:val="single" w:sz="8" w:color="auto"/>
            </w:tcBorders>
            <w:gridSpan w:val="2"/>
          </w:tcPr>
          <w:p>
            <w:pPr>
              <w:jc w:val="right"/>
              <w:ind w:right="1121"/>
              <w:spacing w:after="0"/>
              <w:rPr>
                <w:sz w:val="20"/>
                <w:szCs w:val="20"/>
                <w:color w:val="auto"/>
              </w:rPr>
            </w:pPr>
            <w:r>
              <w:rPr>
                <w:rFonts w:ascii="Arial" w:cs="Arial" w:eastAsia="Arial" w:hAnsi="Arial"/>
                <w:sz w:val="14"/>
                <w:szCs w:val="14"/>
                <w:b w:val="1"/>
                <w:bCs w:val="1"/>
                <w:color w:val="auto"/>
              </w:rPr>
              <w:t>(% of Total Sales)</w:t>
            </w:r>
          </w:p>
        </w:tc>
        <w:tc>
          <w:tcPr>
            <w:tcW w:w="1260" w:type="dxa"/>
            <w:vAlign w:val="bottom"/>
            <w:tcBorders>
              <w:top w:val="single" w:sz="8" w:color="auto"/>
            </w:tcBorders>
          </w:tcPr>
          <w:p>
            <w:pPr>
              <w:spacing w:after="0"/>
              <w:rPr>
                <w:sz w:val="16"/>
                <w:szCs w:val="16"/>
                <w:color w:val="auto"/>
              </w:rPr>
            </w:pPr>
          </w:p>
        </w:tc>
      </w:tr>
      <w:tr>
        <w:trPr>
          <w:trHeight w:val="203"/>
        </w:trPr>
        <w:tc>
          <w:tcPr>
            <w:tcW w:w="54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U.S. Exports</w:t>
            </w:r>
          </w:p>
        </w:tc>
        <w:tc>
          <w:tcPr>
            <w:tcW w:w="1460" w:type="dxa"/>
            <w:vAlign w:val="bottom"/>
          </w:tcPr>
          <w:p>
            <w:pPr>
              <w:jc w:val="right"/>
              <w:ind w:right="196"/>
              <w:spacing w:after="0" w:line="202" w:lineRule="exact"/>
              <w:rPr>
                <w:sz w:val="20"/>
                <w:szCs w:val="20"/>
                <w:color w:val="auto"/>
              </w:rPr>
            </w:pPr>
            <w:r>
              <w:rPr>
                <w:rFonts w:ascii="Arial" w:cs="Arial" w:eastAsia="Arial" w:hAnsi="Arial"/>
                <w:sz w:val="18"/>
                <w:szCs w:val="18"/>
                <w:color w:val="auto"/>
              </w:rPr>
              <w:t>21%</w:t>
            </w:r>
          </w:p>
        </w:tc>
        <w:tc>
          <w:tcPr>
            <w:tcW w:w="1680" w:type="dxa"/>
            <w:vAlign w:val="bottom"/>
          </w:tcPr>
          <w:p>
            <w:pPr>
              <w:jc w:val="right"/>
              <w:ind w:right="143"/>
              <w:spacing w:after="0" w:line="202" w:lineRule="exact"/>
              <w:rPr>
                <w:sz w:val="20"/>
                <w:szCs w:val="20"/>
                <w:color w:val="auto"/>
              </w:rPr>
            </w:pPr>
            <w:r>
              <w:rPr>
                <w:rFonts w:ascii="Arial" w:cs="Arial" w:eastAsia="Arial" w:hAnsi="Arial"/>
                <w:sz w:val="18"/>
                <w:szCs w:val="18"/>
                <w:color w:val="auto"/>
              </w:rPr>
              <w:t>2%</w:t>
            </w:r>
          </w:p>
        </w:tc>
        <w:tc>
          <w:tcPr>
            <w:tcW w:w="1540" w:type="dxa"/>
            <w:vAlign w:val="bottom"/>
          </w:tcPr>
          <w:p>
            <w:pPr>
              <w:jc w:val="right"/>
              <w:ind w:right="181"/>
              <w:spacing w:after="0" w:line="202" w:lineRule="exact"/>
              <w:rPr>
                <w:sz w:val="20"/>
                <w:szCs w:val="20"/>
                <w:color w:val="auto"/>
              </w:rPr>
            </w:pPr>
            <w:r>
              <w:rPr>
                <w:rFonts w:ascii="Arial" w:cs="Arial" w:eastAsia="Arial" w:hAnsi="Arial"/>
                <w:sz w:val="18"/>
                <w:szCs w:val="18"/>
                <w:color w:val="auto"/>
              </w:rPr>
              <w:t>18%</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217"/>
        </w:trPr>
        <w:tc>
          <w:tcPr>
            <w:tcW w:w="5480" w:type="dxa"/>
            <w:vAlign w:val="bottom"/>
            <w:gridSpan w:val="2"/>
          </w:tcPr>
          <w:p>
            <w:pPr>
              <w:ind w:left="40"/>
              <w:spacing w:after="0"/>
              <w:rPr>
                <w:sz w:val="20"/>
                <w:szCs w:val="20"/>
                <w:color w:val="auto"/>
              </w:rPr>
            </w:pPr>
            <w:r>
              <w:rPr>
                <w:rFonts w:ascii="Arial" w:cs="Arial" w:eastAsia="Arial" w:hAnsi="Arial"/>
                <w:sz w:val="18"/>
                <w:szCs w:val="18"/>
                <w:color w:val="auto"/>
              </w:rPr>
              <w:t>Non-U.S.</w:t>
            </w:r>
          </w:p>
        </w:tc>
        <w:tc>
          <w:tcPr>
            <w:tcW w:w="1460" w:type="dxa"/>
            <w:vAlign w:val="bottom"/>
          </w:tcPr>
          <w:p>
            <w:pPr>
              <w:jc w:val="right"/>
              <w:ind w:right="196"/>
              <w:spacing w:after="0"/>
              <w:rPr>
                <w:sz w:val="20"/>
                <w:szCs w:val="20"/>
                <w:color w:val="auto"/>
              </w:rPr>
            </w:pPr>
            <w:r>
              <w:rPr>
                <w:rFonts w:ascii="Arial" w:cs="Arial" w:eastAsia="Arial" w:hAnsi="Arial"/>
                <w:sz w:val="18"/>
                <w:szCs w:val="18"/>
                <w:color w:val="auto"/>
              </w:rPr>
              <w:t>33%</w:t>
            </w:r>
          </w:p>
        </w:tc>
        <w:tc>
          <w:tcPr>
            <w:tcW w:w="1680" w:type="dxa"/>
            <w:vAlign w:val="bottom"/>
          </w:tcPr>
          <w:p>
            <w:pPr>
              <w:jc w:val="right"/>
              <w:ind w:right="143"/>
              <w:spacing w:after="0"/>
              <w:rPr>
                <w:sz w:val="20"/>
                <w:szCs w:val="20"/>
                <w:color w:val="auto"/>
              </w:rPr>
            </w:pPr>
            <w:r>
              <w:rPr>
                <w:rFonts w:ascii="Arial" w:cs="Arial" w:eastAsia="Arial" w:hAnsi="Arial"/>
                <w:sz w:val="18"/>
                <w:szCs w:val="18"/>
                <w:color w:val="auto"/>
              </w:rPr>
              <w:t>50%</w:t>
            </w:r>
          </w:p>
        </w:tc>
        <w:tc>
          <w:tcPr>
            <w:tcW w:w="1540" w:type="dxa"/>
            <w:vAlign w:val="bottom"/>
          </w:tcPr>
          <w:p>
            <w:pPr>
              <w:jc w:val="right"/>
              <w:ind w:right="181"/>
              <w:spacing w:after="0"/>
              <w:rPr>
                <w:sz w:val="20"/>
                <w:szCs w:val="20"/>
                <w:color w:val="auto"/>
              </w:rPr>
            </w:pPr>
            <w:r>
              <w:rPr>
                <w:rFonts w:ascii="Arial" w:cs="Arial" w:eastAsia="Arial" w:hAnsi="Arial"/>
                <w:sz w:val="18"/>
                <w:szCs w:val="18"/>
                <w:color w:val="auto"/>
              </w:rPr>
              <w:t>48%</w:t>
            </w:r>
          </w:p>
        </w:tc>
        <w:tc>
          <w:tcPr>
            <w:tcW w:w="1260" w:type="dxa"/>
            <w:vAlign w:val="bottom"/>
          </w:tcPr>
          <w:p>
            <w:pPr>
              <w:jc w:val="right"/>
              <w:spacing w:after="0"/>
              <w:rPr>
                <w:sz w:val="20"/>
                <w:szCs w:val="20"/>
                <w:color w:val="auto"/>
              </w:rPr>
            </w:pPr>
            <w:r>
              <w:rPr>
                <w:rFonts w:ascii="Arial" w:cs="Arial" w:eastAsia="Arial" w:hAnsi="Arial"/>
                <w:sz w:val="18"/>
                <w:szCs w:val="18"/>
                <w:color w:val="auto"/>
              </w:rPr>
              <w:t>46%</w:t>
            </w:r>
          </w:p>
        </w:tc>
      </w:tr>
    </w:tbl>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Information related to risks attendant to our foreign operations is included in Item 1A. Risk Factors under the caption “Macroeconomic and Industry Risks.”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principal raw materials used in our operations are generally readily available. Although we occasionally experience disruption in raw materials supply, we experienced no significant problems in the purchase of key raw materials or commodities in 2016. We are not dependent on any one supplier for a material amount of our raw materials.</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costs of certain key raw materials, including R240, fluorspar, copper, ethylene and perchloroethylene in Performance Materials and Technologies and nickel, steel, titanium and other metals in Aerospace, are expected to continue to fluctuate. We will continue to attempt to offset raw material cost increases with formula or long-term supply agreements, price increases and hedging activities where feasible. We do not presently anticipate that a shortage of raw materials will cause any material adverse impacts during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Licenses and Distribution Rights</w:t>
      </w:r>
    </w:p>
    <w:p>
      <w:pPr>
        <w:spacing w:after="0" w:line="22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segments are not dependent upon any single patent or related group of patents, or any licenses or distribution rights. In our judgment, our intellectual property rights are adequate for the conduct of our business. We believe that, in the aggregate, the rights under our patents, trademarks and licenses are generally important to our operations, but we do not consider any individual patent, trademark or any licensing or distribution rights related to a specific process or product to be of material importance in relation to our total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Company’s principal research and development activities are in the U.S., India, Europe and China. Research and development expense totaled $2,143 million, $1,856 million and $1,892 million in 2016, 2015 and 2014. R&amp;D expense was 5% of sales in each of 2016, 2015 and 2014. Customer-sponsored (principally by the U.S. Government) R&amp;D activities amounted to an additional $967 million, $998 million and $1,034 million in 2016, 2015 and 2014.</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Environment</w:t>
      </w:r>
    </w:p>
    <w:p>
      <w:pPr>
        <w:spacing w:after="0" w:line="22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are subject to various federal, state, local and foreign government requirements regarding protection of human health and the environment. We believe that, as a general matter, our policies, practices and procedures are properly designed to prevent unreasonable risk of environmental damage, and of resulting financial liability, in connection with our business. Some risk of environmental damage is, however, inherent in some of our operations and products, as it is with other companies engaged in similar businesses.</w:t>
      </w:r>
    </w:p>
    <w:p>
      <w:pPr>
        <w:spacing w:after="0" w:line="18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are and have been engaged in the handling, manufacture, use and disposal of many substances classified as hazardous by one or more regulatory agencies. We believe that, as a general matter, our policies, practices and procedures are properly designed to prevent unreasonable risk of environmental damage and personal injury, and that our handling, manufacture, use and disposal of these substances are in accord with environmental and safety laws and regulations. It is also possible that future knowledge or other developments, such as improved capability to detect substances in the environment or increasingly strict environmental laws and standards and enforcement policies, could bring into question our current or past handling, manufacture, use or disposal of these substances.</w:t>
      </w:r>
    </w:p>
    <w:p>
      <w:pPr>
        <w:spacing w:after="0" w:line="19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Among other environmental requirements, we are subject to the federal Superfund and similar state and foreign laws and regulations, under which we have been designated as a potentially responsible party that may be liable for cleanup costs associated with current and former operating sites and various hazardous waste sites, some of which are on the U.S. Environmental Protection Agency’s National Priority List. Although there is a possibility that a responsible party might have to bear more than its proportional share of the cleanup costs if it is unable to obtain appropriate contribution from other responsible parties, we do not anticipate having to bear significantly more than our proportional share in multi-party situations taken as a whole.</w:t>
      </w:r>
    </w:p>
    <w:p>
      <w:pPr>
        <w:spacing w:after="0" w:line="19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do not believe that existing or pending climate change legislation, regulation, or international treaties or accords are reasonably likely to have a material effect in the foreseeable future on the Company’s business or markets that it serves, nor on its results of operations, capital expenditures, earnings, competitive position or financial standing. We will continue to monitor emerging developments in this area.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approximately 131,000 employees at December 31, 2016, of whom approximately 45,000 are located in the United States.</w:t>
      </w:r>
    </w:p>
    <w:p>
      <w:pPr>
        <w:spacing w:after="0" w:line="17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Executive Officers of the Registrant</w:t>
      </w:r>
    </w:p>
    <w:p>
      <w:pPr>
        <w:spacing w:after="0" w:line="224"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The executive officers of Honeywell, listed as follows, are elected annually by the Board of Directors. There are no family relationships among them.</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jc w:val="center"/>
              <w:spacing w:after="0"/>
              <w:rPr>
                <w:sz w:val="20"/>
                <w:szCs w:val="20"/>
                <w:color w:val="auto"/>
              </w:rPr>
            </w:pPr>
            <w:r>
              <w:rPr>
                <w:rFonts w:ascii="Arial" w:cs="Arial" w:eastAsia="Arial" w:hAnsi="Arial"/>
                <w:sz w:val="14"/>
                <w:szCs w:val="14"/>
                <w:b w:val="1"/>
                <w:bCs w:val="1"/>
                <w:color w:val="auto"/>
              </w:rPr>
              <w:t>Name, Age,</w:t>
            </w:r>
          </w:p>
        </w:tc>
        <w:tc>
          <w:tcPr>
            <w:tcW w:w="580" w:type="dxa"/>
            <w:vAlign w:val="bottom"/>
          </w:tcPr>
          <w:p>
            <w:pPr>
              <w:spacing w:after="0"/>
              <w:rPr>
                <w:sz w:val="14"/>
                <w:szCs w:val="14"/>
                <w:color w:val="auto"/>
              </w:rPr>
            </w:pPr>
          </w:p>
        </w:tc>
        <w:tc>
          <w:tcPr>
            <w:tcW w:w="8540" w:type="dxa"/>
            <w:vAlign w:val="bottom"/>
          </w:tcPr>
          <w:p>
            <w:pPr>
              <w:spacing w:after="0"/>
              <w:rPr>
                <w:sz w:val="14"/>
                <w:szCs w:val="14"/>
                <w:color w:val="auto"/>
              </w:rPr>
            </w:pPr>
          </w:p>
        </w:tc>
      </w:tr>
      <w:tr>
        <w:trPr>
          <w:trHeight w:val="162"/>
        </w:trPr>
        <w:tc>
          <w:tcPr>
            <w:tcW w:w="2300" w:type="dxa"/>
            <w:vAlign w:val="bottom"/>
          </w:tcPr>
          <w:p>
            <w:pPr>
              <w:jc w:val="center"/>
              <w:spacing w:after="0"/>
              <w:rPr>
                <w:sz w:val="20"/>
                <w:szCs w:val="20"/>
                <w:color w:val="auto"/>
              </w:rPr>
            </w:pPr>
            <w:r>
              <w:rPr>
                <w:rFonts w:ascii="Arial" w:cs="Arial" w:eastAsia="Arial" w:hAnsi="Arial"/>
                <w:sz w:val="14"/>
                <w:szCs w:val="14"/>
                <w:b w:val="1"/>
                <w:bCs w:val="1"/>
                <w:color w:val="auto"/>
              </w:rPr>
              <w:t>Date First Elected an</w:t>
            </w:r>
          </w:p>
        </w:tc>
        <w:tc>
          <w:tcPr>
            <w:tcW w:w="580" w:type="dxa"/>
            <w:vAlign w:val="bottom"/>
          </w:tcPr>
          <w:p>
            <w:pPr>
              <w:spacing w:after="0"/>
              <w:rPr>
                <w:sz w:val="14"/>
                <w:szCs w:val="14"/>
                <w:color w:val="auto"/>
              </w:rPr>
            </w:pPr>
          </w:p>
        </w:tc>
        <w:tc>
          <w:tcPr>
            <w:tcW w:w="8540" w:type="dxa"/>
            <w:vAlign w:val="bottom"/>
          </w:tcPr>
          <w:p>
            <w:pPr>
              <w:spacing w:after="0"/>
              <w:rPr>
                <w:sz w:val="14"/>
                <w:szCs w:val="14"/>
                <w:color w:val="auto"/>
              </w:rPr>
            </w:pPr>
          </w:p>
        </w:tc>
      </w:tr>
      <w:tr>
        <w:trPr>
          <w:trHeight w:val="175"/>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Executive Officer</w:t>
            </w:r>
          </w:p>
        </w:tc>
        <w:tc>
          <w:tcPr>
            <w:tcW w:w="580" w:type="dxa"/>
            <w:vAlign w:val="bottom"/>
          </w:tcPr>
          <w:p>
            <w:pPr>
              <w:spacing w:after="0"/>
              <w:rPr>
                <w:sz w:val="15"/>
                <w:szCs w:val="15"/>
                <w:color w:val="auto"/>
              </w:rPr>
            </w:pPr>
          </w:p>
        </w:tc>
        <w:tc>
          <w:tcPr>
            <w:tcW w:w="8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Business Experience</w:t>
            </w:r>
          </w:p>
        </w:tc>
      </w:tr>
      <w:tr>
        <w:trPr>
          <w:trHeight w:val="195"/>
        </w:trPr>
        <w:tc>
          <w:tcPr>
            <w:tcW w:w="2300" w:type="dxa"/>
            <w:vAlign w:val="bottom"/>
          </w:tcPr>
          <w:p>
            <w:pPr>
              <w:jc w:val="center"/>
              <w:spacing w:after="0" w:line="195" w:lineRule="exact"/>
              <w:rPr>
                <w:sz w:val="20"/>
                <w:szCs w:val="20"/>
                <w:color w:val="auto"/>
              </w:rPr>
            </w:pPr>
            <w:r>
              <w:rPr>
                <w:rFonts w:ascii="Arial" w:cs="Arial" w:eastAsia="Arial" w:hAnsi="Arial"/>
                <w:sz w:val="18"/>
                <w:szCs w:val="18"/>
                <w:color w:val="auto"/>
                <w:w w:val="99"/>
              </w:rPr>
              <w:t>David M. Cote, 64</w:t>
            </w:r>
          </w:p>
        </w:tc>
        <w:tc>
          <w:tcPr>
            <w:tcW w:w="580" w:type="dxa"/>
            <w:vAlign w:val="bottom"/>
          </w:tcPr>
          <w:p>
            <w:pPr>
              <w:spacing w:after="0"/>
              <w:rPr>
                <w:sz w:val="16"/>
                <w:szCs w:val="16"/>
                <w:color w:val="auto"/>
              </w:rPr>
            </w:pPr>
          </w:p>
        </w:tc>
        <w:tc>
          <w:tcPr>
            <w:tcW w:w="8540" w:type="dxa"/>
            <w:vAlign w:val="bottom"/>
          </w:tcPr>
          <w:p>
            <w:pPr>
              <w:spacing w:after="0" w:line="195" w:lineRule="exact"/>
              <w:rPr>
                <w:sz w:val="20"/>
                <w:szCs w:val="20"/>
                <w:color w:val="auto"/>
              </w:rPr>
            </w:pPr>
            <w:r>
              <w:rPr>
                <w:rFonts w:ascii="Arial" w:cs="Arial" w:eastAsia="Arial" w:hAnsi="Arial"/>
                <w:sz w:val="18"/>
                <w:szCs w:val="18"/>
                <w:color w:val="auto"/>
              </w:rPr>
              <w:t>Chairman of the Board and Chief Executive Officer since July 2002.</w:t>
            </w:r>
          </w:p>
        </w:tc>
      </w:tr>
      <w:tr>
        <w:trPr>
          <w:trHeight w:val="383"/>
        </w:trPr>
        <w:tc>
          <w:tcPr>
            <w:tcW w:w="2300" w:type="dxa"/>
            <w:vAlign w:val="bottom"/>
          </w:tcPr>
          <w:p>
            <w:pPr>
              <w:jc w:val="center"/>
              <w:spacing w:after="0"/>
              <w:rPr>
                <w:sz w:val="20"/>
                <w:szCs w:val="20"/>
                <w:color w:val="auto"/>
              </w:rPr>
            </w:pPr>
            <w:r>
              <w:rPr>
                <w:rFonts w:ascii="Arial" w:cs="Arial" w:eastAsia="Arial" w:hAnsi="Arial"/>
                <w:sz w:val="18"/>
                <w:szCs w:val="18"/>
                <w:color w:val="auto"/>
                <w:w w:val="89"/>
              </w:rPr>
              <w:t>2002</w:t>
            </w:r>
            <w:r>
              <w:rPr>
                <w:rFonts w:ascii="Arial" w:cs="Arial" w:eastAsia="Arial" w:hAnsi="Arial"/>
                <w:sz w:val="30"/>
                <w:szCs w:val="30"/>
                <w:color w:val="auto"/>
                <w:w w:val="89"/>
                <w:vertAlign w:val="superscript"/>
              </w:rPr>
              <w:t>(a)</w:t>
            </w:r>
          </w:p>
        </w:tc>
        <w:tc>
          <w:tcPr>
            <w:tcW w:w="580" w:type="dxa"/>
            <w:vAlign w:val="bottom"/>
          </w:tcPr>
          <w:p>
            <w:pPr>
              <w:spacing w:after="0"/>
              <w:rPr>
                <w:sz w:val="24"/>
                <w:szCs w:val="24"/>
                <w:color w:val="auto"/>
              </w:rPr>
            </w:pPr>
          </w:p>
        </w:tc>
        <w:tc>
          <w:tcPr>
            <w:tcW w:w="8540" w:type="dxa"/>
            <w:vAlign w:val="bottom"/>
          </w:tcPr>
          <w:p>
            <w:pPr>
              <w:spacing w:after="0"/>
              <w:rPr>
                <w:sz w:val="24"/>
                <w:szCs w:val="24"/>
                <w:color w:val="auto"/>
              </w:rPr>
            </w:pPr>
          </w:p>
        </w:tc>
      </w:tr>
      <w:tr>
        <w:trPr>
          <w:trHeight w:val="278"/>
        </w:trPr>
        <w:tc>
          <w:tcPr>
            <w:tcW w:w="2300" w:type="dxa"/>
            <w:vAlign w:val="bottom"/>
          </w:tcPr>
          <w:p>
            <w:pPr>
              <w:jc w:val="center"/>
              <w:spacing w:after="0"/>
              <w:rPr>
                <w:sz w:val="20"/>
                <w:szCs w:val="20"/>
                <w:color w:val="auto"/>
              </w:rPr>
            </w:pPr>
            <w:r>
              <w:rPr>
                <w:rFonts w:ascii="Arial" w:cs="Arial" w:eastAsia="Arial" w:hAnsi="Arial"/>
                <w:sz w:val="18"/>
                <w:szCs w:val="18"/>
                <w:color w:val="auto"/>
                <w:w w:val="99"/>
              </w:rPr>
              <w:t>Darius Adamczyk, 51</w:t>
            </w:r>
          </w:p>
        </w:tc>
        <w:tc>
          <w:tcPr>
            <w:tcW w:w="58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President and Chief Operating Officer since April 2016. President and Chief Executive Officer Performance</w:t>
            </w:r>
          </w:p>
        </w:tc>
      </w:tr>
      <w:tr>
        <w:trPr>
          <w:trHeight w:val="203"/>
        </w:trPr>
        <w:tc>
          <w:tcPr>
            <w:tcW w:w="2300" w:type="dxa"/>
            <w:vAlign w:val="bottom"/>
          </w:tcPr>
          <w:p>
            <w:pPr>
              <w:jc w:val="center"/>
              <w:spacing w:after="0" w:line="202" w:lineRule="exact"/>
              <w:rPr>
                <w:sz w:val="20"/>
                <w:szCs w:val="20"/>
                <w:color w:val="auto"/>
              </w:rPr>
            </w:pPr>
            <w:r>
              <w:rPr>
                <w:rFonts w:ascii="Arial" w:cs="Arial" w:eastAsia="Arial" w:hAnsi="Arial"/>
                <w:sz w:val="15"/>
                <w:szCs w:val="15"/>
                <w:color w:val="auto"/>
              </w:rPr>
              <w:t>2014</w:t>
            </w:r>
            <w:r>
              <w:rPr>
                <w:rFonts w:ascii="Arial" w:cs="Arial" w:eastAsia="Arial" w:hAnsi="Arial"/>
                <w:sz w:val="23"/>
                <w:szCs w:val="23"/>
                <w:color w:val="auto"/>
                <w:vertAlign w:val="superscript"/>
              </w:rPr>
              <w:t>(a)</w:t>
            </w:r>
          </w:p>
        </w:tc>
        <w:tc>
          <w:tcPr>
            <w:tcW w:w="580" w:type="dxa"/>
            <w:vAlign w:val="bottom"/>
          </w:tcPr>
          <w:p>
            <w:pPr>
              <w:spacing w:after="0"/>
              <w:rPr>
                <w:sz w:val="17"/>
                <w:szCs w:val="17"/>
                <w:color w:val="auto"/>
              </w:rPr>
            </w:pPr>
          </w:p>
        </w:tc>
        <w:tc>
          <w:tcPr>
            <w:tcW w:w="8540" w:type="dxa"/>
            <w:vAlign w:val="bottom"/>
          </w:tcPr>
          <w:p>
            <w:pPr>
              <w:spacing w:after="0" w:line="202" w:lineRule="exact"/>
              <w:rPr>
                <w:sz w:val="20"/>
                <w:szCs w:val="20"/>
                <w:color w:val="auto"/>
              </w:rPr>
            </w:pPr>
            <w:r>
              <w:rPr>
                <w:rFonts w:ascii="Arial" w:cs="Arial" w:eastAsia="Arial" w:hAnsi="Arial"/>
                <w:sz w:val="18"/>
                <w:szCs w:val="18"/>
                <w:color w:val="auto"/>
              </w:rPr>
              <w:t>Materials and Technologies from April 2014 to April 2016. President of Honeywell Process Solutions from</w:t>
            </w:r>
          </w:p>
        </w:tc>
      </w:tr>
      <w:tr>
        <w:trPr>
          <w:trHeight w:val="217"/>
        </w:trPr>
        <w:tc>
          <w:tcPr>
            <w:tcW w:w="2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April 2012 to April 2014. President of Honeywell Scanning &amp; Mobility from July 2008 to April 2012.</w:t>
            </w:r>
          </w:p>
        </w:tc>
      </w:tr>
      <w:tr>
        <w:trPr>
          <w:trHeight w:val="404"/>
        </w:trPr>
        <w:tc>
          <w:tcPr>
            <w:tcW w:w="2300" w:type="dxa"/>
            <w:vAlign w:val="bottom"/>
          </w:tcPr>
          <w:p>
            <w:pPr>
              <w:jc w:val="center"/>
              <w:spacing w:after="0"/>
              <w:rPr>
                <w:sz w:val="20"/>
                <w:szCs w:val="20"/>
                <w:color w:val="auto"/>
              </w:rPr>
            </w:pPr>
            <w:r>
              <w:rPr>
                <w:rFonts w:ascii="Arial" w:cs="Arial" w:eastAsia="Arial" w:hAnsi="Arial"/>
                <w:sz w:val="18"/>
                <w:szCs w:val="18"/>
                <w:color w:val="auto"/>
                <w:w w:val="99"/>
              </w:rPr>
              <w:t>Katherine L. Adams, 52</w:t>
            </w:r>
          </w:p>
        </w:tc>
        <w:tc>
          <w:tcPr>
            <w:tcW w:w="58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Senior Vice President and General Counsel since April 2009.</w:t>
            </w:r>
          </w:p>
        </w:tc>
      </w:tr>
      <w:tr>
        <w:trPr>
          <w:trHeight w:val="217"/>
        </w:trPr>
        <w:tc>
          <w:tcPr>
            <w:tcW w:w="2300" w:type="dxa"/>
            <w:vAlign w:val="bottom"/>
          </w:tcPr>
          <w:p>
            <w:pPr>
              <w:jc w:val="center"/>
              <w:spacing w:after="0"/>
              <w:rPr>
                <w:sz w:val="20"/>
                <w:szCs w:val="20"/>
                <w:color w:val="auto"/>
              </w:rPr>
            </w:pPr>
            <w:r>
              <w:rPr>
                <w:rFonts w:ascii="Arial" w:cs="Arial" w:eastAsia="Arial" w:hAnsi="Arial"/>
                <w:sz w:val="18"/>
                <w:szCs w:val="18"/>
                <w:color w:val="auto"/>
                <w:w w:val="99"/>
              </w:rPr>
              <w:t>2009</w:t>
            </w:r>
          </w:p>
        </w:tc>
        <w:tc>
          <w:tcPr>
            <w:tcW w:w="580" w:type="dxa"/>
            <w:vAlign w:val="bottom"/>
          </w:tcPr>
          <w:p>
            <w:pPr>
              <w:spacing w:after="0"/>
              <w:rPr>
                <w:sz w:val="18"/>
                <w:szCs w:val="18"/>
                <w:color w:val="auto"/>
              </w:rPr>
            </w:pPr>
          </w:p>
        </w:tc>
        <w:tc>
          <w:tcPr>
            <w:tcW w:w="8540" w:type="dxa"/>
            <w:vAlign w:val="bottom"/>
          </w:tcPr>
          <w:p>
            <w:pPr>
              <w:spacing w:after="0"/>
              <w:rPr>
                <w:sz w:val="18"/>
                <w:szCs w:val="18"/>
                <w:color w:val="auto"/>
              </w:rPr>
            </w:pPr>
          </w:p>
        </w:tc>
      </w:tr>
      <w:tr>
        <w:trPr>
          <w:trHeight w:val="404"/>
        </w:trPr>
        <w:tc>
          <w:tcPr>
            <w:tcW w:w="2300" w:type="dxa"/>
            <w:vAlign w:val="bottom"/>
          </w:tcPr>
          <w:p>
            <w:pPr>
              <w:jc w:val="center"/>
              <w:spacing w:after="0"/>
              <w:rPr>
                <w:sz w:val="20"/>
                <w:szCs w:val="20"/>
                <w:color w:val="auto"/>
              </w:rPr>
            </w:pPr>
            <w:r>
              <w:rPr>
                <w:rFonts w:ascii="Arial" w:cs="Arial" w:eastAsia="Arial" w:hAnsi="Arial"/>
                <w:sz w:val="18"/>
                <w:szCs w:val="18"/>
                <w:color w:val="auto"/>
              </w:rPr>
              <w:t>Roger Fradin, 63</w:t>
            </w:r>
          </w:p>
        </w:tc>
        <w:tc>
          <w:tcPr>
            <w:tcW w:w="58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Vice Chairman since April 2014. President and Chief Executive Officer Automation and Control Solutions</w:t>
            </w:r>
          </w:p>
        </w:tc>
      </w:tr>
      <w:tr>
        <w:trPr>
          <w:trHeight w:val="384"/>
        </w:trPr>
        <w:tc>
          <w:tcPr>
            <w:tcW w:w="2300" w:type="dxa"/>
            <w:vAlign w:val="bottom"/>
          </w:tcPr>
          <w:p>
            <w:pPr>
              <w:jc w:val="center"/>
              <w:spacing w:after="0"/>
              <w:rPr>
                <w:sz w:val="20"/>
                <w:szCs w:val="20"/>
                <w:color w:val="auto"/>
              </w:rPr>
            </w:pPr>
            <w:r>
              <w:rPr>
                <w:rFonts w:ascii="Arial" w:cs="Arial" w:eastAsia="Arial" w:hAnsi="Arial"/>
                <w:sz w:val="18"/>
                <w:szCs w:val="18"/>
                <w:color w:val="auto"/>
                <w:w w:val="89"/>
              </w:rPr>
              <w:t>2004</w:t>
            </w:r>
            <w:r>
              <w:rPr>
                <w:rFonts w:ascii="Arial" w:cs="Arial" w:eastAsia="Arial" w:hAnsi="Arial"/>
                <w:sz w:val="30"/>
                <w:szCs w:val="30"/>
                <w:color w:val="auto"/>
                <w:w w:val="89"/>
                <w:vertAlign w:val="superscript"/>
              </w:rPr>
              <w:t>(b)</w:t>
            </w:r>
          </w:p>
        </w:tc>
        <w:tc>
          <w:tcPr>
            <w:tcW w:w="58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from January 2004 to April 2014.</w:t>
            </w:r>
          </w:p>
        </w:tc>
      </w:tr>
      <w:tr>
        <w:trPr>
          <w:trHeight w:val="265"/>
        </w:trPr>
        <w:tc>
          <w:tcPr>
            <w:tcW w:w="2300" w:type="dxa"/>
            <w:vAlign w:val="bottom"/>
          </w:tcPr>
          <w:p>
            <w:pPr>
              <w:jc w:val="center"/>
              <w:spacing w:after="0"/>
              <w:rPr>
                <w:sz w:val="20"/>
                <w:szCs w:val="20"/>
                <w:color w:val="auto"/>
              </w:rPr>
            </w:pPr>
            <w:r>
              <w:rPr>
                <w:rFonts w:ascii="Arial" w:cs="Arial" w:eastAsia="Arial" w:hAnsi="Arial"/>
                <w:sz w:val="18"/>
                <w:szCs w:val="18"/>
                <w:color w:val="auto"/>
              </w:rPr>
              <w:t>Rajeev Gautam, 64</w:t>
            </w:r>
          </w:p>
        </w:tc>
        <w:tc>
          <w:tcPr>
            <w:tcW w:w="580" w:type="dxa"/>
            <w:vAlign w:val="bottom"/>
          </w:tcPr>
          <w:p>
            <w:pPr>
              <w:spacing w:after="0"/>
              <w:rPr>
                <w:sz w:val="23"/>
                <w:szCs w:val="23"/>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President and Chief Executive Officer Performance Materials and Technologies since April 2016. President</w:t>
            </w:r>
          </w:p>
        </w:tc>
      </w:tr>
      <w:tr>
        <w:trPr>
          <w:trHeight w:val="217"/>
        </w:trPr>
        <w:tc>
          <w:tcPr>
            <w:tcW w:w="2300" w:type="dxa"/>
            <w:vAlign w:val="bottom"/>
          </w:tcPr>
          <w:p>
            <w:pPr>
              <w:jc w:val="center"/>
              <w:spacing w:after="0"/>
              <w:rPr>
                <w:sz w:val="20"/>
                <w:szCs w:val="20"/>
                <w:color w:val="auto"/>
              </w:rPr>
            </w:pPr>
            <w:r>
              <w:rPr>
                <w:rFonts w:ascii="Arial" w:cs="Arial" w:eastAsia="Arial" w:hAnsi="Arial"/>
                <w:sz w:val="18"/>
                <w:szCs w:val="18"/>
                <w:color w:val="auto"/>
                <w:w w:val="99"/>
              </w:rPr>
              <w:t>2016</w:t>
            </w:r>
          </w:p>
        </w:tc>
        <w:tc>
          <w:tcPr>
            <w:tcW w:w="58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of Honeywell UOP from January 2009 to April 2016.</w:t>
            </w:r>
          </w:p>
        </w:tc>
      </w:tr>
      <w:tr>
        <w:trPr>
          <w:trHeight w:val="404"/>
        </w:trPr>
        <w:tc>
          <w:tcPr>
            <w:tcW w:w="2300" w:type="dxa"/>
            <w:vAlign w:val="bottom"/>
          </w:tcPr>
          <w:p>
            <w:pPr>
              <w:jc w:val="center"/>
              <w:spacing w:after="0"/>
              <w:rPr>
                <w:sz w:val="20"/>
                <w:szCs w:val="20"/>
                <w:color w:val="auto"/>
              </w:rPr>
            </w:pPr>
            <w:r>
              <w:rPr>
                <w:rFonts w:ascii="Arial" w:cs="Arial" w:eastAsia="Arial" w:hAnsi="Arial"/>
                <w:sz w:val="18"/>
                <w:szCs w:val="18"/>
                <w:color w:val="auto"/>
                <w:w w:val="98"/>
              </w:rPr>
              <w:t>Terrence S. Hahn, 50</w:t>
            </w:r>
          </w:p>
        </w:tc>
        <w:tc>
          <w:tcPr>
            <w:tcW w:w="58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President and Chief Executive Officer Home and Building Technologies since July 2016. President and</w:t>
            </w:r>
          </w:p>
        </w:tc>
      </w:tr>
      <w:tr>
        <w:trPr>
          <w:trHeight w:val="203"/>
        </w:trPr>
        <w:tc>
          <w:tcPr>
            <w:tcW w:w="2300" w:type="dxa"/>
            <w:vAlign w:val="bottom"/>
          </w:tcPr>
          <w:p>
            <w:pPr>
              <w:jc w:val="center"/>
              <w:spacing w:after="0" w:line="202" w:lineRule="exact"/>
              <w:rPr>
                <w:sz w:val="20"/>
                <w:szCs w:val="20"/>
                <w:color w:val="auto"/>
              </w:rPr>
            </w:pPr>
            <w:r>
              <w:rPr>
                <w:rFonts w:ascii="Arial" w:cs="Arial" w:eastAsia="Arial" w:hAnsi="Arial"/>
                <w:sz w:val="18"/>
                <w:szCs w:val="18"/>
                <w:color w:val="auto"/>
                <w:w w:val="99"/>
              </w:rPr>
              <w:t>2013</w:t>
            </w:r>
          </w:p>
        </w:tc>
        <w:tc>
          <w:tcPr>
            <w:tcW w:w="580" w:type="dxa"/>
            <w:vAlign w:val="bottom"/>
          </w:tcPr>
          <w:p>
            <w:pPr>
              <w:spacing w:after="0"/>
              <w:rPr>
                <w:sz w:val="17"/>
                <w:szCs w:val="17"/>
                <w:color w:val="auto"/>
              </w:rPr>
            </w:pPr>
          </w:p>
        </w:tc>
        <w:tc>
          <w:tcPr>
            <w:tcW w:w="8540" w:type="dxa"/>
            <w:vAlign w:val="bottom"/>
          </w:tcPr>
          <w:p>
            <w:pPr>
              <w:spacing w:after="0" w:line="202" w:lineRule="exact"/>
              <w:rPr>
                <w:sz w:val="20"/>
                <w:szCs w:val="20"/>
                <w:color w:val="auto"/>
              </w:rPr>
            </w:pPr>
            <w:r>
              <w:rPr>
                <w:rFonts w:ascii="Arial" w:cs="Arial" w:eastAsia="Arial" w:hAnsi="Arial"/>
                <w:sz w:val="18"/>
                <w:szCs w:val="18"/>
                <w:color w:val="auto"/>
              </w:rPr>
              <w:t>Chief Executive Officer Transportation Systems from May 2013 to July 2016. Vice President and General</w:t>
            </w:r>
          </w:p>
        </w:tc>
      </w:tr>
      <w:tr>
        <w:trPr>
          <w:trHeight w:val="217"/>
        </w:trPr>
        <w:tc>
          <w:tcPr>
            <w:tcW w:w="2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Manager of Fluorine Products from March 2007 to May 2013.</w:t>
            </w:r>
          </w:p>
        </w:tc>
      </w:tr>
      <w:tr>
        <w:trPr>
          <w:trHeight w:val="404"/>
        </w:trPr>
        <w:tc>
          <w:tcPr>
            <w:tcW w:w="2300" w:type="dxa"/>
            <w:vAlign w:val="bottom"/>
          </w:tcPr>
          <w:p>
            <w:pPr>
              <w:jc w:val="center"/>
              <w:spacing w:after="0"/>
              <w:rPr>
                <w:sz w:val="20"/>
                <w:szCs w:val="20"/>
                <w:color w:val="auto"/>
              </w:rPr>
            </w:pPr>
            <w:r>
              <w:rPr>
                <w:rFonts w:ascii="Arial" w:cs="Arial" w:eastAsia="Arial" w:hAnsi="Arial"/>
                <w:sz w:val="18"/>
                <w:szCs w:val="18"/>
                <w:color w:val="auto"/>
              </w:rPr>
              <w:t>Mark R. James, 55</w:t>
            </w:r>
          </w:p>
        </w:tc>
        <w:tc>
          <w:tcPr>
            <w:tcW w:w="58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Senior Vice President Human Resources, Procurement and Communications since November 2007.</w:t>
            </w:r>
          </w:p>
        </w:tc>
      </w:tr>
      <w:tr>
        <w:trPr>
          <w:trHeight w:val="217"/>
        </w:trPr>
        <w:tc>
          <w:tcPr>
            <w:tcW w:w="2300" w:type="dxa"/>
            <w:vAlign w:val="bottom"/>
          </w:tcPr>
          <w:p>
            <w:pPr>
              <w:jc w:val="center"/>
              <w:spacing w:after="0"/>
              <w:rPr>
                <w:sz w:val="20"/>
                <w:szCs w:val="20"/>
                <w:color w:val="auto"/>
              </w:rPr>
            </w:pPr>
            <w:r>
              <w:rPr>
                <w:rFonts w:ascii="Arial" w:cs="Arial" w:eastAsia="Arial" w:hAnsi="Arial"/>
                <w:sz w:val="18"/>
                <w:szCs w:val="18"/>
                <w:color w:val="auto"/>
                <w:w w:val="99"/>
              </w:rPr>
              <w:t>2007</w:t>
            </w:r>
          </w:p>
        </w:tc>
        <w:tc>
          <w:tcPr>
            <w:tcW w:w="580" w:type="dxa"/>
            <w:vAlign w:val="bottom"/>
          </w:tcPr>
          <w:p>
            <w:pPr>
              <w:spacing w:after="0"/>
              <w:rPr>
                <w:sz w:val="18"/>
                <w:szCs w:val="18"/>
                <w:color w:val="auto"/>
              </w:rPr>
            </w:pPr>
          </w:p>
        </w:tc>
        <w:tc>
          <w:tcPr>
            <w:tcW w:w="8540" w:type="dxa"/>
            <w:vAlign w:val="bottom"/>
          </w:tcPr>
          <w:p>
            <w:pPr>
              <w:spacing w:after="0"/>
              <w:rPr>
                <w:sz w:val="18"/>
                <w:szCs w:val="18"/>
                <w:color w:val="auto"/>
              </w:rPr>
            </w:pPr>
          </w:p>
        </w:tc>
      </w:tr>
      <w:tr>
        <w:trPr>
          <w:trHeight w:val="404"/>
        </w:trPr>
        <w:tc>
          <w:tcPr>
            <w:tcW w:w="2300" w:type="dxa"/>
            <w:vAlign w:val="bottom"/>
          </w:tcPr>
          <w:p>
            <w:pPr>
              <w:jc w:val="center"/>
              <w:spacing w:after="0"/>
              <w:rPr>
                <w:sz w:val="20"/>
                <w:szCs w:val="20"/>
                <w:color w:val="auto"/>
              </w:rPr>
            </w:pPr>
            <w:r>
              <w:rPr>
                <w:rFonts w:ascii="Arial" w:cs="Arial" w:eastAsia="Arial" w:hAnsi="Arial"/>
                <w:sz w:val="18"/>
                <w:szCs w:val="18"/>
                <w:color w:val="auto"/>
                <w:w w:val="99"/>
              </w:rPr>
              <w:t>Andreas C. Kramvis, 64</w:t>
            </w:r>
          </w:p>
        </w:tc>
        <w:tc>
          <w:tcPr>
            <w:tcW w:w="58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Vice Chairman since April 2014. President and Chief Executive Officer Performance Materials and</w:t>
            </w:r>
          </w:p>
        </w:tc>
      </w:tr>
      <w:tr>
        <w:trPr>
          <w:trHeight w:val="384"/>
        </w:trPr>
        <w:tc>
          <w:tcPr>
            <w:tcW w:w="2300" w:type="dxa"/>
            <w:vAlign w:val="bottom"/>
          </w:tcPr>
          <w:p>
            <w:pPr>
              <w:jc w:val="center"/>
              <w:spacing w:after="0"/>
              <w:rPr>
                <w:sz w:val="20"/>
                <w:szCs w:val="20"/>
                <w:color w:val="auto"/>
              </w:rPr>
            </w:pPr>
            <w:r>
              <w:rPr>
                <w:rFonts w:ascii="Arial" w:cs="Arial" w:eastAsia="Arial" w:hAnsi="Arial"/>
                <w:sz w:val="18"/>
                <w:szCs w:val="18"/>
                <w:color w:val="auto"/>
                <w:w w:val="89"/>
              </w:rPr>
              <w:t>2008</w:t>
            </w:r>
            <w:r>
              <w:rPr>
                <w:rFonts w:ascii="Arial" w:cs="Arial" w:eastAsia="Arial" w:hAnsi="Arial"/>
                <w:sz w:val="30"/>
                <w:szCs w:val="30"/>
                <w:color w:val="auto"/>
                <w:w w:val="89"/>
                <w:vertAlign w:val="superscript"/>
              </w:rPr>
              <w:t>(b)</w:t>
            </w:r>
          </w:p>
        </w:tc>
        <w:tc>
          <w:tcPr>
            <w:tcW w:w="58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Technologies from March 2008 to April 2014.</w:t>
            </w:r>
          </w:p>
        </w:tc>
      </w:tr>
      <w:tr>
        <w:trPr>
          <w:trHeight w:val="278"/>
        </w:trPr>
        <w:tc>
          <w:tcPr>
            <w:tcW w:w="2300" w:type="dxa"/>
            <w:vAlign w:val="bottom"/>
          </w:tcPr>
          <w:p>
            <w:pPr>
              <w:jc w:val="center"/>
              <w:spacing w:after="0"/>
              <w:rPr>
                <w:sz w:val="20"/>
                <w:szCs w:val="20"/>
                <w:color w:val="auto"/>
              </w:rPr>
            </w:pPr>
            <w:r>
              <w:rPr>
                <w:rFonts w:ascii="Arial" w:cs="Arial" w:eastAsia="Arial" w:hAnsi="Arial"/>
                <w:sz w:val="18"/>
                <w:szCs w:val="18"/>
                <w:color w:val="auto"/>
                <w:w w:val="99"/>
              </w:rPr>
              <w:t>Timothy O. Mahoney, 60</w:t>
            </w:r>
          </w:p>
        </w:tc>
        <w:tc>
          <w:tcPr>
            <w:tcW w:w="58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President and Chief Executive Officer Aerospace since September 2009.</w:t>
            </w:r>
          </w:p>
        </w:tc>
      </w:tr>
      <w:tr>
        <w:trPr>
          <w:trHeight w:val="217"/>
        </w:trPr>
        <w:tc>
          <w:tcPr>
            <w:tcW w:w="2300" w:type="dxa"/>
            <w:vAlign w:val="bottom"/>
          </w:tcPr>
          <w:p>
            <w:pPr>
              <w:jc w:val="center"/>
              <w:spacing w:after="0"/>
              <w:rPr>
                <w:sz w:val="20"/>
                <w:szCs w:val="20"/>
                <w:color w:val="auto"/>
              </w:rPr>
            </w:pPr>
            <w:r>
              <w:rPr>
                <w:rFonts w:ascii="Arial" w:cs="Arial" w:eastAsia="Arial" w:hAnsi="Arial"/>
                <w:sz w:val="18"/>
                <w:szCs w:val="18"/>
                <w:color w:val="auto"/>
                <w:w w:val="99"/>
              </w:rPr>
              <w:t>2009</w:t>
            </w:r>
          </w:p>
        </w:tc>
        <w:tc>
          <w:tcPr>
            <w:tcW w:w="580" w:type="dxa"/>
            <w:vAlign w:val="bottom"/>
          </w:tcPr>
          <w:p>
            <w:pPr>
              <w:spacing w:after="0"/>
              <w:rPr>
                <w:sz w:val="18"/>
                <w:szCs w:val="18"/>
                <w:color w:val="auto"/>
              </w:rPr>
            </w:pPr>
          </w:p>
        </w:tc>
        <w:tc>
          <w:tcPr>
            <w:tcW w:w="8540" w:type="dxa"/>
            <w:vAlign w:val="bottom"/>
          </w:tcPr>
          <w:p>
            <w:pPr>
              <w:spacing w:after="0"/>
              <w:rPr>
                <w:sz w:val="18"/>
                <w:szCs w:val="18"/>
                <w:color w:val="auto"/>
              </w:rPr>
            </w:pPr>
          </w:p>
        </w:tc>
      </w:tr>
      <w:tr>
        <w:trPr>
          <w:trHeight w:val="404"/>
        </w:trPr>
        <w:tc>
          <w:tcPr>
            <w:tcW w:w="2300" w:type="dxa"/>
            <w:vAlign w:val="bottom"/>
          </w:tcPr>
          <w:p>
            <w:pPr>
              <w:jc w:val="center"/>
              <w:spacing w:after="0"/>
              <w:rPr>
                <w:sz w:val="20"/>
                <w:szCs w:val="20"/>
                <w:color w:val="auto"/>
              </w:rPr>
            </w:pPr>
            <w:r>
              <w:rPr>
                <w:rFonts w:ascii="Arial" w:cs="Arial" w:eastAsia="Arial" w:hAnsi="Arial"/>
                <w:sz w:val="18"/>
                <w:szCs w:val="18"/>
                <w:color w:val="auto"/>
              </w:rPr>
              <w:t>Krishna Mikkilineni, 57</w:t>
            </w:r>
          </w:p>
        </w:tc>
        <w:tc>
          <w:tcPr>
            <w:tcW w:w="58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Senior Vice President Engineering, Operations and Information Technology since April 2013. Senior Vice</w:t>
            </w:r>
          </w:p>
        </w:tc>
      </w:tr>
      <w:tr>
        <w:trPr>
          <w:trHeight w:val="203"/>
        </w:trPr>
        <w:tc>
          <w:tcPr>
            <w:tcW w:w="2300" w:type="dxa"/>
            <w:vAlign w:val="bottom"/>
          </w:tcPr>
          <w:p>
            <w:pPr>
              <w:jc w:val="center"/>
              <w:spacing w:after="0" w:line="202" w:lineRule="exact"/>
              <w:rPr>
                <w:sz w:val="20"/>
                <w:szCs w:val="20"/>
                <w:color w:val="auto"/>
              </w:rPr>
            </w:pPr>
            <w:r>
              <w:rPr>
                <w:rFonts w:ascii="Arial" w:cs="Arial" w:eastAsia="Arial" w:hAnsi="Arial"/>
                <w:sz w:val="18"/>
                <w:szCs w:val="18"/>
                <w:color w:val="auto"/>
                <w:w w:val="99"/>
              </w:rPr>
              <w:t>2010</w:t>
            </w:r>
          </w:p>
        </w:tc>
        <w:tc>
          <w:tcPr>
            <w:tcW w:w="580" w:type="dxa"/>
            <w:vAlign w:val="bottom"/>
          </w:tcPr>
          <w:p>
            <w:pPr>
              <w:spacing w:after="0"/>
              <w:rPr>
                <w:sz w:val="17"/>
                <w:szCs w:val="17"/>
                <w:color w:val="auto"/>
              </w:rPr>
            </w:pPr>
          </w:p>
        </w:tc>
        <w:tc>
          <w:tcPr>
            <w:tcW w:w="8540" w:type="dxa"/>
            <w:vAlign w:val="bottom"/>
          </w:tcPr>
          <w:p>
            <w:pPr>
              <w:spacing w:after="0" w:line="202" w:lineRule="exact"/>
              <w:rPr>
                <w:sz w:val="20"/>
                <w:szCs w:val="20"/>
                <w:color w:val="auto"/>
              </w:rPr>
            </w:pPr>
            <w:r>
              <w:rPr>
                <w:rFonts w:ascii="Arial" w:cs="Arial" w:eastAsia="Arial" w:hAnsi="Arial"/>
                <w:sz w:val="18"/>
                <w:szCs w:val="18"/>
                <w:color w:val="auto"/>
              </w:rPr>
              <w:t>President Engineering and Operations from April 2010 to April 2013 and President Honeywell Technology</w:t>
            </w:r>
          </w:p>
        </w:tc>
      </w:tr>
      <w:tr>
        <w:trPr>
          <w:trHeight w:val="217"/>
        </w:trPr>
        <w:tc>
          <w:tcPr>
            <w:tcW w:w="2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Solutions from January 2009 to April 2013.</w:t>
            </w:r>
          </w:p>
        </w:tc>
      </w:tr>
      <w:tr>
        <w:trPr>
          <w:trHeight w:val="404"/>
        </w:trPr>
        <w:tc>
          <w:tcPr>
            <w:tcW w:w="2300" w:type="dxa"/>
            <w:vAlign w:val="bottom"/>
          </w:tcPr>
          <w:p>
            <w:pPr>
              <w:jc w:val="center"/>
              <w:spacing w:after="0"/>
              <w:rPr>
                <w:sz w:val="20"/>
                <w:szCs w:val="20"/>
                <w:color w:val="auto"/>
              </w:rPr>
            </w:pPr>
            <w:r>
              <w:rPr>
                <w:rFonts w:ascii="Arial" w:cs="Arial" w:eastAsia="Arial" w:hAnsi="Arial"/>
                <w:sz w:val="18"/>
                <w:szCs w:val="18"/>
                <w:color w:val="auto"/>
                <w:w w:val="99"/>
              </w:rPr>
              <w:t>Thomas A. Szlosek, 53</w:t>
            </w:r>
          </w:p>
        </w:tc>
        <w:tc>
          <w:tcPr>
            <w:tcW w:w="58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Senior Vice President and Chief Financial Officer since April 2014. Vice President of Corporate Finance</w:t>
            </w:r>
          </w:p>
        </w:tc>
      </w:tr>
      <w:tr>
        <w:trPr>
          <w:trHeight w:val="203"/>
        </w:trPr>
        <w:tc>
          <w:tcPr>
            <w:tcW w:w="2300" w:type="dxa"/>
            <w:vAlign w:val="bottom"/>
          </w:tcPr>
          <w:p>
            <w:pPr>
              <w:jc w:val="center"/>
              <w:spacing w:after="0" w:line="202" w:lineRule="exact"/>
              <w:rPr>
                <w:sz w:val="20"/>
                <w:szCs w:val="20"/>
                <w:color w:val="auto"/>
              </w:rPr>
            </w:pPr>
            <w:r>
              <w:rPr>
                <w:rFonts w:ascii="Arial" w:cs="Arial" w:eastAsia="Arial" w:hAnsi="Arial"/>
                <w:sz w:val="18"/>
                <w:szCs w:val="18"/>
                <w:color w:val="auto"/>
                <w:w w:val="99"/>
              </w:rPr>
              <w:t>2014</w:t>
            </w:r>
          </w:p>
        </w:tc>
        <w:tc>
          <w:tcPr>
            <w:tcW w:w="580" w:type="dxa"/>
            <w:vAlign w:val="bottom"/>
          </w:tcPr>
          <w:p>
            <w:pPr>
              <w:spacing w:after="0"/>
              <w:rPr>
                <w:sz w:val="17"/>
                <w:szCs w:val="17"/>
                <w:color w:val="auto"/>
              </w:rPr>
            </w:pPr>
          </w:p>
        </w:tc>
        <w:tc>
          <w:tcPr>
            <w:tcW w:w="8540" w:type="dxa"/>
            <w:vAlign w:val="bottom"/>
          </w:tcPr>
          <w:p>
            <w:pPr>
              <w:spacing w:after="0" w:line="202" w:lineRule="exact"/>
              <w:rPr>
                <w:sz w:val="20"/>
                <w:szCs w:val="20"/>
                <w:color w:val="auto"/>
              </w:rPr>
            </w:pPr>
            <w:r>
              <w:rPr>
                <w:rFonts w:ascii="Arial" w:cs="Arial" w:eastAsia="Arial" w:hAnsi="Arial"/>
                <w:sz w:val="18"/>
                <w:szCs w:val="18"/>
                <w:color w:val="auto"/>
              </w:rPr>
              <w:t>from April 2013 to April 2014. Chief Financial Officer of Automation and Control Solutions from February</w:t>
            </w:r>
          </w:p>
        </w:tc>
      </w:tr>
      <w:tr>
        <w:trPr>
          <w:trHeight w:val="217"/>
        </w:trPr>
        <w:tc>
          <w:tcPr>
            <w:tcW w:w="2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2007 to April 2013.</w:t>
            </w:r>
          </w:p>
        </w:tc>
      </w:tr>
      <w:tr>
        <w:trPr>
          <w:trHeight w:val="404"/>
        </w:trPr>
        <w:tc>
          <w:tcPr>
            <w:tcW w:w="2300" w:type="dxa"/>
            <w:vAlign w:val="bottom"/>
          </w:tcPr>
          <w:p>
            <w:pPr>
              <w:jc w:val="center"/>
              <w:spacing w:after="0"/>
              <w:rPr>
                <w:sz w:val="20"/>
                <w:szCs w:val="20"/>
                <w:color w:val="auto"/>
              </w:rPr>
            </w:pPr>
            <w:r>
              <w:rPr>
                <w:rFonts w:ascii="Arial" w:cs="Arial" w:eastAsia="Arial" w:hAnsi="Arial"/>
                <w:sz w:val="18"/>
                <w:szCs w:val="18"/>
                <w:color w:val="auto"/>
                <w:w w:val="98"/>
              </w:rPr>
              <w:t>John F. Waldron, 41</w:t>
            </w:r>
          </w:p>
        </w:tc>
        <w:tc>
          <w:tcPr>
            <w:tcW w:w="58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President and Chief Executive Officer, Safety and Productivity Solutions since July 2016. President of</w:t>
            </w:r>
          </w:p>
        </w:tc>
      </w:tr>
      <w:tr>
        <w:trPr>
          <w:trHeight w:val="203"/>
        </w:trPr>
        <w:tc>
          <w:tcPr>
            <w:tcW w:w="2300" w:type="dxa"/>
            <w:vAlign w:val="bottom"/>
          </w:tcPr>
          <w:p>
            <w:pPr>
              <w:jc w:val="center"/>
              <w:spacing w:after="0" w:line="202" w:lineRule="exact"/>
              <w:rPr>
                <w:sz w:val="20"/>
                <w:szCs w:val="20"/>
                <w:color w:val="auto"/>
              </w:rPr>
            </w:pPr>
            <w:r>
              <w:rPr>
                <w:rFonts w:ascii="Arial" w:cs="Arial" w:eastAsia="Arial" w:hAnsi="Arial"/>
                <w:sz w:val="18"/>
                <w:szCs w:val="18"/>
                <w:color w:val="auto"/>
                <w:w w:val="99"/>
              </w:rPr>
              <w:t>2016</w:t>
            </w:r>
          </w:p>
        </w:tc>
        <w:tc>
          <w:tcPr>
            <w:tcW w:w="580" w:type="dxa"/>
            <w:vAlign w:val="bottom"/>
          </w:tcPr>
          <w:p>
            <w:pPr>
              <w:spacing w:after="0"/>
              <w:rPr>
                <w:sz w:val="17"/>
                <w:szCs w:val="17"/>
                <w:color w:val="auto"/>
              </w:rPr>
            </w:pPr>
          </w:p>
        </w:tc>
        <w:tc>
          <w:tcPr>
            <w:tcW w:w="8540" w:type="dxa"/>
            <w:vAlign w:val="bottom"/>
          </w:tcPr>
          <w:p>
            <w:pPr>
              <w:spacing w:after="0" w:line="202" w:lineRule="exact"/>
              <w:rPr>
                <w:sz w:val="20"/>
                <w:szCs w:val="20"/>
                <w:color w:val="auto"/>
              </w:rPr>
            </w:pPr>
            <w:r>
              <w:rPr>
                <w:rFonts w:ascii="Arial" w:cs="Arial" w:eastAsia="Arial" w:hAnsi="Arial"/>
                <w:sz w:val="18"/>
                <w:szCs w:val="18"/>
                <w:color w:val="auto"/>
              </w:rPr>
              <w:t>Sensing and Productivity Solutions from July 2015 to July 2016. President of Scanning and Mobility from</w:t>
            </w:r>
          </w:p>
        </w:tc>
      </w:tr>
      <w:tr>
        <w:trPr>
          <w:trHeight w:val="203"/>
        </w:trPr>
        <w:tc>
          <w:tcPr>
            <w:tcW w:w="2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540" w:type="dxa"/>
            <w:vAlign w:val="bottom"/>
          </w:tcPr>
          <w:p>
            <w:pPr>
              <w:spacing w:after="0" w:line="202" w:lineRule="exact"/>
              <w:rPr>
                <w:sz w:val="20"/>
                <w:szCs w:val="20"/>
                <w:color w:val="auto"/>
              </w:rPr>
            </w:pPr>
            <w:r>
              <w:rPr>
                <w:rFonts w:ascii="Arial" w:cs="Arial" w:eastAsia="Arial" w:hAnsi="Arial"/>
                <w:sz w:val="18"/>
                <w:szCs w:val="18"/>
                <w:color w:val="auto"/>
              </w:rPr>
              <w:t>April 2012 to July 2015. Vice President and General Manager of Americas Scanning and Mobility from</w:t>
            </w:r>
          </w:p>
        </w:tc>
      </w:tr>
      <w:tr>
        <w:trPr>
          <w:trHeight w:val="217"/>
        </w:trPr>
        <w:tc>
          <w:tcPr>
            <w:tcW w:w="2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January 2012 to April 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5951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31"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Also a Director.</w:t>
      </w: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Retiring from Honeywell on February 15, 2017.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Item 1A. Risk Factors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About Forward-Looking Statements</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describe many of the trends and other factors that drive our business and future results in Item 7. Management’s Discussion and Analysis of Financial Condition and Results of Operations and in other parts of this report (including this Item 1A). Such discussions contain forward-looking statements within the meaning of Section 21E of the Securities Exchange Act of 1934.</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Forward-looking statements are those that address activities, events or developments that management intends, expects, projects, believes or anticipates will or may occur in the future. They are based on management’s assumptions and assessments in light of past experience and trends, current economic and industry conditions, expected future developments and other relevant factors. They are not guarantees of future performance, and actual results, developments and business decisions may differ significantly from those envisaged by our forward-looking statements. We do not undertake to update or revise any of our forward-looking statements. Our forward-looking statements are also subject to risks and uncertainties that can affect our performance in both the near-and long-term. These forward-looking statements should be considered in light of the information included in this Form 10-K, including, in particular, the factors discussed below. These factors may be revised or supplemented in subsequent reports on Forms 10-Q and 8-K.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Our business, operating results, cash flows and financial condition are subject to the principal risks and uncertainties set forth below, any one of which could cause our actual results to vary materially from recent results or from our anticipated future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Macroeconomic and Industry Risks</w:t>
      </w:r>
    </w:p>
    <w:p>
      <w:pPr>
        <w:spacing w:after="0" w:line="198"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b w:val="1"/>
          <w:bCs w:val="1"/>
          <w:i w:val="1"/>
          <w:iCs w:val="1"/>
          <w:color w:val="auto"/>
        </w:rPr>
        <w:t>Industry and economic conditions may adversely affect the markets and operating conditions of our customers, which in turn can affect demand for our products and services and our results of operations.</w:t>
      </w:r>
    </w:p>
    <w:p>
      <w:pPr>
        <w:spacing w:after="0" w:line="140" w:lineRule="exact"/>
        <w:rPr>
          <w:sz w:val="20"/>
          <w:szCs w:val="20"/>
          <w:color w:val="auto"/>
        </w:rPr>
      </w:pPr>
    </w:p>
    <w:p>
      <w:pPr>
        <w:jc w:val="both"/>
        <w:ind w:left="340" w:hanging="332"/>
        <w:spacing w:after="0" w:line="238"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Aerospace</w:t>
      </w:r>
      <w:r>
        <w:rPr>
          <w:rFonts w:ascii="Arial" w:cs="Arial" w:eastAsia="Arial" w:hAnsi="Arial"/>
          <w:sz w:val="18"/>
          <w:szCs w:val="18"/>
          <w:color w:val="auto"/>
        </w:rPr>
        <w:t>—Operating results of Aerospace are directly tied to cyclical industry and economic conditions, as well as changes in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buying patterns of aftermarket parts, supplier stability, factory transitions and capacity constraints. The operating results of our Commercial Aviation business unit may be adversely affected by downturns in the global demand for air travel which impacts new aircraft production or the delay or cancellation of new aircraft orders, delays in launch schedules for new aircraft, the retirement of aircraft and global flying hours, which impact air transport, regional, business and general aviation aircraft utilization rates. Operating results could also be impacted by changes in overall trends related to end market demand for the product portfolio. Operating results in our Defense and Space business unit may be affected by the mix of U.S. and foreign government appropriations for defense and space programs and by compliance risks. Results may also be impacted by the potential introduction of counterfeit parts into our global supply chain. Operating results in our Transportation Systems business unit may be affected by the level of production and demand for automobiles and trucks equipped with turbochargers, regulatory changes regarding automobile and truck emissions and fuel economy, consumer demand and spending for automotive aftermarket products and delays in launch schedules for new automobile and truck platforms.</w:t>
      </w:r>
    </w:p>
    <w:p>
      <w:pPr>
        <w:spacing w:after="0" w:line="186" w:lineRule="exact"/>
        <w:rPr>
          <w:rFonts w:ascii="Arial" w:cs="Arial" w:eastAsia="Arial" w:hAnsi="Arial"/>
          <w:sz w:val="18"/>
          <w:szCs w:val="18"/>
          <w:color w:val="auto"/>
        </w:rPr>
      </w:pPr>
    </w:p>
    <w:p>
      <w:pPr>
        <w:jc w:val="both"/>
        <w:ind w:left="340" w:hanging="332"/>
        <w:spacing w:after="0" w:line="24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Home and Building Technologies</w:t>
      </w:r>
      <w:r>
        <w:rPr>
          <w:rFonts w:ascii="Arial" w:cs="Arial" w:eastAsia="Arial" w:hAnsi="Arial"/>
          <w:sz w:val="18"/>
          <w:szCs w:val="18"/>
          <w:color w:val="auto"/>
        </w:rPr>
        <w:t>—Operating results may be adversely impacted by downturns in the level of global residential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 construction activity (including retrofits and upgrades), lower capital spending and operating expenditures on building projects, less industrial plant expansion, changes in the competitive landscape including new market entrants and new technologies, and fluctuations in inventory levels in distribution channels.</w:t>
      </w:r>
    </w:p>
    <w:p>
      <w:pPr>
        <w:spacing w:after="0" w:line="174" w:lineRule="exact"/>
        <w:rPr>
          <w:rFonts w:ascii="Arial" w:cs="Arial" w:eastAsia="Arial" w:hAnsi="Arial"/>
          <w:sz w:val="18"/>
          <w:szCs w:val="18"/>
          <w:color w:val="auto"/>
        </w:rPr>
      </w:pPr>
    </w:p>
    <w:p>
      <w:pPr>
        <w:jc w:val="both"/>
        <w:ind w:left="340" w:hanging="332"/>
        <w:spacing w:after="0" w:line="24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Performance Materials and Technologies</w:t>
      </w:r>
      <w:r>
        <w:rPr>
          <w:rFonts w:ascii="Arial" w:cs="Arial" w:eastAsia="Arial" w:hAnsi="Arial"/>
          <w:sz w:val="18"/>
          <w:szCs w:val="18"/>
          <w:color w:val="auto"/>
        </w:rPr>
        <w:t>—Operating results may be adversely impacted by downturns in capacity utilization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chemical, industrial, refining, petrochemical and semiconductor plants, our customers’ availability of capital for refinery construction and expansion, raw material demand and supply volatility, product commoditization, and our ability to maximize our facilities’ production capacity and minimize downtime. In particular, the volatility in oil and natural gas prices have and will continue to impact our customers’ operating levels and capital spending and thus demand for our products and services.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8" w:name="page9"/>
    <w:bookmarkEnd w:id="8"/>
    <w:p>
      <w:pPr>
        <w:jc w:val="both"/>
        <w:ind w:left="340" w:hanging="332"/>
        <w:spacing w:after="0" w:line="242"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Safety and Productivity Solutions</w:t>
      </w:r>
      <w:r>
        <w:rPr>
          <w:rFonts w:ascii="Arial" w:cs="Arial" w:eastAsia="Arial" w:hAnsi="Arial"/>
          <w:sz w:val="18"/>
          <w:szCs w:val="18"/>
          <w:color w:val="auto"/>
        </w:rPr>
        <w:t>—Operating results may be adversely impacted by downturns in the level of global capital spending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operating expenditures, including in the oil and gas industry, reduced investments in process automation, safety monitoring, and plant capacity utilization initiatives, fluctuations in retail markets, lower customer demand due to the failure to anticipate and respond to overall trends related to end market demand, changes in the competitive landscape including new market entrants and technology that may lead to product commoditization, and adverse industry economic conditions, all of which could result in lower market share, reduced selling prices and lower margins.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An increasing percentage of our sales and operations is in non-U.S. jurisdictions and is subject to the economic, political, regulatory, foreign exchange and other risks of international operations.</w:t>
      </w:r>
    </w:p>
    <w:p>
      <w:pPr>
        <w:spacing w:after="0" w:line="16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Our international operations, including U.S. exports, represent more than half of the Company’s sales. Risks related to international operations include exchange control regulations, wage and price controls, antitrust regulations, employment regulations, foreign investment laws, import, export and other trade restrictions (such as embargoes), violations by our employees of anti-corruption laws (despite our efforts to mitigate these risks), changes in regulations regarding transactions with state -owned enterprises, nationalization of private enterprises, acts of terrorism, and our ability to hire and maintain qualified staff and maintain the safety of our employees in these regions. Instability and uncertainties arising from the global geopolitical environment, including the United Kingdom referendum in favor of exiting the European Union and the evolving U.S. political, regulatory and economic landscape following the 2016 elections, and the cost of compliance with increasingly complex and often conflicting regulations worldwide can impair our flexibility in modifying product, marketing, pricing or other strategies for growing our businesses, as well as our ability to improve productivity and maintain acceptable operating margins.</w:t>
      </w:r>
    </w:p>
    <w:p>
      <w:pPr>
        <w:spacing w:after="0" w:line="19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Operating outside of the United States also exposes us to foreign exchange risk, which we monitor and seek to reduce through hedging activities. However, foreign exchange hedging activities bear a financial cost and may not always be available to us or be successful in eliminating such volatility. Finally, we generate significant amounts of cash outside of the United States that is invested with financial and non-financial counterparties. While we employ comprehensive controls regarding global cash management to guard against cash or investment loss and to ensure our ability to fund our operations and commitments, a material disruption to the counterparties with whom we transact business could expose Honeywell to financial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defined benefit pension plans may adversely impact our results of operations and cash flow.</w:t>
      </w:r>
    </w:p>
    <w:p>
      <w:pPr>
        <w:spacing w:after="0" w:line="22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Significant changes in actual investment return on pension assets, discount rates, and other factors could adversely affect our results of operations and require cash pension contributions in future periods. Changes in discount rates and actual asset returns different than our anticipated asset returns can result in significant non-cash actuarial gains or losses which we record in the fourth quarter of each fiscal year, and, if applicable, in any quarter in which an interim re-measurement is triggered. With regard to cash pension contributions, funding requirements for our pension plans are largely dependent upon interest rates, actual investment returns on pension assets and the impact of legislative or regulatory changes related to pension funding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Operational Risks</w:t>
      </w:r>
    </w:p>
    <w:p>
      <w:pPr>
        <w:spacing w:after="0" w:line="198"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b w:val="1"/>
          <w:bCs w:val="1"/>
          <w:i w:val="1"/>
          <w:iCs w:val="1"/>
          <w:color w:val="auto"/>
        </w:rPr>
        <w:t>Raw material price fluctuations, the ability of key suppliers to meet quality and delivery requirements, or catastrophic events can increase the cost of our products and services, impact our ability to meet commitments to customers and cause us to incur significant liabilities.</w:t>
      </w:r>
    </w:p>
    <w:p>
      <w:pPr>
        <w:spacing w:after="0" w:line="17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cost of raw materials is a key element in the cost of our products, particularly in Performance Materials and Technologies (R240, fluorspar, copper, ethylene and perchloroethylene) and in Aerospace (nickel, steel, titanium and other metals). Our inability to offset material price inflation through increased prices to customers, formula or long-term fixed price contracts with suppliers, productivity actions or through commodity hedges could adversely affect our results of operations.</w:t>
      </w:r>
    </w:p>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Many major components, product equipment items and raw materials, particularly in Aerospace, are procured or subcontracted on a single or sole-source basis. Although we maintain a qualification and performance surveillance process and we believe that sources of supply for raw materials and components are generally adequate, it is difficult to predict what effects shortages or price increases may have in the future. Our ability to manage inventory and meet delivery requirements may be constrained by our suppliers’ inability to scale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9" w:name="page10"/>
    <w:bookmarkEnd w:id="9"/>
    <w:p>
      <w:pPr>
        <w:jc w:val="both"/>
        <w:ind w:right="20"/>
        <w:spacing w:after="0"/>
        <w:rPr>
          <w:sz w:val="20"/>
          <w:szCs w:val="20"/>
          <w:color w:val="auto"/>
        </w:rPr>
      </w:pPr>
      <w:r>
        <w:rPr>
          <w:rFonts w:ascii="Arial" w:cs="Arial" w:eastAsia="Arial" w:hAnsi="Arial"/>
          <w:sz w:val="18"/>
          <w:szCs w:val="18"/>
          <w:color w:val="auto"/>
        </w:rPr>
        <w:t>production and adjust delivery of long-lead time products during times of volatile demand. Our inability to fill our supply needs would jeopardize our ability to fulfill obligations under commercial and government contracts, which could, in turn, result in reduced sales and profits, contract penalties or terminations, and damage to customer relationships.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successfully execute or effectively integrate acquisitions, and divestitures may not occur as planned.</w:t>
      </w:r>
    </w:p>
    <w:p>
      <w:pPr>
        <w:spacing w:after="0" w:line="22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We regularly review our portfolio of businesses and pursue growth through acquisitions and seek to divest non-core businesses. We may not be able to complete transactions on favorable terms, on a timely basis, or at all, and during integration we may discover cybersecurity and compliance issues. In addition, our results of operations and cash flows may be adversely impacted by (i) the failure of acquired businesses to meet or exceed expected returns including risk of impairment; (ii) the failure to integrate multiple acquired businesses into Honeywell simultaneously and on schedule and/or to achieve expected synergies; (iii) the inability to dispose of non-core assets and businesses on satisfactory terms and conditions; and (iv) the discovery of unanticipated liabilities, labor relations difficulties or other problems in acquired businesses for which we lack contractual protections, insurance or indemnities, or with regard to divested businesses, claims by purchasers to whom we have provided contractual indemnification.</w:t>
      </w:r>
    </w:p>
    <w:p>
      <w:pPr>
        <w:spacing w:after="0" w:line="173"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b w:val="1"/>
          <w:bCs w:val="1"/>
          <w:i w:val="1"/>
          <w:iCs w:val="1"/>
          <w:color w:val="auto"/>
        </w:rPr>
        <w:t>Our future growth is largely dependent upon our ability to develop new technologies and introduce new products that achieve market acceptance in increasingly competitive markets with acceptable margins.</w:t>
      </w:r>
    </w:p>
    <w:p>
      <w:pPr>
        <w:spacing w:after="0" w:line="16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Our future growth rate depends upon a number of factors, including our ability to (i) identify emerging technological trends in our target end-markets, (ii) develop and maintain competitive products, (iii) defend our market share against an ever-expanding number of competitors including many new and non-traditional competitors, (iv) enhance our products by adding innovative features that differentiate our products from those of our competitors and prevent commoditization of our products, (v) develop, manufacture and bring compelling new products to market quickly and cost-effectively, and (vi) attract, develop and retain individuals with the requisite technical expertise and understanding of customers’ needs to develop new technologies and introduce new products.</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failure of our technologies or products to gain market acceptance due to more attractive offerings by our competitors could significantly reduce our revenues and adversely affect our competitive standing and prospects.</w:t>
      </w:r>
    </w:p>
    <w:p>
      <w:pPr>
        <w:spacing w:after="0" w:line="161" w:lineRule="exact"/>
        <w:rPr>
          <w:sz w:val="20"/>
          <w:szCs w:val="20"/>
          <w:color w:val="auto"/>
        </w:rPr>
      </w:pPr>
    </w:p>
    <w:p>
      <w:pPr>
        <w:ind w:right="540"/>
        <w:spacing w:after="0" w:line="302" w:lineRule="auto"/>
        <w:rPr>
          <w:sz w:val="20"/>
          <w:szCs w:val="20"/>
          <w:color w:val="auto"/>
        </w:rPr>
      </w:pPr>
      <w:r>
        <w:rPr>
          <w:rFonts w:ascii="Arial" w:cs="Arial" w:eastAsia="Arial" w:hAnsi="Arial"/>
          <w:sz w:val="17"/>
          <w:szCs w:val="17"/>
          <w:b w:val="1"/>
          <w:bCs w:val="1"/>
          <w:i w:val="1"/>
          <w:iCs w:val="1"/>
          <w:color w:val="auto"/>
        </w:rPr>
        <w:t>Failure to increase productivity through sustainable operational improvements, as well as an inability to successfully execute repositioning projects or to effectively manage our workforce, may reduce our profitability or adversely impact our businesses.</w:t>
      </w:r>
    </w:p>
    <w:p>
      <w:pPr>
        <w:spacing w:after="0" w:line="13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Our profitability and margin growth are dependent upon our ability to drive sustainable improvements. In addition, we seek productivity and cost savings benefits through repositioning actions and projects, such as consolidation of manufacturing facilities, transitions to cost-competitive regions and product line rationalizations. Risks associated with these actions include delays in execution of the planned initiatives, additional unexpected costs, realization of fewer than estimated productivity improvements and adverse effects on employee morale. We may not realize the full operational or financial benefits we expect, the recognition of these benefits may be delayed and these actions may potentially disrupt our operations. In addition, organizational changes, attrition, labor relations difficulties, or workforce stoppage could have a material adverse effect on our business, reputation, financial position and results of operations.</w:t>
      </w:r>
    </w:p>
    <w:p>
      <w:pPr>
        <w:spacing w:after="0" w:line="16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As a supplier to the U.S. Government, we are subject to unique risks, such as the right of the U.S. Government to terminate contracts for convenience and to conduct audits and investigations of our operations and performance.</w:t>
      </w:r>
    </w:p>
    <w:p>
      <w:pPr>
        <w:spacing w:after="0" w:line="16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U.S. Government contracts are subject to termination by the government, either for the convenience of the government or for our failure to perform consistent with the terms of the applicable contract. Our contracts with the U.S. Government are also subject to government audits that may recommend downward price adjustments and other changes. When appropriate and prudent, we have made adjustments and paid voluntary refunds in the past and may do so in the future.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also subject to government investigations of business practices and compliance with government</w:t>
      </w:r>
    </w:p>
    <w:p>
      <w:pPr>
        <w:spacing w:after="0" w:line="17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0" w:name="page11"/>
    <w:bookmarkEnd w:id="10"/>
    <w:p>
      <w:pPr>
        <w:jc w:val="both"/>
        <w:spacing w:after="0" w:line="239" w:lineRule="auto"/>
        <w:rPr>
          <w:sz w:val="20"/>
          <w:szCs w:val="20"/>
          <w:color w:val="auto"/>
        </w:rPr>
      </w:pPr>
      <w:r>
        <w:rPr>
          <w:rFonts w:ascii="Arial" w:cs="Arial" w:eastAsia="Arial" w:hAnsi="Arial"/>
          <w:sz w:val="18"/>
          <w:szCs w:val="18"/>
          <w:color w:val="auto"/>
        </w:rPr>
        <w:t>procurement regulations. If, as a result of any such investigation or other government investigations (including investigation of violations of certain environmental, employment or export laws), Honeywell or one of its businesses were found to have violated applicable law, then it could be suspended from bidding on or receiving awards of new government contracts, suspended from contract performance pending the completion of legal proceedings and/or have its export privileges suspended.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and the prior operations of predecessor companies expose us to the risk of material environmental liabilities.</w:t>
      </w:r>
    </w:p>
    <w:p>
      <w:pPr>
        <w:spacing w:after="0" w:line="22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Mainly because of past operations and operations of predecessor companies, we are subject to potentially material liabilities related to the remediation of environmental hazards and to claims of personal injuries or property damages that may be caused by hazardous substance releases and exposures. We continue to incur remedial response and voluntary clean-up costs for site contamination and are a party to lawsuits and claims associated with environmental and safety matters, including past production of products containing hazardous substances. Additional lawsuits, claims and costs involving environmental matters are likely to continue to arise in the future. Various federal, state, local and foreign governments regulate the discharge of materials into the environment and can impose substantial fines and criminal sanctions for violations, and require installation of costly equipment or operational changes to limit emissions and/or decrease the likelihood of accidental hazardous substance releases. In addition, changes in laws, regulations and enforcement of policies, the discovery of previously unknown contamination or new technology or information related to individual sites, the establishment of stricter state or federal toxicity standards with respect to certain contaminants, or the imposition of new clean-up requirements or remedial techniques could require us to incur additional costs in the future that would have a negative effect on our financial condition or results of operations.</w:t>
      </w:r>
    </w:p>
    <w:p>
      <w:pPr>
        <w:spacing w:after="0" w:line="170"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Cybersecurity incidents could disrupt business operations, result in the loss of critical and confidential information, and adversely impact our reputation and results of operations.</w:t>
      </w:r>
    </w:p>
    <w:p>
      <w:pPr>
        <w:spacing w:after="0" w:line="16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Global cybersecurity threats and incidents can range from uncoordinated individual attempts to gain unauthorized access to information technology (IT) systems to sophisticated and targeted measures known as advanced persistent threats, directed at the Company, its products, its customers and/or its third party service providers including cloud providers. Our customers, including the U.S. government, are increasingly requiring cybersecurity protections and mandating cybersecurity standards in our products, and we may incur additional costs to comply with such demands. While we have experienced, and expect to continue to experience, these types of threats and incidents, none of them to date have been material to the Company. We seek to deploy comprehensive measures to deter, prevent, detect, respond to and mitigate these threats, including identity and access controls, data protection, vulnerability assessments, product software designs which we believe are less susceptible to cyber attacks, continuous monitoring of our IT networks and systems and maintenance of backup and protective systems. Despite these efforts, cybersecurity incidents, depending on their nature and scope, could potentially result in the misappropriation, destruction, corruption or unavailability of critical data and confidential or proprietary information (our own or that of third parties) and the disruption of business operations. Cybersecurity incidents aimed at the software imbedded in our products could lead to third party claims that our product failures have caused a similar range of damages to our customers, and this risk is enhanced by the increasingly connected nature of our products. The potential consequences of a material cybersecurity incident include financial loss, reputational damage, litigation with third parties, theft of intellectual property, fines levied by the Federal Trade Commission, diminution in the value of our investment in research, development and engineering, and increased cybersecurity protection and remediation costs due to the increasing sophistication and proliferation of threats, which in turn could adversely affect our competitiveness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and Regulatory Risks</w:t>
      </w:r>
    </w:p>
    <w:p>
      <w:pPr>
        <w:spacing w:after="0" w:line="19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Our U.S. and non-U.S. tax liabilities are dependent, in part, upon the distribution of income among various jurisdictions in which we operate.</w:t>
      </w:r>
    </w:p>
    <w:p>
      <w:pPr>
        <w:spacing w:after="0" w:line="16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Our future results of operations could be adversely affected by changes in the effective tax rate as a result of a change in the mix of earnings in countries with differing statutory tax rates, changes in tax laws, regulations and judicial rulings (or changes in the interpretation thereof), changes in generally accepted accounting principles, changes in the valuation of deferred tax assets and liabilities, changes in the amount of earnings permanently reinvested offshore, the results of audits and examinations of previously filed tax returns and continuing assessments of our tax exposures and various other governmental enforcement initiatives. Our tax expense includes estimates of tax reserves and reflects other estimates and assumptions, including assessments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1" w:name="page12"/>
    <w:bookmarkEnd w:id="11"/>
    <w:p>
      <w:pPr>
        <w:jc w:val="both"/>
        <w:spacing w:after="0" w:line="238" w:lineRule="auto"/>
        <w:rPr>
          <w:sz w:val="20"/>
          <w:szCs w:val="20"/>
          <w:color w:val="auto"/>
        </w:rPr>
      </w:pPr>
      <w:r>
        <w:rPr>
          <w:rFonts w:ascii="Arial" w:cs="Arial" w:eastAsia="Arial" w:hAnsi="Arial"/>
          <w:sz w:val="18"/>
          <w:szCs w:val="18"/>
          <w:color w:val="auto"/>
        </w:rPr>
        <w:t>of future earnings of the Company which could impact the valuation of our deferred tax assets. Changes in tax laws or regulations, including multi-jurisdictional changes enacted in response to the guidelines provided by the Organization for Economic Co-operation and Development (OECD) to address base erosion and profit shifting, and potential comprehensive U.S. tax reform which, among other things, might change certain U.S. tax rules impacting the way U.S based multinationals are taxed, will increase tax uncertainty and may adversely impact our provision for income taxes.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legislation or government regulations or policies can have a significant impact on our results of operations.</w:t>
      </w:r>
    </w:p>
    <w:p>
      <w:pPr>
        <w:spacing w:after="0" w:line="22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sales and margins of each of our segments are directly impacted by government regulations including safety, performance and product certification regulations. Within Aerospace, the operating results of Commercial Original Equipment and Commercial Aftermarket may be impacted by, among other things, mandates of the Federal Aviation Administration and other similar international regulatory bodies requiring the installation of equipment on aircraft. Our Defense and Space business unit may be affected by changes in government procurement regulations, while emissions, fuel economy and energy efficiency standards for motor vehicles can impact Transportation Systems. Within Home and Building Technologies, the demand for and cost of providing products, services and solutions can be impacted by fire, security, safety, health care, environmental and energy efficiency standards and regulations. Performance Materials and Technologies’ results of operations can be affected by environmental, safety and energy efficiency standards and regulations. Growth in all our businesses within emerging markets may be adversely impacted by the inability to acquire and retain qualified employees where local employment law mandates may be restrictive.</w:t>
      </w:r>
    </w:p>
    <w:p>
      <w:pPr>
        <w:spacing w:after="0" w:line="171" w:lineRule="exact"/>
        <w:rPr>
          <w:sz w:val="20"/>
          <w:szCs w:val="20"/>
          <w:color w:val="auto"/>
        </w:rPr>
      </w:pPr>
    </w:p>
    <w:p>
      <w:pPr>
        <w:ind w:right="1060"/>
        <w:spacing w:after="0" w:line="271" w:lineRule="auto"/>
        <w:rPr>
          <w:sz w:val="20"/>
          <w:szCs w:val="20"/>
          <w:color w:val="auto"/>
        </w:rPr>
      </w:pPr>
      <w:r>
        <w:rPr>
          <w:rFonts w:ascii="Arial" w:cs="Arial" w:eastAsia="Arial" w:hAnsi="Arial"/>
          <w:sz w:val="18"/>
          <w:szCs w:val="18"/>
          <w:b w:val="1"/>
          <w:bCs w:val="1"/>
          <w:i w:val="1"/>
          <w:iCs w:val="1"/>
          <w:color w:val="auto"/>
        </w:rPr>
        <w:t>We cannot predict with certainty the outcome of litigation matters, government proceedings and other contingencies and uncertainties.</w:t>
      </w:r>
    </w:p>
    <w:p>
      <w:pPr>
        <w:spacing w:after="0" w:line="16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We are subject to a number of lawsuits, investigations and disputes (some of which involve substantial amounts claimed) arising out of the conduct of our business, including matters relating to commercial transactions, government contracts, product liability (including asbestos), prior acquisitions and divestitures, employment, employee benefits plans, intellectual property, antitrust, import and export, and environmental, health and safety matters. Our potential liabilities are subject to change over time due to new developments, changes in settlement strategy or the impact of evidentiary requirements, and we may become subject to or be required to pay damage awards or settlements that could have a material adverse effect on our results of operations, cash flows and financial condition. While we maintain insurance for certain risks, the amount of our insurance coverage may not be adequate to cover the total amount of all insured claims and liabilities. The incurrence of significant liabilities for which there is no or insufficient insurance coverage could adversely affect our results of operations, cash flows, liquidity and financial condition.</w:t>
      </w:r>
    </w:p>
    <w:p>
      <w:pPr>
        <w:spacing w:after="0" w:line="162"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1B.</w:t>
      </w:r>
      <w:r>
        <w:rPr>
          <w:sz w:val="20"/>
          <w:szCs w:val="20"/>
          <w:color w:val="auto"/>
        </w:rPr>
        <w:tab/>
      </w:r>
      <w:r>
        <w:rPr>
          <w:rFonts w:ascii="Arial" w:cs="Arial" w:eastAsia="Arial" w:hAnsi="Arial"/>
          <w:sz w:val="21"/>
          <w:szCs w:val="21"/>
          <w:b w:val="1"/>
          <w:bCs w:val="1"/>
          <w:color w:val="auto"/>
        </w:rPr>
        <w:t>Unresolved Staff Comments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21"/>
          <w:szCs w:val="21"/>
          <w:b w:val="1"/>
          <w:bCs w:val="1"/>
          <w:color w:val="auto"/>
        </w:rPr>
        <w:t>Properties</w:t>
      </w:r>
    </w:p>
    <w:p>
      <w:pPr>
        <w:spacing w:after="0" w:line="22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We have approximately 1,346 locations, of which 305 are plants. Our properties and equipment are in good operating condition and are adequate for our present needs. We do not anticipate difficulty in renewing existing leases as they expire or in finding alternative facilities.</w:t>
      </w:r>
    </w:p>
    <w:p>
      <w:pPr>
        <w:spacing w:after="0" w:line="152"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1"/>
          <w:szCs w:val="21"/>
          <w:b w:val="1"/>
          <w:bCs w:val="1"/>
          <w:color w:val="auto"/>
        </w:rPr>
        <w:t>Legal Proceedings</w:t>
      </w:r>
    </w:p>
    <w:p>
      <w:pPr>
        <w:spacing w:after="0" w:line="22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are subject to a number of lawsuits, investigations and claims (some of which involve substantial amounts) arising out of the conduct of our business. See a discussion of environmental, asbestos and other litigation matters in Note 19 Commitments and Contingencies of Notes to Financial Statements.</w:t>
      </w:r>
    </w:p>
    <w:p>
      <w:pPr>
        <w:spacing w:after="0" w:line="158"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21"/>
          <w:szCs w:val="21"/>
          <w:b w:val="1"/>
          <w:bCs w:val="1"/>
          <w:color w:val="auto"/>
        </w:rPr>
        <w:t>Mine Safety Disclosures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22"/>
          <w:szCs w:val="22"/>
          <w:b w:val="1"/>
          <w:bCs w:val="1"/>
          <w:color w:val="auto"/>
        </w:rPr>
        <w:t>Part II.</w:t>
      </w:r>
    </w:p>
    <w:p>
      <w:pPr>
        <w:spacing w:after="0" w:line="193" w:lineRule="exact"/>
        <w:rPr>
          <w:sz w:val="20"/>
          <w:szCs w:val="20"/>
          <w:color w:val="auto"/>
        </w:rPr>
      </w:pPr>
    </w:p>
    <w:p>
      <w:pPr>
        <w:ind w:left="1160" w:right="620" w:hanging="1147"/>
        <w:spacing w:after="0" w:line="261" w:lineRule="auto"/>
        <w:tabs>
          <w:tab w:leader="none" w:pos="114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22"/>
          <w:szCs w:val="22"/>
          <w:b w:val="1"/>
          <w:bCs w:val="1"/>
          <w:color w:val="auto"/>
        </w:rPr>
        <w:t>Market for Registrant’s Common Equity, Related Stockholder Matters and Issuer Purchases of Equity Securities</w:t>
      </w:r>
    </w:p>
    <w:p>
      <w:pPr>
        <w:spacing w:after="0" w:line="170"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Honeywell’s common stock is listed on the New York Stock Exchange. Market and dividend information for Honeywell’s common stock is included in Note 24 Unaudited Quarterly Financial Information of Notes to Financial Statements.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number of record holders of our common stock at December 31, 2016 was 50,891.</w:t>
      </w:r>
    </w:p>
    <w:p>
      <w:pPr>
        <w:spacing w:after="0" w:line="198"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Information regarding securities authorized for issuance under equity compensation plans is included in Item 12. Security Ownership of Certain Beneficial Owners and Management and Related Stockholder Matters under the caption “Equity Compensation Plans.”</w:t>
      </w:r>
    </w:p>
    <w:p>
      <w:pPr>
        <w:spacing w:after="0" w:line="18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Honeywell purchased 2,000,000 shares of its common stock, par value $1 per share, in the quarter ending December 31, 2016. Under the Company’s previously reported $5 billion share repurchase program, of which $4.1 billion remained available as of December 31, 2016 for additional share repurchases. Honeywell presently expects to repurchase outstanding shares from time to time to generally offset the dilutive impact of employee stock based compensation plans, including option exercises, restricted unit vesting and matching contributions under our savings plans. The amount and timing of future repurchases may vary depending on market conditions and the level of our operating, financing and other investing activities.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Honeywell’s purchase of its common stock for the three months ended December 31, 2016:</w:t>
      </w:r>
    </w:p>
    <w:p>
      <w:pPr>
        <w:spacing w:after="0" w:line="186"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14" w:lineRule="exact"/>
        <w:rPr>
          <w:sz w:val="20"/>
          <w:szCs w:val="20"/>
          <w:color w:val="auto"/>
        </w:rPr>
      </w:pPr>
    </w:p>
    <w:tbl>
      <w:tblPr>
        <w:tblLayout w:type="fixed"/>
        <w:tblInd w:w="580" w:type="dxa"/>
        <w:tblCellMar>
          <w:top w:w="0" w:type="dxa"/>
          <w:left w:w="0" w:type="dxa"/>
          <w:bottom w:w="0" w:type="dxa"/>
          <w:right w:w="0" w:type="dxa"/>
        </w:tblCellMar>
      </w:tblPr>
      <w:tr>
        <w:trPr>
          <w:trHeight w:val="142"/>
        </w:trPr>
        <w:tc>
          <w:tcPr>
            <w:tcW w:w="23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w w:val="99"/>
              </w:rPr>
              <w:t>Total Number</w:t>
            </w:r>
          </w:p>
        </w:tc>
        <w:tc>
          <w:tcPr>
            <w:tcW w:w="17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Approximate Dollar</w:t>
            </w:r>
          </w:p>
        </w:tc>
      </w:tr>
      <w:tr>
        <w:trPr>
          <w:trHeight w:val="162"/>
        </w:trPr>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of Shares</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Value of Shares that</w:t>
            </w:r>
          </w:p>
        </w:tc>
      </w:tr>
      <w:tr>
        <w:trPr>
          <w:trHeight w:val="162"/>
        </w:trPr>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1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Purchased as</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May Yet be Purchased</w:t>
            </w:r>
          </w:p>
        </w:tc>
      </w:tr>
      <w:tr>
        <w:trPr>
          <w:trHeight w:val="162"/>
        </w:trPr>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Number of</w:t>
            </w:r>
          </w:p>
        </w:tc>
        <w:tc>
          <w:tcPr>
            <w:tcW w:w="2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Average</w:t>
            </w: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Part of Publicly</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Under Plans or</w:t>
            </w:r>
          </w:p>
        </w:tc>
      </w:tr>
      <w:tr>
        <w:trPr>
          <w:trHeight w:val="162"/>
        </w:trPr>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Shares</w:t>
            </w:r>
          </w:p>
        </w:tc>
        <w:tc>
          <w:tcPr>
            <w:tcW w:w="2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 Paid</w:t>
            </w:r>
          </w:p>
        </w:tc>
        <w:tc>
          <w:tcPr>
            <w:tcW w:w="1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Announced Plans</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Programs</w:t>
            </w:r>
          </w:p>
        </w:tc>
      </w:tr>
      <w:tr>
        <w:trPr>
          <w:trHeight w:val="175"/>
        </w:trPr>
        <w:tc>
          <w:tcPr>
            <w:tcW w:w="2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Period</w:t>
            </w: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Purchased</w:t>
            </w:r>
          </w:p>
        </w:tc>
        <w:tc>
          <w:tcPr>
            <w:tcW w:w="2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per Share</w:t>
            </w: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or Programs</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(Dollars in millions)</w:t>
            </w:r>
          </w:p>
        </w:tc>
      </w:tr>
      <w:tr>
        <w:trPr>
          <w:trHeight w:val="210"/>
        </w:trPr>
        <w:tc>
          <w:tcPr>
            <w:tcW w:w="2380" w:type="dxa"/>
            <w:vAlign w:val="bottom"/>
            <w:tcBorders>
              <w:top w:val="single" w:sz="8" w:color="auto"/>
            </w:tcBorders>
          </w:tcPr>
          <w:p>
            <w:pPr>
              <w:jc w:val="center"/>
              <w:ind w:left="79"/>
              <w:spacing w:after="0"/>
              <w:rPr>
                <w:sz w:val="20"/>
                <w:szCs w:val="20"/>
                <w:color w:val="auto"/>
              </w:rPr>
            </w:pPr>
            <w:r>
              <w:rPr>
                <w:rFonts w:ascii="Arial" w:cs="Arial" w:eastAsia="Arial" w:hAnsi="Arial"/>
                <w:sz w:val="18"/>
                <w:szCs w:val="18"/>
                <w:color w:val="auto"/>
              </w:rPr>
              <w:t>October 2016</w:t>
            </w:r>
          </w:p>
        </w:tc>
        <w:tc>
          <w:tcPr>
            <w:tcW w:w="300" w:type="dxa"/>
            <w:vAlign w:val="bottom"/>
          </w:tcPr>
          <w:p>
            <w:pPr>
              <w:spacing w:after="0"/>
              <w:rPr>
                <w:sz w:val="18"/>
                <w:szCs w:val="18"/>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2,000,000</w:t>
            </w:r>
          </w:p>
        </w:tc>
        <w:tc>
          <w:tcPr>
            <w:tcW w:w="300" w:type="dxa"/>
            <w:vAlign w:val="bottom"/>
          </w:tcPr>
          <w:p>
            <w:pPr>
              <w:spacing w:after="0"/>
              <w:rPr>
                <w:sz w:val="18"/>
                <w:szCs w:val="18"/>
                <w:color w:val="auto"/>
              </w:rPr>
            </w:pP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$106.56</w:t>
            </w:r>
          </w:p>
        </w:tc>
        <w:tc>
          <w:tcPr>
            <w:tcW w:w="280" w:type="dxa"/>
            <w:vAlign w:val="bottom"/>
          </w:tcPr>
          <w:p>
            <w:pPr>
              <w:spacing w:after="0"/>
              <w:rPr>
                <w:sz w:val="18"/>
                <w:szCs w:val="18"/>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2,000,000</w:t>
            </w:r>
          </w:p>
        </w:tc>
        <w:tc>
          <w:tcPr>
            <w:tcW w:w="3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$4,077</w:t>
            </w:r>
          </w:p>
        </w:tc>
      </w:tr>
    </w:tbl>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22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following graph compares the five-year cumulative total return on our common stock to the total returns on the Standard &amp; Poor’s (S&amp;P) 500 Stock Index and a composite of S&amp;P’s Industrial Conglomerates and Aerospace and Defense indices, on a 65%/35% weighted basis (the Composite Index). The weighting of the components of the Composite Index are based on our segments’ relative contribution to total segment profit. The selection of the Industrial Conglomerates component of the Composite Index reflects the diverse and distinct range of non-aerospace businesses conducted by Honeywell. The annual changes for the five-year period shown in the graph are based on the assumption that $100 had been invested in Honeywell stock and each index on December 31, 2011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122555</wp:posOffset>
            </wp:positionV>
            <wp:extent cx="5299710" cy="36449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99710" cy="364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 2011</w:t>
            </w: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 2012</w:t>
            </w: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 2013</w:t>
            </w:r>
          </w:p>
        </w:tc>
        <w:tc>
          <w:tcPr>
            <w:tcW w:w="130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 2014</w:t>
            </w:r>
          </w:p>
        </w:tc>
        <w:tc>
          <w:tcPr>
            <w:tcW w:w="130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 2015</w:t>
            </w:r>
          </w:p>
        </w:tc>
        <w:tc>
          <w:tcPr>
            <w:tcW w:w="1080" w:type="dxa"/>
            <w:vAlign w:val="bottom"/>
          </w:tcPr>
          <w:p>
            <w:pPr>
              <w:jc w:val="right"/>
              <w:ind w:right="134"/>
              <w:spacing w:after="0"/>
              <w:rPr>
                <w:sz w:val="20"/>
                <w:szCs w:val="20"/>
                <w:color w:val="auto"/>
              </w:rPr>
            </w:pPr>
            <w:r>
              <w:rPr>
                <w:rFonts w:ascii="Arial" w:cs="Arial" w:eastAsia="Arial" w:hAnsi="Arial"/>
                <w:sz w:val="14"/>
                <w:szCs w:val="14"/>
                <w:b w:val="1"/>
                <w:bCs w:val="1"/>
                <w:color w:val="auto"/>
              </w:rPr>
              <w:t>Dec 2016</w:t>
            </w:r>
          </w:p>
        </w:tc>
        <w:tc>
          <w:tcPr>
            <w:tcW w:w="260" w:type="dxa"/>
            <w:vAlign w:val="bottom"/>
          </w:tcPr>
          <w:p>
            <w:pPr>
              <w:spacing w:after="0"/>
              <w:rPr>
                <w:sz w:val="15"/>
                <w:szCs w:val="15"/>
                <w:color w:val="auto"/>
              </w:rPr>
            </w:pPr>
          </w:p>
        </w:tc>
      </w:tr>
      <w:tr>
        <w:trPr>
          <w:trHeight w:val="196"/>
        </w:trPr>
        <w:tc>
          <w:tcPr>
            <w:tcW w:w="3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260" w:type="dxa"/>
            <w:vAlign w:val="bottom"/>
            <w:shd w:val="clear" w:color="auto" w:fill="E5FFFF"/>
          </w:tcPr>
          <w:p>
            <w:pPr>
              <w:spacing w:after="0"/>
              <w:rPr>
                <w:sz w:val="20"/>
                <w:szCs w:val="20"/>
                <w:color w:val="auto"/>
              </w:rPr>
            </w:pPr>
            <w:r>
              <w:rPr>
                <w:rFonts w:ascii="Arial" w:cs="Arial" w:eastAsia="Arial" w:hAnsi="Arial"/>
                <w:sz w:val="16"/>
                <w:szCs w:val="16"/>
                <w:color w:val="auto"/>
              </w:rPr>
              <w:t>Honeywell</w:t>
            </w:r>
          </w:p>
        </w:tc>
        <w:tc>
          <w:tcPr>
            <w:tcW w:w="108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100</w:t>
            </w:r>
          </w:p>
        </w:tc>
        <w:tc>
          <w:tcPr>
            <w:tcW w:w="22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119.85</w:t>
            </w:r>
          </w:p>
        </w:tc>
        <w:tc>
          <w:tcPr>
            <w:tcW w:w="22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176.23</w:t>
            </w:r>
          </w:p>
        </w:tc>
        <w:tc>
          <w:tcPr>
            <w:tcW w:w="200" w:type="dxa"/>
            <w:vAlign w:val="bottom"/>
            <w:shd w:val="clear" w:color="auto" w:fill="E5FFFF"/>
          </w:tcPr>
          <w:p>
            <w:pPr>
              <w:spacing w:after="0"/>
              <w:rPr>
                <w:sz w:val="17"/>
                <w:szCs w:val="17"/>
                <w:color w:val="auto"/>
              </w:rPr>
            </w:pPr>
          </w:p>
        </w:tc>
        <w:tc>
          <w:tcPr>
            <w:tcW w:w="110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196.52</w:t>
            </w:r>
          </w:p>
        </w:tc>
        <w:tc>
          <w:tcPr>
            <w:tcW w:w="2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208.00</w:t>
            </w:r>
          </w:p>
        </w:tc>
        <w:tc>
          <w:tcPr>
            <w:tcW w:w="22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239.26</w:t>
            </w:r>
          </w:p>
        </w:tc>
        <w:tc>
          <w:tcPr>
            <w:tcW w:w="260" w:type="dxa"/>
            <w:vAlign w:val="bottom"/>
          </w:tcPr>
          <w:p>
            <w:pPr>
              <w:spacing w:after="0"/>
              <w:rPr>
                <w:sz w:val="17"/>
                <w:szCs w:val="17"/>
                <w:color w:val="auto"/>
              </w:rPr>
            </w:pPr>
          </w:p>
        </w:tc>
      </w:tr>
      <w:tr>
        <w:trPr>
          <w:trHeight w:val="230"/>
        </w:trPr>
        <w:tc>
          <w:tcPr>
            <w:tcW w:w="340" w:type="dxa"/>
            <w:vAlign w:val="bottom"/>
          </w:tcPr>
          <w:p>
            <w:pPr>
              <w:spacing w:after="0"/>
              <w:rPr>
                <w:sz w:val="19"/>
                <w:szCs w:val="19"/>
                <w:color w:val="auto"/>
              </w:rPr>
            </w:pPr>
          </w:p>
        </w:tc>
        <w:tc>
          <w:tcPr>
            <w:tcW w:w="3260" w:type="dxa"/>
            <w:vAlign w:val="bottom"/>
          </w:tcPr>
          <w:p>
            <w:pPr>
              <w:spacing w:after="0" w:line="230" w:lineRule="exact"/>
              <w:rPr>
                <w:sz w:val="20"/>
                <w:szCs w:val="20"/>
                <w:color w:val="auto"/>
              </w:rPr>
            </w:pPr>
            <w:r>
              <w:rPr>
                <w:rFonts w:ascii="Arial" w:cs="Arial" w:eastAsia="Arial" w:hAnsi="Arial"/>
                <w:sz w:val="16"/>
                <w:szCs w:val="16"/>
                <w:color w:val="auto"/>
              </w:rPr>
              <w:t>S&amp;P 500 Index</w:t>
            </w:r>
            <w:r>
              <w:rPr>
                <w:rFonts w:ascii="Arial" w:cs="Arial" w:eastAsia="Arial" w:hAnsi="Arial"/>
                <w:sz w:val="26"/>
                <w:szCs w:val="26"/>
                <w:color w:val="auto"/>
                <w:vertAlign w:val="superscript"/>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116.00</w:t>
            </w:r>
          </w:p>
        </w:tc>
        <w:tc>
          <w:tcPr>
            <w:tcW w:w="22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153.57</w:t>
            </w:r>
          </w:p>
        </w:tc>
        <w:tc>
          <w:tcPr>
            <w:tcW w:w="20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174.60</w:t>
            </w:r>
          </w:p>
        </w:tc>
        <w:tc>
          <w:tcPr>
            <w:tcW w:w="200" w:type="dxa"/>
            <w:vAlign w:val="bottom"/>
          </w:tcPr>
          <w:p>
            <w:pPr>
              <w:spacing w:after="0"/>
              <w:rPr>
                <w:sz w:val="19"/>
                <w:szCs w:val="19"/>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177.01</w:t>
            </w:r>
          </w:p>
        </w:tc>
        <w:tc>
          <w:tcPr>
            <w:tcW w:w="220" w:type="dxa"/>
            <w:vAlign w:val="bottom"/>
          </w:tcPr>
          <w:p>
            <w:pPr>
              <w:spacing w:after="0"/>
              <w:rPr>
                <w:sz w:val="19"/>
                <w:szCs w:val="19"/>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198.18</w:t>
            </w:r>
          </w:p>
        </w:tc>
        <w:tc>
          <w:tcPr>
            <w:tcW w:w="260" w:type="dxa"/>
            <w:vAlign w:val="bottom"/>
          </w:tcPr>
          <w:p>
            <w:pPr>
              <w:spacing w:after="0"/>
              <w:rPr>
                <w:sz w:val="19"/>
                <w:szCs w:val="19"/>
                <w:color w:val="auto"/>
              </w:rPr>
            </w:pPr>
          </w:p>
        </w:tc>
      </w:tr>
      <w:tr>
        <w:trPr>
          <w:trHeight w:val="203"/>
        </w:trPr>
        <w:tc>
          <w:tcPr>
            <w:tcW w:w="340" w:type="dxa"/>
            <w:vAlign w:val="bottom"/>
          </w:tcPr>
          <w:p>
            <w:pPr>
              <w:spacing w:after="0"/>
              <w:rPr>
                <w:sz w:val="17"/>
                <w:szCs w:val="17"/>
                <w:color w:val="auto"/>
              </w:rPr>
            </w:pPr>
          </w:p>
        </w:tc>
        <w:tc>
          <w:tcPr>
            <w:tcW w:w="3260" w:type="dxa"/>
            <w:vAlign w:val="bottom"/>
            <w:shd w:val="clear" w:color="auto" w:fill="E5FFFF"/>
          </w:tcPr>
          <w:p>
            <w:pPr>
              <w:spacing w:after="0"/>
              <w:rPr>
                <w:sz w:val="20"/>
                <w:szCs w:val="20"/>
                <w:color w:val="auto"/>
              </w:rPr>
            </w:pPr>
            <w:r>
              <w:rPr>
                <w:rFonts w:ascii="Arial" w:cs="Arial" w:eastAsia="Arial" w:hAnsi="Arial"/>
                <w:sz w:val="16"/>
                <w:szCs w:val="16"/>
                <w:color w:val="auto"/>
              </w:rPr>
              <w:t>Composite Index</w:t>
            </w:r>
          </w:p>
        </w:tc>
        <w:tc>
          <w:tcPr>
            <w:tcW w:w="108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100</w:t>
            </w:r>
          </w:p>
        </w:tc>
        <w:tc>
          <w:tcPr>
            <w:tcW w:w="22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117.94</w:t>
            </w:r>
          </w:p>
        </w:tc>
        <w:tc>
          <w:tcPr>
            <w:tcW w:w="22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172.09</w:t>
            </w:r>
          </w:p>
        </w:tc>
        <w:tc>
          <w:tcPr>
            <w:tcW w:w="200" w:type="dxa"/>
            <w:vAlign w:val="bottom"/>
            <w:shd w:val="clear" w:color="auto" w:fill="E5FFFF"/>
          </w:tcPr>
          <w:p>
            <w:pPr>
              <w:spacing w:after="0"/>
              <w:rPr>
                <w:sz w:val="17"/>
                <w:szCs w:val="17"/>
                <w:color w:val="auto"/>
              </w:rPr>
            </w:pPr>
          </w:p>
        </w:tc>
        <w:tc>
          <w:tcPr>
            <w:tcW w:w="110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180.52</w:t>
            </w:r>
          </w:p>
        </w:tc>
        <w:tc>
          <w:tcPr>
            <w:tcW w:w="2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203.72</w:t>
            </w:r>
          </w:p>
        </w:tc>
        <w:tc>
          <w:tcPr>
            <w:tcW w:w="22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228.82</w:t>
            </w:r>
          </w:p>
        </w:tc>
        <w:tc>
          <w:tcPr>
            <w:tcW w:w="260" w:type="dxa"/>
            <w:vAlign w:val="bottom"/>
          </w:tcPr>
          <w:p>
            <w:pPr>
              <w:spacing w:after="0"/>
              <w:rPr>
                <w:sz w:val="17"/>
                <w:szCs w:val="17"/>
                <w:color w:val="auto"/>
              </w:rPr>
            </w:pPr>
          </w:p>
        </w:tc>
      </w:tr>
      <w:tr>
        <w:trPr>
          <w:trHeight w:val="405"/>
        </w:trPr>
        <w:tc>
          <w:tcPr>
            <w:tcW w:w="3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50"/>
        </w:trPr>
        <w:tc>
          <w:tcPr>
            <w:tcW w:w="340" w:type="dxa"/>
            <w:vAlign w:val="bottom"/>
            <w:tcBorders>
              <w:bottom w:val="single" w:sz="8" w:color="C0C0C0"/>
            </w:tcBorders>
          </w:tcPr>
          <w:p>
            <w:pPr>
              <w:spacing w:after="0"/>
              <w:rPr>
                <w:sz w:val="21"/>
                <w:szCs w:val="21"/>
                <w:color w:val="auto"/>
              </w:rPr>
            </w:pPr>
          </w:p>
        </w:tc>
        <w:tc>
          <w:tcPr>
            <w:tcW w:w="3260" w:type="dxa"/>
            <w:vAlign w:val="bottom"/>
            <w:tcBorders>
              <w:bottom w:val="single" w:sz="8" w:color="C0C0C0"/>
            </w:tcBorders>
          </w:tcPr>
          <w:p>
            <w:pPr>
              <w:spacing w:after="0"/>
              <w:rPr>
                <w:sz w:val="21"/>
                <w:szCs w:val="21"/>
                <w:color w:val="auto"/>
              </w:rPr>
            </w:pPr>
          </w:p>
        </w:tc>
        <w:tc>
          <w:tcPr>
            <w:tcW w:w="108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108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1080" w:type="dxa"/>
            <w:vAlign w:val="bottom"/>
            <w:tcBorders>
              <w:bottom w:val="single" w:sz="8" w:color="C0C0C0"/>
            </w:tcBorders>
          </w:tcPr>
          <w:p>
            <w:pPr>
              <w:spacing w:after="0"/>
              <w:rPr>
                <w:sz w:val="21"/>
                <w:szCs w:val="21"/>
                <w:color w:val="auto"/>
              </w:rPr>
            </w:pPr>
          </w:p>
        </w:tc>
        <w:tc>
          <w:tcPr>
            <w:tcW w:w="200" w:type="dxa"/>
            <w:vAlign w:val="bottom"/>
            <w:tcBorders>
              <w:bottom w:val="single" w:sz="8" w:color="C0C0C0"/>
            </w:tcBorders>
          </w:tcPr>
          <w:p>
            <w:pPr>
              <w:spacing w:after="0"/>
              <w:rPr>
                <w:sz w:val="21"/>
                <w:szCs w:val="21"/>
                <w:color w:val="auto"/>
              </w:rPr>
            </w:pPr>
          </w:p>
        </w:tc>
        <w:tc>
          <w:tcPr>
            <w:tcW w:w="1100" w:type="dxa"/>
            <w:vAlign w:val="bottom"/>
            <w:tcBorders>
              <w:bottom w:val="single" w:sz="8" w:color="C0C0C0"/>
            </w:tcBorders>
          </w:tcPr>
          <w:p>
            <w:pPr>
              <w:spacing w:after="0"/>
              <w:rPr>
                <w:sz w:val="21"/>
                <w:szCs w:val="21"/>
                <w:color w:val="auto"/>
              </w:rPr>
            </w:pPr>
          </w:p>
        </w:tc>
        <w:tc>
          <w:tcPr>
            <w:tcW w:w="200" w:type="dxa"/>
            <w:vAlign w:val="bottom"/>
            <w:tcBorders>
              <w:bottom w:val="single" w:sz="8" w:color="C0C0C0"/>
            </w:tcBorders>
          </w:tcPr>
          <w:p>
            <w:pPr>
              <w:spacing w:after="0"/>
              <w:rPr>
                <w:sz w:val="21"/>
                <w:szCs w:val="21"/>
                <w:color w:val="auto"/>
              </w:rPr>
            </w:pPr>
          </w:p>
        </w:tc>
        <w:tc>
          <w:tcPr>
            <w:tcW w:w="108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108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65"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This selected financial data should be read in conjunction with Honeywell’s Consolidated Financial Statements and related Notes included elsewhere in this Annual Report as well as the section of this Annual Report titled Item 7. Management’s Discussion and Analysis of Financial Condition and Results of Operations.</w:t>
      </w:r>
    </w:p>
    <w:p>
      <w:pPr>
        <w:spacing w:after="0" w:line="158"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21"/>
          <w:szCs w:val="21"/>
          <w:b w:val="1"/>
          <w:bCs w:val="1"/>
          <w:color w:val="auto"/>
        </w:rPr>
        <w:t>Selected Financial Data</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jc w:val="center"/>
              <w:ind w:right="170"/>
              <w:spacing w:after="0"/>
              <w:rPr>
                <w:sz w:val="20"/>
                <w:szCs w:val="20"/>
                <w:color w:val="auto"/>
              </w:rPr>
            </w:pPr>
            <w:r>
              <w:rPr>
                <w:rFonts w:ascii="Arial" w:cs="Arial" w:eastAsia="Arial" w:hAnsi="Arial"/>
                <w:sz w:val="14"/>
                <w:szCs w:val="14"/>
                <w:b w:val="1"/>
                <w:bCs w:val="1"/>
                <w:color w:val="auto"/>
              </w:rPr>
              <w:t>Years Ended December 31,</w:t>
            </w:r>
          </w:p>
        </w:tc>
        <w:tc>
          <w:tcPr>
            <w:tcW w:w="10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980" w:type="dxa"/>
            <w:vAlign w:val="bottom"/>
            <w:gridSpan w:val="5"/>
          </w:tcPr>
          <w:p>
            <w:pPr>
              <w:jc w:val="center"/>
              <w:ind w:right="331"/>
              <w:spacing w:after="0"/>
              <w:rPr>
                <w:sz w:val="20"/>
                <w:szCs w:val="20"/>
                <w:color w:val="auto"/>
              </w:rPr>
            </w:pPr>
            <w:r>
              <w:rPr>
                <w:rFonts w:ascii="Arial" w:cs="Arial" w:eastAsia="Arial" w:hAnsi="Arial"/>
                <w:sz w:val="14"/>
                <w:szCs w:val="14"/>
                <w:b w:val="1"/>
                <w:bCs w:val="1"/>
                <w:color w:val="auto"/>
              </w:rPr>
              <w:t>(Dollars in millions, except per share amounts)</w:t>
            </w: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4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2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Results of Operations</w:t>
            </w:r>
          </w:p>
        </w:tc>
        <w:tc>
          <w:tcPr>
            <w:tcW w:w="28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64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Pr>
          <w:p>
            <w:pPr>
              <w:ind w:left="160"/>
              <w:spacing w:after="0" w:line="202" w:lineRule="exact"/>
              <w:rPr>
                <w:sz w:val="20"/>
                <w:szCs w:val="20"/>
                <w:color w:val="auto"/>
              </w:rPr>
            </w:pPr>
            <w:r>
              <w:rPr>
                <w:rFonts w:ascii="Arial" w:cs="Arial" w:eastAsia="Arial" w:hAnsi="Arial"/>
                <w:sz w:val="18"/>
                <w:szCs w:val="18"/>
                <w:color w:val="auto"/>
              </w:rPr>
              <w:t>Net sales</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39,302</w:t>
            </w:r>
          </w:p>
        </w:tc>
        <w:tc>
          <w:tcPr>
            <w:tcW w:w="5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38,581</w:t>
            </w:r>
          </w:p>
        </w:tc>
        <w:tc>
          <w:tcPr>
            <w:tcW w:w="640" w:type="dxa"/>
            <w:vAlign w:val="bottom"/>
          </w:tcPr>
          <w:p>
            <w:pPr>
              <w:jc w:val="right"/>
              <w:ind w:right="99"/>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40,306</w:t>
            </w:r>
          </w:p>
        </w:tc>
        <w:tc>
          <w:tcPr>
            <w:tcW w:w="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39,055</w:t>
            </w:r>
          </w:p>
        </w:tc>
        <w:tc>
          <w:tcPr>
            <w:tcW w:w="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37,665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Net income attributable to Honeywell</w:t>
            </w:r>
          </w:p>
        </w:tc>
        <w:tc>
          <w:tcPr>
            <w:tcW w:w="280" w:type="dxa"/>
            <w:vAlign w:val="bottom"/>
            <w:shd w:val="clear" w:color="auto" w:fill="E5FFFF"/>
          </w:tcPr>
          <w:p>
            <w:pPr>
              <w:spacing w:after="0"/>
              <w:rPr>
                <w:sz w:val="17"/>
                <w:szCs w:val="17"/>
                <w:color w:val="auto"/>
              </w:rPr>
            </w:pPr>
          </w:p>
        </w:tc>
        <w:tc>
          <w:tcPr>
            <w:tcW w:w="10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4,809</w:t>
            </w:r>
          </w:p>
        </w:tc>
        <w:tc>
          <w:tcPr>
            <w:tcW w:w="52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4,768</w:t>
            </w:r>
          </w:p>
        </w:tc>
        <w:tc>
          <w:tcPr>
            <w:tcW w:w="64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71"/>
              <w:spacing w:after="0" w:line="202" w:lineRule="exact"/>
              <w:rPr>
                <w:sz w:val="20"/>
                <w:szCs w:val="20"/>
                <w:color w:val="auto"/>
              </w:rPr>
            </w:pPr>
            <w:r>
              <w:rPr>
                <w:rFonts w:ascii="Arial" w:cs="Arial" w:eastAsia="Arial" w:hAnsi="Arial"/>
                <w:sz w:val="18"/>
                <w:szCs w:val="18"/>
                <w:color w:val="auto"/>
              </w:rPr>
              <w:t>4,239</w:t>
            </w:r>
          </w:p>
        </w:tc>
        <w:tc>
          <w:tcPr>
            <w:tcW w:w="44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71"/>
              <w:spacing w:after="0" w:line="202" w:lineRule="exact"/>
              <w:rPr>
                <w:sz w:val="20"/>
                <w:szCs w:val="20"/>
                <w:color w:val="auto"/>
              </w:rPr>
            </w:pPr>
            <w:r>
              <w:rPr>
                <w:rFonts w:ascii="Arial" w:cs="Arial" w:eastAsia="Arial" w:hAnsi="Arial"/>
                <w:sz w:val="18"/>
                <w:szCs w:val="18"/>
                <w:color w:val="auto"/>
              </w:rPr>
              <w:t>3,924</w:t>
            </w:r>
          </w:p>
        </w:tc>
        <w:tc>
          <w:tcPr>
            <w:tcW w:w="440" w:type="dxa"/>
            <w:vAlign w:val="bottom"/>
            <w:shd w:val="clear" w:color="auto" w:fill="E5FFFF"/>
          </w:tcPr>
          <w:p>
            <w:pPr>
              <w:spacing w:after="0"/>
              <w:rPr>
                <w:sz w:val="17"/>
                <w:szCs w:val="17"/>
                <w:color w:val="auto"/>
              </w:rPr>
            </w:pPr>
          </w:p>
        </w:tc>
        <w:tc>
          <w:tcPr>
            <w:tcW w:w="9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2,926</w:t>
            </w:r>
          </w:p>
        </w:tc>
        <w:tc>
          <w:tcPr>
            <w:tcW w:w="0" w:type="dxa"/>
            <w:vAlign w:val="bottom"/>
          </w:tcPr>
          <w:p>
            <w:pPr>
              <w:spacing w:after="0"/>
              <w:rPr>
                <w:sz w:val="1"/>
                <w:szCs w:val="1"/>
                <w:color w:val="auto"/>
              </w:rPr>
            </w:pPr>
          </w:p>
        </w:tc>
      </w:tr>
      <w:tr>
        <w:trPr>
          <w:trHeight w:val="405"/>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Earnings Per Common Share</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Earnings from continuing operations:</w:t>
            </w:r>
          </w:p>
        </w:tc>
        <w:tc>
          <w:tcPr>
            <w:tcW w:w="28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64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Pr>
          <w:p>
            <w:pPr>
              <w:ind w:left="400"/>
              <w:spacing w:after="0" w:line="202" w:lineRule="exact"/>
              <w:rPr>
                <w:sz w:val="20"/>
                <w:szCs w:val="20"/>
                <w:color w:val="auto"/>
              </w:rPr>
            </w:pPr>
            <w:r>
              <w:rPr>
                <w:rFonts w:ascii="Arial" w:cs="Arial" w:eastAsia="Arial" w:hAnsi="Arial"/>
                <w:sz w:val="18"/>
                <w:szCs w:val="18"/>
                <w:color w:val="auto"/>
              </w:rPr>
              <w:t>Basic</w:t>
            </w:r>
          </w:p>
        </w:tc>
        <w:tc>
          <w:tcPr>
            <w:tcW w:w="280" w:type="dxa"/>
            <w:vAlign w:val="bottom"/>
          </w:tcPr>
          <w:p>
            <w:pPr>
              <w:spacing w:after="0"/>
              <w:rPr>
                <w:sz w:val="17"/>
                <w:szCs w:val="17"/>
                <w:color w:val="auto"/>
              </w:rPr>
            </w:pPr>
          </w:p>
        </w:tc>
        <w:tc>
          <w:tcPr>
            <w:tcW w:w="10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6.29</w:t>
            </w:r>
          </w:p>
        </w:tc>
        <w:tc>
          <w:tcPr>
            <w:tcW w:w="5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6.11</w:t>
            </w:r>
          </w:p>
        </w:tc>
        <w:tc>
          <w:tcPr>
            <w:tcW w:w="640" w:type="dxa"/>
            <w:vAlign w:val="bottom"/>
          </w:tcPr>
          <w:p>
            <w:pPr>
              <w:spacing w:after="0"/>
              <w:rPr>
                <w:sz w:val="17"/>
                <w:szCs w:val="17"/>
                <w:color w:val="auto"/>
              </w:rPr>
            </w:pPr>
          </w:p>
        </w:tc>
        <w:tc>
          <w:tcPr>
            <w:tcW w:w="10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5.40</w:t>
            </w:r>
          </w:p>
        </w:tc>
        <w:tc>
          <w:tcPr>
            <w:tcW w:w="440" w:type="dxa"/>
            <w:vAlign w:val="bottom"/>
          </w:tcPr>
          <w:p>
            <w:pPr>
              <w:spacing w:after="0"/>
              <w:rPr>
                <w:sz w:val="17"/>
                <w:szCs w:val="17"/>
                <w:color w:val="auto"/>
              </w:rPr>
            </w:pPr>
          </w:p>
        </w:tc>
        <w:tc>
          <w:tcPr>
            <w:tcW w:w="10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4.99</w:t>
            </w:r>
          </w:p>
        </w:tc>
        <w:tc>
          <w:tcPr>
            <w:tcW w:w="440" w:type="dxa"/>
            <w:vAlign w:val="bottom"/>
          </w:tcPr>
          <w:p>
            <w:pPr>
              <w:spacing w:after="0"/>
              <w:rPr>
                <w:sz w:val="17"/>
                <w:szCs w:val="17"/>
                <w:color w:val="auto"/>
              </w:rPr>
            </w:pPr>
          </w:p>
        </w:tc>
        <w:tc>
          <w:tcPr>
            <w:tcW w:w="9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shd w:val="clear" w:color="auto" w:fill="E5FFFF"/>
          </w:tcPr>
          <w:p>
            <w:pPr>
              <w:ind w:left="380"/>
              <w:spacing w:after="0" w:line="202" w:lineRule="exact"/>
              <w:rPr>
                <w:sz w:val="20"/>
                <w:szCs w:val="20"/>
                <w:color w:val="auto"/>
              </w:rPr>
            </w:pPr>
            <w:r>
              <w:rPr>
                <w:rFonts w:ascii="Arial" w:cs="Arial" w:eastAsia="Arial" w:hAnsi="Arial"/>
                <w:sz w:val="18"/>
                <w:szCs w:val="18"/>
                <w:color w:val="auto"/>
              </w:rPr>
              <w:t>Assuming dilution</w:t>
            </w:r>
          </w:p>
        </w:tc>
        <w:tc>
          <w:tcPr>
            <w:tcW w:w="280" w:type="dxa"/>
            <w:vAlign w:val="bottom"/>
            <w:shd w:val="clear" w:color="auto" w:fill="E5FFFF"/>
          </w:tcPr>
          <w:p>
            <w:pPr>
              <w:spacing w:after="0"/>
              <w:rPr>
                <w:sz w:val="17"/>
                <w:szCs w:val="17"/>
                <w:color w:val="auto"/>
              </w:rPr>
            </w:pPr>
          </w:p>
        </w:tc>
        <w:tc>
          <w:tcPr>
            <w:tcW w:w="10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6.20</w:t>
            </w:r>
          </w:p>
        </w:tc>
        <w:tc>
          <w:tcPr>
            <w:tcW w:w="52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6.04</w:t>
            </w:r>
          </w:p>
        </w:tc>
        <w:tc>
          <w:tcPr>
            <w:tcW w:w="64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71"/>
              <w:spacing w:after="0" w:line="202" w:lineRule="exact"/>
              <w:rPr>
                <w:sz w:val="20"/>
                <w:szCs w:val="20"/>
                <w:color w:val="auto"/>
              </w:rPr>
            </w:pPr>
            <w:r>
              <w:rPr>
                <w:rFonts w:ascii="Arial" w:cs="Arial" w:eastAsia="Arial" w:hAnsi="Arial"/>
                <w:sz w:val="18"/>
                <w:szCs w:val="18"/>
                <w:color w:val="auto"/>
              </w:rPr>
              <w:t>5.33</w:t>
            </w:r>
          </w:p>
        </w:tc>
        <w:tc>
          <w:tcPr>
            <w:tcW w:w="44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71"/>
              <w:spacing w:after="0" w:line="202" w:lineRule="exact"/>
              <w:rPr>
                <w:sz w:val="20"/>
                <w:szCs w:val="20"/>
                <w:color w:val="auto"/>
              </w:rPr>
            </w:pPr>
            <w:r>
              <w:rPr>
                <w:rFonts w:ascii="Arial" w:cs="Arial" w:eastAsia="Arial" w:hAnsi="Arial"/>
                <w:sz w:val="18"/>
                <w:szCs w:val="18"/>
                <w:color w:val="auto"/>
              </w:rPr>
              <w:t>4.92</w:t>
            </w:r>
          </w:p>
        </w:tc>
        <w:tc>
          <w:tcPr>
            <w:tcW w:w="440" w:type="dxa"/>
            <w:vAlign w:val="bottom"/>
            <w:shd w:val="clear" w:color="auto" w:fill="E5FFFF"/>
          </w:tcPr>
          <w:p>
            <w:pPr>
              <w:spacing w:after="0"/>
              <w:rPr>
                <w:sz w:val="17"/>
                <w:szCs w:val="17"/>
                <w:color w:val="auto"/>
              </w:rPr>
            </w:pPr>
          </w:p>
        </w:tc>
        <w:tc>
          <w:tcPr>
            <w:tcW w:w="9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Dividends per share</w:t>
            </w:r>
          </w:p>
        </w:tc>
        <w:tc>
          <w:tcPr>
            <w:tcW w:w="28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2.45</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w:t>
            </w:r>
          </w:p>
        </w:tc>
        <w:tc>
          <w:tcPr>
            <w:tcW w:w="640" w:type="dxa"/>
            <w:vAlign w:val="bottom"/>
          </w:tcPr>
          <w:p>
            <w:pPr>
              <w:spacing w:after="0"/>
              <w:rPr>
                <w:sz w:val="18"/>
                <w:szCs w:val="18"/>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1.87</w:t>
            </w:r>
          </w:p>
        </w:tc>
        <w:tc>
          <w:tcPr>
            <w:tcW w:w="440" w:type="dxa"/>
            <w:vAlign w:val="bottom"/>
          </w:tcPr>
          <w:p>
            <w:pPr>
              <w:spacing w:after="0"/>
              <w:rPr>
                <w:sz w:val="18"/>
                <w:szCs w:val="18"/>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1.68</w:t>
            </w:r>
          </w:p>
        </w:tc>
        <w:tc>
          <w:tcPr>
            <w:tcW w:w="44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4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2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Financial Position at Year-End</w:t>
            </w:r>
          </w:p>
        </w:tc>
        <w:tc>
          <w:tcPr>
            <w:tcW w:w="28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64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Pr>
          <w:p>
            <w:pPr>
              <w:ind w:left="160"/>
              <w:spacing w:after="0" w:line="202" w:lineRule="exact"/>
              <w:rPr>
                <w:sz w:val="20"/>
                <w:szCs w:val="20"/>
                <w:color w:val="auto"/>
              </w:rPr>
            </w:pPr>
            <w:r>
              <w:rPr>
                <w:rFonts w:ascii="Arial" w:cs="Arial" w:eastAsia="Arial" w:hAnsi="Arial"/>
                <w:sz w:val="18"/>
                <w:szCs w:val="18"/>
                <w:color w:val="auto"/>
              </w:rPr>
              <w:t>Property, plant and equipment-net</w:t>
            </w:r>
          </w:p>
        </w:tc>
        <w:tc>
          <w:tcPr>
            <w:tcW w:w="280" w:type="dxa"/>
            <w:vAlign w:val="bottom"/>
          </w:tcPr>
          <w:p>
            <w:pPr>
              <w:spacing w:after="0"/>
              <w:rPr>
                <w:sz w:val="17"/>
                <w:szCs w:val="17"/>
                <w:color w:val="auto"/>
              </w:rPr>
            </w:pPr>
          </w:p>
        </w:tc>
        <w:tc>
          <w:tcPr>
            <w:tcW w:w="10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5,793</w:t>
            </w:r>
          </w:p>
        </w:tc>
        <w:tc>
          <w:tcPr>
            <w:tcW w:w="5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5,789</w:t>
            </w:r>
          </w:p>
        </w:tc>
        <w:tc>
          <w:tcPr>
            <w:tcW w:w="640" w:type="dxa"/>
            <w:vAlign w:val="bottom"/>
          </w:tcPr>
          <w:p>
            <w:pPr>
              <w:spacing w:after="0"/>
              <w:rPr>
                <w:sz w:val="17"/>
                <w:szCs w:val="17"/>
                <w:color w:val="auto"/>
              </w:rPr>
            </w:pPr>
          </w:p>
        </w:tc>
        <w:tc>
          <w:tcPr>
            <w:tcW w:w="10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5,383</w:t>
            </w:r>
          </w:p>
        </w:tc>
        <w:tc>
          <w:tcPr>
            <w:tcW w:w="440" w:type="dxa"/>
            <w:vAlign w:val="bottom"/>
          </w:tcPr>
          <w:p>
            <w:pPr>
              <w:spacing w:after="0"/>
              <w:rPr>
                <w:sz w:val="17"/>
                <w:szCs w:val="17"/>
                <w:color w:val="auto"/>
              </w:rPr>
            </w:pPr>
          </w:p>
        </w:tc>
        <w:tc>
          <w:tcPr>
            <w:tcW w:w="10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5,278</w:t>
            </w:r>
          </w:p>
        </w:tc>
        <w:tc>
          <w:tcPr>
            <w:tcW w:w="440" w:type="dxa"/>
            <w:vAlign w:val="bottom"/>
          </w:tcPr>
          <w:p>
            <w:pPr>
              <w:spacing w:after="0"/>
              <w:rPr>
                <w:sz w:val="17"/>
                <w:szCs w:val="17"/>
                <w:color w:val="auto"/>
              </w:rPr>
            </w:pPr>
          </w:p>
        </w:tc>
        <w:tc>
          <w:tcPr>
            <w:tcW w:w="9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5,001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Total assets</w:t>
            </w:r>
          </w:p>
        </w:tc>
        <w:tc>
          <w:tcPr>
            <w:tcW w:w="280" w:type="dxa"/>
            <w:vAlign w:val="bottom"/>
            <w:shd w:val="clear" w:color="auto" w:fill="E5FFFF"/>
          </w:tcPr>
          <w:p>
            <w:pPr>
              <w:spacing w:after="0"/>
              <w:rPr>
                <w:sz w:val="17"/>
                <w:szCs w:val="17"/>
                <w:color w:val="auto"/>
              </w:rPr>
            </w:pPr>
          </w:p>
        </w:tc>
        <w:tc>
          <w:tcPr>
            <w:tcW w:w="10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54,146</w:t>
            </w:r>
          </w:p>
        </w:tc>
        <w:tc>
          <w:tcPr>
            <w:tcW w:w="52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49,316</w:t>
            </w:r>
          </w:p>
        </w:tc>
        <w:tc>
          <w:tcPr>
            <w:tcW w:w="64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71"/>
              <w:spacing w:after="0" w:line="202" w:lineRule="exact"/>
              <w:rPr>
                <w:sz w:val="20"/>
                <w:szCs w:val="20"/>
                <w:color w:val="auto"/>
              </w:rPr>
            </w:pPr>
            <w:r>
              <w:rPr>
                <w:rFonts w:ascii="Arial" w:cs="Arial" w:eastAsia="Arial" w:hAnsi="Arial"/>
                <w:sz w:val="18"/>
                <w:szCs w:val="18"/>
                <w:color w:val="auto"/>
              </w:rPr>
              <w:t>45,451</w:t>
            </w:r>
          </w:p>
        </w:tc>
        <w:tc>
          <w:tcPr>
            <w:tcW w:w="44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71"/>
              <w:spacing w:after="0" w:line="202" w:lineRule="exact"/>
              <w:rPr>
                <w:sz w:val="20"/>
                <w:szCs w:val="20"/>
                <w:color w:val="auto"/>
              </w:rPr>
            </w:pPr>
            <w:r>
              <w:rPr>
                <w:rFonts w:ascii="Arial" w:cs="Arial" w:eastAsia="Arial" w:hAnsi="Arial"/>
                <w:sz w:val="18"/>
                <w:szCs w:val="18"/>
                <w:color w:val="auto"/>
              </w:rPr>
              <w:t>45,435</w:t>
            </w:r>
          </w:p>
        </w:tc>
        <w:tc>
          <w:tcPr>
            <w:tcW w:w="440" w:type="dxa"/>
            <w:vAlign w:val="bottom"/>
            <w:shd w:val="clear" w:color="auto" w:fill="E5FFFF"/>
          </w:tcPr>
          <w:p>
            <w:pPr>
              <w:spacing w:after="0"/>
              <w:rPr>
                <w:sz w:val="17"/>
                <w:szCs w:val="17"/>
                <w:color w:val="auto"/>
              </w:rPr>
            </w:pPr>
          </w:p>
        </w:tc>
        <w:tc>
          <w:tcPr>
            <w:tcW w:w="9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41,853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Pr>
          <w:p>
            <w:pPr>
              <w:ind w:left="160"/>
              <w:spacing w:after="0" w:line="202" w:lineRule="exact"/>
              <w:rPr>
                <w:sz w:val="20"/>
                <w:szCs w:val="20"/>
                <w:color w:val="auto"/>
              </w:rPr>
            </w:pPr>
            <w:r>
              <w:rPr>
                <w:rFonts w:ascii="Arial" w:cs="Arial" w:eastAsia="Arial" w:hAnsi="Arial"/>
                <w:sz w:val="18"/>
                <w:szCs w:val="18"/>
                <w:color w:val="auto"/>
              </w:rPr>
              <w:t>Short-term debt</w:t>
            </w:r>
          </w:p>
        </w:tc>
        <w:tc>
          <w:tcPr>
            <w:tcW w:w="280" w:type="dxa"/>
            <w:vAlign w:val="bottom"/>
          </w:tcPr>
          <w:p>
            <w:pPr>
              <w:spacing w:after="0"/>
              <w:rPr>
                <w:sz w:val="17"/>
                <w:szCs w:val="17"/>
                <w:color w:val="auto"/>
              </w:rPr>
            </w:pPr>
          </w:p>
        </w:tc>
        <w:tc>
          <w:tcPr>
            <w:tcW w:w="10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3,593</w:t>
            </w:r>
          </w:p>
        </w:tc>
        <w:tc>
          <w:tcPr>
            <w:tcW w:w="5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6,514</w:t>
            </w:r>
          </w:p>
        </w:tc>
        <w:tc>
          <w:tcPr>
            <w:tcW w:w="640" w:type="dxa"/>
            <w:vAlign w:val="bottom"/>
          </w:tcPr>
          <w:p>
            <w:pPr>
              <w:spacing w:after="0"/>
              <w:rPr>
                <w:sz w:val="17"/>
                <w:szCs w:val="17"/>
                <w:color w:val="auto"/>
              </w:rPr>
            </w:pPr>
          </w:p>
        </w:tc>
        <w:tc>
          <w:tcPr>
            <w:tcW w:w="10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2,637</w:t>
            </w:r>
          </w:p>
        </w:tc>
        <w:tc>
          <w:tcPr>
            <w:tcW w:w="440" w:type="dxa"/>
            <w:vAlign w:val="bottom"/>
          </w:tcPr>
          <w:p>
            <w:pPr>
              <w:spacing w:after="0"/>
              <w:rPr>
                <w:sz w:val="17"/>
                <w:szCs w:val="17"/>
                <w:color w:val="auto"/>
              </w:rPr>
            </w:pPr>
          </w:p>
        </w:tc>
        <w:tc>
          <w:tcPr>
            <w:tcW w:w="10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2,028</w:t>
            </w:r>
          </w:p>
        </w:tc>
        <w:tc>
          <w:tcPr>
            <w:tcW w:w="440" w:type="dxa"/>
            <w:vAlign w:val="bottom"/>
          </w:tcPr>
          <w:p>
            <w:pPr>
              <w:spacing w:after="0"/>
              <w:rPr>
                <w:sz w:val="17"/>
                <w:szCs w:val="17"/>
                <w:color w:val="auto"/>
              </w:rPr>
            </w:pPr>
          </w:p>
        </w:tc>
        <w:tc>
          <w:tcPr>
            <w:tcW w:w="9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Long-term debt</w:t>
            </w:r>
          </w:p>
        </w:tc>
        <w:tc>
          <w:tcPr>
            <w:tcW w:w="280" w:type="dxa"/>
            <w:vAlign w:val="bottom"/>
            <w:shd w:val="clear" w:color="auto" w:fill="E5FFFF"/>
          </w:tcPr>
          <w:p>
            <w:pPr>
              <w:spacing w:after="0"/>
              <w:rPr>
                <w:sz w:val="17"/>
                <w:szCs w:val="17"/>
                <w:color w:val="auto"/>
              </w:rPr>
            </w:pPr>
          </w:p>
        </w:tc>
        <w:tc>
          <w:tcPr>
            <w:tcW w:w="10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12,182</w:t>
            </w:r>
          </w:p>
        </w:tc>
        <w:tc>
          <w:tcPr>
            <w:tcW w:w="52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5,554</w:t>
            </w:r>
          </w:p>
        </w:tc>
        <w:tc>
          <w:tcPr>
            <w:tcW w:w="64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71"/>
              <w:spacing w:after="0" w:line="202" w:lineRule="exact"/>
              <w:rPr>
                <w:sz w:val="20"/>
                <w:szCs w:val="20"/>
                <w:color w:val="auto"/>
              </w:rPr>
            </w:pPr>
            <w:r>
              <w:rPr>
                <w:rFonts w:ascii="Arial" w:cs="Arial" w:eastAsia="Arial" w:hAnsi="Arial"/>
                <w:sz w:val="18"/>
                <w:szCs w:val="18"/>
                <w:color w:val="auto"/>
              </w:rPr>
              <w:t>6,046</w:t>
            </w:r>
          </w:p>
        </w:tc>
        <w:tc>
          <w:tcPr>
            <w:tcW w:w="44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71"/>
              <w:spacing w:after="0" w:line="202" w:lineRule="exact"/>
              <w:rPr>
                <w:sz w:val="20"/>
                <w:szCs w:val="20"/>
                <w:color w:val="auto"/>
              </w:rPr>
            </w:pPr>
            <w:r>
              <w:rPr>
                <w:rFonts w:ascii="Arial" w:cs="Arial" w:eastAsia="Arial" w:hAnsi="Arial"/>
                <w:sz w:val="18"/>
                <w:szCs w:val="18"/>
                <w:color w:val="auto"/>
              </w:rPr>
              <w:t>6,801</w:t>
            </w:r>
          </w:p>
        </w:tc>
        <w:tc>
          <w:tcPr>
            <w:tcW w:w="440" w:type="dxa"/>
            <w:vAlign w:val="bottom"/>
            <w:shd w:val="clear" w:color="auto" w:fill="E5FFFF"/>
          </w:tcPr>
          <w:p>
            <w:pPr>
              <w:spacing w:after="0"/>
              <w:rPr>
                <w:sz w:val="17"/>
                <w:szCs w:val="17"/>
                <w:color w:val="auto"/>
              </w:rPr>
            </w:pPr>
          </w:p>
        </w:tc>
        <w:tc>
          <w:tcPr>
            <w:tcW w:w="9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6,395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Pr>
          <w:p>
            <w:pPr>
              <w:ind w:left="160"/>
              <w:spacing w:after="0" w:line="202" w:lineRule="exact"/>
              <w:rPr>
                <w:sz w:val="20"/>
                <w:szCs w:val="20"/>
                <w:color w:val="auto"/>
              </w:rPr>
            </w:pPr>
            <w:r>
              <w:rPr>
                <w:rFonts w:ascii="Arial" w:cs="Arial" w:eastAsia="Arial" w:hAnsi="Arial"/>
                <w:sz w:val="18"/>
                <w:szCs w:val="18"/>
                <w:color w:val="auto"/>
              </w:rPr>
              <w:t>Total debt</w:t>
            </w:r>
          </w:p>
        </w:tc>
        <w:tc>
          <w:tcPr>
            <w:tcW w:w="280" w:type="dxa"/>
            <w:vAlign w:val="bottom"/>
          </w:tcPr>
          <w:p>
            <w:pPr>
              <w:spacing w:after="0"/>
              <w:rPr>
                <w:sz w:val="17"/>
                <w:szCs w:val="17"/>
                <w:color w:val="auto"/>
              </w:rPr>
            </w:pPr>
          </w:p>
        </w:tc>
        <w:tc>
          <w:tcPr>
            <w:tcW w:w="10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15,775</w:t>
            </w:r>
          </w:p>
        </w:tc>
        <w:tc>
          <w:tcPr>
            <w:tcW w:w="5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12,068</w:t>
            </w:r>
          </w:p>
        </w:tc>
        <w:tc>
          <w:tcPr>
            <w:tcW w:w="640" w:type="dxa"/>
            <w:vAlign w:val="bottom"/>
          </w:tcPr>
          <w:p>
            <w:pPr>
              <w:spacing w:after="0"/>
              <w:rPr>
                <w:sz w:val="17"/>
                <w:szCs w:val="17"/>
                <w:color w:val="auto"/>
              </w:rPr>
            </w:pPr>
          </w:p>
        </w:tc>
        <w:tc>
          <w:tcPr>
            <w:tcW w:w="10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8,683</w:t>
            </w:r>
          </w:p>
        </w:tc>
        <w:tc>
          <w:tcPr>
            <w:tcW w:w="440" w:type="dxa"/>
            <w:vAlign w:val="bottom"/>
          </w:tcPr>
          <w:p>
            <w:pPr>
              <w:spacing w:after="0"/>
              <w:rPr>
                <w:sz w:val="17"/>
                <w:szCs w:val="17"/>
                <w:color w:val="auto"/>
              </w:rPr>
            </w:pPr>
          </w:p>
        </w:tc>
        <w:tc>
          <w:tcPr>
            <w:tcW w:w="10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8,829</w:t>
            </w:r>
          </w:p>
        </w:tc>
        <w:tc>
          <w:tcPr>
            <w:tcW w:w="440" w:type="dxa"/>
            <w:vAlign w:val="bottom"/>
          </w:tcPr>
          <w:p>
            <w:pPr>
              <w:spacing w:after="0"/>
              <w:rPr>
                <w:sz w:val="17"/>
                <w:szCs w:val="17"/>
                <w:color w:val="auto"/>
              </w:rPr>
            </w:pPr>
          </w:p>
        </w:tc>
        <w:tc>
          <w:tcPr>
            <w:tcW w:w="9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7,496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Redeemable noncontrolling interest</w:t>
            </w:r>
          </w:p>
        </w:tc>
        <w:tc>
          <w:tcPr>
            <w:tcW w:w="280" w:type="dxa"/>
            <w:vAlign w:val="bottom"/>
            <w:shd w:val="clear" w:color="auto" w:fill="E5FFFF"/>
          </w:tcPr>
          <w:p>
            <w:pPr>
              <w:spacing w:after="0"/>
              <w:rPr>
                <w:sz w:val="17"/>
                <w:szCs w:val="17"/>
                <w:color w:val="auto"/>
              </w:rPr>
            </w:pPr>
          </w:p>
        </w:tc>
        <w:tc>
          <w:tcPr>
            <w:tcW w:w="10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3</w:t>
            </w:r>
          </w:p>
        </w:tc>
        <w:tc>
          <w:tcPr>
            <w:tcW w:w="52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290</w:t>
            </w:r>
          </w:p>
        </w:tc>
        <w:tc>
          <w:tcPr>
            <w:tcW w:w="64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71"/>
              <w:spacing w:after="0" w:line="202" w:lineRule="exact"/>
              <w:rPr>
                <w:sz w:val="20"/>
                <w:szCs w:val="20"/>
                <w:color w:val="auto"/>
              </w:rPr>
            </w:pPr>
            <w:r>
              <w:rPr>
                <w:rFonts w:ascii="Arial" w:cs="Arial" w:eastAsia="Arial" w:hAnsi="Arial"/>
                <w:sz w:val="18"/>
                <w:szCs w:val="18"/>
                <w:color w:val="auto"/>
              </w:rPr>
              <w:t>219</w:t>
            </w:r>
          </w:p>
        </w:tc>
        <w:tc>
          <w:tcPr>
            <w:tcW w:w="44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71"/>
              <w:spacing w:after="0" w:line="202" w:lineRule="exact"/>
              <w:rPr>
                <w:sz w:val="20"/>
                <w:szCs w:val="20"/>
                <w:color w:val="auto"/>
              </w:rPr>
            </w:pPr>
            <w:r>
              <w:rPr>
                <w:rFonts w:ascii="Arial" w:cs="Arial" w:eastAsia="Arial" w:hAnsi="Arial"/>
                <w:sz w:val="18"/>
                <w:szCs w:val="18"/>
                <w:color w:val="auto"/>
              </w:rPr>
              <w:t>167</w:t>
            </w:r>
          </w:p>
        </w:tc>
        <w:tc>
          <w:tcPr>
            <w:tcW w:w="440" w:type="dxa"/>
            <w:vAlign w:val="bottom"/>
            <w:shd w:val="clear" w:color="auto" w:fill="E5FFFF"/>
          </w:tcPr>
          <w:p>
            <w:pPr>
              <w:spacing w:after="0"/>
              <w:rPr>
                <w:sz w:val="17"/>
                <w:szCs w:val="17"/>
                <w:color w:val="auto"/>
              </w:rPr>
            </w:pPr>
          </w:p>
        </w:tc>
        <w:tc>
          <w:tcPr>
            <w:tcW w:w="9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Shareowners’ equity</w:t>
            </w:r>
          </w:p>
        </w:tc>
        <w:tc>
          <w:tcPr>
            <w:tcW w:w="28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19,547</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18,418</w:t>
            </w:r>
          </w:p>
        </w:tc>
        <w:tc>
          <w:tcPr>
            <w:tcW w:w="640" w:type="dxa"/>
            <w:vAlign w:val="bottom"/>
          </w:tcPr>
          <w:p>
            <w:pPr>
              <w:spacing w:after="0"/>
              <w:rPr>
                <w:sz w:val="18"/>
                <w:szCs w:val="18"/>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17,784</w:t>
            </w:r>
          </w:p>
        </w:tc>
        <w:tc>
          <w:tcPr>
            <w:tcW w:w="440" w:type="dxa"/>
            <w:vAlign w:val="bottom"/>
          </w:tcPr>
          <w:p>
            <w:pPr>
              <w:spacing w:after="0"/>
              <w:rPr>
                <w:sz w:val="18"/>
                <w:szCs w:val="18"/>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17,579</w:t>
            </w:r>
          </w:p>
        </w:tc>
        <w:tc>
          <w:tcPr>
            <w:tcW w:w="44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13,065</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15</w:t>
            </w: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1000" w:type="dxa"/>
            <w:vAlign w:val="bottom"/>
            <w:tcBorders>
              <w:bottom w:val="single" w:sz="8" w:color="C0C0C0"/>
            </w:tcBorders>
          </w:tcPr>
          <w:p>
            <w:pPr>
              <w:spacing w:after="0"/>
              <w:rPr>
                <w:sz w:val="21"/>
                <w:szCs w:val="21"/>
                <w:color w:val="auto"/>
              </w:rPr>
            </w:pPr>
          </w:p>
        </w:tc>
        <w:tc>
          <w:tcPr>
            <w:tcW w:w="520" w:type="dxa"/>
            <w:vAlign w:val="bottom"/>
            <w:tcBorders>
              <w:bottom w:val="single" w:sz="8" w:color="C0C0C0"/>
            </w:tcBorders>
          </w:tcPr>
          <w:p>
            <w:pPr>
              <w:spacing w:after="0"/>
              <w:rPr>
                <w:sz w:val="21"/>
                <w:szCs w:val="21"/>
                <w:color w:val="auto"/>
              </w:rPr>
            </w:pPr>
          </w:p>
        </w:tc>
        <w:tc>
          <w:tcPr>
            <w:tcW w:w="860" w:type="dxa"/>
            <w:vAlign w:val="bottom"/>
            <w:tcBorders>
              <w:bottom w:val="single" w:sz="8" w:color="C0C0C0"/>
            </w:tcBorders>
          </w:tcPr>
          <w:p>
            <w:pPr>
              <w:spacing w:after="0"/>
              <w:rPr>
                <w:sz w:val="21"/>
                <w:szCs w:val="21"/>
                <w:color w:val="auto"/>
              </w:rPr>
            </w:pPr>
          </w:p>
        </w:tc>
        <w:tc>
          <w:tcPr>
            <w:tcW w:w="640" w:type="dxa"/>
            <w:vAlign w:val="bottom"/>
            <w:tcBorders>
              <w:bottom w:val="single" w:sz="8" w:color="C0C0C0"/>
            </w:tcBorders>
          </w:tcPr>
          <w:p>
            <w:pPr>
              <w:spacing w:after="0"/>
              <w:rPr>
                <w:sz w:val="21"/>
                <w:szCs w:val="21"/>
                <w:color w:val="auto"/>
              </w:rPr>
            </w:pPr>
          </w:p>
        </w:tc>
        <w:tc>
          <w:tcPr>
            <w:tcW w:w="102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102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96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1" w:right="239" w:bottom="1440" w:gutter="0" w:footer="0" w:header="0"/>
        </w:sectPr>
      </w:pPr>
    </w:p>
    <w:bookmarkStart w:id="15" w:name="page16"/>
    <w:bookmarkEnd w:id="15"/>
    <w:p>
      <w:pPr>
        <w:spacing w:after="0"/>
        <w:tabs>
          <w:tab w:leader="none" w:pos="114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1"/>
          <w:szCs w:val="21"/>
          <w:b w:val="1"/>
          <w:bCs w:val="1"/>
          <w:color w:val="auto"/>
        </w:rPr>
        <w:t>Management’s Discussion and Analysis of Financial Condition and Results of Operations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20"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is intended to help the reader understand the results of operations and financial condition of Honeywell International Inc. and its consolidated subsidiaries (Honeywell or the Company) for the three years ended December 31, 2016. All references to Notes relate to Notes to Financial Statements in Item 8. Financial Statements and Supplementary Data.</w:t>
      </w:r>
    </w:p>
    <w:p>
      <w:pPr>
        <w:spacing w:after="0" w:line="18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July 2016, the Company announced the realignment of the business units comprising its Automation and Control Solutions reporting segment by forming two new reportable operating segments: Home and Building Technologies and Safety and Productivity Solutions. Home and Building Technologies includes Environmental &amp; Energy Solutions, Security and Fire, and Building Solutions and Distribution. Additionally, the Industrial Combustion/Thermal business, previously part of Environmental &amp; Energy Solutions in Automation and Control Solutions, became part of Performance Materials and Technologies. Safety and Productivity Solutions includes Sensing &amp; Productivity Solutions and Industrial Safety, as well as the Intelligrated business. Under the realigned segment reporting structure, the Company has four reportable operating segments: Aerospace, Home and Building Technologies, Performance Materials and Technologies, and Safety and Productivity Solutions. The Company has reported its financial performance based on this realignment for all periods presented.</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realignments have no impact on the Company’s historical consolidated financial position, results of operations or cash flows.</w:t>
      </w:r>
    </w:p>
    <w:p>
      <w:pPr>
        <w:spacing w:after="0"/>
        <w:rPr>
          <w:sz w:val="20"/>
          <w:szCs w:val="20"/>
          <w:color w:val="auto"/>
        </w:rPr>
      </w:pPr>
      <w:r>
        <w:rPr>
          <w:rFonts w:ascii="Arial" w:cs="Arial" w:eastAsia="Arial" w:hAnsi="Arial"/>
          <w:sz w:val="18"/>
          <w:szCs w:val="18"/>
          <w:color w:val="auto"/>
        </w:rPr>
        <w:t>Prior period amounts have been reclassified to conform to current period segment presentation.</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On September 16, 2016, the Company completed the sale of the Aerospace government services business, Honeywell Technology Solutions Inc. The assets and liabilities associated with Honeywell Technology Solutions Inc. have been removed from the Company’s Consolidated Balance Sheet as of the effective date of the sale. The results of operations for Honeywell Technology Solutions are included in the Consolidated Statement of Operations through the effective date of the sale.</w:t>
      </w:r>
    </w:p>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On October 1, 2016, the Company completed the tax-free spin-off of its Resins and Chemicals business, part of Performance Materials and Technologies, into a standalone, publicly-traded company (named AdvanSix) to Honeywell shareowners. The assets and liabilities associated with AdvanSix have been removed from the Company’s Consolidated Balance Sheet as of the effective date of the spin-off. The results of operations for AdvanSix are included in the Consolidated Statement of Operations through the effective date of the spin-off.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2016, Honeywell successfully navigated a challenging macro-economic environment. We grew net sales 2% to $39,302 million, grew earnings per share of common stock – assuming dilution 3% to $6.20 and grew net income attributable to Honeywell 1% to $4,809 million. We executed on cost reduction activities, accelerated our capital deployment strategy and improved the growth portfolio through acquisitions and divestitures, including the divestiture of Honeywell Technology Solutions Inc. and the tax-free spin-off of AdvanSix. We also announced the realignment of the business units comprising our Automation and Control Solutions segment to two new reportable operating segments, as previously mentioned. The Company also announced a leadership succession plan for our Chief Executive Officer and successfully executed leadership transitions in three of our four reportable operating segments.</w:t>
      </w:r>
    </w:p>
    <w:p>
      <w:pPr>
        <w:spacing w:after="0" w:line="19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continued our balanced long-term focus on enhancing shareowner value without sacrificing growth investment, including maintaining R&amp;D spending at 5% of sales, new product introductions aligned with global macroeconomic trends in energy, safety, security, productivity and global urbanization, over $300 million of new repositioning investments to improve our operations and increased investment in High Growth Regions. We also continued to enhance our software capabilities through the creation of a software center in the United States to staff more than 730 full-time product software engineers, who are in addition to the more than 11,000 software engineers already part of Honeywell.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color w:val="auto"/>
        </w:rPr>
        <w:t>In 2016 we deployed capital of over $7.5 billion, including the following:</w:t>
      </w:r>
    </w:p>
    <w:p>
      <w:pPr>
        <w:spacing w:after="0" w:line="176" w:lineRule="exact"/>
        <w:rPr>
          <w:sz w:val="20"/>
          <w:szCs w:val="20"/>
          <w:color w:val="auto"/>
        </w:rPr>
      </w:pPr>
    </w:p>
    <w:p>
      <w:pPr>
        <w:jc w:val="both"/>
        <w:ind w:left="660" w:hanging="328"/>
        <w:spacing w:after="0" w:line="25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Mergers and Acquisitions—</w:t>
      </w:r>
      <w:r>
        <w:rPr>
          <w:rFonts w:ascii="Arial" w:cs="Arial" w:eastAsia="Arial" w:hAnsi="Arial"/>
          <w:sz w:val="18"/>
          <w:szCs w:val="18"/>
          <w:color w:val="auto"/>
        </w:rPr>
        <w:t>we deployed over $2.5 billion during 2016, acquiring businesses that will be integrated into each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four operating segments. These acquisitions all share a software and technology focus and increase our existing deep alignment with enduring macro trends such as energy efficiency, clean energy generation, safety, security, productivity and global urbanization.</w:t>
      </w:r>
    </w:p>
    <w:p>
      <w:pPr>
        <w:spacing w:after="0" w:line="169" w:lineRule="exact"/>
        <w:rPr>
          <w:rFonts w:ascii="Arial" w:cs="Arial" w:eastAsia="Arial" w:hAnsi="Arial"/>
          <w:sz w:val="18"/>
          <w:szCs w:val="18"/>
          <w:color w:val="auto"/>
        </w:rPr>
      </w:pPr>
    </w:p>
    <w:p>
      <w:pPr>
        <w:ind w:left="660" w:hanging="328"/>
        <w:spacing w:after="0" w:line="27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Dividend</w:t>
      </w:r>
      <w:r>
        <w:rPr>
          <w:rFonts w:ascii="Arial" w:cs="Arial" w:eastAsia="Arial" w:hAnsi="Arial"/>
          <w:sz w:val="18"/>
          <w:szCs w:val="18"/>
          <w:color w:val="auto"/>
        </w:rPr>
        <w:t>—after a 15% dividend rate increase in 2015, we increased our annual dividend rate by 12% in 2016, as we seek to continue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grow the dividend faster than earnings, marking the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dividend increase in the past 11 years.</w:t>
      </w:r>
    </w:p>
    <w:p>
      <w:pPr>
        <w:spacing w:after="0" w:line="20"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Share Repurchases</w:t>
      </w:r>
      <w:r>
        <w:rPr>
          <w:rFonts w:ascii="Arial" w:cs="Arial" w:eastAsia="Arial" w:hAnsi="Arial"/>
          <w:sz w:val="18"/>
          <w:szCs w:val="18"/>
          <w:color w:val="auto"/>
        </w:rPr>
        <w:t>—we continue to opportunistically repurchase our shares with the goal of generally keeping share count flat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seeking to offset the dilutive impact of employee stock based compensation and savings plans. In 2016, we repurchased 19.3 million shares for $2.1 billion.</w:t>
      </w:r>
    </w:p>
    <w:p>
      <w:pPr>
        <w:spacing w:after="0" w:line="169"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Capital Investment in Facilities</w:t>
      </w:r>
      <w:r>
        <w:rPr>
          <w:rFonts w:ascii="Arial" w:cs="Arial" w:eastAsia="Arial" w:hAnsi="Arial"/>
          <w:sz w:val="18"/>
          <w:szCs w:val="18"/>
          <w:color w:val="auto"/>
        </w:rPr>
        <w:t>—we invested over $1 billion in capital expenditures focused on high return investments such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expansion of facilities to manufacture our Solstice® low global-warming potential refrigerant products and building new production facilities to make UOP catalyst and absorbent products.</w:t>
      </w:r>
    </w:p>
    <w:p>
      <w:pPr>
        <w:spacing w:after="0" w:line="191"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Honeywell also completed refinancing of long-term debt through the issuance of €4,000 million Senior Notes in February and an additional $4,500 million Senior Notes in October. The proceeds from the offerings of Senior Notes were used to repurchase $2,200 million of Senior Notes outstanding, as well as repay outstanding commercial paper. We expect these refinancing activities will reduce our ongoing annual interest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106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384"/>
        </w:trPr>
        <w:tc>
          <w:tcPr>
            <w:tcW w:w="4660" w:type="dxa"/>
            <w:vAlign w:val="bottom"/>
            <w:gridSpan w:val="2"/>
          </w:tcPr>
          <w:p>
            <w:pPr>
              <w:ind w:left="480"/>
              <w:spacing w:after="0"/>
              <w:rPr>
                <w:sz w:val="20"/>
                <w:szCs w:val="20"/>
                <w:color w:val="auto"/>
              </w:rPr>
            </w:pPr>
            <w:r>
              <w:rPr>
                <w:rFonts w:ascii="Arial" w:cs="Arial" w:eastAsia="Arial" w:hAnsi="Arial"/>
                <w:sz w:val="18"/>
                <w:szCs w:val="18"/>
                <w:color w:val="auto"/>
              </w:rPr>
              <w:t>Net sales</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39,302</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38,581</w:t>
            </w:r>
          </w:p>
        </w:tc>
        <w:tc>
          <w:tcPr>
            <w:tcW w:w="18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40,306</w:t>
            </w:r>
          </w:p>
        </w:tc>
        <w:tc>
          <w:tcPr>
            <w:tcW w:w="0" w:type="dxa"/>
            <w:vAlign w:val="bottom"/>
          </w:tcPr>
          <w:p>
            <w:pPr>
              <w:spacing w:after="0"/>
              <w:rPr>
                <w:sz w:val="1"/>
                <w:szCs w:val="1"/>
                <w:color w:val="auto"/>
              </w:rPr>
            </w:pPr>
          </w:p>
        </w:tc>
      </w:tr>
      <w:tr>
        <w:trPr>
          <w:trHeight w:val="217"/>
        </w:trPr>
        <w:tc>
          <w:tcPr>
            <w:tcW w:w="4660" w:type="dxa"/>
            <w:vAlign w:val="bottom"/>
            <w:gridSpan w:val="2"/>
          </w:tcPr>
          <w:p>
            <w:pPr>
              <w:ind w:left="480"/>
              <w:spacing w:after="0"/>
              <w:rPr>
                <w:sz w:val="20"/>
                <w:szCs w:val="20"/>
                <w:color w:val="auto"/>
              </w:rPr>
            </w:pPr>
            <w:r>
              <w:rPr>
                <w:rFonts w:ascii="Arial" w:cs="Arial" w:eastAsia="Arial" w:hAnsi="Arial"/>
                <w:sz w:val="18"/>
                <w:szCs w:val="18"/>
                <w:color w:val="auto"/>
              </w:rPr>
              <w:t>% change compared with prior period</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4660" w:type="dxa"/>
            <w:vAlign w:val="bottom"/>
            <w:gridSpan w:val="2"/>
          </w:tcPr>
          <w:p>
            <w:pPr>
              <w:spacing w:after="0"/>
              <w:rPr>
                <w:sz w:val="20"/>
                <w:szCs w:val="20"/>
                <w:color w:val="auto"/>
              </w:rPr>
            </w:pPr>
            <w:r>
              <w:rPr>
                <w:rFonts w:ascii="Arial" w:cs="Arial" w:eastAsia="Arial" w:hAnsi="Arial"/>
                <w:sz w:val="18"/>
                <w:szCs w:val="18"/>
                <w:color w:val="auto"/>
              </w:rPr>
              <w:t>The change in net sales is attributable to the following:</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gridSpan w:val="2"/>
          </w:tcPr>
          <w:p>
            <w:pPr>
              <w:jc w:val="center"/>
              <w:ind w:left="104"/>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Versus</w:t>
            </w:r>
          </w:p>
        </w:tc>
        <w:tc>
          <w:tcPr>
            <w:tcW w:w="660" w:type="dxa"/>
            <w:vAlign w:val="bottom"/>
            <w:gridSpan w:val="2"/>
          </w:tcPr>
          <w:p>
            <w:pPr>
              <w:jc w:val="center"/>
              <w:ind w:left="84"/>
              <w:spacing w:after="0"/>
              <w:rPr>
                <w:sz w:val="20"/>
                <w:szCs w:val="20"/>
                <w:color w:val="auto"/>
              </w:rPr>
            </w:pPr>
            <w:r>
              <w:rPr>
                <w:rFonts w:ascii="Arial" w:cs="Arial" w:eastAsia="Arial" w:hAnsi="Arial"/>
                <w:sz w:val="14"/>
                <w:szCs w:val="14"/>
                <w:b w:val="1"/>
                <w:bCs w:val="1"/>
                <w:color w:val="auto"/>
                <w:w w:val="98"/>
              </w:rPr>
              <w:t>Versus</w:t>
            </w: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6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center"/>
              <w:ind w:left="144"/>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vMerge w:val="restart"/>
          </w:tcPr>
          <w:p>
            <w:pPr>
              <w:spacing w:after="0"/>
              <w:rPr>
                <w:sz w:val="15"/>
                <w:szCs w:val="15"/>
                <w:color w:val="auto"/>
              </w:rPr>
            </w:pPr>
          </w:p>
        </w:tc>
        <w:tc>
          <w:tcPr>
            <w:tcW w:w="3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60" w:type="dxa"/>
            <w:vAlign w:val="bottom"/>
            <w:vMerge w:val="continue"/>
          </w:tcPr>
          <w:p>
            <w:pPr>
              <w:spacing w:after="0"/>
              <w:rPr>
                <w:sz w:val="17"/>
                <w:szCs w:val="17"/>
                <w:color w:val="auto"/>
              </w:rPr>
            </w:pPr>
          </w:p>
        </w:tc>
        <w:tc>
          <w:tcPr>
            <w:tcW w:w="36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Volume</w:t>
            </w:r>
          </w:p>
        </w:tc>
        <w:tc>
          <w:tcPr>
            <w:tcW w:w="3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4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99"/>
              </w:rPr>
              <w:t>(2)%</w:t>
            </w:r>
          </w:p>
        </w:tc>
        <w:tc>
          <w:tcPr>
            <w:tcW w:w="6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3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3600" w:type="dxa"/>
            <w:vAlign w:val="bottom"/>
          </w:tcPr>
          <w:p>
            <w:pPr>
              <w:spacing w:after="0" w:line="202" w:lineRule="exact"/>
              <w:rPr>
                <w:sz w:val="20"/>
                <w:szCs w:val="20"/>
                <w:color w:val="auto"/>
              </w:rPr>
            </w:pPr>
            <w:r>
              <w:rPr>
                <w:rFonts w:ascii="Arial" w:cs="Arial" w:eastAsia="Arial" w:hAnsi="Arial"/>
                <w:sz w:val="18"/>
                <w:szCs w:val="18"/>
                <w:color w:val="auto"/>
              </w:rPr>
              <w:t>Price</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w w:val="94"/>
              </w:rPr>
              <w:t>(1)%</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36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Acquisitions/Divestitures</w:t>
            </w:r>
          </w:p>
        </w:tc>
        <w:tc>
          <w:tcPr>
            <w:tcW w:w="3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4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w:t>
            </w:r>
          </w:p>
        </w:tc>
        <w:tc>
          <w:tcPr>
            <w:tcW w:w="6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3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94"/>
              </w:rPr>
              <w:t>(1)%</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3600" w:type="dxa"/>
            <w:vAlign w:val="bottom"/>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w w:val="99"/>
              </w:rPr>
              <w:t>(1)%</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w w:val="94"/>
              </w:rPr>
              <w:t>(4)%</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36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Other</w:t>
            </w:r>
          </w:p>
        </w:tc>
        <w:tc>
          <w:tcPr>
            <w:tcW w:w="3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spacing w:after="0"/>
              <w:rPr>
                <w:sz w:val="17"/>
                <w:szCs w:val="17"/>
                <w:color w:val="auto"/>
              </w:rPr>
            </w:pPr>
          </w:p>
        </w:tc>
        <w:tc>
          <w:tcPr>
            <w:tcW w:w="440" w:type="dxa"/>
            <w:vAlign w:val="bottom"/>
            <w:tcBorders>
              <w:bottom w:val="single" w:sz="8" w:color="auto"/>
            </w:tcBorders>
            <w:shd w:val="clear" w:color="auto" w:fill="E5FFFF"/>
          </w:tcPr>
          <w:p>
            <w:pPr>
              <w:spacing w:after="0"/>
              <w:rPr>
                <w:sz w:val="17"/>
                <w:szCs w:val="17"/>
                <w:color w:val="auto"/>
              </w:rPr>
            </w:pPr>
          </w:p>
        </w:tc>
        <w:tc>
          <w:tcPr>
            <w:tcW w:w="120" w:type="dxa"/>
            <w:vAlign w:val="bottom"/>
            <w:tcBorders>
              <w:bottom w:val="single" w:sz="8" w:color="auto"/>
            </w:tcBorders>
            <w:shd w:val="clear" w:color="auto" w:fill="E5FFFF"/>
          </w:tcPr>
          <w:p>
            <w:pPr>
              <w:spacing w:after="0"/>
              <w:rPr>
                <w:sz w:val="17"/>
                <w:szCs w:val="17"/>
                <w:color w:val="auto"/>
              </w:rPr>
            </w:pPr>
          </w:p>
        </w:tc>
        <w:tc>
          <w:tcPr>
            <w:tcW w:w="400" w:type="dxa"/>
            <w:vAlign w:val="bottom"/>
            <w:tcBorders>
              <w:bottom w:val="single" w:sz="8" w:color="auto"/>
            </w:tcBorders>
            <w:shd w:val="clear" w:color="auto" w:fill="E5FFFF"/>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E5FFFF"/>
          </w:tcPr>
          <w:p>
            <w:pPr>
              <w:spacing w:after="0"/>
              <w:rPr>
                <w:sz w:val="17"/>
                <w:szCs w:val="17"/>
                <w:color w:val="auto"/>
              </w:rPr>
            </w:pPr>
          </w:p>
        </w:tc>
        <w:tc>
          <w:tcPr>
            <w:tcW w:w="180" w:type="dxa"/>
            <w:vAlign w:val="bottom"/>
            <w:tcBorders>
              <w:bottom w:val="single" w:sz="8" w:color="auto"/>
            </w:tcBorders>
            <w:shd w:val="clear" w:color="auto" w:fill="E5FFFF"/>
          </w:tcPr>
          <w:p>
            <w:pPr>
              <w:spacing w:after="0"/>
              <w:rPr>
                <w:sz w:val="17"/>
                <w:szCs w:val="17"/>
                <w:color w:val="auto"/>
              </w:rPr>
            </w:pPr>
          </w:p>
        </w:tc>
        <w:tc>
          <w:tcPr>
            <w:tcW w:w="460" w:type="dxa"/>
            <w:vAlign w:val="bottom"/>
            <w:tcBorders>
              <w:bottom w:val="single" w:sz="8" w:color="auto"/>
            </w:tcBorders>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spacing w:after="0"/>
              <w:rPr>
                <w:sz w:val="17"/>
                <w:szCs w:val="17"/>
                <w:color w:val="auto"/>
              </w:rPr>
            </w:pPr>
          </w:p>
        </w:tc>
        <w:tc>
          <w:tcPr>
            <w:tcW w:w="380" w:type="dxa"/>
            <w:vAlign w:val="bottom"/>
            <w:tcBorders>
              <w:bottom w:val="single" w:sz="8" w:color="auto"/>
            </w:tcBorders>
            <w:shd w:val="clear" w:color="auto" w:fill="E5FFFF"/>
          </w:tcPr>
          <w:p>
            <w:pPr>
              <w:jc w:val="right"/>
              <w:spacing w:after="0" w:line="202" w:lineRule="exact"/>
              <w:rPr>
                <w:sz w:val="20"/>
                <w:szCs w:val="20"/>
                <w:color w:val="auto"/>
              </w:rPr>
            </w:pPr>
            <w:r>
              <w:rPr>
                <w:rFonts w:ascii="Arial" w:cs="Arial" w:eastAsia="Arial" w:hAnsi="Arial"/>
                <w:sz w:val="18"/>
                <w:szCs w:val="18"/>
                <w:color w:val="auto"/>
              </w:rPr>
              <w:t>1%</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(4)%</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discussion of net sales by segment can be found in the Review of Business Segments section of this MD&amp;A.</w:t>
      </w:r>
    </w:p>
    <w:p>
      <w:pPr>
        <w:spacing w:after="0" w:line="198"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The foreign currency translation impact in 2016 compared with 2015 is principally driven by the weakening of the British Pound, Chinese Renminbi and Canadian Dollar, partially offset by the strengthening of the Japanese Yen against the U.S. Dollar.</w:t>
      </w:r>
    </w:p>
    <w:p>
      <w:pPr>
        <w:spacing w:after="0" w:line="183"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The foreign currency translation impact in 2015 compared with 2014 is principally driven by the weakening of the Euro and Canadian Dollar against the U.S. Dollar.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Cost of Products and Services Sold</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2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2016</w:t>
            </w:r>
          </w:p>
        </w:tc>
        <w:tc>
          <w:tcPr>
            <w:tcW w:w="13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5"/>
                <w:szCs w:val="15"/>
                <w:color w:val="auto"/>
              </w:rPr>
            </w:pPr>
          </w:p>
        </w:tc>
        <w:tc>
          <w:tcPr>
            <w:tcW w:w="980" w:type="dxa"/>
            <w:vAlign w:val="bottom"/>
          </w:tcPr>
          <w:p>
            <w:pPr>
              <w:jc w:val="right"/>
              <w:ind w:right="256"/>
              <w:spacing w:after="0"/>
              <w:rPr>
                <w:sz w:val="20"/>
                <w:szCs w:val="20"/>
                <w:color w:val="auto"/>
              </w:rPr>
            </w:pPr>
            <w:r>
              <w:rPr>
                <w:rFonts w:ascii="Arial" w:cs="Arial" w:eastAsia="Arial" w:hAnsi="Arial"/>
                <w:sz w:val="14"/>
                <w:szCs w:val="14"/>
                <w:b w:val="1"/>
                <w:bCs w:val="1"/>
                <w:color w:val="auto"/>
              </w:rPr>
              <w:t>2014</w:t>
            </w:r>
          </w:p>
        </w:tc>
      </w:tr>
      <w:tr>
        <w:trPr>
          <w:trHeight w:val="210"/>
        </w:trPr>
        <w:tc>
          <w:tcPr>
            <w:tcW w:w="4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203"/>
        </w:trPr>
        <w:tc>
          <w:tcPr>
            <w:tcW w:w="482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color w:val="auto"/>
              </w:rPr>
              <w:t>Cost of products and services sold</w:t>
            </w:r>
          </w:p>
        </w:tc>
        <w:tc>
          <w:tcPr>
            <w:tcW w:w="280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  27,150</w:t>
            </w:r>
          </w:p>
        </w:tc>
        <w:tc>
          <w:tcPr>
            <w:tcW w:w="1360" w:type="dxa"/>
            <w:vAlign w:val="bottom"/>
            <w:gridSpan w:val="2"/>
            <w:shd w:val="clear" w:color="auto" w:fill="E5FFFF"/>
          </w:tcPr>
          <w:p>
            <w:pPr>
              <w:jc w:val="right"/>
              <w:ind w:right="240"/>
              <w:spacing w:after="0" w:line="202" w:lineRule="exact"/>
              <w:rPr>
                <w:sz w:val="20"/>
                <w:szCs w:val="20"/>
                <w:color w:val="auto"/>
              </w:rPr>
            </w:pPr>
            <w:r>
              <w:rPr>
                <w:rFonts w:ascii="Arial" w:cs="Arial" w:eastAsia="Arial" w:hAnsi="Arial"/>
                <w:sz w:val="18"/>
                <w:szCs w:val="18"/>
                <w:color w:val="auto"/>
              </w:rPr>
              <w:t>$  26,747</w:t>
            </w:r>
          </w:p>
        </w:tc>
        <w:tc>
          <w:tcPr>
            <w:tcW w:w="300" w:type="dxa"/>
            <w:vAlign w:val="bottom"/>
            <w:shd w:val="clear" w:color="auto" w:fill="E5FFFF"/>
          </w:tcPr>
          <w:p>
            <w:pPr>
              <w:spacing w:after="0"/>
              <w:rPr>
                <w:sz w:val="17"/>
                <w:szCs w:val="17"/>
                <w:color w:val="auto"/>
              </w:rPr>
            </w:pPr>
          </w:p>
        </w:tc>
        <w:tc>
          <w:tcPr>
            <w:tcW w:w="980" w:type="dxa"/>
            <w:vAlign w:val="bottom"/>
            <w:shd w:val="clear" w:color="auto" w:fill="E5FFFF"/>
          </w:tcPr>
          <w:p>
            <w:pPr>
              <w:jc w:val="right"/>
              <w:ind w:right="76"/>
              <w:spacing w:after="0" w:line="202" w:lineRule="exact"/>
              <w:rPr>
                <w:sz w:val="20"/>
                <w:szCs w:val="20"/>
                <w:color w:val="auto"/>
              </w:rPr>
            </w:pPr>
            <w:r>
              <w:rPr>
                <w:rFonts w:ascii="Arial" w:cs="Arial" w:eastAsia="Arial" w:hAnsi="Arial"/>
                <w:sz w:val="18"/>
                <w:szCs w:val="18"/>
                <w:color w:val="auto"/>
              </w:rPr>
              <w:t>$  28,957</w:t>
            </w:r>
          </w:p>
        </w:tc>
      </w:tr>
      <w:tr>
        <w:trPr>
          <w:trHeight w:val="230"/>
        </w:trPr>
        <w:tc>
          <w:tcPr>
            <w:tcW w:w="4820" w:type="dxa"/>
            <w:vAlign w:val="bottom"/>
          </w:tcPr>
          <w:p>
            <w:pPr>
              <w:ind w:left="40"/>
              <w:spacing w:after="0"/>
              <w:rPr>
                <w:sz w:val="20"/>
                <w:szCs w:val="20"/>
                <w:color w:val="auto"/>
              </w:rPr>
            </w:pPr>
            <w:r>
              <w:rPr>
                <w:rFonts w:ascii="Arial" w:cs="Arial" w:eastAsia="Arial" w:hAnsi="Arial"/>
                <w:sz w:val="18"/>
                <w:szCs w:val="18"/>
                <w:color w:val="auto"/>
              </w:rPr>
              <w:t>% change compared with prior period</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3"/>
        </w:trPr>
        <w:tc>
          <w:tcPr>
            <w:tcW w:w="48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82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color w:val="auto"/>
              </w:rPr>
              <w:t>Gross Margin percentage</w:t>
            </w:r>
          </w:p>
        </w:tc>
        <w:tc>
          <w:tcPr>
            <w:tcW w:w="280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30.9%</w:t>
            </w:r>
          </w:p>
        </w:tc>
        <w:tc>
          <w:tcPr>
            <w:tcW w:w="1360" w:type="dxa"/>
            <w:vAlign w:val="bottom"/>
            <w:gridSpan w:val="2"/>
            <w:shd w:val="clear" w:color="auto" w:fill="E5FFFF"/>
          </w:tcPr>
          <w:p>
            <w:pPr>
              <w:jc w:val="right"/>
              <w:ind w:right="80"/>
              <w:spacing w:after="0" w:line="202" w:lineRule="exact"/>
              <w:rPr>
                <w:sz w:val="20"/>
                <w:szCs w:val="20"/>
                <w:color w:val="auto"/>
              </w:rPr>
            </w:pPr>
            <w:r>
              <w:rPr>
                <w:rFonts w:ascii="Arial" w:cs="Arial" w:eastAsia="Arial" w:hAnsi="Arial"/>
                <w:sz w:val="18"/>
                <w:szCs w:val="18"/>
                <w:color w:val="auto"/>
              </w:rPr>
              <w:t>30.7%</w:t>
            </w:r>
          </w:p>
        </w:tc>
        <w:tc>
          <w:tcPr>
            <w:tcW w:w="300" w:type="dxa"/>
            <w:vAlign w:val="bottom"/>
            <w:shd w:val="clear" w:color="auto" w:fill="E5FFFF"/>
          </w:tcPr>
          <w:p>
            <w:pPr>
              <w:spacing w:after="0"/>
              <w:rPr>
                <w:sz w:val="17"/>
                <w:szCs w:val="17"/>
                <w:color w:val="auto"/>
              </w:rPr>
            </w:pPr>
          </w:p>
        </w:tc>
        <w:tc>
          <w:tcPr>
            <w:tcW w:w="9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28.2%</w:t>
            </w:r>
          </w:p>
        </w:tc>
      </w:tr>
    </w:tbl>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Cost of products and services sold increased in 2016 compared with 2015 principally due to increased direct material costs of approximately $380 million (driven primarily by acquisitions, net of divestitures, partially offset by the favorable impact of productivity, net of inflation, and foreign currency translation), higher depreciation and amortization attributable to acquisitions of approximately $135 million and increased pension mark-to-market expense allocated to cost of products and services sold of $70 million, partially offset by higher pension and other postretirement benefits income allocated to cost of products and services sold of $200 million.</w:t>
      </w:r>
    </w:p>
    <w:p>
      <w:pPr>
        <w:spacing w:after="0" w:line="18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Gross margin percentage increased in 2016 compared with 2015 principally due to higher gross margin in Performance Materials and Technologies (approximately 0.6 percentage point impact) and higher pension and other postretirement benefits income allocated to cost of products and services sold (approximately 0.5 percentage point impact), partially offset by lower gross margin in Aerospace, Home and Building Solutions and Safety and Productivity Solutions (approximately 0.7 percentage point impact collectively) and increased pension mark-to-market expense allocated to cost of products and services sold (approximately 0.2 percentage point impact).</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Cost of products and services sold decreased in 2015 compared with 2014 principally due to a decrease in direct and indirect material costs of approximately $1,460 million (driven primarily by the favorable impact of foreign currency translation, productivity, lower raw materials pass-through pricing and the absence of the Friction Materials business, partially offset by higher sales volume), a decrease in labor costs of approximately $450 million and higher pension income allocated to cost of products and services sold of approximately $230 million.</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Gross margin percentage increased in 2015 compared with 2014 principally due to higher gross margin in all of our business segments (approximately 2.0 percentage point impact collectively) and increased pension income allocated to cost of products and services sold (approximately 0.5 percentage point impact).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1" w:lineRule="exact"/>
        <w:rPr>
          <w:sz w:val="20"/>
          <w:szCs w:val="20"/>
          <w:color w:val="auto"/>
        </w:rPr>
      </w:pPr>
    </w:p>
    <w:tbl>
      <w:tblPr>
        <w:tblLayout w:type="fixed"/>
        <w:tblInd w:w="700" w:type="dxa"/>
        <w:tblCellMar>
          <w:top w:w="0" w:type="dxa"/>
          <w:left w:w="0" w:type="dxa"/>
          <w:bottom w:w="0" w:type="dxa"/>
          <w:right w:w="0" w:type="dxa"/>
        </w:tblCellMar>
      </w:tblPr>
      <w:tr>
        <w:trPr>
          <w:trHeight w:val="175"/>
        </w:trPr>
        <w:tc>
          <w:tcPr>
            <w:tcW w:w="6660" w:type="dxa"/>
            <w:vAlign w:val="bottom"/>
            <w:vMerge w:val="restart"/>
          </w:tcPr>
          <w:p>
            <w:pPr>
              <w:spacing w:after="0"/>
              <w:rPr>
                <w:sz w:val="20"/>
                <w:szCs w:val="20"/>
                <w:color w:val="auto"/>
              </w:rPr>
            </w:pPr>
            <w:r>
              <w:rPr>
                <w:rFonts w:ascii="Arial" w:cs="Arial" w:eastAsia="Arial" w:hAnsi="Arial"/>
                <w:sz w:val="18"/>
                <w:szCs w:val="18"/>
                <w:color w:val="auto"/>
              </w:rPr>
              <w:t>Selling, general and administrative expense</w:t>
            </w:r>
          </w:p>
        </w:tc>
        <w:tc>
          <w:tcPr>
            <w:tcW w:w="10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5"/>
                <w:szCs w:val="15"/>
                <w:color w:val="auto"/>
              </w:rPr>
            </w:pPr>
          </w:p>
        </w:tc>
        <w:tc>
          <w:tcPr>
            <w:tcW w:w="9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5"/>
                <w:szCs w:val="15"/>
                <w:color w:val="auto"/>
              </w:rPr>
            </w:pPr>
          </w:p>
        </w:tc>
        <w:tc>
          <w:tcPr>
            <w:tcW w:w="9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0"/>
        </w:trPr>
        <w:tc>
          <w:tcPr>
            <w:tcW w:w="6660" w:type="dxa"/>
            <w:vAlign w:val="bottom"/>
            <w:vMerge w:val="continue"/>
          </w:tcPr>
          <w:p>
            <w:pPr>
              <w:spacing w:after="0"/>
              <w:rPr>
                <w:sz w:val="18"/>
                <w:szCs w:val="18"/>
                <w:color w:val="auto"/>
              </w:rPr>
            </w:pP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   5,469</w:t>
            </w:r>
          </w:p>
        </w:tc>
        <w:tc>
          <w:tcPr>
            <w:tcW w:w="300" w:type="dxa"/>
            <w:vAlign w:val="bottom"/>
          </w:tcPr>
          <w:p>
            <w:pPr>
              <w:spacing w:after="0"/>
              <w:rPr>
                <w:sz w:val="18"/>
                <w:szCs w:val="18"/>
                <w:color w:val="auto"/>
              </w:rPr>
            </w:pPr>
          </w:p>
        </w:tc>
        <w:tc>
          <w:tcPr>
            <w:tcW w:w="980" w:type="dxa"/>
            <w:vAlign w:val="bottom"/>
          </w:tcPr>
          <w:p>
            <w:pPr>
              <w:jc w:val="right"/>
              <w:ind w:right="76"/>
              <w:spacing w:after="0"/>
              <w:rPr>
                <w:sz w:val="20"/>
                <w:szCs w:val="20"/>
                <w:color w:val="auto"/>
              </w:rPr>
            </w:pPr>
            <w:r>
              <w:rPr>
                <w:rFonts w:ascii="Arial" w:cs="Arial" w:eastAsia="Arial" w:hAnsi="Arial"/>
                <w:sz w:val="18"/>
                <w:szCs w:val="18"/>
                <w:color w:val="auto"/>
              </w:rPr>
              <w:t>$   5,006</w:t>
            </w:r>
          </w:p>
        </w:tc>
        <w:tc>
          <w:tcPr>
            <w:tcW w:w="300" w:type="dxa"/>
            <w:vAlign w:val="bottom"/>
          </w:tcPr>
          <w:p>
            <w:pPr>
              <w:spacing w:after="0"/>
              <w:rPr>
                <w:sz w:val="18"/>
                <w:szCs w:val="18"/>
                <w:color w:val="auto"/>
              </w:rPr>
            </w:pPr>
          </w:p>
        </w:tc>
        <w:tc>
          <w:tcPr>
            <w:tcW w:w="980" w:type="dxa"/>
            <w:vAlign w:val="bottom"/>
          </w:tcPr>
          <w:p>
            <w:pPr>
              <w:jc w:val="right"/>
              <w:ind w:right="76"/>
              <w:spacing w:after="0"/>
              <w:rPr>
                <w:sz w:val="20"/>
                <w:szCs w:val="20"/>
                <w:color w:val="auto"/>
              </w:rPr>
            </w:pPr>
            <w:r>
              <w:rPr>
                <w:rFonts w:ascii="Arial" w:cs="Arial" w:eastAsia="Arial" w:hAnsi="Arial"/>
                <w:sz w:val="18"/>
                <w:szCs w:val="18"/>
                <w:color w:val="auto"/>
              </w:rPr>
              <w:t>$   5,518</w:t>
            </w:r>
          </w:p>
        </w:tc>
        <w:tc>
          <w:tcPr>
            <w:tcW w:w="0" w:type="dxa"/>
            <w:vAlign w:val="bottom"/>
          </w:tcPr>
          <w:p>
            <w:pPr>
              <w:spacing w:after="0"/>
              <w:rPr>
                <w:sz w:val="1"/>
                <w:szCs w:val="1"/>
                <w:color w:val="auto"/>
              </w:rPr>
            </w:pPr>
          </w:p>
        </w:tc>
      </w:tr>
      <w:tr>
        <w:trPr>
          <w:trHeight w:val="418"/>
        </w:trPr>
        <w:tc>
          <w:tcPr>
            <w:tcW w:w="6660" w:type="dxa"/>
            <w:vAlign w:val="bottom"/>
          </w:tcPr>
          <w:p>
            <w:pPr>
              <w:spacing w:after="0"/>
              <w:rPr>
                <w:sz w:val="20"/>
                <w:szCs w:val="20"/>
                <w:color w:val="auto"/>
              </w:rPr>
            </w:pPr>
            <w:r>
              <w:rPr>
                <w:rFonts w:ascii="Arial" w:cs="Arial" w:eastAsia="Arial" w:hAnsi="Arial"/>
                <w:sz w:val="18"/>
                <w:szCs w:val="18"/>
                <w:color w:val="auto"/>
              </w:rPr>
              <w:t>% of sales</w:t>
            </w:r>
          </w:p>
        </w:tc>
        <w:tc>
          <w:tcPr>
            <w:tcW w:w="1000" w:type="dxa"/>
            <w:vAlign w:val="bottom"/>
          </w:tcPr>
          <w:p>
            <w:pPr>
              <w:jc w:val="right"/>
              <w:spacing w:after="0"/>
              <w:rPr>
                <w:sz w:val="20"/>
                <w:szCs w:val="20"/>
                <w:color w:val="auto"/>
              </w:rPr>
            </w:pPr>
            <w:r>
              <w:rPr>
                <w:rFonts w:ascii="Arial" w:cs="Arial" w:eastAsia="Arial" w:hAnsi="Arial"/>
                <w:sz w:val="18"/>
                <w:szCs w:val="18"/>
                <w:color w:val="auto"/>
              </w:rPr>
              <w:t>13.9%</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Selling, general and administrative expenses (SG&amp;A) increased in 2016 compared with 2015 primarily due to increased labor costs (driven primarily by acquisitions, net of divestitures, investment for growth and merit increases), increased pension mark-to-market expense allocated to SG&amp;A and higher repositioning charges, partially offset by the favorable impact from foreign currency translation and increased pension income allocated to SG&amp;A.</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SG&amp;A decreased in 2015 compared with 2014 primarily driven by the favorable impact from foreign currency translation, increased pension income allocated to SG&amp;A, decreased indirect costs and benefits from repositioning, partially offset by increased labor costs (primarily merit increases and investment for growth).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0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5"/>
                <w:szCs w:val="15"/>
                <w:color w:val="auto"/>
              </w:rPr>
            </w:pPr>
          </w:p>
        </w:tc>
        <w:tc>
          <w:tcPr>
            <w:tcW w:w="9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5"/>
                <w:szCs w:val="15"/>
                <w:color w:val="auto"/>
              </w:rPr>
            </w:pPr>
          </w:p>
        </w:tc>
        <w:tc>
          <w:tcPr>
            <w:tcW w:w="9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5"/>
                <w:szCs w:val="15"/>
                <w:color w:val="auto"/>
              </w:rPr>
            </w:pPr>
          </w:p>
        </w:tc>
      </w:tr>
      <w:tr>
        <w:trPr>
          <w:trHeight w:val="411"/>
        </w:trPr>
        <w:tc>
          <w:tcPr>
            <w:tcW w:w="3820" w:type="dxa"/>
            <w:vAlign w:val="bottom"/>
          </w:tcPr>
          <w:p>
            <w:pPr>
              <w:ind w:left="700"/>
              <w:spacing w:after="0"/>
              <w:rPr>
                <w:sz w:val="20"/>
                <w:szCs w:val="20"/>
                <w:color w:val="auto"/>
              </w:rPr>
            </w:pPr>
            <w:r>
              <w:rPr>
                <w:rFonts w:ascii="Arial" w:cs="Arial" w:eastAsia="Arial" w:hAnsi="Arial"/>
                <w:sz w:val="18"/>
                <w:szCs w:val="18"/>
                <w:color w:val="auto"/>
              </w:rPr>
              <w:t>Tax expense</w:t>
            </w:r>
          </w:p>
        </w:tc>
        <w:tc>
          <w:tcPr>
            <w:tcW w:w="4540" w:type="dxa"/>
            <w:vAlign w:val="bottom"/>
            <w:gridSpan w:val="2"/>
          </w:tcPr>
          <w:p>
            <w:pPr>
              <w:jc w:val="right"/>
              <w:ind w:right="88"/>
              <w:spacing w:after="0"/>
              <w:rPr>
                <w:sz w:val="20"/>
                <w:szCs w:val="20"/>
                <w:color w:val="auto"/>
              </w:rPr>
            </w:pPr>
            <w:r>
              <w:rPr>
                <w:rFonts w:ascii="Arial" w:cs="Arial" w:eastAsia="Arial" w:hAnsi="Arial"/>
                <w:sz w:val="18"/>
                <w:szCs w:val="18"/>
                <w:color w:val="auto"/>
              </w:rPr>
              <w:t>$   1,601</w:t>
            </w:r>
          </w:p>
        </w:tc>
        <w:tc>
          <w:tcPr>
            <w:tcW w:w="300" w:type="dxa"/>
            <w:vAlign w:val="bottom"/>
          </w:tcPr>
          <w:p>
            <w:pPr>
              <w:spacing w:after="0"/>
              <w:rPr>
                <w:sz w:val="24"/>
                <w:szCs w:val="24"/>
                <w:color w:val="auto"/>
              </w:rPr>
            </w:pPr>
          </w:p>
        </w:tc>
        <w:tc>
          <w:tcPr>
            <w:tcW w:w="980" w:type="dxa"/>
            <w:vAlign w:val="bottom"/>
          </w:tcPr>
          <w:p>
            <w:pPr>
              <w:jc w:val="right"/>
              <w:ind w:right="76"/>
              <w:spacing w:after="0"/>
              <w:rPr>
                <w:sz w:val="20"/>
                <w:szCs w:val="20"/>
                <w:color w:val="auto"/>
              </w:rPr>
            </w:pPr>
            <w:r>
              <w:rPr>
                <w:rFonts w:ascii="Arial" w:cs="Arial" w:eastAsia="Arial" w:hAnsi="Arial"/>
                <w:sz w:val="18"/>
                <w:szCs w:val="18"/>
                <w:color w:val="auto"/>
              </w:rPr>
              <w:t>$   1,739</w:t>
            </w:r>
          </w:p>
        </w:tc>
        <w:tc>
          <w:tcPr>
            <w:tcW w:w="300" w:type="dxa"/>
            <w:vAlign w:val="bottom"/>
          </w:tcPr>
          <w:p>
            <w:pPr>
              <w:spacing w:after="0"/>
              <w:rPr>
                <w:sz w:val="24"/>
                <w:szCs w:val="24"/>
                <w:color w:val="auto"/>
              </w:rPr>
            </w:pPr>
          </w:p>
        </w:tc>
        <w:tc>
          <w:tcPr>
            <w:tcW w:w="980" w:type="dxa"/>
            <w:vAlign w:val="bottom"/>
          </w:tcPr>
          <w:p>
            <w:pPr>
              <w:jc w:val="right"/>
              <w:ind w:right="76"/>
              <w:spacing w:after="0"/>
              <w:rPr>
                <w:sz w:val="20"/>
                <w:szCs w:val="20"/>
                <w:color w:val="auto"/>
              </w:rPr>
            </w:pPr>
            <w:r>
              <w:rPr>
                <w:rFonts w:ascii="Arial" w:cs="Arial" w:eastAsia="Arial" w:hAnsi="Arial"/>
                <w:sz w:val="18"/>
                <w:szCs w:val="18"/>
                <w:color w:val="auto"/>
              </w:rPr>
              <w:t>$   1,489</w:t>
            </w:r>
          </w:p>
        </w:tc>
        <w:tc>
          <w:tcPr>
            <w:tcW w:w="500" w:type="dxa"/>
            <w:vAlign w:val="bottom"/>
          </w:tcPr>
          <w:p>
            <w:pPr>
              <w:spacing w:after="0"/>
              <w:rPr>
                <w:sz w:val="24"/>
                <w:szCs w:val="24"/>
                <w:color w:val="auto"/>
              </w:rPr>
            </w:pPr>
          </w:p>
        </w:tc>
      </w:tr>
      <w:tr>
        <w:trPr>
          <w:trHeight w:val="217"/>
        </w:trPr>
        <w:tc>
          <w:tcPr>
            <w:tcW w:w="3820" w:type="dxa"/>
            <w:vAlign w:val="bottom"/>
          </w:tcPr>
          <w:p>
            <w:pPr>
              <w:ind w:left="700"/>
              <w:spacing w:after="0"/>
              <w:rPr>
                <w:sz w:val="20"/>
                <w:szCs w:val="20"/>
                <w:color w:val="auto"/>
              </w:rPr>
            </w:pPr>
            <w:r>
              <w:rPr>
                <w:rFonts w:ascii="Arial" w:cs="Arial" w:eastAsia="Arial" w:hAnsi="Arial"/>
                <w:sz w:val="18"/>
                <w:szCs w:val="18"/>
                <w:color w:val="auto"/>
              </w:rPr>
              <w:t>Effective tax rate</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25.6%</w:t>
            </w:r>
          </w:p>
        </w:tc>
        <w:tc>
          <w:tcPr>
            <w:tcW w:w="500" w:type="dxa"/>
            <w:vAlign w:val="bottom"/>
          </w:tcPr>
          <w:p>
            <w:pPr>
              <w:spacing w:after="0"/>
              <w:rPr>
                <w:sz w:val="18"/>
                <w:szCs w:val="18"/>
                <w:color w:val="auto"/>
              </w:rPr>
            </w:pPr>
          </w:p>
        </w:tc>
      </w:tr>
      <w:tr>
        <w:trPr>
          <w:trHeight w:val="392"/>
        </w:trPr>
        <w:tc>
          <w:tcPr>
            <w:tcW w:w="3820" w:type="dxa"/>
            <w:vAlign w:val="bottom"/>
          </w:tcPr>
          <w:p>
            <w:pPr>
              <w:spacing w:after="0"/>
              <w:rPr>
                <w:sz w:val="24"/>
                <w:szCs w:val="24"/>
                <w:color w:val="auto"/>
              </w:rPr>
            </w:pPr>
          </w:p>
        </w:tc>
        <w:tc>
          <w:tcPr>
            <w:tcW w:w="3540" w:type="dxa"/>
            <w:vAlign w:val="bottom"/>
          </w:tcPr>
          <w:p>
            <w:pPr>
              <w:jc w:val="right"/>
              <w:ind w:right="1470"/>
              <w:spacing w:after="0"/>
              <w:rPr>
                <w:sz w:val="20"/>
                <w:szCs w:val="20"/>
                <w:color w:val="auto"/>
              </w:rPr>
            </w:pPr>
            <w:r>
              <w:rPr>
                <w:rFonts w:ascii="Arial" w:cs="Arial" w:eastAsia="Arial" w:hAnsi="Arial"/>
                <w:sz w:val="18"/>
                <w:szCs w:val="18"/>
                <w:color w:val="auto"/>
              </w:rPr>
              <w:t>18</w:t>
            </w: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50"/>
        </w:trPr>
        <w:tc>
          <w:tcPr>
            <w:tcW w:w="3820" w:type="dxa"/>
            <w:vAlign w:val="bottom"/>
            <w:tcBorders>
              <w:bottom w:val="single" w:sz="8" w:color="C0C0C0"/>
            </w:tcBorders>
          </w:tcPr>
          <w:p>
            <w:pPr>
              <w:spacing w:after="0"/>
              <w:rPr>
                <w:sz w:val="21"/>
                <w:szCs w:val="21"/>
                <w:color w:val="auto"/>
              </w:rPr>
            </w:pPr>
          </w:p>
        </w:tc>
        <w:tc>
          <w:tcPr>
            <w:tcW w:w="3540" w:type="dxa"/>
            <w:vAlign w:val="bottom"/>
            <w:tcBorders>
              <w:bottom w:val="single" w:sz="8" w:color="C0C0C0"/>
            </w:tcBorders>
          </w:tcPr>
          <w:p>
            <w:pPr>
              <w:spacing w:after="0"/>
              <w:rPr>
                <w:sz w:val="21"/>
                <w:szCs w:val="21"/>
                <w:color w:val="auto"/>
              </w:rPr>
            </w:pPr>
          </w:p>
        </w:tc>
        <w:tc>
          <w:tcPr>
            <w:tcW w:w="1000" w:type="dxa"/>
            <w:vAlign w:val="bottom"/>
            <w:tcBorders>
              <w:bottom w:val="single" w:sz="8" w:color="C0C0C0"/>
            </w:tcBorders>
          </w:tcPr>
          <w:p>
            <w:pPr>
              <w:spacing w:after="0"/>
              <w:rPr>
                <w:sz w:val="21"/>
                <w:szCs w:val="21"/>
                <w:color w:val="auto"/>
              </w:rPr>
            </w:pPr>
          </w:p>
        </w:tc>
        <w:tc>
          <w:tcPr>
            <w:tcW w:w="300" w:type="dxa"/>
            <w:vAlign w:val="bottom"/>
            <w:tcBorders>
              <w:bottom w:val="single" w:sz="8" w:color="C0C0C0"/>
            </w:tcBorders>
          </w:tcPr>
          <w:p>
            <w:pPr>
              <w:spacing w:after="0"/>
              <w:rPr>
                <w:sz w:val="21"/>
                <w:szCs w:val="21"/>
                <w:color w:val="auto"/>
              </w:rPr>
            </w:pPr>
          </w:p>
        </w:tc>
        <w:tc>
          <w:tcPr>
            <w:tcW w:w="980" w:type="dxa"/>
            <w:vAlign w:val="bottom"/>
            <w:tcBorders>
              <w:bottom w:val="single" w:sz="8" w:color="C0C0C0"/>
            </w:tcBorders>
          </w:tcPr>
          <w:p>
            <w:pPr>
              <w:spacing w:after="0"/>
              <w:rPr>
                <w:sz w:val="21"/>
                <w:szCs w:val="21"/>
                <w:color w:val="auto"/>
              </w:rPr>
            </w:pPr>
          </w:p>
        </w:tc>
        <w:tc>
          <w:tcPr>
            <w:tcW w:w="300" w:type="dxa"/>
            <w:vAlign w:val="bottom"/>
            <w:tcBorders>
              <w:bottom w:val="single" w:sz="8" w:color="C0C0C0"/>
            </w:tcBorders>
          </w:tcPr>
          <w:p>
            <w:pPr>
              <w:spacing w:after="0"/>
              <w:rPr>
                <w:sz w:val="21"/>
                <w:szCs w:val="21"/>
                <w:color w:val="auto"/>
              </w:rPr>
            </w:pPr>
          </w:p>
        </w:tc>
        <w:tc>
          <w:tcPr>
            <w:tcW w:w="980" w:type="dxa"/>
            <w:vAlign w:val="bottom"/>
            <w:tcBorders>
              <w:bottom w:val="single" w:sz="8" w:color="C0C0C0"/>
            </w:tcBorders>
          </w:tcPr>
          <w:p>
            <w:pPr>
              <w:spacing w:after="0"/>
              <w:rPr>
                <w:sz w:val="21"/>
                <w:szCs w:val="21"/>
                <w:color w:val="auto"/>
              </w:rPr>
            </w:pPr>
          </w:p>
        </w:tc>
        <w:tc>
          <w:tcPr>
            <w:tcW w:w="50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0" w:right="2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For discussion of changes in the effective tax rate, see Note 5 Income Taxes in the Notes to Financial Statements.</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effective tax rates for 2016, 2015 and 2014 are lower than the U.S. statutory rate of 35% primarily due to lower tax rates on non-U.S. earnings, the vast majority of which we intend to permanently reinvest outside the United States.</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Company currently expects the effective tax rate for 2017 to be approximately 25%. The effective tax rate can vary from quarter to quarter due to unusual or infrequently occurring items, the resolution of income tax audits, changes in tax laws or other items such as pension mark-to-market adjustments and the tax impact from employee share-based payments.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Honeywell</w:t>
      </w:r>
    </w:p>
    <w:p>
      <w:pPr>
        <w:spacing w:after="0" w:line="221" w:lineRule="exact"/>
        <w:rPr>
          <w:sz w:val="20"/>
          <w:szCs w:val="20"/>
          <w:color w:val="auto"/>
        </w:rPr>
      </w:pPr>
    </w:p>
    <w:tbl>
      <w:tblPr>
        <w:tblLayout w:type="fixed"/>
        <w:tblInd w:w="620" w:type="dxa"/>
        <w:tblCellMar>
          <w:top w:w="0" w:type="dxa"/>
          <w:left w:w="0" w:type="dxa"/>
          <w:bottom w:w="0" w:type="dxa"/>
          <w:right w:w="0" w:type="dxa"/>
        </w:tblCellMar>
      </w:tblPr>
      <w:tr>
        <w:trPr>
          <w:trHeight w:val="175"/>
        </w:trPr>
        <w:tc>
          <w:tcPr>
            <w:tcW w:w="56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2014</w:t>
            </w:r>
          </w:p>
        </w:tc>
      </w:tr>
      <w:tr>
        <w:trPr>
          <w:trHeight w:val="426"/>
        </w:trPr>
        <w:tc>
          <w:tcPr>
            <w:tcW w:w="5680" w:type="dxa"/>
            <w:vAlign w:val="bottom"/>
          </w:tcPr>
          <w:p>
            <w:pPr>
              <w:spacing w:after="0"/>
              <w:rPr>
                <w:sz w:val="20"/>
                <w:szCs w:val="20"/>
                <w:color w:val="auto"/>
              </w:rPr>
            </w:pPr>
            <w:r>
              <w:rPr>
                <w:rFonts w:ascii="Arial" w:cs="Arial" w:eastAsia="Arial" w:hAnsi="Arial"/>
                <w:sz w:val="18"/>
                <w:szCs w:val="18"/>
                <w:color w:val="auto"/>
              </w:rPr>
              <w:t>Net income attributable to Honeywell</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4,809</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4,768</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4,239</w:t>
            </w:r>
          </w:p>
        </w:tc>
      </w:tr>
      <w:tr>
        <w:trPr>
          <w:trHeight w:val="419"/>
        </w:trPr>
        <w:tc>
          <w:tcPr>
            <w:tcW w:w="5680" w:type="dxa"/>
            <w:vAlign w:val="bottom"/>
          </w:tcPr>
          <w:p>
            <w:pPr>
              <w:spacing w:after="0"/>
              <w:rPr>
                <w:sz w:val="20"/>
                <w:szCs w:val="20"/>
                <w:color w:val="auto"/>
              </w:rPr>
            </w:pPr>
            <w:r>
              <w:rPr>
                <w:rFonts w:ascii="Arial" w:cs="Arial" w:eastAsia="Arial" w:hAnsi="Arial"/>
                <w:sz w:val="18"/>
                <w:szCs w:val="18"/>
                <w:color w:val="auto"/>
              </w:rPr>
              <w:t>Earnings per share of common stock – assuming dilution</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6.20</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6.04</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5.33</w:t>
            </w:r>
          </w:p>
        </w:tc>
      </w:tr>
    </w:tbl>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Earnings per share of common stock – assuming dilution increased in 2016 compared with 2015 primarily driven by increased pension and other postretirement income, higher segment profit in Home and Building Technologies and Performance Materials and Technologies, the gain related to the Honeywell Technology Solutions, Inc. divestiture, a decrease in the weighted average shares outstanding and the tax benefit from adoption of the FASB’s accounting standard related to employee share-based payment accounting, partially offset by lower segment profit in Aerospace and Safety and Productivity Solutions, increased pension mark-to-market expense and higher repositioning and other charges.</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Earnings per share of common stock – assuming dilution increased in 2015 compared with 2014 primarily driven by increased segment profit in each of our business segments and lower pension and other postretirement expense, partially offset by increased tax expense and lower other income (principally due to the absence of a realized gain related to the prior year sale of marketable equity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consolidated results are principally impacted by:</w:t>
      </w:r>
    </w:p>
    <w:p>
      <w:pPr>
        <w:spacing w:after="0" w:line="22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 in global economic growth rates and industry conditions and demand in our key end markets;</w:t>
      </w:r>
    </w:p>
    <w:p>
      <w:pPr>
        <w:spacing w:after="0" w:line="225" w:lineRule="exact"/>
        <w:rPr>
          <w:rFonts w:ascii="Arial" w:cs="Arial" w:eastAsia="Arial" w:hAnsi="Arial"/>
          <w:sz w:val="18"/>
          <w:szCs w:val="18"/>
          <w:color w:val="auto"/>
        </w:rPr>
      </w:pPr>
    </w:p>
    <w:p>
      <w:pPr>
        <w:ind w:left="980" w:hanging="324"/>
        <w:spacing w:after="0" w:line="246"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of recently acquired businesses to integrate and continue to operate and grow in accordance with the assumptions utilized in determining the acquisition purchase price;</w:t>
      </w:r>
    </w:p>
    <w:p>
      <w:pPr>
        <w:spacing w:after="0" w:line="196"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fluctuations in foreign currency exchange rates (in particular the Euro), relative to the U.S. Dollar;</w:t>
      </w:r>
    </w:p>
    <w:p>
      <w:pPr>
        <w:spacing w:after="0" w:line="225" w:lineRule="exact"/>
        <w:rPr>
          <w:rFonts w:ascii="Arial" w:cs="Arial" w:eastAsia="Arial" w:hAnsi="Arial"/>
          <w:sz w:val="18"/>
          <w:szCs w:val="18"/>
          <w:color w:val="auto"/>
        </w:rPr>
      </w:pPr>
    </w:p>
    <w:p>
      <w:pPr>
        <w:ind w:left="980" w:hanging="324"/>
        <w:spacing w:after="0" w:line="246"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cost savings from productivity actions are able to offset or exceed the impact of material and non-material inflation; and</w:t>
      </w:r>
    </w:p>
    <w:p>
      <w:pPr>
        <w:spacing w:after="0" w:line="196" w:lineRule="exact"/>
        <w:rPr>
          <w:rFonts w:ascii="Arial" w:cs="Arial" w:eastAsia="Arial" w:hAnsi="Arial"/>
          <w:sz w:val="18"/>
          <w:szCs w:val="18"/>
          <w:color w:val="auto"/>
        </w:rPr>
      </w:pPr>
    </w:p>
    <w:p>
      <w:pPr>
        <w:ind w:left="980" w:hanging="324"/>
        <w:spacing w:after="0" w:line="246"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the pension discount rate and asset returns on pension expense, including mark-to-market adjustments, and funding requirements.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2017 areas of focus which are generally applicable to each of our operating segments include:</w:t>
      </w:r>
    </w:p>
    <w:p>
      <w:pPr>
        <w:spacing w:after="0" w:line="225" w:lineRule="exact"/>
        <w:rPr>
          <w:sz w:val="20"/>
          <w:szCs w:val="20"/>
          <w:color w:val="auto"/>
        </w:rPr>
      </w:pPr>
    </w:p>
    <w:p>
      <w:pPr>
        <w:jc w:val="both"/>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Ensuring the successful completion of the leadership transition, which includes the Chief Executive Officer and leaders for three of our operating segments, and continuing to execute on the realignment of our Home and Building Technologies and Safety and Productivity Solutions operating segments;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9" w:name="page20"/>
    <w:bookmarkEnd w:id="19"/>
    <w:p>
      <w:pPr>
        <w:ind w:left="980" w:hanging="324"/>
        <w:spacing w:after="0" w:line="246"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Driving profitable organic growth through R&amp;D and technological excellence to deliver innovative products that customers value and expansion and localization of our footprint in high growth regions;</w:t>
      </w:r>
    </w:p>
    <w:p>
      <w:pPr>
        <w:spacing w:after="0" w:line="196" w:lineRule="exact"/>
        <w:rPr>
          <w:rFonts w:ascii="Arial" w:cs="Arial" w:eastAsia="Arial" w:hAnsi="Arial"/>
          <w:sz w:val="18"/>
          <w:szCs w:val="18"/>
          <w:color w:val="auto"/>
        </w:rPr>
      </w:pPr>
    </w:p>
    <w:p>
      <w:pPr>
        <w:ind w:left="980" w:right="20" w:hanging="324"/>
        <w:spacing w:after="0" w:line="246"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Executing on our strategy to become a software-industrial company, which for us means products and services that facilitate the connected plane, home, building and factory;</w:t>
      </w:r>
    </w:p>
    <w:p>
      <w:pPr>
        <w:spacing w:after="0" w:line="196"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Executing disciplined, rigorous M&amp;A and integration processes to deliver growth through previously announced acquisitions;</w:t>
      </w:r>
    </w:p>
    <w:p>
      <w:pPr>
        <w:spacing w:after="0" w:line="225" w:lineRule="exact"/>
        <w:rPr>
          <w:rFonts w:ascii="Arial" w:cs="Arial" w:eastAsia="Arial" w:hAnsi="Arial"/>
          <w:sz w:val="18"/>
          <w:szCs w:val="18"/>
          <w:color w:val="auto"/>
        </w:rPr>
      </w:pPr>
    </w:p>
    <w:p>
      <w:pPr>
        <w:ind w:left="980" w:hanging="324"/>
        <w:spacing w:after="0" w:line="246"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Expanding margins by maintaining and improving the Company’s cost structure through manufacturing and administrative process improvements, repositioning, and other productivity actions;</w:t>
      </w:r>
    </w:p>
    <w:p>
      <w:pPr>
        <w:spacing w:after="0" w:line="196" w:lineRule="exact"/>
        <w:rPr>
          <w:rFonts w:ascii="Arial" w:cs="Arial" w:eastAsia="Arial" w:hAnsi="Arial"/>
          <w:sz w:val="18"/>
          <w:szCs w:val="18"/>
          <w:color w:val="auto"/>
        </w:rPr>
      </w:pPr>
    </w:p>
    <w:p>
      <w:pPr>
        <w:ind w:left="980" w:right="20" w:hanging="324"/>
        <w:spacing w:after="0" w:line="246"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Controlling corporate and other non-operating costs, including costs incurred for asbestos and environmental matters, pension and other post-retirement and income tax expense;</w:t>
      </w:r>
    </w:p>
    <w:p>
      <w:pPr>
        <w:spacing w:after="0" w:line="196" w:lineRule="exact"/>
        <w:rPr>
          <w:rFonts w:ascii="Arial" w:cs="Arial" w:eastAsia="Arial" w:hAnsi="Arial"/>
          <w:sz w:val="18"/>
          <w:szCs w:val="18"/>
          <w:color w:val="auto"/>
        </w:rPr>
      </w:pPr>
    </w:p>
    <w:p>
      <w:pPr>
        <w:jc w:val="both"/>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availability of capital through strong cash flow conversion from effective working capital management and proactively managing debt levels to enable the Company to smartly deploy capital for strategic acquisitions, dividends, share repurchases and capital expenditures.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Business Segments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7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0" w:type="dxa"/>
            <w:vAlign w:val="bottom"/>
            <w:gridSpan w:val="6"/>
            <w:vMerge w:val="restart"/>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2016</w:t>
            </w:r>
          </w:p>
        </w:tc>
        <w:tc>
          <w:tcPr>
            <w:tcW w:w="152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75"/>
        </w:trPr>
        <w:tc>
          <w:tcPr>
            <w:tcW w:w="13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6"/>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Versus</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228"/>
              <w:spacing w:after="0"/>
              <w:rPr>
                <w:sz w:val="20"/>
                <w:szCs w:val="20"/>
                <w:color w:val="auto"/>
              </w:rPr>
            </w:pPr>
            <w:r>
              <w:rPr>
                <w:rFonts w:ascii="Arial" w:cs="Arial" w:eastAsia="Arial" w:hAnsi="Arial"/>
                <w:sz w:val="14"/>
                <w:szCs w:val="14"/>
                <w:b w:val="1"/>
                <w:bCs w:val="1"/>
                <w:color w:val="auto"/>
              </w:rPr>
              <w:t>Versus</w:t>
            </w: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71"/>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71"/>
              <w:spacing w:after="0" w:line="155" w:lineRule="exact"/>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ind w:right="271"/>
              <w:spacing w:after="0" w:line="155" w:lineRule="exact"/>
              <w:rPr>
                <w:sz w:val="20"/>
                <w:szCs w:val="20"/>
                <w:color w:val="auto"/>
              </w:rPr>
            </w:pPr>
            <w:r>
              <w:rPr>
                <w:rFonts w:ascii="Arial" w:cs="Arial" w:eastAsia="Arial" w:hAnsi="Arial"/>
                <w:sz w:val="14"/>
                <w:szCs w:val="14"/>
                <w:b w:val="1"/>
                <w:bCs w:val="1"/>
                <w:color w:val="auto"/>
              </w:rPr>
              <w:t>2014</w:t>
            </w:r>
          </w:p>
        </w:tc>
        <w:tc>
          <w:tcPr>
            <w:tcW w:w="1140" w:type="dxa"/>
            <w:vAlign w:val="bottom"/>
            <w:gridSpan w:val="2"/>
          </w:tcPr>
          <w:p>
            <w:pPr>
              <w:jc w:val="right"/>
              <w:ind w:right="108"/>
              <w:spacing w:after="0" w:line="155" w:lineRule="exact"/>
              <w:rPr>
                <w:sz w:val="20"/>
                <w:szCs w:val="20"/>
                <w:color w:val="auto"/>
              </w:rPr>
            </w:pPr>
            <w:r>
              <w:rPr>
                <w:rFonts w:ascii="Arial" w:cs="Arial" w:eastAsia="Arial" w:hAnsi="Arial"/>
                <w:sz w:val="14"/>
                <w:szCs w:val="14"/>
                <w:b w:val="1"/>
                <w:bCs w:val="1"/>
                <w:color w:val="auto"/>
              </w:rPr>
              <w:t>2015</w:t>
            </w:r>
          </w:p>
        </w:tc>
        <w:tc>
          <w:tcPr>
            <w:tcW w:w="1520" w:type="dxa"/>
            <w:vAlign w:val="bottom"/>
            <w:gridSpan w:val="3"/>
          </w:tcPr>
          <w:p>
            <w:pPr>
              <w:jc w:val="right"/>
              <w:ind w:right="288"/>
              <w:spacing w:after="0" w:line="155" w:lineRule="exact"/>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83"/>
        </w:trPr>
        <w:tc>
          <w:tcPr>
            <w:tcW w:w="4460" w:type="dxa"/>
            <w:vAlign w:val="bottom"/>
            <w:tcBorders>
              <w:top w:val="single" w:sz="8" w:color="E5FFFF"/>
            </w:tcBorders>
            <w:gridSpan w:val="5"/>
            <w:shd w:val="clear" w:color="auto" w:fill="E5FFFF"/>
          </w:tcPr>
          <w:p>
            <w:pPr>
              <w:spacing w:after="0" w:line="182" w:lineRule="exact"/>
              <w:rPr>
                <w:sz w:val="20"/>
                <w:szCs w:val="20"/>
                <w:color w:val="auto"/>
              </w:rPr>
            </w:pPr>
            <w:r>
              <w:rPr>
                <w:rFonts w:ascii="Arial" w:cs="Arial" w:eastAsia="Arial" w:hAnsi="Arial"/>
                <w:sz w:val="18"/>
                <w:szCs w:val="18"/>
                <w:color w:val="auto"/>
              </w:rPr>
              <w:t>Aerospace Sales</w:t>
            </w:r>
          </w:p>
        </w:tc>
        <w:tc>
          <w:tcPr>
            <w:tcW w:w="540" w:type="dxa"/>
            <w:vAlign w:val="bottom"/>
            <w:tcBorders>
              <w:top w:val="single" w:sz="8" w:color="E5FFFF"/>
            </w:tcBorders>
            <w:shd w:val="clear" w:color="auto" w:fill="E5FFFF"/>
          </w:tcPr>
          <w:p>
            <w:pPr>
              <w:spacing w:after="0"/>
              <w:rPr>
                <w:sz w:val="15"/>
                <w:szCs w:val="15"/>
                <w:color w:val="auto"/>
              </w:rPr>
            </w:pPr>
          </w:p>
        </w:tc>
        <w:tc>
          <w:tcPr>
            <w:tcW w:w="220" w:type="dxa"/>
            <w:vAlign w:val="bottom"/>
            <w:tcBorders>
              <w:top w:val="single" w:sz="8" w:color="auto"/>
            </w:tcBorders>
            <w:shd w:val="clear" w:color="auto" w:fill="E5FFFF"/>
          </w:tcPr>
          <w:p>
            <w:pPr>
              <w:spacing w:after="0"/>
              <w:rPr>
                <w:sz w:val="15"/>
                <w:szCs w:val="15"/>
                <w:color w:val="auto"/>
              </w:rPr>
            </w:pPr>
          </w:p>
        </w:tc>
        <w:tc>
          <w:tcPr>
            <w:tcW w:w="800" w:type="dxa"/>
            <w:vAlign w:val="bottom"/>
            <w:tcBorders>
              <w:top w:val="single" w:sz="8" w:color="auto"/>
            </w:tcBorders>
            <w:shd w:val="clear" w:color="auto" w:fill="E5FFFF"/>
          </w:tcPr>
          <w:p>
            <w:pPr>
              <w:spacing w:after="0"/>
              <w:rPr>
                <w:sz w:val="15"/>
                <w:szCs w:val="15"/>
                <w:color w:val="auto"/>
              </w:rPr>
            </w:pPr>
          </w:p>
        </w:tc>
        <w:tc>
          <w:tcPr>
            <w:tcW w:w="340" w:type="dxa"/>
            <w:vAlign w:val="bottom"/>
            <w:tcBorders>
              <w:top w:val="single" w:sz="8" w:color="E5FFFF"/>
            </w:tcBorders>
            <w:shd w:val="clear" w:color="auto" w:fill="E5FFFF"/>
          </w:tcPr>
          <w:p>
            <w:pPr>
              <w:spacing w:after="0"/>
              <w:rPr>
                <w:sz w:val="15"/>
                <w:szCs w:val="15"/>
                <w:color w:val="auto"/>
              </w:rPr>
            </w:pPr>
          </w:p>
        </w:tc>
        <w:tc>
          <w:tcPr>
            <w:tcW w:w="220" w:type="dxa"/>
            <w:vAlign w:val="bottom"/>
            <w:tcBorders>
              <w:top w:val="single" w:sz="8" w:color="auto"/>
            </w:tcBorders>
            <w:shd w:val="clear" w:color="auto" w:fill="E5FFFF"/>
          </w:tcPr>
          <w:p>
            <w:pPr>
              <w:spacing w:after="0"/>
              <w:rPr>
                <w:sz w:val="15"/>
                <w:szCs w:val="15"/>
                <w:color w:val="auto"/>
              </w:rPr>
            </w:pPr>
          </w:p>
        </w:tc>
        <w:tc>
          <w:tcPr>
            <w:tcW w:w="800" w:type="dxa"/>
            <w:vAlign w:val="bottom"/>
            <w:tcBorders>
              <w:top w:val="single" w:sz="8" w:color="auto"/>
            </w:tcBorders>
            <w:shd w:val="clear" w:color="auto" w:fill="E5FFFF"/>
          </w:tcPr>
          <w:p>
            <w:pPr>
              <w:spacing w:after="0"/>
              <w:rPr>
                <w:sz w:val="15"/>
                <w:szCs w:val="15"/>
                <w:color w:val="auto"/>
              </w:rPr>
            </w:pPr>
          </w:p>
        </w:tc>
        <w:tc>
          <w:tcPr>
            <w:tcW w:w="340" w:type="dxa"/>
            <w:vAlign w:val="bottom"/>
            <w:tcBorders>
              <w:top w:val="single" w:sz="8" w:color="E5FFFF"/>
            </w:tcBorders>
            <w:shd w:val="clear" w:color="auto" w:fill="E5FFFF"/>
          </w:tcPr>
          <w:p>
            <w:pPr>
              <w:spacing w:after="0"/>
              <w:rPr>
                <w:sz w:val="15"/>
                <w:szCs w:val="15"/>
                <w:color w:val="auto"/>
              </w:rPr>
            </w:pPr>
          </w:p>
        </w:tc>
        <w:tc>
          <w:tcPr>
            <w:tcW w:w="300" w:type="dxa"/>
            <w:vAlign w:val="bottom"/>
            <w:tcBorders>
              <w:top w:val="single" w:sz="8" w:color="auto"/>
            </w:tcBorders>
            <w:shd w:val="clear" w:color="auto" w:fill="E5FFFF"/>
          </w:tcPr>
          <w:p>
            <w:pPr>
              <w:spacing w:after="0"/>
              <w:rPr>
                <w:sz w:val="15"/>
                <w:szCs w:val="15"/>
                <w:color w:val="auto"/>
              </w:rPr>
            </w:pPr>
          </w:p>
        </w:tc>
        <w:tc>
          <w:tcPr>
            <w:tcW w:w="740" w:type="dxa"/>
            <w:vAlign w:val="bottom"/>
            <w:tcBorders>
              <w:top w:val="single" w:sz="8" w:color="auto"/>
            </w:tcBorders>
            <w:shd w:val="clear" w:color="auto" w:fill="E5FFFF"/>
          </w:tcPr>
          <w:p>
            <w:pPr>
              <w:spacing w:after="0"/>
              <w:rPr>
                <w:sz w:val="15"/>
                <w:szCs w:val="15"/>
                <w:color w:val="auto"/>
              </w:rPr>
            </w:pPr>
          </w:p>
        </w:tc>
        <w:tc>
          <w:tcPr>
            <w:tcW w:w="340" w:type="dxa"/>
            <w:vAlign w:val="bottom"/>
            <w:tcBorders>
              <w:top w:val="single" w:sz="8" w:color="E5FFFF"/>
            </w:tcBorders>
            <w:shd w:val="clear" w:color="auto" w:fill="E5FFFF"/>
          </w:tcPr>
          <w:p>
            <w:pPr>
              <w:spacing w:after="0"/>
              <w:rPr>
                <w:sz w:val="15"/>
                <w:szCs w:val="15"/>
                <w:color w:val="auto"/>
              </w:rPr>
            </w:pPr>
          </w:p>
        </w:tc>
        <w:tc>
          <w:tcPr>
            <w:tcW w:w="80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auto"/>
            </w:tcBorders>
            <w:shd w:val="clear" w:color="auto" w:fill="E5FFFF"/>
          </w:tcPr>
          <w:p>
            <w:pPr>
              <w:spacing w:after="0"/>
              <w:rPr>
                <w:sz w:val="15"/>
                <w:szCs w:val="15"/>
                <w:color w:val="auto"/>
              </w:rPr>
            </w:pPr>
          </w:p>
        </w:tc>
        <w:tc>
          <w:tcPr>
            <w:tcW w:w="340" w:type="dxa"/>
            <w:vAlign w:val="bottom"/>
            <w:tcBorders>
              <w:top w:val="single" w:sz="8" w:color="E5FFFF"/>
            </w:tcBorders>
            <w:shd w:val="clear" w:color="auto" w:fill="E5FFFF"/>
          </w:tcPr>
          <w:p>
            <w:pPr>
              <w:spacing w:after="0"/>
              <w:rPr>
                <w:sz w:val="15"/>
                <w:szCs w:val="15"/>
                <w:color w:val="auto"/>
              </w:rPr>
            </w:pPr>
          </w:p>
        </w:tc>
        <w:tc>
          <w:tcPr>
            <w:tcW w:w="1060" w:type="dxa"/>
            <w:vAlign w:val="bottom"/>
            <w:tcBorders>
              <w:top w:val="single" w:sz="8" w:color="auto"/>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360" w:type="dxa"/>
            <w:vAlign w:val="bottom"/>
            <w:shd w:val="clear" w:color="auto" w:fill="000000"/>
          </w:tcPr>
          <w:p>
            <w:pPr>
              <w:spacing w:after="0"/>
              <w:rPr>
                <w:sz w:val="2"/>
                <w:szCs w:val="2"/>
                <w:color w:val="auto"/>
              </w:rPr>
            </w:pPr>
          </w:p>
        </w:tc>
        <w:tc>
          <w:tcPr>
            <w:tcW w:w="1760" w:type="dxa"/>
            <w:vAlign w:val="bottom"/>
            <w:shd w:val="clear" w:color="auto" w:fill="E5FFFF"/>
          </w:tcPr>
          <w:p>
            <w:pPr>
              <w:spacing w:after="0"/>
              <w:rPr>
                <w:sz w:val="2"/>
                <w:szCs w:val="2"/>
                <w:color w:val="auto"/>
              </w:rPr>
            </w:pPr>
          </w:p>
        </w:tc>
        <w:tc>
          <w:tcPr>
            <w:tcW w:w="20" w:type="dxa"/>
            <w:vAlign w:val="bottom"/>
            <w:shd w:val="clear" w:color="auto" w:fill="E5FFFF"/>
          </w:tcPr>
          <w:p>
            <w:pPr>
              <w:spacing w:after="0"/>
              <w:rPr>
                <w:sz w:val="2"/>
                <w:szCs w:val="2"/>
                <w:color w:val="auto"/>
              </w:rPr>
            </w:pPr>
          </w:p>
        </w:tc>
        <w:tc>
          <w:tcPr>
            <w:tcW w:w="620" w:type="dxa"/>
            <w:vAlign w:val="bottom"/>
            <w:shd w:val="clear" w:color="auto" w:fill="E5FFFF"/>
          </w:tcPr>
          <w:p>
            <w:pPr>
              <w:spacing w:after="0"/>
              <w:rPr>
                <w:sz w:val="2"/>
                <w:szCs w:val="2"/>
                <w:color w:val="auto"/>
              </w:rPr>
            </w:pPr>
          </w:p>
        </w:tc>
        <w:tc>
          <w:tcPr>
            <w:tcW w:w="700" w:type="dxa"/>
            <w:vAlign w:val="bottom"/>
            <w:shd w:val="clear" w:color="auto" w:fill="E5FFFF"/>
          </w:tcPr>
          <w:p>
            <w:pPr>
              <w:spacing w:after="0"/>
              <w:rPr>
                <w:sz w:val="2"/>
                <w:szCs w:val="2"/>
                <w:color w:val="auto"/>
              </w:rPr>
            </w:pPr>
          </w:p>
        </w:tc>
        <w:tc>
          <w:tcPr>
            <w:tcW w:w="540" w:type="dxa"/>
            <w:vAlign w:val="bottom"/>
            <w:shd w:val="clear" w:color="auto" w:fill="E5FFFF"/>
          </w:tcPr>
          <w:p>
            <w:pPr>
              <w:spacing w:after="0"/>
              <w:rPr>
                <w:sz w:val="2"/>
                <w:szCs w:val="2"/>
                <w:color w:val="auto"/>
              </w:rPr>
            </w:pPr>
          </w:p>
        </w:tc>
        <w:tc>
          <w:tcPr>
            <w:tcW w:w="220" w:type="dxa"/>
            <w:vAlign w:val="bottom"/>
            <w:shd w:val="clear" w:color="auto" w:fill="E5FFFF"/>
          </w:tcPr>
          <w:p>
            <w:pPr>
              <w:spacing w:after="0"/>
              <w:rPr>
                <w:sz w:val="2"/>
                <w:szCs w:val="2"/>
                <w:color w:val="auto"/>
              </w:rPr>
            </w:pPr>
          </w:p>
        </w:tc>
        <w:tc>
          <w:tcPr>
            <w:tcW w:w="800" w:type="dxa"/>
            <w:vAlign w:val="bottom"/>
            <w:shd w:val="clear" w:color="auto" w:fill="E5FFFF"/>
          </w:tcPr>
          <w:p>
            <w:pPr>
              <w:spacing w:after="0"/>
              <w:rPr>
                <w:sz w:val="2"/>
                <w:szCs w:val="2"/>
                <w:color w:val="auto"/>
              </w:rPr>
            </w:pPr>
          </w:p>
        </w:tc>
        <w:tc>
          <w:tcPr>
            <w:tcW w:w="340" w:type="dxa"/>
            <w:vAlign w:val="bottom"/>
            <w:shd w:val="clear" w:color="auto" w:fill="E5FFFF"/>
          </w:tcPr>
          <w:p>
            <w:pPr>
              <w:spacing w:after="0"/>
              <w:rPr>
                <w:sz w:val="2"/>
                <w:szCs w:val="2"/>
                <w:color w:val="auto"/>
              </w:rPr>
            </w:pPr>
          </w:p>
        </w:tc>
        <w:tc>
          <w:tcPr>
            <w:tcW w:w="220" w:type="dxa"/>
            <w:vAlign w:val="bottom"/>
            <w:shd w:val="clear" w:color="auto" w:fill="E5FFFF"/>
          </w:tcPr>
          <w:p>
            <w:pPr>
              <w:spacing w:after="0"/>
              <w:rPr>
                <w:sz w:val="2"/>
                <w:szCs w:val="2"/>
                <w:color w:val="auto"/>
              </w:rPr>
            </w:pPr>
          </w:p>
        </w:tc>
        <w:tc>
          <w:tcPr>
            <w:tcW w:w="800" w:type="dxa"/>
            <w:vAlign w:val="bottom"/>
            <w:shd w:val="clear" w:color="auto" w:fill="E5FFFF"/>
          </w:tcPr>
          <w:p>
            <w:pPr>
              <w:spacing w:after="0"/>
              <w:rPr>
                <w:sz w:val="2"/>
                <w:szCs w:val="2"/>
                <w:color w:val="auto"/>
              </w:rPr>
            </w:pPr>
          </w:p>
        </w:tc>
        <w:tc>
          <w:tcPr>
            <w:tcW w:w="340" w:type="dxa"/>
            <w:vAlign w:val="bottom"/>
            <w:shd w:val="clear" w:color="auto" w:fill="E5FFFF"/>
          </w:tcPr>
          <w:p>
            <w:pPr>
              <w:spacing w:after="0"/>
              <w:rPr>
                <w:sz w:val="2"/>
                <w:szCs w:val="2"/>
                <w:color w:val="auto"/>
              </w:rPr>
            </w:pPr>
          </w:p>
        </w:tc>
        <w:tc>
          <w:tcPr>
            <w:tcW w:w="300" w:type="dxa"/>
            <w:vAlign w:val="bottom"/>
            <w:shd w:val="clear" w:color="auto" w:fill="E5FFFF"/>
          </w:tcPr>
          <w:p>
            <w:pPr>
              <w:spacing w:after="0"/>
              <w:rPr>
                <w:sz w:val="2"/>
                <w:szCs w:val="2"/>
                <w:color w:val="auto"/>
              </w:rPr>
            </w:pPr>
          </w:p>
        </w:tc>
        <w:tc>
          <w:tcPr>
            <w:tcW w:w="740" w:type="dxa"/>
            <w:vAlign w:val="bottom"/>
            <w:shd w:val="clear" w:color="auto" w:fill="E5FFFF"/>
          </w:tcPr>
          <w:p>
            <w:pPr>
              <w:spacing w:after="0"/>
              <w:rPr>
                <w:sz w:val="2"/>
                <w:szCs w:val="2"/>
                <w:color w:val="auto"/>
              </w:rPr>
            </w:pPr>
          </w:p>
        </w:tc>
        <w:tc>
          <w:tcPr>
            <w:tcW w:w="340" w:type="dxa"/>
            <w:vAlign w:val="bottom"/>
            <w:shd w:val="clear" w:color="auto" w:fill="E5FFFF"/>
          </w:tcPr>
          <w:p>
            <w:pPr>
              <w:spacing w:after="0"/>
              <w:rPr>
                <w:sz w:val="2"/>
                <w:szCs w:val="2"/>
                <w:color w:val="auto"/>
              </w:rPr>
            </w:pPr>
          </w:p>
        </w:tc>
        <w:tc>
          <w:tcPr>
            <w:tcW w:w="800" w:type="dxa"/>
            <w:vAlign w:val="bottom"/>
            <w:shd w:val="clear" w:color="auto" w:fill="E5FFFF"/>
          </w:tcPr>
          <w:p>
            <w:pPr>
              <w:spacing w:after="0"/>
              <w:rPr>
                <w:sz w:val="2"/>
                <w:szCs w:val="2"/>
                <w:color w:val="auto"/>
              </w:rPr>
            </w:pPr>
          </w:p>
        </w:tc>
        <w:tc>
          <w:tcPr>
            <w:tcW w:w="120" w:type="dxa"/>
            <w:vAlign w:val="bottom"/>
            <w:shd w:val="clear" w:color="auto" w:fill="E5FFFF"/>
          </w:tcPr>
          <w:p>
            <w:pPr>
              <w:spacing w:after="0"/>
              <w:rPr>
                <w:sz w:val="2"/>
                <w:szCs w:val="2"/>
                <w:color w:val="auto"/>
              </w:rPr>
            </w:pPr>
          </w:p>
        </w:tc>
        <w:tc>
          <w:tcPr>
            <w:tcW w:w="340" w:type="dxa"/>
            <w:vAlign w:val="bottom"/>
            <w:shd w:val="clear" w:color="auto" w:fill="E5FFFF"/>
          </w:tcPr>
          <w:p>
            <w:pPr>
              <w:spacing w:after="0"/>
              <w:rPr>
                <w:sz w:val="2"/>
                <w:szCs w:val="2"/>
                <w:color w:val="auto"/>
              </w:rPr>
            </w:pPr>
          </w:p>
        </w:tc>
        <w:tc>
          <w:tcPr>
            <w:tcW w:w="1060" w:type="dxa"/>
            <w:vAlign w:val="bottom"/>
            <w:shd w:val="clear" w:color="auto" w:fill="E5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gridSpan w:val="5"/>
          </w:tcPr>
          <w:p>
            <w:pPr>
              <w:ind w:left="180"/>
              <w:spacing w:after="0" w:line="202" w:lineRule="exact"/>
              <w:rPr>
                <w:sz w:val="20"/>
                <w:szCs w:val="20"/>
                <w:color w:val="auto"/>
              </w:rPr>
            </w:pPr>
            <w:r>
              <w:rPr>
                <w:rFonts w:ascii="Arial" w:cs="Arial" w:eastAsia="Arial" w:hAnsi="Arial"/>
                <w:sz w:val="18"/>
                <w:szCs w:val="18"/>
                <w:color w:val="auto"/>
              </w:rPr>
              <w:t>Commercial Aviation Original Equipment</w:t>
            </w:r>
          </w:p>
        </w:tc>
        <w:tc>
          <w:tcPr>
            <w:tcW w:w="7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2,525</w:t>
            </w:r>
          </w:p>
        </w:tc>
        <w:tc>
          <w:tcPr>
            <w:tcW w:w="5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2,905</w:t>
            </w:r>
          </w:p>
        </w:tc>
        <w:tc>
          <w:tcPr>
            <w:tcW w:w="34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2,607</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w:t>
            </w:r>
          </w:p>
        </w:tc>
        <w:tc>
          <w:tcPr>
            <w:tcW w:w="1520" w:type="dxa"/>
            <w:vAlign w:val="bottom"/>
            <w:gridSpan w:val="3"/>
          </w:tcPr>
          <w:p>
            <w:pPr>
              <w:jc w:val="right"/>
              <w:ind w:right="248"/>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4460" w:type="dxa"/>
            <w:vAlign w:val="bottom"/>
            <w:gridSpan w:val="5"/>
            <w:shd w:val="clear" w:color="auto" w:fill="E5FFFF"/>
          </w:tcPr>
          <w:p>
            <w:pPr>
              <w:ind w:left="180"/>
              <w:spacing w:after="0" w:line="202" w:lineRule="exact"/>
              <w:rPr>
                <w:sz w:val="20"/>
                <w:szCs w:val="20"/>
                <w:color w:val="auto"/>
              </w:rPr>
            </w:pPr>
            <w:r>
              <w:rPr>
                <w:rFonts w:ascii="Arial" w:cs="Arial" w:eastAsia="Arial" w:hAnsi="Arial"/>
                <w:sz w:val="18"/>
                <w:szCs w:val="18"/>
                <w:color w:val="auto"/>
              </w:rPr>
              <w:t>Commercial Aviation Aftermarket</w:t>
            </w:r>
          </w:p>
        </w:tc>
        <w:tc>
          <w:tcPr>
            <w:tcW w:w="5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4,796</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4,656</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4,578</w:t>
            </w:r>
          </w:p>
        </w:tc>
        <w:tc>
          <w:tcPr>
            <w:tcW w:w="1140" w:type="dxa"/>
            <w:vAlign w:val="bottom"/>
            <w:gridSpan w:val="2"/>
            <w:shd w:val="clear" w:color="auto" w:fill="E5FFFF"/>
          </w:tcPr>
          <w:p>
            <w:pPr>
              <w:jc w:val="right"/>
              <w:ind w:right="8"/>
              <w:spacing w:after="0" w:line="202" w:lineRule="exact"/>
              <w:rPr>
                <w:sz w:val="20"/>
                <w:szCs w:val="20"/>
                <w:color w:val="auto"/>
              </w:rPr>
            </w:pPr>
            <w:r>
              <w:rPr>
                <w:rFonts w:ascii="Arial" w:cs="Arial" w:eastAsia="Arial" w:hAnsi="Arial"/>
                <w:sz w:val="18"/>
                <w:szCs w:val="18"/>
                <w:color w:val="auto"/>
              </w:rPr>
              <w:t>3%</w:t>
            </w:r>
          </w:p>
        </w:tc>
        <w:tc>
          <w:tcPr>
            <w:tcW w:w="1520" w:type="dxa"/>
            <w:vAlign w:val="bottom"/>
            <w:gridSpan w:val="3"/>
            <w:shd w:val="clear" w:color="auto" w:fill="E5FFFF"/>
          </w:tcPr>
          <w:p>
            <w:pPr>
              <w:jc w:val="right"/>
              <w:ind w:right="248"/>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4460" w:type="dxa"/>
            <w:vAlign w:val="bottom"/>
            <w:gridSpan w:val="5"/>
          </w:tcPr>
          <w:p>
            <w:pPr>
              <w:ind w:left="180"/>
              <w:spacing w:after="0" w:line="202" w:lineRule="exact"/>
              <w:rPr>
                <w:sz w:val="20"/>
                <w:szCs w:val="20"/>
                <w:color w:val="auto"/>
              </w:rPr>
            </w:pPr>
            <w:r>
              <w:rPr>
                <w:rFonts w:ascii="Arial" w:cs="Arial" w:eastAsia="Arial" w:hAnsi="Arial"/>
                <w:sz w:val="18"/>
                <w:szCs w:val="18"/>
                <w:color w:val="auto"/>
              </w:rPr>
              <w:t>Defense and Space</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4,375</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4,715</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4,754</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w:t>
            </w:r>
          </w:p>
        </w:tc>
        <w:tc>
          <w:tcPr>
            <w:tcW w:w="1520" w:type="dxa"/>
            <w:vAlign w:val="bottom"/>
            <w:gridSpan w:val="3"/>
          </w:tcPr>
          <w:p>
            <w:pPr>
              <w:jc w:val="right"/>
              <w:ind w:right="188"/>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4460" w:type="dxa"/>
            <w:vAlign w:val="bottom"/>
            <w:gridSpan w:val="5"/>
            <w:shd w:val="clear" w:color="auto" w:fill="E5FFFF"/>
          </w:tcPr>
          <w:p>
            <w:pPr>
              <w:ind w:left="180"/>
              <w:spacing w:after="0" w:line="202" w:lineRule="exact"/>
              <w:rPr>
                <w:sz w:val="20"/>
                <w:szCs w:val="20"/>
                <w:color w:val="auto"/>
              </w:rPr>
            </w:pPr>
            <w:r>
              <w:rPr>
                <w:rFonts w:ascii="Arial" w:cs="Arial" w:eastAsia="Arial" w:hAnsi="Arial"/>
                <w:sz w:val="18"/>
                <w:szCs w:val="18"/>
                <w:color w:val="auto"/>
              </w:rPr>
              <w:t>Transportation Systems</w:t>
            </w:r>
          </w:p>
        </w:tc>
        <w:tc>
          <w:tcPr>
            <w:tcW w:w="540" w:type="dxa"/>
            <w:vAlign w:val="bottom"/>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spacing w:after="0"/>
              <w:rPr>
                <w:sz w:val="17"/>
                <w:szCs w:val="17"/>
                <w:color w:val="auto"/>
              </w:rPr>
            </w:pPr>
          </w:p>
        </w:tc>
        <w:tc>
          <w:tcPr>
            <w:tcW w:w="800" w:type="dxa"/>
            <w:vAlign w:val="bottom"/>
            <w:tcBorders>
              <w:bottom w:val="single" w:sz="8" w:color="auto"/>
            </w:tcBorders>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3,055</w:t>
            </w:r>
          </w:p>
        </w:tc>
        <w:tc>
          <w:tcPr>
            <w:tcW w:w="340" w:type="dxa"/>
            <w:vAlign w:val="bottom"/>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spacing w:after="0"/>
              <w:rPr>
                <w:sz w:val="17"/>
                <w:szCs w:val="17"/>
                <w:color w:val="auto"/>
              </w:rPr>
            </w:pPr>
          </w:p>
        </w:tc>
        <w:tc>
          <w:tcPr>
            <w:tcW w:w="800" w:type="dxa"/>
            <w:vAlign w:val="bottom"/>
            <w:tcBorders>
              <w:bottom w:val="single" w:sz="8" w:color="auto"/>
            </w:tcBorders>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2,961</w:t>
            </w:r>
          </w:p>
        </w:tc>
        <w:tc>
          <w:tcPr>
            <w:tcW w:w="34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740" w:type="dxa"/>
            <w:vAlign w:val="bottom"/>
            <w:tcBorders>
              <w:bottom w:val="single" w:sz="8" w:color="auto"/>
            </w:tcBorders>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3,659</w:t>
            </w:r>
          </w:p>
        </w:tc>
        <w:tc>
          <w:tcPr>
            <w:tcW w:w="1140" w:type="dxa"/>
            <w:vAlign w:val="bottom"/>
            <w:gridSpan w:val="2"/>
            <w:shd w:val="clear" w:color="auto" w:fill="E5FFFF"/>
          </w:tcPr>
          <w:p>
            <w:pPr>
              <w:jc w:val="right"/>
              <w:ind w:right="8"/>
              <w:spacing w:after="0" w:line="202" w:lineRule="exact"/>
              <w:rPr>
                <w:sz w:val="20"/>
                <w:szCs w:val="20"/>
                <w:color w:val="auto"/>
              </w:rPr>
            </w:pPr>
            <w:r>
              <w:rPr>
                <w:rFonts w:ascii="Arial" w:cs="Arial" w:eastAsia="Arial" w:hAnsi="Arial"/>
                <w:sz w:val="18"/>
                <w:szCs w:val="18"/>
                <w:color w:val="auto"/>
              </w:rPr>
              <w:t>3%</w:t>
            </w:r>
          </w:p>
        </w:tc>
        <w:tc>
          <w:tcPr>
            <w:tcW w:w="1520" w:type="dxa"/>
            <w:vAlign w:val="bottom"/>
            <w:gridSpan w:val="3"/>
            <w:shd w:val="clear" w:color="auto" w:fill="E5FFFF"/>
          </w:tcPr>
          <w:p>
            <w:pPr>
              <w:jc w:val="right"/>
              <w:ind w:right="188"/>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4460" w:type="dxa"/>
            <w:vAlign w:val="bottom"/>
            <w:gridSpan w:val="5"/>
          </w:tcPr>
          <w:p>
            <w:pPr>
              <w:ind w:left="360"/>
              <w:spacing w:after="0"/>
              <w:rPr>
                <w:sz w:val="20"/>
                <w:szCs w:val="20"/>
                <w:color w:val="auto"/>
              </w:rPr>
            </w:pPr>
            <w:r>
              <w:rPr>
                <w:rFonts w:ascii="Arial" w:cs="Arial" w:eastAsia="Arial" w:hAnsi="Arial"/>
                <w:sz w:val="18"/>
                <w:szCs w:val="18"/>
                <w:color w:val="auto"/>
              </w:rPr>
              <w:t>Total Aerospace Sales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14,751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15,237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15,598</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60" w:type="dxa"/>
            <w:vAlign w:val="bottom"/>
            <w:gridSpan w:val="5"/>
            <w:shd w:val="clear" w:color="auto" w:fill="E5FFFF"/>
          </w:tcPr>
          <w:p>
            <w:pPr>
              <w:spacing w:after="0" w:line="189" w:lineRule="exact"/>
              <w:rPr>
                <w:sz w:val="20"/>
                <w:szCs w:val="20"/>
                <w:color w:val="auto"/>
              </w:rPr>
            </w:pPr>
            <w:r>
              <w:rPr>
                <w:rFonts w:ascii="Arial" w:cs="Arial" w:eastAsia="Arial" w:hAnsi="Arial"/>
                <w:sz w:val="18"/>
                <w:szCs w:val="18"/>
                <w:color w:val="auto"/>
              </w:rPr>
              <w:t>Home and Building Technologies Sales</w:t>
            </w:r>
          </w:p>
        </w:tc>
        <w:tc>
          <w:tcPr>
            <w:tcW w:w="5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Borders>
              <w:top w:val="single" w:sz="8" w:color="auto"/>
            </w:tcBorders>
            <w:gridSpan w:val="2"/>
          </w:tcPr>
          <w:p>
            <w:pPr>
              <w:ind w:left="180"/>
              <w:spacing w:after="0" w:line="202" w:lineRule="exact"/>
              <w:rPr>
                <w:sz w:val="20"/>
                <w:szCs w:val="20"/>
                <w:color w:val="auto"/>
              </w:rPr>
            </w:pPr>
            <w:r>
              <w:rPr>
                <w:rFonts w:ascii="Arial" w:cs="Arial" w:eastAsia="Arial" w:hAnsi="Arial"/>
                <w:sz w:val="18"/>
                <w:szCs w:val="18"/>
                <w:color w:val="auto"/>
              </w:rPr>
              <w:t>Home and Building Products</w:t>
            </w:r>
          </w:p>
        </w:tc>
        <w:tc>
          <w:tcPr>
            <w:tcW w:w="1340" w:type="dxa"/>
            <w:vAlign w:val="bottom"/>
            <w:tcBorders>
              <w:top w:val="single" w:sz="8" w:color="E5FFFF"/>
            </w:tcBorders>
            <w:gridSpan w:val="3"/>
          </w:tcPr>
          <w:p>
            <w:pPr>
              <w:spacing w:after="0"/>
              <w:rPr>
                <w:sz w:val="17"/>
                <w:szCs w:val="17"/>
                <w:color w:val="auto"/>
              </w:rPr>
            </w:pPr>
          </w:p>
        </w:tc>
        <w:tc>
          <w:tcPr>
            <w:tcW w:w="540" w:type="dxa"/>
            <w:vAlign w:val="bottom"/>
            <w:tcBorders>
              <w:top w:val="single" w:sz="8" w:color="E5FFFF"/>
            </w:tcBorders>
          </w:tcPr>
          <w:p>
            <w:pPr>
              <w:spacing w:after="0"/>
              <w:rPr>
                <w:sz w:val="17"/>
                <w:szCs w:val="17"/>
                <w:color w:val="auto"/>
              </w:rPr>
            </w:pPr>
          </w:p>
        </w:tc>
        <w:tc>
          <w:tcPr>
            <w:tcW w:w="220" w:type="dxa"/>
            <w:vAlign w:val="bottom"/>
            <w:tcBorders>
              <w:top w:val="single" w:sz="8" w:color="E5FFFF"/>
            </w:tcBorders>
          </w:tcPr>
          <w:p>
            <w:pPr>
              <w:spacing w:after="0"/>
              <w:rPr>
                <w:sz w:val="17"/>
                <w:szCs w:val="17"/>
                <w:color w:val="auto"/>
              </w:rPr>
            </w:pPr>
          </w:p>
        </w:tc>
        <w:tc>
          <w:tcPr>
            <w:tcW w:w="800" w:type="dxa"/>
            <w:vAlign w:val="bottom"/>
            <w:tcBorders>
              <w:top w:val="single" w:sz="8" w:color="E5FFFF"/>
            </w:tcBorders>
          </w:tcPr>
          <w:p>
            <w:pPr>
              <w:jc w:val="right"/>
              <w:ind w:right="11"/>
              <w:spacing w:after="0" w:line="202" w:lineRule="exact"/>
              <w:rPr>
                <w:sz w:val="20"/>
                <w:szCs w:val="20"/>
                <w:color w:val="auto"/>
              </w:rPr>
            </w:pPr>
            <w:r>
              <w:rPr>
                <w:rFonts w:ascii="Arial" w:cs="Arial" w:eastAsia="Arial" w:hAnsi="Arial"/>
                <w:sz w:val="18"/>
                <w:szCs w:val="18"/>
                <w:color w:val="auto"/>
              </w:rPr>
              <w:t>5,967</w:t>
            </w:r>
          </w:p>
        </w:tc>
        <w:tc>
          <w:tcPr>
            <w:tcW w:w="340" w:type="dxa"/>
            <w:vAlign w:val="bottom"/>
            <w:tcBorders>
              <w:top w:val="single" w:sz="8" w:color="E5FFFF"/>
            </w:tcBorders>
          </w:tcPr>
          <w:p>
            <w:pPr>
              <w:spacing w:after="0"/>
              <w:rPr>
                <w:sz w:val="17"/>
                <w:szCs w:val="17"/>
                <w:color w:val="auto"/>
              </w:rPr>
            </w:pPr>
          </w:p>
        </w:tc>
        <w:tc>
          <w:tcPr>
            <w:tcW w:w="220" w:type="dxa"/>
            <w:vAlign w:val="bottom"/>
            <w:tcBorders>
              <w:top w:val="single" w:sz="8" w:color="E5FFFF"/>
            </w:tcBorders>
          </w:tcPr>
          <w:p>
            <w:pPr>
              <w:spacing w:after="0"/>
              <w:rPr>
                <w:sz w:val="17"/>
                <w:szCs w:val="17"/>
                <w:color w:val="auto"/>
              </w:rPr>
            </w:pPr>
          </w:p>
        </w:tc>
        <w:tc>
          <w:tcPr>
            <w:tcW w:w="800" w:type="dxa"/>
            <w:vAlign w:val="bottom"/>
            <w:tcBorders>
              <w:top w:val="single" w:sz="8" w:color="E5FFFF"/>
            </w:tcBorders>
          </w:tcPr>
          <w:p>
            <w:pPr>
              <w:jc w:val="right"/>
              <w:ind w:right="11"/>
              <w:spacing w:after="0" w:line="202" w:lineRule="exact"/>
              <w:rPr>
                <w:sz w:val="20"/>
                <w:szCs w:val="20"/>
                <w:color w:val="auto"/>
              </w:rPr>
            </w:pPr>
            <w:r>
              <w:rPr>
                <w:rFonts w:ascii="Arial" w:cs="Arial" w:eastAsia="Arial" w:hAnsi="Arial"/>
                <w:sz w:val="18"/>
                <w:szCs w:val="18"/>
                <w:color w:val="auto"/>
              </w:rPr>
              <w:t>4,711</w:t>
            </w:r>
          </w:p>
        </w:tc>
        <w:tc>
          <w:tcPr>
            <w:tcW w:w="340" w:type="dxa"/>
            <w:vAlign w:val="bottom"/>
            <w:tcBorders>
              <w:top w:val="single" w:sz="8" w:color="E5FFFF"/>
            </w:tcBorders>
          </w:tcPr>
          <w:p>
            <w:pPr>
              <w:spacing w:after="0"/>
              <w:rPr>
                <w:sz w:val="17"/>
                <w:szCs w:val="17"/>
                <w:color w:val="auto"/>
              </w:rPr>
            </w:pPr>
          </w:p>
        </w:tc>
        <w:tc>
          <w:tcPr>
            <w:tcW w:w="300" w:type="dxa"/>
            <w:vAlign w:val="bottom"/>
            <w:tcBorders>
              <w:top w:val="single" w:sz="8" w:color="E5FFFF"/>
            </w:tcBorders>
          </w:tcPr>
          <w:p>
            <w:pPr>
              <w:spacing w:after="0"/>
              <w:rPr>
                <w:sz w:val="17"/>
                <w:szCs w:val="17"/>
                <w:color w:val="auto"/>
              </w:rPr>
            </w:pPr>
          </w:p>
        </w:tc>
        <w:tc>
          <w:tcPr>
            <w:tcW w:w="740" w:type="dxa"/>
            <w:vAlign w:val="bottom"/>
            <w:tcBorders>
              <w:top w:val="single" w:sz="8" w:color="E5FFFF"/>
            </w:tcBorders>
          </w:tcPr>
          <w:p>
            <w:pPr>
              <w:jc w:val="right"/>
              <w:ind w:right="11"/>
              <w:spacing w:after="0" w:line="202" w:lineRule="exact"/>
              <w:rPr>
                <w:sz w:val="20"/>
                <w:szCs w:val="20"/>
                <w:color w:val="auto"/>
              </w:rPr>
            </w:pPr>
            <w:r>
              <w:rPr>
                <w:rFonts w:ascii="Arial" w:cs="Arial" w:eastAsia="Arial" w:hAnsi="Arial"/>
                <w:sz w:val="18"/>
                <w:szCs w:val="18"/>
                <w:color w:val="auto"/>
              </w:rPr>
              <w:t>4,868</w:t>
            </w:r>
          </w:p>
        </w:tc>
        <w:tc>
          <w:tcPr>
            <w:tcW w:w="1140" w:type="dxa"/>
            <w:vAlign w:val="bottom"/>
            <w:tcBorders>
              <w:top w:val="single" w:sz="8" w:color="E5FFFF"/>
            </w:tcBorders>
            <w:gridSpan w:val="2"/>
          </w:tcPr>
          <w:p>
            <w:pPr>
              <w:jc w:val="right"/>
              <w:ind w:right="8"/>
              <w:spacing w:after="0" w:line="202" w:lineRule="exact"/>
              <w:rPr>
                <w:sz w:val="20"/>
                <w:szCs w:val="20"/>
                <w:color w:val="auto"/>
              </w:rPr>
            </w:pPr>
            <w:r>
              <w:rPr>
                <w:rFonts w:ascii="Arial" w:cs="Arial" w:eastAsia="Arial" w:hAnsi="Arial"/>
                <w:sz w:val="18"/>
                <w:szCs w:val="18"/>
                <w:color w:val="auto"/>
              </w:rPr>
              <w:t>27%</w:t>
            </w:r>
          </w:p>
        </w:tc>
        <w:tc>
          <w:tcPr>
            <w:tcW w:w="1520" w:type="dxa"/>
            <w:vAlign w:val="bottom"/>
            <w:tcBorders>
              <w:top w:val="single" w:sz="8" w:color="E5FFFF"/>
            </w:tcBorders>
            <w:gridSpan w:val="3"/>
          </w:tcPr>
          <w:p>
            <w:pPr>
              <w:jc w:val="right"/>
              <w:ind w:right="188"/>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4460" w:type="dxa"/>
            <w:vAlign w:val="bottom"/>
            <w:gridSpan w:val="5"/>
            <w:shd w:val="clear" w:color="auto" w:fill="E5FFFF"/>
          </w:tcPr>
          <w:p>
            <w:pPr>
              <w:ind w:left="180"/>
              <w:spacing w:after="0" w:line="202" w:lineRule="exact"/>
              <w:rPr>
                <w:sz w:val="20"/>
                <w:szCs w:val="20"/>
                <w:color w:val="auto"/>
              </w:rPr>
            </w:pPr>
            <w:r>
              <w:rPr>
                <w:rFonts w:ascii="Arial" w:cs="Arial" w:eastAsia="Arial" w:hAnsi="Arial"/>
                <w:sz w:val="18"/>
                <w:szCs w:val="18"/>
                <w:color w:val="auto"/>
              </w:rPr>
              <w:t>Home and Building Distribution</w:t>
            </w:r>
          </w:p>
        </w:tc>
        <w:tc>
          <w:tcPr>
            <w:tcW w:w="540" w:type="dxa"/>
            <w:vAlign w:val="bottom"/>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spacing w:after="0"/>
              <w:rPr>
                <w:sz w:val="17"/>
                <w:szCs w:val="17"/>
                <w:color w:val="auto"/>
              </w:rPr>
            </w:pPr>
          </w:p>
        </w:tc>
        <w:tc>
          <w:tcPr>
            <w:tcW w:w="800" w:type="dxa"/>
            <w:vAlign w:val="bottom"/>
            <w:tcBorders>
              <w:bottom w:val="single" w:sz="8" w:color="auto"/>
            </w:tcBorders>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4,687</w:t>
            </w:r>
          </w:p>
        </w:tc>
        <w:tc>
          <w:tcPr>
            <w:tcW w:w="340" w:type="dxa"/>
            <w:vAlign w:val="bottom"/>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spacing w:after="0"/>
              <w:rPr>
                <w:sz w:val="17"/>
                <w:szCs w:val="17"/>
                <w:color w:val="auto"/>
              </w:rPr>
            </w:pPr>
          </w:p>
        </w:tc>
        <w:tc>
          <w:tcPr>
            <w:tcW w:w="800" w:type="dxa"/>
            <w:vAlign w:val="bottom"/>
            <w:tcBorders>
              <w:bottom w:val="single" w:sz="8" w:color="auto"/>
            </w:tcBorders>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4,450</w:t>
            </w:r>
          </w:p>
        </w:tc>
        <w:tc>
          <w:tcPr>
            <w:tcW w:w="34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740" w:type="dxa"/>
            <w:vAlign w:val="bottom"/>
            <w:tcBorders>
              <w:bottom w:val="single" w:sz="8" w:color="auto"/>
            </w:tcBorders>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4,617</w:t>
            </w:r>
          </w:p>
        </w:tc>
        <w:tc>
          <w:tcPr>
            <w:tcW w:w="1140" w:type="dxa"/>
            <w:vAlign w:val="bottom"/>
            <w:gridSpan w:val="2"/>
            <w:shd w:val="clear" w:color="auto" w:fill="E5FFFF"/>
          </w:tcPr>
          <w:p>
            <w:pPr>
              <w:jc w:val="right"/>
              <w:ind w:right="8"/>
              <w:spacing w:after="0" w:line="202" w:lineRule="exact"/>
              <w:rPr>
                <w:sz w:val="20"/>
                <w:szCs w:val="20"/>
                <w:color w:val="auto"/>
              </w:rPr>
            </w:pPr>
            <w:r>
              <w:rPr>
                <w:rFonts w:ascii="Arial" w:cs="Arial" w:eastAsia="Arial" w:hAnsi="Arial"/>
                <w:sz w:val="18"/>
                <w:szCs w:val="18"/>
                <w:color w:val="auto"/>
              </w:rPr>
              <w:t>5%</w:t>
            </w:r>
          </w:p>
        </w:tc>
        <w:tc>
          <w:tcPr>
            <w:tcW w:w="1520" w:type="dxa"/>
            <w:vAlign w:val="bottom"/>
            <w:gridSpan w:val="3"/>
            <w:shd w:val="clear" w:color="auto" w:fill="E5FFFF"/>
          </w:tcPr>
          <w:p>
            <w:pPr>
              <w:jc w:val="right"/>
              <w:ind w:right="188"/>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4460" w:type="dxa"/>
            <w:vAlign w:val="bottom"/>
            <w:gridSpan w:val="5"/>
          </w:tcPr>
          <w:p>
            <w:pPr>
              <w:ind w:left="360"/>
              <w:spacing w:after="0"/>
              <w:rPr>
                <w:sz w:val="20"/>
                <w:szCs w:val="20"/>
                <w:color w:val="auto"/>
              </w:rPr>
            </w:pPr>
            <w:r>
              <w:rPr>
                <w:rFonts w:ascii="Arial" w:cs="Arial" w:eastAsia="Arial" w:hAnsi="Arial"/>
                <w:sz w:val="18"/>
                <w:szCs w:val="18"/>
                <w:color w:val="auto"/>
              </w:rPr>
              <w:t>Total Home and Building Technologies Sales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10,654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9,161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9,485</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60" w:type="dxa"/>
            <w:vAlign w:val="bottom"/>
            <w:gridSpan w:val="5"/>
            <w:shd w:val="clear" w:color="auto" w:fill="E5FFFF"/>
          </w:tcPr>
          <w:p>
            <w:pPr>
              <w:spacing w:after="0" w:line="189" w:lineRule="exact"/>
              <w:rPr>
                <w:sz w:val="20"/>
                <w:szCs w:val="20"/>
                <w:color w:val="auto"/>
              </w:rPr>
            </w:pPr>
            <w:r>
              <w:rPr>
                <w:rFonts w:ascii="Arial" w:cs="Arial" w:eastAsia="Arial" w:hAnsi="Arial"/>
                <w:sz w:val="18"/>
                <w:szCs w:val="18"/>
                <w:color w:val="auto"/>
              </w:rPr>
              <w:t>Performance Materials and Technologies Sales</w:t>
            </w:r>
          </w:p>
        </w:tc>
        <w:tc>
          <w:tcPr>
            <w:tcW w:w="5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Borders>
              <w:top w:val="single" w:sz="8" w:color="auto"/>
            </w:tcBorders>
            <w:gridSpan w:val="4"/>
          </w:tcPr>
          <w:p>
            <w:pPr>
              <w:ind w:left="180"/>
              <w:spacing w:after="0" w:line="202" w:lineRule="exact"/>
              <w:rPr>
                <w:sz w:val="20"/>
                <w:szCs w:val="20"/>
                <w:color w:val="auto"/>
              </w:rPr>
            </w:pPr>
            <w:r>
              <w:rPr>
                <w:rFonts w:ascii="Arial" w:cs="Arial" w:eastAsia="Arial" w:hAnsi="Arial"/>
                <w:sz w:val="18"/>
                <w:szCs w:val="18"/>
                <w:color w:val="auto"/>
              </w:rPr>
              <w:t>UOP</w:t>
            </w:r>
          </w:p>
        </w:tc>
        <w:tc>
          <w:tcPr>
            <w:tcW w:w="700" w:type="dxa"/>
            <w:vAlign w:val="bottom"/>
            <w:tcBorders>
              <w:top w:val="single" w:sz="8" w:color="E5FFFF"/>
            </w:tcBorders>
          </w:tcPr>
          <w:p>
            <w:pPr>
              <w:spacing w:after="0"/>
              <w:rPr>
                <w:sz w:val="17"/>
                <w:szCs w:val="17"/>
                <w:color w:val="auto"/>
              </w:rPr>
            </w:pPr>
          </w:p>
        </w:tc>
        <w:tc>
          <w:tcPr>
            <w:tcW w:w="540" w:type="dxa"/>
            <w:vAlign w:val="bottom"/>
            <w:tcBorders>
              <w:top w:val="single" w:sz="8" w:color="E5FFFF"/>
            </w:tcBorders>
          </w:tcPr>
          <w:p>
            <w:pPr>
              <w:spacing w:after="0"/>
              <w:rPr>
                <w:sz w:val="17"/>
                <w:szCs w:val="17"/>
                <w:color w:val="auto"/>
              </w:rPr>
            </w:pPr>
          </w:p>
        </w:tc>
        <w:tc>
          <w:tcPr>
            <w:tcW w:w="220" w:type="dxa"/>
            <w:vAlign w:val="bottom"/>
            <w:tcBorders>
              <w:top w:val="single" w:sz="8" w:color="E5FFFF"/>
            </w:tcBorders>
          </w:tcPr>
          <w:p>
            <w:pPr>
              <w:spacing w:after="0"/>
              <w:rPr>
                <w:sz w:val="17"/>
                <w:szCs w:val="17"/>
                <w:color w:val="auto"/>
              </w:rPr>
            </w:pPr>
          </w:p>
        </w:tc>
        <w:tc>
          <w:tcPr>
            <w:tcW w:w="800" w:type="dxa"/>
            <w:vAlign w:val="bottom"/>
            <w:tcBorders>
              <w:top w:val="single" w:sz="8" w:color="E5FFFF"/>
            </w:tcBorders>
          </w:tcPr>
          <w:p>
            <w:pPr>
              <w:jc w:val="right"/>
              <w:ind w:right="11"/>
              <w:spacing w:after="0" w:line="202" w:lineRule="exact"/>
              <w:rPr>
                <w:sz w:val="20"/>
                <w:szCs w:val="20"/>
                <w:color w:val="auto"/>
              </w:rPr>
            </w:pPr>
            <w:r>
              <w:rPr>
                <w:rFonts w:ascii="Arial" w:cs="Arial" w:eastAsia="Arial" w:hAnsi="Arial"/>
                <w:sz w:val="18"/>
                <w:szCs w:val="18"/>
                <w:color w:val="auto"/>
              </w:rPr>
              <w:t>2,469</w:t>
            </w:r>
          </w:p>
        </w:tc>
        <w:tc>
          <w:tcPr>
            <w:tcW w:w="340" w:type="dxa"/>
            <w:vAlign w:val="bottom"/>
            <w:tcBorders>
              <w:top w:val="single" w:sz="8" w:color="E5FFFF"/>
            </w:tcBorders>
          </w:tcPr>
          <w:p>
            <w:pPr>
              <w:spacing w:after="0"/>
              <w:rPr>
                <w:sz w:val="17"/>
                <w:szCs w:val="17"/>
                <w:color w:val="auto"/>
              </w:rPr>
            </w:pPr>
          </w:p>
        </w:tc>
        <w:tc>
          <w:tcPr>
            <w:tcW w:w="220" w:type="dxa"/>
            <w:vAlign w:val="bottom"/>
            <w:tcBorders>
              <w:top w:val="single" w:sz="8" w:color="E5FFFF"/>
            </w:tcBorders>
          </w:tcPr>
          <w:p>
            <w:pPr>
              <w:spacing w:after="0"/>
              <w:rPr>
                <w:sz w:val="17"/>
                <w:szCs w:val="17"/>
                <w:color w:val="auto"/>
              </w:rPr>
            </w:pPr>
          </w:p>
        </w:tc>
        <w:tc>
          <w:tcPr>
            <w:tcW w:w="800" w:type="dxa"/>
            <w:vAlign w:val="bottom"/>
            <w:tcBorders>
              <w:top w:val="single" w:sz="8" w:color="E5FFFF"/>
            </w:tcBorders>
          </w:tcPr>
          <w:p>
            <w:pPr>
              <w:jc w:val="right"/>
              <w:ind w:right="11"/>
              <w:spacing w:after="0" w:line="202" w:lineRule="exact"/>
              <w:rPr>
                <w:sz w:val="20"/>
                <w:szCs w:val="20"/>
                <w:color w:val="auto"/>
              </w:rPr>
            </w:pPr>
            <w:r>
              <w:rPr>
                <w:rFonts w:ascii="Arial" w:cs="Arial" w:eastAsia="Arial" w:hAnsi="Arial"/>
                <w:sz w:val="18"/>
                <w:szCs w:val="18"/>
                <w:color w:val="auto"/>
              </w:rPr>
              <w:t>2,976</w:t>
            </w:r>
          </w:p>
        </w:tc>
        <w:tc>
          <w:tcPr>
            <w:tcW w:w="340" w:type="dxa"/>
            <w:vAlign w:val="bottom"/>
            <w:tcBorders>
              <w:top w:val="single" w:sz="8" w:color="E5FFFF"/>
            </w:tcBorders>
          </w:tcPr>
          <w:p>
            <w:pPr>
              <w:spacing w:after="0"/>
              <w:rPr>
                <w:sz w:val="17"/>
                <w:szCs w:val="17"/>
                <w:color w:val="auto"/>
              </w:rPr>
            </w:pPr>
          </w:p>
        </w:tc>
        <w:tc>
          <w:tcPr>
            <w:tcW w:w="300" w:type="dxa"/>
            <w:vAlign w:val="bottom"/>
            <w:tcBorders>
              <w:top w:val="single" w:sz="8" w:color="E5FFFF"/>
            </w:tcBorders>
          </w:tcPr>
          <w:p>
            <w:pPr>
              <w:spacing w:after="0"/>
              <w:rPr>
                <w:sz w:val="17"/>
                <w:szCs w:val="17"/>
                <w:color w:val="auto"/>
              </w:rPr>
            </w:pPr>
          </w:p>
        </w:tc>
        <w:tc>
          <w:tcPr>
            <w:tcW w:w="740" w:type="dxa"/>
            <w:vAlign w:val="bottom"/>
            <w:tcBorders>
              <w:top w:val="single" w:sz="8" w:color="E5FFFF"/>
            </w:tcBorders>
          </w:tcPr>
          <w:p>
            <w:pPr>
              <w:jc w:val="right"/>
              <w:ind w:right="11"/>
              <w:spacing w:after="0" w:line="202" w:lineRule="exact"/>
              <w:rPr>
                <w:sz w:val="20"/>
                <w:szCs w:val="20"/>
                <w:color w:val="auto"/>
              </w:rPr>
            </w:pPr>
            <w:r>
              <w:rPr>
                <w:rFonts w:ascii="Arial" w:cs="Arial" w:eastAsia="Arial" w:hAnsi="Arial"/>
                <w:sz w:val="18"/>
                <w:szCs w:val="18"/>
                <w:color w:val="auto"/>
              </w:rPr>
              <w:t>3,195</w:t>
            </w:r>
          </w:p>
        </w:tc>
        <w:tc>
          <w:tcPr>
            <w:tcW w:w="1140" w:type="dxa"/>
            <w:vAlign w:val="bottom"/>
            <w:tcBorders>
              <w:top w:val="single" w:sz="8" w:color="E5FFFF"/>
            </w:tcBorders>
            <w:gridSpan w:val="2"/>
          </w:tcPr>
          <w:p>
            <w:pPr>
              <w:jc w:val="right"/>
              <w:spacing w:after="0" w:line="202" w:lineRule="exact"/>
              <w:rPr>
                <w:sz w:val="20"/>
                <w:szCs w:val="20"/>
                <w:color w:val="auto"/>
              </w:rPr>
            </w:pPr>
            <w:r>
              <w:rPr>
                <w:rFonts w:ascii="Arial" w:cs="Arial" w:eastAsia="Arial" w:hAnsi="Arial"/>
                <w:sz w:val="18"/>
                <w:szCs w:val="18"/>
                <w:color w:val="auto"/>
              </w:rPr>
              <w:t>(17)%</w:t>
            </w:r>
          </w:p>
        </w:tc>
        <w:tc>
          <w:tcPr>
            <w:tcW w:w="1520" w:type="dxa"/>
            <w:vAlign w:val="bottom"/>
            <w:tcBorders>
              <w:top w:val="single" w:sz="8" w:color="E5FFFF"/>
            </w:tcBorders>
            <w:gridSpan w:val="3"/>
          </w:tcPr>
          <w:p>
            <w:pPr>
              <w:jc w:val="right"/>
              <w:ind w:right="188"/>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4460" w:type="dxa"/>
            <w:vAlign w:val="bottom"/>
            <w:gridSpan w:val="5"/>
            <w:shd w:val="clear" w:color="auto" w:fill="E5FFFF"/>
          </w:tcPr>
          <w:p>
            <w:pPr>
              <w:ind w:left="180"/>
              <w:spacing w:after="0" w:line="202" w:lineRule="exact"/>
              <w:rPr>
                <w:sz w:val="20"/>
                <w:szCs w:val="20"/>
                <w:color w:val="auto"/>
              </w:rPr>
            </w:pPr>
            <w:r>
              <w:rPr>
                <w:rFonts w:ascii="Arial" w:cs="Arial" w:eastAsia="Arial" w:hAnsi="Arial"/>
                <w:sz w:val="18"/>
                <w:szCs w:val="18"/>
                <w:color w:val="auto"/>
              </w:rPr>
              <w:t>Process Solutions</w:t>
            </w:r>
          </w:p>
        </w:tc>
        <w:tc>
          <w:tcPr>
            <w:tcW w:w="5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3,476</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2,989</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3,378</w:t>
            </w:r>
          </w:p>
        </w:tc>
        <w:tc>
          <w:tcPr>
            <w:tcW w:w="1140" w:type="dxa"/>
            <w:vAlign w:val="bottom"/>
            <w:gridSpan w:val="2"/>
            <w:shd w:val="clear" w:color="auto" w:fill="E5FFFF"/>
          </w:tcPr>
          <w:p>
            <w:pPr>
              <w:jc w:val="right"/>
              <w:ind w:right="8"/>
              <w:spacing w:after="0" w:line="202" w:lineRule="exact"/>
              <w:rPr>
                <w:sz w:val="20"/>
                <w:szCs w:val="20"/>
                <w:color w:val="auto"/>
              </w:rPr>
            </w:pPr>
            <w:r>
              <w:rPr>
                <w:rFonts w:ascii="Arial" w:cs="Arial" w:eastAsia="Arial" w:hAnsi="Arial"/>
                <w:sz w:val="18"/>
                <w:szCs w:val="18"/>
                <w:color w:val="auto"/>
              </w:rPr>
              <w:t>16%</w:t>
            </w:r>
          </w:p>
        </w:tc>
        <w:tc>
          <w:tcPr>
            <w:tcW w:w="1520" w:type="dxa"/>
            <w:vAlign w:val="bottom"/>
            <w:gridSpan w:val="3"/>
            <w:shd w:val="clear" w:color="auto" w:fill="E5FFFF"/>
          </w:tcPr>
          <w:p>
            <w:pPr>
              <w:jc w:val="right"/>
              <w:ind w:right="188"/>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4460" w:type="dxa"/>
            <w:vAlign w:val="bottom"/>
            <w:tcBorders>
              <w:bottom w:val="single" w:sz="8" w:color="E5FFFF"/>
            </w:tcBorders>
            <w:gridSpan w:val="5"/>
          </w:tcPr>
          <w:p>
            <w:pPr>
              <w:ind w:left="180"/>
              <w:spacing w:after="0" w:line="202" w:lineRule="exact"/>
              <w:rPr>
                <w:sz w:val="20"/>
                <w:szCs w:val="20"/>
                <w:color w:val="auto"/>
              </w:rPr>
            </w:pPr>
            <w:r>
              <w:rPr>
                <w:rFonts w:ascii="Arial" w:cs="Arial" w:eastAsia="Arial" w:hAnsi="Arial"/>
                <w:sz w:val="18"/>
                <w:szCs w:val="18"/>
                <w:color w:val="auto"/>
              </w:rPr>
              <w:t>Advanced Materials</w:t>
            </w:r>
          </w:p>
        </w:tc>
        <w:tc>
          <w:tcPr>
            <w:tcW w:w="540" w:type="dxa"/>
            <w:vAlign w:val="bottom"/>
            <w:tcBorders>
              <w:bottom w:val="single" w:sz="8" w:color="E5FF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3,327</w:t>
            </w:r>
          </w:p>
        </w:tc>
        <w:tc>
          <w:tcPr>
            <w:tcW w:w="340" w:type="dxa"/>
            <w:vAlign w:val="bottom"/>
            <w:tcBorders>
              <w:bottom w:val="single" w:sz="8" w:color="E5FF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3,510</w:t>
            </w:r>
          </w:p>
        </w:tc>
        <w:tc>
          <w:tcPr>
            <w:tcW w:w="340" w:type="dxa"/>
            <w:vAlign w:val="bottom"/>
            <w:tcBorders>
              <w:bottom w:val="single" w:sz="8" w:color="E5FF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3,904</w:t>
            </w:r>
          </w:p>
        </w:tc>
        <w:tc>
          <w:tcPr>
            <w:tcW w:w="1140" w:type="dxa"/>
            <w:vAlign w:val="bottom"/>
            <w:tcBorders>
              <w:bottom w:val="single" w:sz="8" w:color="E5FFFF"/>
            </w:tcBorders>
            <w:gridSpan w:val="2"/>
          </w:tcPr>
          <w:p>
            <w:pPr>
              <w:jc w:val="right"/>
              <w:spacing w:after="0" w:line="202" w:lineRule="exact"/>
              <w:rPr>
                <w:sz w:val="20"/>
                <w:szCs w:val="20"/>
                <w:color w:val="auto"/>
              </w:rPr>
            </w:pPr>
            <w:r>
              <w:rPr>
                <w:rFonts w:ascii="Arial" w:cs="Arial" w:eastAsia="Arial" w:hAnsi="Arial"/>
                <w:sz w:val="18"/>
                <w:szCs w:val="18"/>
                <w:color w:val="auto"/>
              </w:rPr>
              <w:t>(5)%</w:t>
            </w:r>
          </w:p>
        </w:tc>
        <w:tc>
          <w:tcPr>
            <w:tcW w:w="1520" w:type="dxa"/>
            <w:vAlign w:val="bottom"/>
            <w:tcBorders>
              <w:bottom w:val="single" w:sz="8" w:color="E5FFFF"/>
            </w:tcBorders>
            <w:gridSpan w:val="3"/>
          </w:tcPr>
          <w:p>
            <w:pPr>
              <w:jc w:val="right"/>
              <w:ind w:right="188"/>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4460" w:type="dxa"/>
            <w:vAlign w:val="bottom"/>
            <w:gridSpan w:val="5"/>
            <w:shd w:val="clear" w:color="auto" w:fill="E5FFFF"/>
          </w:tcPr>
          <w:p>
            <w:pPr>
              <w:ind w:left="360"/>
              <w:spacing w:after="0"/>
              <w:rPr>
                <w:sz w:val="20"/>
                <w:szCs w:val="20"/>
                <w:color w:val="auto"/>
              </w:rPr>
            </w:pPr>
            <w:r>
              <w:rPr>
                <w:rFonts w:ascii="Arial" w:cs="Arial" w:eastAsia="Arial" w:hAnsi="Arial"/>
                <w:sz w:val="18"/>
                <w:szCs w:val="18"/>
                <w:color w:val="auto"/>
              </w:rPr>
              <w:t>Total Performance Materials and</w:t>
            </w:r>
          </w:p>
        </w:tc>
        <w:tc>
          <w:tcPr>
            <w:tcW w:w="5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0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gridSpan w:val="5"/>
          </w:tcPr>
          <w:p>
            <w:pPr>
              <w:ind w:left="540"/>
              <w:spacing w:after="0"/>
              <w:rPr>
                <w:sz w:val="20"/>
                <w:szCs w:val="20"/>
                <w:color w:val="auto"/>
              </w:rPr>
            </w:pPr>
            <w:r>
              <w:rPr>
                <w:rFonts w:ascii="Arial" w:cs="Arial" w:eastAsia="Arial" w:hAnsi="Arial"/>
                <w:sz w:val="18"/>
                <w:szCs w:val="18"/>
                <w:color w:val="auto"/>
              </w:rPr>
              <w:t>Technologies Sales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9,272</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9,475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10,477</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tcBorders>
              <w:bottom w:val="single" w:sz="8" w:color="auto"/>
            </w:tcBorders>
            <w:gridSpan w:val="3"/>
            <w:shd w:val="clear" w:color="auto" w:fill="E5FFFF"/>
          </w:tcPr>
          <w:p>
            <w:pPr>
              <w:spacing w:after="0" w:line="189" w:lineRule="exact"/>
              <w:rPr>
                <w:sz w:val="20"/>
                <w:szCs w:val="20"/>
                <w:color w:val="auto"/>
              </w:rPr>
            </w:pPr>
            <w:r>
              <w:rPr>
                <w:rFonts w:ascii="Arial" w:cs="Arial" w:eastAsia="Arial" w:hAnsi="Arial"/>
                <w:sz w:val="18"/>
                <w:szCs w:val="18"/>
                <w:color w:val="auto"/>
                <w:w w:val="99"/>
              </w:rPr>
              <w:t>Safety and Productivity Solutions Sales</w:t>
            </w:r>
          </w:p>
        </w:tc>
        <w:tc>
          <w:tcPr>
            <w:tcW w:w="1320" w:type="dxa"/>
            <w:vAlign w:val="bottom"/>
            <w:tcBorders>
              <w:bottom w:val="single" w:sz="8" w:color="E5FFFF"/>
            </w:tcBorders>
            <w:gridSpan w:val="2"/>
            <w:shd w:val="clear" w:color="auto" w:fill="E5FFFF"/>
          </w:tcPr>
          <w:p>
            <w:pPr>
              <w:spacing w:after="0"/>
              <w:rPr>
                <w:sz w:val="17"/>
                <w:szCs w:val="17"/>
                <w:color w:val="auto"/>
              </w:rPr>
            </w:pPr>
          </w:p>
        </w:tc>
        <w:tc>
          <w:tcPr>
            <w:tcW w:w="54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E5FFFF"/>
            </w:tcBorders>
            <w:shd w:val="clear" w:color="auto" w:fill="E5FFFF"/>
          </w:tcPr>
          <w:p>
            <w:pPr>
              <w:spacing w:after="0"/>
              <w:rPr>
                <w:sz w:val="17"/>
                <w:szCs w:val="17"/>
                <w:color w:val="auto"/>
              </w:rPr>
            </w:pPr>
          </w:p>
        </w:tc>
        <w:tc>
          <w:tcPr>
            <w:tcW w:w="800" w:type="dxa"/>
            <w:vAlign w:val="bottom"/>
            <w:tcBorders>
              <w:bottom w:val="single" w:sz="8" w:color="E5FFFF"/>
            </w:tcBorders>
            <w:shd w:val="clear" w:color="auto" w:fill="E5FFFF"/>
          </w:tcPr>
          <w:p>
            <w:pPr>
              <w:spacing w:after="0"/>
              <w:rPr>
                <w:sz w:val="17"/>
                <w:szCs w:val="17"/>
                <w:color w:val="auto"/>
              </w:rPr>
            </w:pPr>
          </w:p>
        </w:tc>
        <w:tc>
          <w:tcPr>
            <w:tcW w:w="34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E5FFFF"/>
            </w:tcBorders>
            <w:shd w:val="clear" w:color="auto" w:fill="E5FFFF"/>
          </w:tcPr>
          <w:p>
            <w:pPr>
              <w:spacing w:after="0"/>
              <w:rPr>
                <w:sz w:val="17"/>
                <w:szCs w:val="17"/>
                <w:color w:val="auto"/>
              </w:rPr>
            </w:pPr>
          </w:p>
        </w:tc>
        <w:tc>
          <w:tcPr>
            <w:tcW w:w="800" w:type="dxa"/>
            <w:vAlign w:val="bottom"/>
            <w:tcBorders>
              <w:bottom w:val="single" w:sz="8" w:color="E5FFFF"/>
            </w:tcBorders>
            <w:shd w:val="clear" w:color="auto" w:fill="E5FFFF"/>
          </w:tcPr>
          <w:p>
            <w:pPr>
              <w:spacing w:after="0"/>
              <w:rPr>
                <w:sz w:val="17"/>
                <w:szCs w:val="17"/>
                <w:color w:val="auto"/>
              </w:rPr>
            </w:pPr>
          </w:p>
        </w:tc>
        <w:tc>
          <w:tcPr>
            <w:tcW w:w="340" w:type="dxa"/>
            <w:vAlign w:val="bottom"/>
            <w:tcBorders>
              <w:bottom w:val="single" w:sz="8" w:color="E5FFFF"/>
            </w:tcBorders>
            <w:shd w:val="clear" w:color="auto" w:fill="E5FFFF"/>
          </w:tcPr>
          <w:p>
            <w:pPr>
              <w:spacing w:after="0"/>
              <w:rPr>
                <w:sz w:val="17"/>
                <w:szCs w:val="17"/>
                <w:color w:val="auto"/>
              </w:rPr>
            </w:pPr>
          </w:p>
        </w:tc>
        <w:tc>
          <w:tcPr>
            <w:tcW w:w="300" w:type="dxa"/>
            <w:vAlign w:val="bottom"/>
            <w:tcBorders>
              <w:bottom w:val="single" w:sz="8" w:color="E5FFFF"/>
            </w:tcBorders>
            <w:shd w:val="clear" w:color="auto" w:fill="E5FFFF"/>
          </w:tcPr>
          <w:p>
            <w:pPr>
              <w:spacing w:after="0"/>
              <w:rPr>
                <w:sz w:val="17"/>
                <w:szCs w:val="17"/>
                <w:color w:val="auto"/>
              </w:rPr>
            </w:pPr>
          </w:p>
        </w:tc>
        <w:tc>
          <w:tcPr>
            <w:tcW w:w="740" w:type="dxa"/>
            <w:vAlign w:val="bottom"/>
            <w:tcBorders>
              <w:bottom w:val="single" w:sz="8" w:color="E5FFFF"/>
            </w:tcBorders>
            <w:shd w:val="clear" w:color="auto" w:fill="E5FFFF"/>
          </w:tcPr>
          <w:p>
            <w:pPr>
              <w:spacing w:after="0"/>
              <w:rPr>
                <w:sz w:val="17"/>
                <w:szCs w:val="17"/>
                <w:color w:val="auto"/>
              </w:rPr>
            </w:pPr>
          </w:p>
        </w:tc>
        <w:tc>
          <w:tcPr>
            <w:tcW w:w="340" w:type="dxa"/>
            <w:vAlign w:val="bottom"/>
            <w:tcBorders>
              <w:bottom w:val="single" w:sz="8" w:color="E5FFFF"/>
            </w:tcBorders>
            <w:shd w:val="clear" w:color="auto" w:fill="E5FFFF"/>
          </w:tcPr>
          <w:p>
            <w:pPr>
              <w:spacing w:after="0"/>
              <w:rPr>
                <w:sz w:val="17"/>
                <w:szCs w:val="17"/>
                <w:color w:val="auto"/>
              </w:rPr>
            </w:pPr>
          </w:p>
        </w:tc>
        <w:tc>
          <w:tcPr>
            <w:tcW w:w="800" w:type="dxa"/>
            <w:vAlign w:val="bottom"/>
            <w:tcBorders>
              <w:bottom w:val="single" w:sz="8" w:color="E5FFFF"/>
            </w:tcBorders>
            <w:shd w:val="clear" w:color="auto" w:fill="E5FFFF"/>
          </w:tcPr>
          <w:p>
            <w:pPr>
              <w:spacing w:after="0"/>
              <w:rPr>
                <w:sz w:val="17"/>
                <w:szCs w:val="17"/>
                <w:color w:val="auto"/>
              </w:rPr>
            </w:pPr>
          </w:p>
        </w:tc>
        <w:tc>
          <w:tcPr>
            <w:tcW w:w="120" w:type="dxa"/>
            <w:vAlign w:val="bottom"/>
            <w:tcBorders>
              <w:bottom w:val="single" w:sz="8" w:color="E5FFFF"/>
            </w:tcBorders>
            <w:shd w:val="clear" w:color="auto" w:fill="E5FFFF"/>
          </w:tcPr>
          <w:p>
            <w:pPr>
              <w:spacing w:after="0"/>
              <w:rPr>
                <w:sz w:val="17"/>
                <w:szCs w:val="17"/>
                <w:color w:val="auto"/>
              </w:rPr>
            </w:pPr>
          </w:p>
        </w:tc>
        <w:tc>
          <w:tcPr>
            <w:tcW w:w="340" w:type="dxa"/>
            <w:vAlign w:val="bottom"/>
            <w:tcBorders>
              <w:bottom w:val="single" w:sz="8" w:color="E5FFFF"/>
            </w:tcBorders>
            <w:shd w:val="clear" w:color="auto" w:fill="E5FFFF"/>
          </w:tcPr>
          <w:p>
            <w:pPr>
              <w:spacing w:after="0"/>
              <w:rPr>
                <w:sz w:val="17"/>
                <w:szCs w:val="17"/>
                <w:color w:val="auto"/>
              </w:rPr>
            </w:pPr>
          </w:p>
        </w:tc>
        <w:tc>
          <w:tcPr>
            <w:tcW w:w="106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5"/>
          </w:tcPr>
          <w:p>
            <w:pPr>
              <w:ind w:left="180"/>
              <w:spacing w:after="0" w:line="202" w:lineRule="exact"/>
              <w:rPr>
                <w:sz w:val="20"/>
                <w:szCs w:val="20"/>
                <w:color w:val="auto"/>
              </w:rPr>
            </w:pPr>
            <w:r>
              <w:rPr>
                <w:rFonts w:ascii="Arial" w:cs="Arial" w:eastAsia="Arial" w:hAnsi="Arial"/>
                <w:sz w:val="18"/>
                <w:szCs w:val="18"/>
                <w:color w:val="auto"/>
              </w:rPr>
              <w:t>Safety</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2,075</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2,135</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2,339</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c>
          <w:tcPr>
            <w:tcW w:w="1520" w:type="dxa"/>
            <w:vAlign w:val="bottom"/>
            <w:gridSpan w:val="3"/>
          </w:tcPr>
          <w:p>
            <w:pPr>
              <w:jc w:val="right"/>
              <w:ind w:right="188"/>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4460" w:type="dxa"/>
            <w:vAlign w:val="bottom"/>
            <w:gridSpan w:val="5"/>
            <w:shd w:val="clear" w:color="auto" w:fill="E5FFFF"/>
          </w:tcPr>
          <w:p>
            <w:pPr>
              <w:ind w:left="180"/>
              <w:spacing w:after="0" w:line="202" w:lineRule="exact"/>
              <w:rPr>
                <w:sz w:val="20"/>
                <w:szCs w:val="20"/>
                <w:color w:val="auto"/>
              </w:rPr>
            </w:pPr>
            <w:r>
              <w:rPr>
                <w:rFonts w:ascii="Arial" w:cs="Arial" w:eastAsia="Arial" w:hAnsi="Arial"/>
                <w:sz w:val="18"/>
                <w:szCs w:val="18"/>
                <w:color w:val="auto"/>
              </w:rPr>
              <w:t>Productivity Solutions</w:t>
            </w:r>
          </w:p>
        </w:tc>
        <w:tc>
          <w:tcPr>
            <w:tcW w:w="540" w:type="dxa"/>
            <w:vAlign w:val="bottom"/>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spacing w:after="0"/>
              <w:rPr>
                <w:sz w:val="17"/>
                <w:szCs w:val="17"/>
                <w:color w:val="auto"/>
              </w:rPr>
            </w:pPr>
          </w:p>
        </w:tc>
        <w:tc>
          <w:tcPr>
            <w:tcW w:w="800" w:type="dxa"/>
            <w:vAlign w:val="bottom"/>
            <w:tcBorders>
              <w:bottom w:val="single" w:sz="8" w:color="auto"/>
            </w:tcBorders>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2,550</w:t>
            </w:r>
          </w:p>
        </w:tc>
        <w:tc>
          <w:tcPr>
            <w:tcW w:w="340" w:type="dxa"/>
            <w:vAlign w:val="bottom"/>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spacing w:after="0"/>
              <w:rPr>
                <w:sz w:val="17"/>
                <w:szCs w:val="17"/>
                <w:color w:val="auto"/>
              </w:rPr>
            </w:pPr>
          </w:p>
        </w:tc>
        <w:tc>
          <w:tcPr>
            <w:tcW w:w="800" w:type="dxa"/>
            <w:vAlign w:val="bottom"/>
            <w:tcBorders>
              <w:bottom w:val="single" w:sz="8" w:color="auto"/>
            </w:tcBorders>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2,573</w:t>
            </w:r>
          </w:p>
        </w:tc>
        <w:tc>
          <w:tcPr>
            <w:tcW w:w="34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740" w:type="dxa"/>
            <w:vAlign w:val="bottom"/>
            <w:tcBorders>
              <w:bottom w:val="single" w:sz="8" w:color="auto"/>
            </w:tcBorders>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2,407</w:t>
            </w:r>
          </w:p>
        </w:tc>
        <w:tc>
          <w:tcPr>
            <w:tcW w:w="114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(1)%</w:t>
            </w:r>
          </w:p>
        </w:tc>
        <w:tc>
          <w:tcPr>
            <w:tcW w:w="1520" w:type="dxa"/>
            <w:vAlign w:val="bottom"/>
            <w:gridSpan w:val="3"/>
            <w:shd w:val="clear" w:color="auto" w:fill="E5FFFF"/>
          </w:tcPr>
          <w:p>
            <w:pPr>
              <w:jc w:val="right"/>
              <w:ind w:right="248"/>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E5FFFF"/>
            </w:tcBorders>
            <w:gridSpan w:val="5"/>
          </w:tcPr>
          <w:p>
            <w:pPr>
              <w:ind w:left="360"/>
              <w:spacing w:after="0"/>
              <w:rPr>
                <w:sz w:val="20"/>
                <w:szCs w:val="20"/>
                <w:color w:val="auto"/>
              </w:rPr>
            </w:pPr>
            <w:r>
              <w:rPr>
                <w:rFonts w:ascii="Arial" w:cs="Arial" w:eastAsia="Arial" w:hAnsi="Arial"/>
                <w:sz w:val="18"/>
                <w:szCs w:val="18"/>
                <w:color w:val="auto"/>
              </w:rPr>
              <w:t>Total Safety and Productivity Solutions Sales</w:t>
            </w:r>
          </w:p>
        </w:tc>
        <w:tc>
          <w:tcPr>
            <w:tcW w:w="54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4,625</w:t>
            </w:r>
          </w:p>
        </w:tc>
        <w:tc>
          <w:tcPr>
            <w:tcW w:w="34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4,708</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4,746</w:t>
            </w:r>
          </w:p>
        </w:tc>
        <w:tc>
          <w:tcPr>
            <w:tcW w:w="340" w:type="dxa"/>
            <w:vAlign w:val="bottom"/>
            <w:tcBorders>
              <w:bottom w:val="single" w:sz="8" w:color="E5FFFF"/>
            </w:tcBorders>
          </w:tcPr>
          <w:p>
            <w:pPr>
              <w:spacing w:after="0"/>
              <w:rPr>
                <w:sz w:val="18"/>
                <w:szCs w:val="18"/>
                <w:color w:val="auto"/>
              </w:rPr>
            </w:pPr>
          </w:p>
        </w:tc>
        <w:tc>
          <w:tcPr>
            <w:tcW w:w="800" w:type="dxa"/>
            <w:vAlign w:val="bottom"/>
            <w:tcBorders>
              <w:bottom w:val="single" w:sz="8" w:color="E5FFFF"/>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340" w:type="dxa"/>
            <w:vAlign w:val="bottom"/>
            <w:tcBorders>
              <w:bottom w:val="single" w:sz="8" w:color="E5FFFF"/>
            </w:tcBorders>
          </w:tcPr>
          <w:p>
            <w:pPr>
              <w:spacing w:after="0"/>
              <w:rPr>
                <w:sz w:val="18"/>
                <w:szCs w:val="18"/>
                <w:color w:val="auto"/>
              </w:rPr>
            </w:pPr>
          </w:p>
        </w:tc>
        <w:tc>
          <w:tcPr>
            <w:tcW w:w="106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60" w:type="dxa"/>
            <w:vAlign w:val="bottom"/>
            <w:tcBorders>
              <w:bottom w:val="single" w:sz="8" w:color="E5FFFF"/>
            </w:tcBorders>
            <w:gridSpan w:val="5"/>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54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39,302</w:t>
            </w:r>
          </w:p>
        </w:tc>
        <w:tc>
          <w:tcPr>
            <w:tcW w:w="34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38,581</w:t>
            </w:r>
          </w:p>
        </w:tc>
        <w:tc>
          <w:tcPr>
            <w:tcW w:w="340" w:type="dxa"/>
            <w:vAlign w:val="bottom"/>
            <w:tcBorders>
              <w:bottom w:val="single" w:sz="8" w:color="E5FFFF"/>
            </w:tcBorders>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40,306</w:t>
            </w:r>
          </w:p>
        </w:tc>
        <w:tc>
          <w:tcPr>
            <w:tcW w:w="340" w:type="dxa"/>
            <w:vAlign w:val="bottom"/>
            <w:tcBorders>
              <w:bottom w:val="single" w:sz="8" w:color="E5FFFF"/>
            </w:tcBorders>
            <w:shd w:val="clear" w:color="auto" w:fill="E5FFFF"/>
          </w:tcPr>
          <w:p>
            <w:pPr>
              <w:spacing w:after="0"/>
              <w:rPr>
                <w:sz w:val="17"/>
                <w:szCs w:val="17"/>
                <w:color w:val="auto"/>
              </w:rPr>
            </w:pPr>
          </w:p>
        </w:tc>
        <w:tc>
          <w:tcPr>
            <w:tcW w:w="800" w:type="dxa"/>
            <w:vAlign w:val="bottom"/>
            <w:tcBorders>
              <w:bottom w:val="single" w:sz="8" w:color="E5FFFF"/>
            </w:tcBorders>
            <w:shd w:val="clear" w:color="auto" w:fill="E5FFFF"/>
          </w:tcPr>
          <w:p>
            <w:pPr>
              <w:spacing w:after="0"/>
              <w:rPr>
                <w:sz w:val="17"/>
                <w:szCs w:val="17"/>
                <w:color w:val="auto"/>
              </w:rPr>
            </w:pPr>
          </w:p>
        </w:tc>
        <w:tc>
          <w:tcPr>
            <w:tcW w:w="120" w:type="dxa"/>
            <w:vAlign w:val="bottom"/>
            <w:tcBorders>
              <w:bottom w:val="single" w:sz="8" w:color="E5FFFF"/>
            </w:tcBorders>
            <w:shd w:val="clear" w:color="auto" w:fill="E5FFFF"/>
          </w:tcPr>
          <w:p>
            <w:pPr>
              <w:spacing w:after="0"/>
              <w:rPr>
                <w:sz w:val="17"/>
                <w:szCs w:val="17"/>
                <w:color w:val="auto"/>
              </w:rPr>
            </w:pPr>
          </w:p>
        </w:tc>
        <w:tc>
          <w:tcPr>
            <w:tcW w:w="340" w:type="dxa"/>
            <w:vAlign w:val="bottom"/>
            <w:tcBorders>
              <w:bottom w:val="single" w:sz="8" w:color="E5FFFF"/>
            </w:tcBorders>
            <w:shd w:val="clear" w:color="auto" w:fill="E5FFFF"/>
          </w:tcPr>
          <w:p>
            <w:pPr>
              <w:spacing w:after="0"/>
              <w:rPr>
                <w:sz w:val="17"/>
                <w:szCs w:val="17"/>
                <w:color w:val="auto"/>
              </w:rPr>
            </w:pPr>
          </w:p>
        </w:tc>
        <w:tc>
          <w:tcPr>
            <w:tcW w:w="106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31"/>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60" w:type="dxa"/>
            <w:vAlign w:val="bottom"/>
            <w:tcBorders>
              <w:bottom w:val="single" w:sz="8" w:color="C0C0C0"/>
            </w:tcBorders>
          </w:tcPr>
          <w:p>
            <w:pPr>
              <w:spacing w:after="0"/>
              <w:rPr>
                <w:sz w:val="21"/>
                <w:szCs w:val="21"/>
                <w:color w:val="auto"/>
              </w:rPr>
            </w:pPr>
          </w:p>
        </w:tc>
        <w:tc>
          <w:tcPr>
            <w:tcW w:w="1760" w:type="dxa"/>
            <w:vAlign w:val="bottom"/>
            <w:tcBorders>
              <w:bottom w:val="single" w:sz="8" w:color="C0C0C0"/>
            </w:tcBorders>
          </w:tcPr>
          <w:p>
            <w:pPr>
              <w:spacing w:after="0"/>
              <w:rPr>
                <w:sz w:val="21"/>
                <w:szCs w:val="21"/>
                <w:color w:val="auto"/>
              </w:rPr>
            </w:pPr>
          </w:p>
        </w:tc>
        <w:tc>
          <w:tcPr>
            <w:tcW w:w="20" w:type="dxa"/>
            <w:vAlign w:val="bottom"/>
            <w:tcBorders>
              <w:bottom w:val="single" w:sz="8" w:color="C0C0C0"/>
            </w:tcBorders>
          </w:tcPr>
          <w:p>
            <w:pPr>
              <w:spacing w:after="0"/>
              <w:rPr>
                <w:sz w:val="21"/>
                <w:szCs w:val="21"/>
                <w:color w:val="auto"/>
              </w:rPr>
            </w:pPr>
          </w:p>
        </w:tc>
        <w:tc>
          <w:tcPr>
            <w:tcW w:w="620" w:type="dxa"/>
            <w:vAlign w:val="bottom"/>
            <w:tcBorders>
              <w:bottom w:val="single" w:sz="8" w:color="C0C0C0"/>
            </w:tcBorders>
          </w:tcPr>
          <w:p>
            <w:pPr>
              <w:spacing w:after="0"/>
              <w:rPr>
                <w:sz w:val="21"/>
                <w:szCs w:val="21"/>
                <w:color w:val="auto"/>
              </w:rPr>
            </w:pPr>
          </w:p>
        </w:tc>
        <w:tc>
          <w:tcPr>
            <w:tcW w:w="700" w:type="dxa"/>
            <w:vAlign w:val="bottom"/>
            <w:tcBorders>
              <w:bottom w:val="single" w:sz="8" w:color="C0C0C0"/>
            </w:tcBorders>
          </w:tcPr>
          <w:p>
            <w:pPr>
              <w:spacing w:after="0"/>
              <w:rPr>
                <w:sz w:val="21"/>
                <w:szCs w:val="21"/>
                <w:color w:val="auto"/>
              </w:rPr>
            </w:pPr>
          </w:p>
        </w:tc>
        <w:tc>
          <w:tcPr>
            <w:tcW w:w="54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800" w:type="dxa"/>
            <w:vAlign w:val="bottom"/>
            <w:tcBorders>
              <w:bottom w:val="single" w:sz="8" w:color="C0C0C0"/>
            </w:tcBorders>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800" w:type="dxa"/>
            <w:vAlign w:val="bottom"/>
            <w:tcBorders>
              <w:bottom w:val="single" w:sz="8" w:color="C0C0C0"/>
            </w:tcBorders>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c>
          <w:tcPr>
            <w:tcW w:w="300" w:type="dxa"/>
            <w:vAlign w:val="bottom"/>
            <w:tcBorders>
              <w:bottom w:val="single" w:sz="8" w:color="C0C0C0"/>
            </w:tcBorders>
          </w:tcPr>
          <w:p>
            <w:pPr>
              <w:spacing w:after="0"/>
              <w:rPr>
                <w:sz w:val="21"/>
                <w:szCs w:val="21"/>
                <w:color w:val="auto"/>
              </w:rPr>
            </w:pPr>
          </w:p>
        </w:tc>
        <w:tc>
          <w:tcPr>
            <w:tcW w:w="740" w:type="dxa"/>
            <w:vAlign w:val="bottom"/>
            <w:tcBorders>
              <w:bottom w:val="single" w:sz="8" w:color="C0C0C0"/>
            </w:tcBorders>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c>
          <w:tcPr>
            <w:tcW w:w="80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c>
          <w:tcPr>
            <w:tcW w:w="106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Aerospace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8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Net sales</w:t>
            </w:r>
          </w:p>
        </w:tc>
        <w:tc>
          <w:tcPr>
            <w:tcW w:w="680" w:type="dxa"/>
            <w:vAlign w:val="bottom"/>
            <w:gridSpan w:val="2"/>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14,751</w:t>
            </w:r>
          </w:p>
        </w:tc>
        <w:tc>
          <w:tcPr>
            <w:tcW w:w="640" w:type="dxa"/>
            <w:vAlign w:val="bottom"/>
            <w:gridSpan w:val="3"/>
            <w:shd w:val="clear" w:color="auto" w:fill="E5FFFF"/>
          </w:tcPr>
          <w:p>
            <w:pPr>
              <w:jc w:val="right"/>
              <w:ind w:right="39"/>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3"/>
            <w:shd w:val="clear" w:color="auto" w:fill="E5FFFF"/>
          </w:tcPr>
          <w:p>
            <w:pPr>
              <w:jc w:val="right"/>
              <w:ind w:right="28"/>
              <w:spacing w:after="0" w:line="202" w:lineRule="exact"/>
              <w:rPr>
                <w:sz w:val="20"/>
                <w:szCs w:val="20"/>
                <w:color w:val="auto"/>
              </w:rPr>
            </w:pPr>
            <w:r>
              <w:rPr>
                <w:rFonts w:ascii="Arial" w:cs="Arial" w:eastAsia="Arial" w:hAnsi="Arial"/>
                <w:sz w:val="18"/>
                <w:szCs w:val="18"/>
                <w:color w:val="auto"/>
              </w:rPr>
              <w:t>15,237</w:t>
            </w: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900" w:type="dxa"/>
            <w:vAlign w:val="bottom"/>
            <w:gridSpan w:val="3"/>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(3)%</w:t>
            </w:r>
          </w:p>
        </w:tc>
        <w:tc>
          <w:tcPr>
            <w:tcW w:w="46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3"/>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15,598</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84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300" w:type="dxa"/>
            <w:vAlign w:val="bottom"/>
            <w:gridSpan w:val="4"/>
          </w:tcPr>
          <w:p>
            <w:pPr>
              <w:spacing w:after="0"/>
              <w:rPr>
                <w:sz w:val="20"/>
                <w:szCs w:val="20"/>
                <w:color w:val="auto"/>
              </w:rPr>
            </w:pPr>
            <w:r>
              <w:rPr>
                <w:rFonts w:ascii="Arial" w:cs="Arial" w:eastAsia="Arial" w:hAnsi="Arial"/>
                <w:sz w:val="18"/>
                <w:szCs w:val="18"/>
                <w:color w:val="auto"/>
              </w:rPr>
              <w:t>Cost of products and services sold</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10,820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right"/>
              <w:ind w:right="28"/>
              <w:spacing w:after="0"/>
              <w:rPr>
                <w:sz w:val="20"/>
                <w:szCs w:val="20"/>
                <w:color w:val="auto"/>
              </w:rPr>
            </w:pPr>
            <w:r>
              <w:rPr>
                <w:rFonts w:ascii="Arial" w:cs="Arial" w:eastAsia="Arial" w:hAnsi="Arial"/>
                <w:sz w:val="18"/>
                <w:szCs w:val="18"/>
                <w:color w:val="auto"/>
              </w:rPr>
              <w:t>11,068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11,699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Selling, general and administrative expenses</w:t>
            </w:r>
          </w:p>
        </w:tc>
        <w:tc>
          <w:tcPr>
            <w:tcW w:w="4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72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620</w:t>
            </w:r>
          </w:p>
        </w:tc>
        <w:tc>
          <w:tcPr>
            <w:tcW w:w="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780" w:type="dxa"/>
            <w:vAlign w:val="bottom"/>
            <w:gridSpan w:val="3"/>
            <w:shd w:val="clear" w:color="auto" w:fill="E5FFFF"/>
          </w:tcPr>
          <w:p>
            <w:pPr>
              <w:jc w:val="right"/>
              <w:ind w:right="28"/>
              <w:spacing w:after="0"/>
              <w:rPr>
                <w:sz w:val="20"/>
                <w:szCs w:val="20"/>
                <w:color w:val="auto"/>
              </w:rPr>
            </w:pPr>
            <w:r>
              <w:rPr>
                <w:rFonts w:ascii="Arial" w:cs="Arial" w:eastAsia="Arial" w:hAnsi="Arial"/>
                <w:sz w:val="18"/>
                <w:szCs w:val="18"/>
                <w:color w:val="auto"/>
              </w:rPr>
              <w:t>643</w:t>
            </w:r>
          </w:p>
        </w:tc>
        <w:tc>
          <w:tcPr>
            <w:tcW w:w="3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712</w:t>
            </w:r>
          </w:p>
        </w:tc>
        <w:tc>
          <w:tcPr>
            <w:tcW w:w="3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5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4"/>
          </w:tcPr>
          <w:p>
            <w:pPr>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right"/>
              <w:ind w:right="28"/>
              <w:spacing w:after="0"/>
              <w:rPr>
                <w:sz w:val="20"/>
                <w:szCs w:val="20"/>
                <w:color w:val="auto"/>
              </w:rPr>
            </w:pPr>
            <w:r>
              <w:rPr>
                <w:rFonts w:ascii="Arial" w:cs="Arial" w:eastAsia="Arial" w:hAnsi="Arial"/>
                <w:sz w:val="18"/>
                <w:szCs w:val="18"/>
                <w:color w:val="auto"/>
              </w:rPr>
              <w:t>308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272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Borders>
              <w:top w:val="single" w:sz="8" w:color="E5FFFF"/>
            </w:tcBorders>
            <w:gridSpan w:val="3"/>
            <w:shd w:val="clear" w:color="auto" w:fill="E5FFFF"/>
          </w:tcPr>
          <w:p>
            <w:pPr>
              <w:spacing w:after="0" w:line="196" w:lineRule="exact"/>
              <w:rPr>
                <w:sz w:val="20"/>
                <w:szCs w:val="20"/>
                <w:color w:val="auto"/>
              </w:rPr>
            </w:pPr>
            <w:r>
              <w:rPr>
                <w:rFonts w:ascii="Arial" w:cs="Arial" w:eastAsia="Arial" w:hAnsi="Arial"/>
                <w:sz w:val="18"/>
                <w:szCs w:val="18"/>
                <w:color w:val="auto"/>
              </w:rPr>
              <w:t>Segment profit</w:t>
            </w:r>
          </w:p>
        </w:tc>
        <w:tc>
          <w:tcPr>
            <w:tcW w:w="46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bottom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shd w:val="clear" w:color="auto" w:fill="E5FFFF"/>
          </w:tcPr>
          <w:p>
            <w:pPr>
              <w:jc w:val="right"/>
              <w:ind w:right="40"/>
              <w:spacing w:after="0" w:line="196" w:lineRule="exact"/>
              <w:rPr>
                <w:sz w:val="20"/>
                <w:szCs w:val="20"/>
                <w:color w:val="auto"/>
              </w:rPr>
            </w:pPr>
            <w:r>
              <w:rPr>
                <w:rFonts w:ascii="Arial" w:cs="Arial" w:eastAsia="Arial" w:hAnsi="Arial"/>
                <w:sz w:val="18"/>
                <w:szCs w:val="18"/>
                <w:color w:val="auto"/>
              </w:rPr>
              <w:t>2,991</w:t>
            </w:r>
          </w:p>
        </w:tc>
        <w:tc>
          <w:tcPr>
            <w:tcW w:w="80" w:type="dxa"/>
            <w:vAlign w:val="bottom"/>
            <w:tcBorders>
              <w:top w:val="single" w:sz="8" w:color="auto"/>
              <w:bottom w:val="single" w:sz="8" w:color="auto"/>
            </w:tcBorders>
            <w:shd w:val="clear" w:color="auto" w:fill="E5FFFF"/>
          </w:tcPr>
          <w:p>
            <w:pPr>
              <w:spacing w:after="0"/>
              <w:rPr>
                <w:sz w:val="17"/>
                <w:szCs w:val="17"/>
                <w:color w:val="auto"/>
              </w:rPr>
            </w:pPr>
          </w:p>
        </w:tc>
        <w:tc>
          <w:tcPr>
            <w:tcW w:w="34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bottom w:val="single" w:sz="8" w:color="auto"/>
            </w:tcBorders>
            <w:shd w:val="clear" w:color="auto" w:fill="E5FFFF"/>
          </w:tcPr>
          <w:p>
            <w:pPr>
              <w:jc w:val="right"/>
              <w:ind w:right="39"/>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3"/>
            <w:shd w:val="clear" w:color="auto" w:fill="E5FFFF"/>
          </w:tcPr>
          <w:p>
            <w:pPr>
              <w:jc w:val="right"/>
              <w:ind w:right="28"/>
              <w:spacing w:after="0" w:line="196" w:lineRule="exact"/>
              <w:rPr>
                <w:sz w:val="20"/>
                <w:szCs w:val="20"/>
                <w:color w:val="auto"/>
              </w:rPr>
            </w:pPr>
            <w:r>
              <w:rPr>
                <w:rFonts w:ascii="Arial" w:cs="Arial" w:eastAsia="Arial" w:hAnsi="Arial"/>
                <w:sz w:val="18"/>
                <w:szCs w:val="18"/>
                <w:color w:val="auto"/>
              </w:rPr>
              <w:t>3,218</w:t>
            </w:r>
          </w:p>
        </w:tc>
        <w:tc>
          <w:tcPr>
            <w:tcW w:w="34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900" w:type="dxa"/>
            <w:vAlign w:val="bottom"/>
            <w:tcBorders>
              <w:top w:val="single" w:sz="8" w:color="E5FFFF"/>
            </w:tcBorders>
            <w:gridSpan w:val="3"/>
            <w:shd w:val="clear" w:color="auto" w:fill="E5FFFF"/>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34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3"/>
            <w:shd w:val="clear" w:color="auto" w:fill="E5FFFF"/>
          </w:tcPr>
          <w:p>
            <w:pPr>
              <w:jc w:val="right"/>
              <w:ind w:right="100"/>
              <w:spacing w:after="0" w:line="196" w:lineRule="exact"/>
              <w:rPr>
                <w:sz w:val="20"/>
                <w:szCs w:val="20"/>
                <w:color w:val="auto"/>
              </w:rPr>
            </w:pPr>
            <w:r>
              <w:rPr>
                <w:rFonts w:ascii="Arial" w:cs="Arial" w:eastAsia="Arial" w:hAnsi="Arial"/>
                <w:sz w:val="18"/>
                <w:szCs w:val="18"/>
                <w:color w:val="auto"/>
              </w:rPr>
              <w:t>2,915</w:t>
            </w:r>
          </w:p>
        </w:tc>
        <w:tc>
          <w:tcPr>
            <w:tcW w:w="340" w:type="dxa"/>
            <w:vAlign w:val="bottom"/>
            <w:tcBorders>
              <w:top w:val="single" w:sz="8" w:color="E5FFFF"/>
            </w:tcBorders>
            <w:shd w:val="clear" w:color="auto" w:fill="E5FFFF"/>
          </w:tcPr>
          <w:p>
            <w:pPr>
              <w:spacing w:after="0"/>
              <w:rPr>
                <w:sz w:val="17"/>
                <w:szCs w:val="17"/>
                <w:color w:val="auto"/>
              </w:rPr>
            </w:pPr>
          </w:p>
        </w:tc>
        <w:tc>
          <w:tcPr>
            <w:tcW w:w="300" w:type="dxa"/>
            <w:vAlign w:val="bottom"/>
            <w:tcBorders>
              <w:top w:val="single" w:sz="8" w:color="E5FFFF"/>
            </w:tcBorders>
            <w:shd w:val="clear" w:color="auto" w:fill="E5FFFF"/>
          </w:tcPr>
          <w:p>
            <w:pPr>
              <w:spacing w:after="0"/>
              <w:rPr>
                <w:sz w:val="17"/>
                <w:szCs w:val="17"/>
                <w:color w:val="auto"/>
              </w:rPr>
            </w:pPr>
          </w:p>
        </w:tc>
        <w:tc>
          <w:tcPr>
            <w:tcW w:w="840" w:type="dxa"/>
            <w:vAlign w:val="bottom"/>
            <w:tcBorders>
              <w:top w:val="single" w:sz="8" w:color="E5FFFF"/>
            </w:tcBorders>
            <w:gridSpan w:val="2"/>
            <w:shd w:val="clear" w:color="auto" w:fill="E5FFFF"/>
          </w:tcPr>
          <w:p>
            <w:pPr>
              <w:jc w:val="right"/>
              <w:ind w:right="6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4"/>
                <w:szCs w:val="14"/>
                <w:b w:val="1"/>
                <w:bCs w:val="1"/>
                <w:color w:val="auto"/>
              </w:rPr>
              <w:t>2016 vs. 2015</w:t>
            </w:r>
          </w:p>
        </w:tc>
        <w:tc>
          <w:tcPr>
            <w:tcW w:w="2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2015 vs. 2014</w:t>
            </w:r>
          </w:p>
        </w:tc>
        <w:tc>
          <w:tcPr>
            <w:tcW w:w="2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3"/>
          </w:tcPr>
          <w:p>
            <w:pPr>
              <w:jc w:val="center"/>
              <w:ind w:left="128"/>
              <w:spacing w:after="0" w:line="143" w:lineRule="exact"/>
              <w:rPr>
                <w:sz w:val="20"/>
                <w:szCs w:val="20"/>
                <w:color w:val="auto"/>
              </w:rPr>
            </w:pPr>
            <w:r>
              <w:rPr>
                <w:rFonts w:ascii="Arial" w:cs="Arial" w:eastAsia="Arial" w:hAnsi="Arial"/>
                <w:sz w:val="14"/>
                <w:szCs w:val="14"/>
                <w:b w:val="1"/>
                <w:bCs w:val="1"/>
                <w:color w:val="auto"/>
              </w:rPr>
              <w:t>Segment</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Segment</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Factors Contributing to Year-Over-Year Change</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gridSpan w:val="3"/>
          </w:tcPr>
          <w:p>
            <w:pPr>
              <w:jc w:val="right"/>
              <w:ind w:right="159"/>
              <w:spacing w:after="0"/>
              <w:rPr>
                <w:sz w:val="20"/>
                <w:szCs w:val="20"/>
                <w:color w:val="auto"/>
              </w:rPr>
            </w:pPr>
            <w:r>
              <w:rPr>
                <w:rFonts w:ascii="Arial" w:cs="Arial" w:eastAsia="Arial" w:hAnsi="Arial"/>
                <w:sz w:val="14"/>
                <w:szCs w:val="14"/>
                <w:b w:val="1"/>
                <w:bCs w:val="1"/>
                <w:color w:val="auto"/>
              </w:rPr>
              <w:t>Sales</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Profit</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Sales</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Profit</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00" w:right="239" w:bottom="1440" w:gutter="0" w:footer="0" w:header="0"/>
        </w:sectPr>
      </w:pPr>
    </w:p>
    <w:p>
      <w:pPr>
        <w:spacing w:after="0" w:line="15" w:lineRule="exact"/>
        <w:rPr>
          <w:sz w:val="20"/>
          <w:szCs w:val="20"/>
          <w:color w:val="auto"/>
        </w:rPr>
      </w:pPr>
    </w:p>
    <w:p>
      <w:pPr>
        <w:ind w:left="580" w:right="620"/>
        <w:spacing w:after="0" w:line="243" w:lineRule="auto"/>
        <w:rPr>
          <w:sz w:val="20"/>
          <w:szCs w:val="20"/>
          <w:color w:val="auto"/>
        </w:rPr>
      </w:pPr>
      <w:r>
        <w:rPr>
          <w:rFonts w:ascii="Arial" w:cs="Arial" w:eastAsia="Arial" w:hAnsi="Arial"/>
          <w:sz w:val="18"/>
          <w:szCs w:val="18"/>
          <w:color w:val="auto"/>
        </w:rPr>
        <w:t>Organic growth/ Operational segment profit Foreign currency translation Acquisitions, divestitures and other, net Total % Change</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2016 compared with 2015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03"/>
        </w:trPr>
        <w:tc>
          <w:tcPr>
            <w:tcW w:w="11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3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17"/>
        </w:trPr>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r>
      <w:tr>
        <w:trPr>
          <w:trHeight w:val="210"/>
        </w:trPr>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-565150</wp:posOffset>
            </wp:positionV>
            <wp:extent cx="651764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17640" cy="128905"/>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-307975</wp:posOffset>
            </wp:positionV>
            <wp:extent cx="651764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586" w:lineRule="exact"/>
        <w:rPr>
          <w:sz w:val="20"/>
          <w:szCs w:val="20"/>
          <w:color w:val="auto"/>
        </w:rPr>
      </w:pPr>
    </w:p>
    <w:p>
      <w:pPr>
        <w:sectPr>
          <w:pgSz w:w="11900" w:h="16838" w:orient="portrait"/>
          <w:cols w:equalWidth="0" w:num="2">
            <w:col w:w="4640" w:space="720"/>
            <w:col w:w="6060"/>
          </w:cols>
          <w:pgMar w:left="240" w:top="400" w:right="239" w:bottom="1440" w:gutter="0" w:footer="0" w:header="0"/>
          <w:type w:val="continuous"/>
        </w:sectPr>
      </w:pPr>
    </w:p>
    <w:p>
      <w:pPr>
        <w:spacing w:after="0" w:line="20"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Aerospace sales decreased primarily due to higher incentives to original equipment manufacturers (OEM Incentives), a decrease in organic sales volumes and the Honeywell Technology Solutions Inc. divestiture, which was partially offset by growth from acquisitions.</w:t>
      </w:r>
    </w:p>
    <w:p>
      <w:pPr>
        <w:spacing w:after="0" w:line="183" w:lineRule="exact"/>
        <w:rPr>
          <w:sz w:val="20"/>
          <w:szCs w:val="20"/>
          <w:color w:val="auto"/>
        </w:rPr>
      </w:pPr>
    </w:p>
    <w:p>
      <w:pPr>
        <w:jc w:val="both"/>
        <w:ind w:left="980" w:hanging="324"/>
        <w:spacing w:after="0" w:line="239"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Commercial Original Equipment sales decreased by 13% (decreased 12% organic) primarily due to higher OEM incentives and decreased demand from business and general aviation original equipment manufacturers (OEMs), partially offset by higher shipments to air transport OEMs. Consistent with broader aerospace industry trends, we expect the continuation of lower business and general aviation OEM sales volumes.</w:t>
      </w:r>
    </w:p>
    <w:p>
      <w:pPr>
        <w:spacing w:after="0" w:line="201" w:lineRule="exact"/>
        <w:rPr>
          <w:rFonts w:ascii="Arial" w:cs="Arial" w:eastAsia="Arial" w:hAnsi="Arial"/>
          <w:sz w:val="18"/>
          <w:szCs w:val="18"/>
          <w:color w:val="auto"/>
        </w:rPr>
      </w:pPr>
    </w:p>
    <w:p>
      <w:pPr>
        <w:ind w:left="980" w:hanging="324"/>
        <w:spacing w:after="0" w:line="246"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Commercial Aftermarket sales increased by 3% (increased 3% organic) primarily driven by higher repair and overhaul activities and increased spares shipments.</w:t>
      </w:r>
    </w:p>
    <w:p>
      <w:pPr>
        <w:spacing w:after="0" w:line="196" w:lineRule="exact"/>
        <w:rPr>
          <w:rFonts w:ascii="Arial" w:cs="Arial" w:eastAsia="Arial" w:hAnsi="Arial"/>
          <w:sz w:val="18"/>
          <w:szCs w:val="18"/>
          <w:color w:val="auto"/>
        </w:rPr>
      </w:pPr>
    </w:p>
    <w:p>
      <w:pPr>
        <w:jc w:val="both"/>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Defense and Space sales decreased by 7% (decreased 6% organic) primarily due to declines in U.S. space and international defense programs, lower U.S. government services revenue, largely attributable to the impact of divestitures, and decreased demand from commercial helicopter OEMs, partially offset by sales from acquisitions.</w:t>
      </w:r>
    </w:p>
    <w:p>
      <w:pPr>
        <w:spacing w:after="0" w:line="202" w:lineRule="exact"/>
        <w:rPr>
          <w:rFonts w:ascii="Arial" w:cs="Arial" w:eastAsia="Arial" w:hAnsi="Arial"/>
          <w:sz w:val="18"/>
          <w:szCs w:val="18"/>
          <w:color w:val="auto"/>
        </w:rPr>
      </w:pPr>
    </w:p>
    <w:p>
      <w:pPr>
        <w:ind w:left="980" w:hanging="324"/>
        <w:spacing w:after="0" w:line="246"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Transportation Systems sales increased by 3% (increased 4% organic) primarily driven by new platform launches and higher global turbo gas penetration.</w:t>
      </w:r>
    </w:p>
    <w:p>
      <w:pPr>
        <w:spacing w:after="0" w:line="18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Aerospace segment profit decreased primarily due to a 6% decrease in operational segment profit and a 1% unfavorable impact from foreign currency translation. The decrease in operational segment profit is primarily due to product mix, higher OEM incentives and lower sales volumes, partially offset by productivity and price, net of inflation. Cost of products and services sold decreased primarily driven by productivity, net of inflation, and lower sales volumes, partially offset by acquisitions, net of divestitures.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2015 compared with 2014</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Aerospace sales decreased primarily due to the unfavorable impact from foreign currency translation and the Friction Materials divestiture, partially offset by an increase in organic sales, as discussed below, and a decrease in OEM incentives predominantly to air transport and regional aviation OEMs.</w:t>
      </w:r>
    </w:p>
    <w:p>
      <w:pPr>
        <w:spacing w:after="0" w:line="189" w:lineRule="exact"/>
        <w:rPr>
          <w:sz w:val="20"/>
          <w:szCs w:val="20"/>
          <w:color w:val="auto"/>
        </w:rPr>
      </w:pPr>
    </w:p>
    <w:p>
      <w:pPr>
        <w:ind w:left="980" w:hanging="324"/>
        <w:spacing w:after="0" w:line="246"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Commercial Original Equipment sales increased by 11% (increased by 5% organic) primarily driven by a decrease in OEM Incentives and higher business and general aviation engine shipments.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type w:val="continuous"/>
        </w:sectPr>
      </w:pPr>
    </w:p>
    <w:bookmarkStart w:id="21" w:name="page22"/>
    <w:bookmarkEnd w:id="21"/>
    <w:p>
      <w:pPr>
        <w:ind w:left="980" w:right="20" w:hanging="324"/>
        <w:spacing w:after="0" w:line="246"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Commercial Aftermarket sales increased by 2% (increased 2% organic) primarily driven by higher repair and overhaul activities, partially offset by lower retrofits, modifications and upgrades for business and general aviation customers.</w:t>
      </w:r>
    </w:p>
    <w:p>
      <w:pPr>
        <w:spacing w:after="0" w:line="196" w:lineRule="exact"/>
        <w:rPr>
          <w:rFonts w:ascii="Arial" w:cs="Arial" w:eastAsia="Arial" w:hAnsi="Arial"/>
          <w:sz w:val="18"/>
          <w:szCs w:val="18"/>
          <w:color w:val="auto"/>
        </w:rPr>
      </w:pPr>
    </w:p>
    <w:p>
      <w:pPr>
        <w:ind w:left="980" w:hanging="324"/>
        <w:spacing w:after="0" w:line="246"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Defense and Space sales decreased by 1% (flat organic) primarily due to lower U.S. government revenue, partially offset by growth in international programs.</w:t>
      </w:r>
    </w:p>
    <w:p>
      <w:pPr>
        <w:spacing w:after="0" w:line="196" w:lineRule="exact"/>
        <w:rPr>
          <w:rFonts w:ascii="Arial" w:cs="Arial" w:eastAsia="Arial" w:hAnsi="Arial"/>
          <w:sz w:val="18"/>
          <w:szCs w:val="18"/>
          <w:color w:val="auto"/>
        </w:rPr>
      </w:pPr>
    </w:p>
    <w:p>
      <w:pPr>
        <w:jc w:val="both"/>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Transportation Systems sales decreased by 19% (increased 3% organic) primarily due to the unfavorable impact from foreign currency translation and the Friction Materials divestiture, partially offset by continued growth from new platform launches and higher global turbo gas penetration.</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Aerospace segment profit increased primarily due to an 8% increase in operational segment profit and a 6% favorable impact of acquisitions, divestitures and other (predominantly the absence of higher prior year OEM Incentives), as discussed above, partially offset by a 4% unfavorable impact of foreign currency translation. The increase in operational segment profit is primarily driven by productivity, net of inflation, and favorable pricing, partially offset by continued investments for growth. Cost of products and services sold decreased primarily due to the favorable impact of foreign currency translation, the Friction Materials divestiture, and productivity, net of inflation, partially offset by continued investments for growth.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and Building Technologies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0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Net sales</w:t>
            </w:r>
          </w:p>
        </w:tc>
        <w:tc>
          <w:tcPr>
            <w:tcW w:w="720" w:type="dxa"/>
            <w:vAlign w:val="bottom"/>
            <w:gridSpan w:val="2"/>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E5FFFF"/>
          </w:tcPr>
          <w:p>
            <w:pPr>
              <w:jc w:val="right"/>
              <w:ind w:right="28"/>
              <w:spacing w:after="0" w:line="202" w:lineRule="exact"/>
              <w:rPr>
                <w:sz w:val="20"/>
                <w:szCs w:val="20"/>
                <w:color w:val="auto"/>
              </w:rPr>
            </w:pPr>
            <w:r>
              <w:rPr>
                <w:rFonts w:ascii="Arial" w:cs="Arial" w:eastAsia="Arial" w:hAnsi="Arial"/>
                <w:sz w:val="18"/>
                <w:szCs w:val="18"/>
                <w:color w:val="auto"/>
              </w:rPr>
              <w:t>10,654</w:t>
            </w:r>
          </w:p>
        </w:tc>
        <w:tc>
          <w:tcPr>
            <w:tcW w:w="340" w:type="dxa"/>
            <w:vAlign w:val="bottom"/>
            <w:tcBorders>
              <w:right w:val="single" w:sz="8" w:color="E5FFFF"/>
            </w:tcBorders>
            <w:shd w:val="clear" w:color="auto" w:fill="E5FFFF"/>
          </w:tcPr>
          <w:p>
            <w:pPr>
              <w:spacing w:after="0"/>
              <w:rPr>
                <w:sz w:val="17"/>
                <w:szCs w:val="17"/>
                <w:color w:val="auto"/>
              </w:rPr>
            </w:pPr>
          </w:p>
        </w:tc>
        <w:tc>
          <w:tcPr>
            <w:tcW w:w="3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E5FFFF"/>
          </w:tcPr>
          <w:p>
            <w:pPr>
              <w:jc w:val="right"/>
              <w:ind w:right="48"/>
              <w:spacing w:after="0" w:line="202" w:lineRule="exact"/>
              <w:rPr>
                <w:sz w:val="20"/>
                <w:szCs w:val="20"/>
                <w:color w:val="auto"/>
              </w:rPr>
            </w:pPr>
            <w:r>
              <w:rPr>
                <w:rFonts w:ascii="Arial" w:cs="Arial" w:eastAsia="Arial" w:hAnsi="Arial"/>
                <w:sz w:val="18"/>
                <w:szCs w:val="18"/>
                <w:color w:val="auto"/>
              </w:rPr>
              <w:t>9,161</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80" w:type="dxa"/>
            <w:vAlign w:val="bottom"/>
            <w:gridSpan w:val="3"/>
            <w:shd w:val="clear" w:color="auto" w:fill="E5FFFF"/>
          </w:tcPr>
          <w:p>
            <w:pPr>
              <w:jc w:val="right"/>
              <w:spacing w:after="0" w:line="202" w:lineRule="exact"/>
              <w:rPr>
                <w:sz w:val="20"/>
                <w:szCs w:val="20"/>
                <w:color w:val="auto"/>
              </w:rPr>
            </w:pPr>
            <w:r>
              <w:rPr>
                <w:rFonts w:ascii="Arial" w:cs="Arial" w:eastAsia="Arial" w:hAnsi="Arial"/>
                <w:sz w:val="18"/>
                <w:szCs w:val="18"/>
                <w:color w:val="auto"/>
              </w:rPr>
              <w:t>16%</w:t>
            </w:r>
          </w:p>
        </w:tc>
        <w:tc>
          <w:tcPr>
            <w:tcW w:w="46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3"/>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9,485</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84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320" w:type="dxa"/>
            <w:vAlign w:val="bottom"/>
            <w:gridSpan w:val="3"/>
          </w:tcPr>
          <w:p>
            <w:pPr>
              <w:spacing w:after="0"/>
              <w:rPr>
                <w:sz w:val="20"/>
                <w:szCs w:val="20"/>
                <w:color w:val="auto"/>
              </w:rPr>
            </w:pPr>
            <w:r>
              <w:rPr>
                <w:rFonts w:ascii="Arial" w:cs="Arial" w:eastAsia="Arial" w:hAnsi="Arial"/>
                <w:sz w:val="18"/>
                <w:szCs w:val="18"/>
                <w:color w:val="auto"/>
              </w:rPr>
              <w:t>Cost of products and services sold</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8"/>
              <w:spacing w:after="0"/>
              <w:rPr>
                <w:sz w:val="20"/>
                <w:szCs w:val="20"/>
                <w:color w:val="auto"/>
              </w:rPr>
            </w:pPr>
            <w:r>
              <w:rPr>
                <w:rFonts w:ascii="Arial" w:cs="Arial" w:eastAsia="Arial" w:hAnsi="Arial"/>
                <w:sz w:val="18"/>
                <w:szCs w:val="18"/>
                <w:color w:val="auto"/>
              </w:rPr>
              <w:t>7,079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48"/>
              <w:spacing w:after="0"/>
              <w:rPr>
                <w:sz w:val="20"/>
                <w:szCs w:val="20"/>
                <w:color w:val="auto"/>
              </w:rPr>
            </w:pPr>
            <w:r>
              <w:rPr>
                <w:rFonts w:ascii="Arial" w:cs="Arial" w:eastAsia="Arial" w:hAnsi="Arial"/>
                <w:sz w:val="18"/>
                <w:szCs w:val="18"/>
                <w:color w:val="auto"/>
              </w:rPr>
              <w:t>5,961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6,231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Selling, general and administrative expenses</w:t>
            </w:r>
          </w:p>
        </w:tc>
        <w:tc>
          <w:tcPr>
            <w:tcW w:w="5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00" w:type="dxa"/>
            <w:vAlign w:val="bottom"/>
            <w:gridSpan w:val="2"/>
            <w:shd w:val="clear" w:color="auto" w:fill="E5FFFF"/>
          </w:tcPr>
          <w:p>
            <w:pPr>
              <w:jc w:val="right"/>
              <w:ind w:right="28"/>
              <w:spacing w:after="0"/>
              <w:rPr>
                <w:sz w:val="20"/>
                <w:szCs w:val="20"/>
                <w:color w:val="auto"/>
              </w:rPr>
            </w:pPr>
            <w:r>
              <w:rPr>
                <w:rFonts w:ascii="Arial" w:cs="Arial" w:eastAsia="Arial" w:hAnsi="Arial"/>
                <w:sz w:val="18"/>
                <w:szCs w:val="18"/>
                <w:color w:val="auto"/>
              </w:rPr>
              <w:t>1,680</w:t>
            </w:r>
          </w:p>
        </w:tc>
        <w:tc>
          <w:tcPr>
            <w:tcW w:w="340" w:type="dxa"/>
            <w:vAlign w:val="bottom"/>
            <w:tcBorders>
              <w:right w:val="single" w:sz="8" w:color="E5FFFF"/>
            </w:tcBorders>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720" w:type="dxa"/>
            <w:vAlign w:val="bottom"/>
            <w:gridSpan w:val="2"/>
            <w:shd w:val="clear" w:color="auto" w:fill="E5FFFF"/>
          </w:tcPr>
          <w:p>
            <w:pPr>
              <w:jc w:val="right"/>
              <w:ind w:right="48"/>
              <w:spacing w:after="0"/>
              <w:rPr>
                <w:sz w:val="20"/>
                <w:szCs w:val="20"/>
                <w:color w:val="auto"/>
              </w:rPr>
            </w:pPr>
            <w:r>
              <w:rPr>
                <w:rFonts w:ascii="Arial" w:cs="Arial" w:eastAsia="Arial" w:hAnsi="Arial"/>
                <w:sz w:val="18"/>
                <w:szCs w:val="18"/>
                <w:color w:val="auto"/>
              </w:rPr>
              <w:t>1,488</w:t>
            </w:r>
          </w:p>
        </w:tc>
        <w:tc>
          <w:tcPr>
            <w:tcW w:w="3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1,618</w:t>
            </w:r>
          </w:p>
        </w:tc>
        <w:tc>
          <w:tcPr>
            <w:tcW w:w="3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5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gridSpan w:val="3"/>
          </w:tcPr>
          <w:p>
            <w:pPr>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28"/>
              <w:spacing w:after="0"/>
              <w:rPr>
                <w:sz w:val="20"/>
                <w:szCs w:val="20"/>
                <w:color w:val="auto"/>
              </w:rPr>
            </w:pPr>
            <w:r>
              <w:rPr>
                <w:rFonts w:ascii="Arial" w:cs="Arial" w:eastAsia="Arial" w:hAnsi="Arial"/>
                <w:sz w:val="18"/>
                <w:szCs w:val="18"/>
                <w:color w:val="auto"/>
              </w:rPr>
              <w:t>212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48"/>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181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gridSpan w:val="2"/>
            <w:vMerge w:val="restart"/>
            <w:shd w:val="clear" w:color="auto" w:fill="E5FFFF"/>
          </w:tcPr>
          <w:p>
            <w:pPr>
              <w:spacing w:after="0"/>
              <w:rPr>
                <w:sz w:val="20"/>
                <w:szCs w:val="20"/>
                <w:color w:val="auto"/>
              </w:rPr>
            </w:pPr>
            <w:r>
              <w:rPr>
                <w:rFonts w:ascii="Arial" w:cs="Arial" w:eastAsia="Arial" w:hAnsi="Arial"/>
                <w:sz w:val="18"/>
                <w:szCs w:val="18"/>
                <w:color w:val="auto"/>
              </w:rPr>
              <w:t>Segment profit</w:t>
            </w:r>
          </w:p>
        </w:tc>
        <w:tc>
          <w:tcPr>
            <w:tcW w:w="500" w:type="dxa"/>
            <w:vAlign w:val="bottom"/>
            <w:shd w:val="clear" w:color="auto" w:fill="E5FF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Borders>
              <w:right w:val="single" w:sz="8" w:color="E5FFFF"/>
            </w:tcBorders>
            <w:shd w:val="clear" w:color="auto" w:fill="E5FF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E5FFFF"/>
          </w:tcPr>
          <w:p>
            <w:pPr>
              <w:spacing w:after="0" w:line="20" w:lineRule="exact"/>
              <w:rPr>
                <w:sz w:val="1"/>
                <w:szCs w:val="1"/>
                <w:color w:val="auto"/>
              </w:rPr>
            </w:pPr>
          </w:p>
        </w:tc>
        <w:tc>
          <w:tcPr>
            <w:tcW w:w="180" w:type="dxa"/>
            <w:vAlign w:val="bottom"/>
            <w:shd w:val="clear" w:color="auto" w:fill="E5FFFF"/>
          </w:tcPr>
          <w:p>
            <w:pPr>
              <w:spacing w:after="0" w:line="20" w:lineRule="exact"/>
              <w:rPr>
                <w:sz w:val="1"/>
                <w:szCs w:val="1"/>
                <w:color w:val="auto"/>
              </w:rPr>
            </w:pPr>
          </w:p>
        </w:tc>
        <w:tc>
          <w:tcPr>
            <w:tcW w:w="880" w:type="dxa"/>
            <w:vAlign w:val="bottom"/>
            <w:gridSpan w:val="3"/>
            <w:vMerge w:val="restart"/>
            <w:shd w:val="clear" w:color="auto" w:fill="E5FF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E5FF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E5FFFF"/>
          </w:tcPr>
          <w:p>
            <w:pPr>
              <w:spacing w:after="0" w:line="20" w:lineRule="exact"/>
              <w:rPr>
                <w:sz w:val="1"/>
                <w:szCs w:val="1"/>
                <w:color w:val="auto"/>
              </w:rPr>
            </w:pPr>
          </w:p>
        </w:tc>
        <w:tc>
          <w:tcPr>
            <w:tcW w:w="300" w:type="dxa"/>
            <w:vAlign w:val="bottom"/>
            <w:shd w:val="clear" w:color="auto" w:fill="E5FFFF"/>
          </w:tcPr>
          <w:p>
            <w:pPr>
              <w:spacing w:after="0" w:line="20" w:lineRule="exact"/>
              <w:rPr>
                <w:sz w:val="1"/>
                <w:szCs w:val="1"/>
                <w:color w:val="auto"/>
              </w:rPr>
            </w:pPr>
          </w:p>
        </w:tc>
        <w:tc>
          <w:tcPr>
            <w:tcW w:w="840" w:type="dxa"/>
            <w:vAlign w:val="bottom"/>
            <w:gridSpan w:val="2"/>
            <w:vMerge w:val="restart"/>
            <w:shd w:val="clear" w:color="auto" w:fill="E5FF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gridSpan w:val="2"/>
            <w:vMerge w:val="continue"/>
            <w:shd w:val="clear" w:color="auto" w:fill="E5FFFF"/>
          </w:tcPr>
          <w:p>
            <w:pPr>
              <w:spacing w:after="0"/>
              <w:rPr>
                <w:sz w:val="18"/>
                <w:szCs w:val="18"/>
                <w:color w:val="auto"/>
              </w:rPr>
            </w:pPr>
          </w:p>
        </w:tc>
        <w:tc>
          <w:tcPr>
            <w:tcW w:w="500" w:type="dxa"/>
            <w:vAlign w:val="bottom"/>
            <w:shd w:val="clear" w:color="auto" w:fill="E5FFFF"/>
          </w:tcPr>
          <w:p>
            <w:pPr>
              <w:spacing w:after="0"/>
              <w:rPr>
                <w:sz w:val="18"/>
                <w:szCs w:val="18"/>
                <w:color w:val="auto"/>
              </w:rPr>
            </w:pPr>
          </w:p>
        </w:tc>
        <w:tc>
          <w:tcPr>
            <w:tcW w:w="22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E5FFFF"/>
          </w:tcPr>
          <w:p>
            <w:pPr>
              <w:jc w:val="right"/>
              <w:ind w:right="28"/>
              <w:spacing w:after="0"/>
              <w:rPr>
                <w:sz w:val="20"/>
                <w:szCs w:val="20"/>
                <w:color w:val="auto"/>
              </w:rPr>
            </w:pPr>
            <w:r>
              <w:rPr>
                <w:rFonts w:ascii="Arial" w:cs="Arial" w:eastAsia="Arial" w:hAnsi="Arial"/>
                <w:sz w:val="18"/>
                <w:szCs w:val="18"/>
                <w:color w:val="auto"/>
              </w:rPr>
              <w:t>1,683</w:t>
            </w:r>
          </w:p>
        </w:tc>
        <w:tc>
          <w:tcPr>
            <w:tcW w:w="340" w:type="dxa"/>
            <w:vAlign w:val="bottom"/>
            <w:tcBorders>
              <w:right w:val="single" w:sz="8" w:color="E5FFFF"/>
            </w:tcBorders>
            <w:shd w:val="clear" w:color="auto" w:fill="E5FFFF"/>
          </w:tcPr>
          <w:p>
            <w:pPr>
              <w:spacing w:after="0"/>
              <w:rPr>
                <w:sz w:val="18"/>
                <w:szCs w:val="18"/>
                <w:color w:val="auto"/>
              </w:rPr>
            </w:pPr>
          </w:p>
        </w:tc>
        <w:tc>
          <w:tcPr>
            <w:tcW w:w="300" w:type="dxa"/>
            <w:vAlign w:val="bottom"/>
            <w:shd w:val="clear" w:color="auto" w:fill="E5FF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5FFFF"/>
          </w:tcPr>
          <w:p>
            <w:pPr>
              <w:jc w:val="right"/>
              <w:ind w:right="48"/>
              <w:spacing w:after="0"/>
              <w:rPr>
                <w:sz w:val="20"/>
                <w:szCs w:val="20"/>
                <w:color w:val="auto"/>
              </w:rPr>
            </w:pPr>
            <w:r>
              <w:rPr>
                <w:rFonts w:ascii="Arial" w:cs="Arial" w:eastAsia="Arial" w:hAnsi="Arial"/>
                <w:sz w:val="18"/>
                <w:szCs w:val="18"/>
                <w:color w:val="auto"/>
              </w:rPr>
              <w:t>1,512</w:t>
            </w:r>
          </w:p>
        </w:tc>
        <w:tc>
          <w:tcPr>
            <w:tcW w:w="3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80" w:type="dxa"/>
            <w:vAlign w:val="bottom"/>
            <w:gridSpan w:val="3"/>
            <w:vMerge w:val="continue"/>
            <w:shd w:val="clear" w:color="auto" w:fill="E5FFFF"/>
          </w:tcPr>
          <w:p>
            <w:pPr>
              <w:spacing w:after="0"/>
              <w:rPr>
                <w:sz w:val="18"/>
                <w:szCs w:val="18"/>
                <w:color w:val="auto"/>
              </w:rPr>
            </w:pPr>
          </w:p>
        </w:tc>
        <w:tc>
          <w:tcPr>
            <w:tcW w:w="4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1,455</w:t>
            </w:r>
          </w:p>
        </w:tc>
        <w:tc>
          <w:tcPr>
            <w:tcW w:w="3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40" w:type="dxa"/>
            <w:vAlign w:val="bottom"/>
            <w:gridSpan w:val="2"/>
            <w:vMerge w:val="continue"/>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2016 vs. 2015</w:t>
            </w:r>
          </w:p>
        </w:tc>
        <w:tc>
          <w:tcPr>
            <w:tcW w:w="1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2015 vs. 2014</w:t>
            </w:r>
          </w:p>
        </w:tc>
        <w:tc>
          <w:tcPr>
            <w:tcW w:w="2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3"/>
          </w:tcPr>
          <w:p>
            <w:pPr>
              <w:jc w:val="center"/>
              <w:ind w:left="108"/>
              <w:spacing w:after="0" w:line="143" w:lineRule="exact"/>
              <w:rPr>
                <w:sz w:val="20"/>
                <w:szCs w:val="20"/>
                <w:color w:val="auto"/>
              </w:rPr>
            </w:pPr>
            <w:r>
              <w:rPr>
                <w:rFonts w:ascii="Arial" w:cs="Arial" w:eastAsia="Arial" w:hAnsi="Arial"/>
                <w:sz w:val="14"/>
                <w:szCs w:val="14"/>
                <w:b w:val="1"/>
                <w:bCs w:val="1"/>
                <w:color w:val="auto"/>
              </w:rPr>
              <w:t>Segment</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Segment</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Factors Contributing to Year-Over-Year Change</w:t>
            </w:r>
          </w:p>
        </w:tc>
        <w:tc>
          <w:tcPr>
            <w:tcW w:w="5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Sales</w:t>
            </w:r>
          </w:p>
        </w:tc>
        <w:tc>
          <w:tcPr>
            <w:tcW w:w="3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Borders>
              <w:bottom w:val="single" w:sz="8" w:color="auto"/>
            </w:tcBorders>
            <w:gridSpan w:val="3"/>
          </w:tcPr>
          <w:p>
            <w:pPr>
              <w:jc w:val="center"/>
              <w:ind w:left="108"/>
              <w:spacing w:after="0"/>
              <w:rPr>
                <w:sz w:val="20"/>
                <w:szCs w:val="20"/>
                <w:color w:val="auto"/>
              </w:rPr>
            </w:pPr>
            <w:r>
              <w:rPr>
                <w:rFonts w:ascii="Arial" w:cs="Arial" w:eastAsia="Arial" w:hAnsi="Arial"/>
                <w:sz w:val="14"/>
                <w:szCs w:val="14"/>
                <w:b w:val="1"/>
                <w:bCs w:val="1"/>
                <w:color w:val="auto"/>
              </w:rPr>
              <w:t>Profit</w:t>
            </w:r>
          </w:p>
        </w:tc>
        <w:tc>
          <w:tcPr>
            <w:tcW w:w="1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8"/>
              </w:rPr>
              <w:t>Sales</w:t>
            </w:r>
          </w:p>
        </w:tc>
        <w:tc>
          <w:tcPr>
            <w:tcW w:w="3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Profit</w:t>
            </w:r>
          </w:p>
        </w:tc>
        <w:tc>
          <w:tcPr>
            <w:tcW w:w="28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22" w:right="239" w:bottom="1440" w:gutter="0" w:footer="0" w:header="0"/>
        </w:sectPr>
      </w:pPr>
    </w:p>
    <w:p>
      <w:pPr>
        <w:spacing w:after="0" w:line="1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Organic growth/ Operational segment profit</w:t>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Foreign currency translation</w:t>
      </w:r>
    </w:p>
    <w:p>
      <w:pPr>
        <w:ind w:left="580"/>
        <w:spacing w:after="0"/>
        <w:rPr>
          <w:sz w:val="20"/>
          <w:szCs w:val="20"/>
          <w:color w:val="auto"/>
        </w:rPr>
      </w:pPr>
      <w:r>
        <w:rPr>
          <w:rFonts w:ascii="Arial" w:cs="Arial" w:eastAsia="Arial" w:hAnsi="Arial"/>
          <w:sz w:val="18"/>
          <w:szCs w:val="18"/>
          <w:color w:val="auto"/>
        </w:rPr>
        <w:t>Acquisitions and divestitures, net</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Total % Change</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2016 compared with 2015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03"/>
        </w:trPr>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3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r>
      <w:tr>
        <w:trPr>
          <w:trHeight w:val="217"/>
        </w:trPr>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r>
      <w:tr>
        <w:trPr>
          <w:trHeight w:val="210"/>
        </w:trPr>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-565150</wp:posOffset>
            </wp:positionV>
            <wp:extent cx="651764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17640" cy="128905"/>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-307975</wp:posOffset>
            </wp:positionV>
            <wp:extent cx="651764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586" w:lineRule="exact"/>
        <w:rPr>
          <w:sz w:val="20"/>
          <w:szCs w:val="20"/>
          <w:color w:val="auto"/>
        </w:rPr>
      </w:pPr>
    </w:p>
    <w:p>
      <w:pPr>
        <w:sectPr>
          <w:pgSz w:w="11900" w:h="16838" w:orient="portrait"/>
          <w:cols w:equalWidth="0" w:num="2">
            <w:col w:w="4640" w:space="720"/>
            <w:col w:w="6060"/>
          </w:cols>
          <w:pgMar w:left="240" w:top="422" w:right="239" w:bottom="1440" w:gutter="0" w:footer="0" w:header="0"/>
          <w:type w:val="continuous"/>
        </w:sectPr>
      </w:pPr>
    </w:p>
    <w:p>
      <w:pPr>
        <w:spacing w:after="0" w:line="20"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Home and Building Technologies sales increased primarily due to growth from acquisitions and organic sales growth partially offset by the unfavorable impact of foreign currency translation.</w:t>
      </w:r>
    </w:p>
    <w:p>
      <w:pPr>
        <w:spacing w:after="0" w:line="183" w:lineRule="exact"/>
        <w:rPr>
          <w:sz w:val="20"/>
          <w:szCs w:val="20"/>
          <w:color w:val="auto"/>
        </w:rPr>
      </w:pPr>
    </w:p>
    <w:p>
      <w:pPr>
        <w:jc w:val="both"/>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in Home and Building Products increased by 27% (increased 2% organic) principally driven by acquisitions. Organic sales growth was primarily attributable to new product introductions in our Environmental and Energy Solutions business and volume growth in our Security and Fire business.</w:t>
      </w:r>
    </w:p>
    <w:p>
      <w:pPr>
        <w:spacing w:after="0" w:line="189" w:lineRule="exact"/>
        <w:rPr>
          <w:rFonts w:ascii="Arial" w:cs="Arial" w:eastAsia="Arial" w:hAnsi="Arial"/>
          <w:sz w:val="18"/>
          <w:szCs w:val="18"/>
          <w:color w:val="auto"/>
        </w:rPr>
      </w:pPr>
    </w:p>
    <w:p>
      <w:pPr>
        <w:jc w:val="both"/>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in Home and Building Distribution increased by 5% (increased 7% organic) principally due to organic sales growth partially offset by the unfavorable impact of foreign currency translation. Organic sales growth was primarily driven by volume in our Distribution and Building Solutions Energy businesses.</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Home and Building Technologies segment profit increased due to an increase in operational segment profit and acquisitions partially offset by the unfavorable impact of foreign currency translation. The increase in operational segment profit was primarily driven by productivity net of inflation and price. Cost of products and services increased due to acquisitions and inflation partially offset by the favorable impact of foreign currency translation.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type w:val="continuous"/>
        </w:sectPr>
      </w:pPr>
    </w:p>
    <w:bookmarkStart w:id="22" w:name="page23"/>
    <w:bookmarkEnd w:id="22"/>
    <w:p>
      <w:pPr>
        <w:ind w:left="660"/>
        <w:spacing w:after="0"/>
        <w:rPr>
          <w:sz w:val="20"/>
          <w:szCs w:val="20"/>
          <w:color w:val="auto"/>
        </w:rPr>
      </w:pPr>
      <w:r>
        <w:rPr>
          <w:rFonts w:ascii="Arial" w:cs="Arial" w:eastAsia="Arial" w:hAnsi="Arial"/>
          <w:sz w:val="18"/>
          <w:szCs w:val="18"/>
          <w:b w:val="1"/>
          <w:bCs w:val="1"/>
          <w:color w:val="auto"/>
        </w:rPr>
        <w:t>2015 compared with 2014</w:t>
      </w:r>
    </w:p>
    <w:p>
      <w:pPr>
        <w:spacing w:after="0" w:line="220"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Home and Building Technologies sales decreased primarily due to the unfavorable impact of foreign currency translation partially offset by organic sales growth.</w:t>
      </w:r>
    </w:p>
    <w:p>
      <w:pPr>
        <w:spacing w:after="0" w:line="183" w:lineRule="exact"/>
        <w:rPr>
          <w:sz w:val="20"/>
          <w:szCs w:val="20"/>
          <w:color w:val="auto"/>
        </w:rPr>
      </w:pPr>
    </w:p>
    <w:p>
      <w:pPr>
        <w:ind w:left="980" w:right="20" w:hanging="324"/>
        <w:spacing w:after="0" w:line="246"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in Home and Building Products decreased by 3% (increased 3% organic) principally due to the unfavorable impact of foreign currency translation partially offset by volume growth in our Security and Fire business.</w:t>
      </w:r>
    </w:p>
    <w:p>
      <w:pPr>
        <w:spacing w:after="0" w:line="196" w:lineRule="exact"/>
        <w:rPr>
          <w:rFonts w:ascii="Arial" w:cs="Arial" w:eastAsia="Arial" w:hAnsi="Arial"/>
          <w:sz w:val="18"/>
          <w:szCs w:val="18"/>
          <w:color w:val="auto"/>
        </w:rPr>
      </w:pPr>
    </w:p>
    <w:p>
      <w:pPr>
        <w:jc w:val="both"/>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in Home and Building Distribution decreased by 4% (increased 3% organic) principally due to the unfavorable impact of foreign currency translation. Organic sales growth was primarily due to increased sales volume in Distribution partially offset by softness in the project installation and U.S. energy retrofit businesses.</w:t>
      </w:r>
    </w:p>
    <w:p>
      <w:pPr>
        <w:spacing w:after="0" w:line="20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Home and Building Technologies segment profit increased primarily due to the positive impact of price and productivity, net of inflation, partially offset by continued investment for growth, higher sales volumes and the unfavorable impact of foreign currency translation. Cost of products and services sold decreased primarily due to the favorable impact of foreign currency translation and productivity partially offset by higher organic sales volume.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Materials and Technologies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53"/>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53"/>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5"/>
                <w:szCs w:val="15"/>
                <w:color w:val="auto"/>
              </w:rPr>
            </w:pP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5"/>
                <w:szCs w:val="15"/>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2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Net sales</w:t>
            </w:r>
          </w:p>
        </w:tc>
        <w:tc>
          <w:tcPr>
            <w:tcW w:w="1060" w:type="dxa"/>
            <w:vAlign w:val="bottom"/>
            <w:gridSpan w:val="2"/>
            <w:shd w:val="clear" w:color="auto" w:fill="E5FF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9,272</w:t>
            </w:r>
          </w:p>
        </w:tc>
        <w:tc>
          <w:tcPr>
            <w:tcW w:w="440" w:type="dxa"/>
            <w:vAlign w:val="bottom"/>
            <w:gridSpan w:val="2"/>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9,475</w:t>
            </w:r>
          </w:p>
        </w:tc>
        <w:tc>
          <w:tcPr>
            <w:tcW w:w="136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10,477</w:t>
            </w:r>
          </w:p>
        </w:tc>
        <w:tc>
          <w:tcPr>
            <w:tcW w:w="136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Cost of products and services sold</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6,051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6,414</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7,385</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5FFFF"/>
          </w:tcPr>
          <w:p>
            <w:pPr>
              <w:spacing w:after="0"/>
              <w:rPr>
                <w:sz w:val="20"/>
                <w:szCs w:val="20"/>
                <w:color w:val="auto"/>
              </w:rPr>
            </w:pPr>
            <w:r>
              <w:rPr>
                <w:rFonts w:ascii="Arial" w:cs="Arial" w:eastAsia="Arial" w:hAnsi="Arial"/>
                <w:sz w:val="18"/>
                <w:szCs w:val="18"/>
                <w:color w:val="auto"/>
              </w:rPr>
              <w:t>Selling, general and administrative expenses</w:t>
            </w:r>
          </w:p>
        </w:tc>
        <w:tc>
          <w:tcPr>
            <w:tcW w:w="8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78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1,026</w:t>
            </w:r>
          </w:p>
        </w:tc>
        <w:tc>
          <w:tcPr>
            <w:tcW w:w="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78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936</w:t>
            </w:r>
          </w:p>
        </w:tc>
        <w:tc>
          <w:tcPr>
            <w:tcW w:w="22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1,082</w:t>
            </w:r>
          </w:p>
        </w:tc>
        <w:tc>
          <w:tcPr>
            <w:tcW w:w="22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Segment profit</w:t>
            </w:r>
          </w:p>
        </w:tc>
        <w:tc>
          <w:tcPr>
            <w:tcW w:w="82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auto"/>
              <w:bottom w:val="single" w:sz="8" w:color="auto"/>
            </w:tcBorders>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2,050</w:t>
            </w:r>
          </w:p>
        </w:tc>
        <w:tc>
          <w:tcPr>
            <w:tcW w:w="22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bottom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1,990</w:t>
            </w:r>
          </w:p>
        </w:tc>
        <w:tc>
          <w:tcPr>
            <w:tcW w:w="1360" w:type="dxa"/>
            <w:vAlign w:val="bottom"/>
            <w:tcBorders>
              <w:top w:val="single" w:sz="8" w:color="E5FFFF"/>
            </w:tcBorders>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3%</w:t>
            </w:r>
          </w:p>
        </w:tc>
        <w:tc>
          <w:tcPr>
            <w:tcW w:w="22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shd w:val="clear" w:color="auto" w:fill="E5FFFF"/>
          </w:tcPr>
          <w:p>
            <w:pPr>
              <w:jc w:val="right"/>
              <w:ind w:right="100"/>
              <w:spacing w:after="0" w:line="196" w:lineRule="exact"/>
              <w:rPr>
                <w:sz w:val="20"/>
                <w:szCs w:val="20"/>
                <w:color w:val="auto"/>
              </w:rPr>
            </w:pPr>
            <w:r>
              <w:rPr>
                <w:rFonts w:ascii="Arial" w:cs="Arial" w:eastAsia="Arial" w:hAnsi="Arial"/>
                <w:sz w:val="18"/>
                <w:szCs w:val="18"/>
                <w:color w:val="auto"/>
              </w:rPr>
              <w:t>1,876</w:t>
            </w:r>
          </w:p>
        </w:tc>
        <w:tc>
          <w:tcPr>
            <w:tcW w:w="1360" w:type="dxa"/>
            <w:vAlign w:val="bottom"/>
            <w:tcBorders>
              <w:top w:val="single" w:sz="8" w:color="E5FFFF"/>
            </w:tcBorders>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2016 vs. 2015</w:t>
            </w:r>
          </w:p>
        </w:tc>
        <w:tc>
          <w:tcPr>
            <w:tcW w:w="220" w:type="dxa"/>
            <w:vAlign w:val="bottom"/>
          </w:tcPr>
          <w:p>
            <w:pPr>
              <w:spacing w:after="0"/>
              <w:rPr>
                <w:sz w:val="15"/>
                <w:szCs w:val="15"/>
                <w:color w:val="auto"/>
              </w:rPr>
            </w:pPr>
          </w:p>
        </w:tc>
        <w:tc>
          <w:tcPr>
            <w:tcW w:w="224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2015 vs. 2014</w:t>
            </w:r>
          </w:p>
        </w:tc>
      </w:tr>
      <w:tr>
        <w:trPr>
          <w:trHeight w:val="318"/>
        </w:trPr>
        <w:tc>
          <w:tcPr>
            <w:tcW w:w="5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Segment</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5"/>
        </w:trPr>
        <w:tc>
          <w:tcPr>
            <w:tcW w:w="5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Factors Contributing to Year-Over-Year Change</w:t>
            </w:r>
          </w:p>
        </w:tc>
        <w:tc>
          <w:tcPr>
            <w:tcW w:w="200" w:type="dxa"/>
            <w:vAlign w:val="bottom"/>
          </w:tcPr>
          <w:p>
            <w:pPr>
              <w:spacing w:after="0"/>
              <w:rPr>
                <w:sz w:val="15"/>
                <w:szCs w:val="15"/>
                <w:color w:val="auto"/>
              </w:rPr>
            </w:pPr>
          </w:p>
        </w:tc>
        <w:tc>
          <w:tcPr>
            <w:tcW w:w="10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Sales</w:t>
            </w:r>
          </w:p>
        </w:tc>
        <w:tc>
          <w:tcPr>
            <w:tcW w:w="20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Profit</w:t>
            </w:r>
          </w:p>
        </w:tc>
        <w:tc>
          <w:tcPr>
            <w:tcW w:w="220" w:type="dxa"/>
            <w:vAlign w:val="bottom"/>
          </w:tcPr>
          <w:p>
            <w:pPr>
              <w:spacing w:after="0"/>
              <w:rPr>
                <w:sz w:val="15"/>
                <w:szCs w:val="15"/>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Sales</w:t>
            </w:r>
          </w:p>
        </w:tc>
        <w:tc>
          <w:tcPr>
            <w:tcW w:w="200" w:type="dxa"/>
            <w:vAlign w:val="bottom"/>
          </w:tcPr>
          <w:p>
            <w:pPr>
              <w:spacing w:after="0"/>
              <w:rPr>
                <w:sz w:val="15"/>
                <w:szCs w:val="15"/>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Segment Profit</w:t>
            </w:r>
          </w:p>
        </w:tc>
      </w:tr>
    </w:tbl>
    <w:p>
      <w:pPr>
        <w:spacing w:after="0" w:line="197" w:lineRule="exact"/>
        <w:rPr>
          <w:sz w:val="20"/>
          <w:szCs w:val="20"/>
          <w:color w:val="auto"/>
        </w:rPr>
      </w:pPr>
    </w:p>
    <w:p>
      <w:pPr>
        <w:sectPr>
          <w:pgSz w:w="11900" w:h="16838" w:orient="portrait"/>
          <w:cols w:equalWidth="0" w:num="1">
            <w:col w:w="11420"/>
          </w:cols>
          <w:pgMar w:left="240" w:top="400" w:right="239" w:bottom="1440" w:gutter="0" w:footer="0" w:header="0"/>
        </w:sectPr>
      </w:pPr>
    </w:p>
    <w:p>
      <w:pPr>
        <w:spacing w:after="0" w:line="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Organic growth/ Operational segment profit</w:t>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Foreign currency translation</w:t>
      </w:r>
    </w:p>
    <w:p>
      <w:pPr>
        <w:ind w:left="580"/>
        <w:spacing w:after="0"/>
        <w:rPr>
          <w:sz w:val="20"/>
          <w:szCs w:val="20"/>
          <w:color w:val="auto"/>
        </w:rPr>
      </w:pPr>
      <w:r>
        <w:rPr>
          <w:rFonts w:ascii="Arial" w:cs="Arial" w:eastAsia="Arial" w:hAnsi="Arial"/>
          <w:sz w:val="18"/>
          <w:szCs w:val="18"/>
          <w:color w:val="auto"/>
        </w:rPr>
        <w:t>Acquisitions and divestitures, net</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Total % Change</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2016 compared with 2015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3"/>
        </w:trPr>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w:t>
            </w:r>
          </w:p>
        </w:tc>
      </w:tr>
      <w:tr>
        <w:trPr>
          <w:trHeight w:val="210"/>
        </w:trPr>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-565150</wp:posOffset>
            </wp:positionV>
            <wp:extent cx="651764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17640" cy="12890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-307975</wp:posOffset>
            </wp:positionV>
            <wp:extent cx="651764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586" w:lineRule="exact"/>
        <w:rPr>
          <w:sz w:val="20"/>
          <w:szCs w:val="20"/>
          <w:color w:val="auto"/>
        </w:rPr>
      </w:pPr>
    </w:p>
    <w:p>
      <w:pPr>
        <w:sectPr>
          <w:pgSz w:w="11900" w:h="16838" w:orient="portrait"/>
          <w:cols w:equalWidth="0" w:num="2">
            <w:col w:w="5440" w:space="720"/>
            <w:col w:w="5260"/>
          </w:cols>
          <w:pgMar w:left="240" w:top="400" w:right="239" w:bottom="1440" w:gutter="0" w:footer="0" w:header="0"/>
          <w:type w:val="continuous"/>
        </w:sectPr>
      </w:pPr>
    </w:p>
    <w:p>
      <w:pPr>
        <w:spacing w:after="0" w:line="20"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Performance Materials and Technologies sales decreased due to a decrease in organic sales volumes and the unfavorable impact of foreign currency translation, partially offset by growth from acquisitions, net of divestitures.</w:t>
      </w:r>
    </w:p>
    <w:p>
      <w:pPr>
        <w:spacing w:after="0" w:line="183" w:lineRule="exact"/>
        <w:rPr>
          <w:sz w:val="20"/>
          <w:szCs w:val="20"/>
          <w:color w:val="auto"/>
        </w:rPr>
      </w:pPr>
    </w:p>
    <w:p>
      <w:pPr>
        <w:jc w:val="both"/>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UOP sales decreased by 17% (decreased 16% organic) driven primarily by lower gas processing revenues due to a significant slowdown in customer projects and decreased catalyst volumes in the first nine months, partially offset by increased catalyst, licensing and equipment sales in the fourth quarter.</w:t>
      </w:r>
    </w:p>
    <w:p>
      <w:pPr>
        <w:spacing w:after="0" w:line="202"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Process Solutions sales increased by 16% (increased 4% organic) driven primarily by increased volumes driven by the Elster acquisition and higher revenues in projects, partially offset by lower field products sales.</w:t>
      </w:r>
    </w:p>
    <w:p>
      <w:pPr>
        <w:spacing w:after="0" w:line="196" w:lineRule="exact"/>
        <w:rPr>
          <w:rFonts w:ascii="Arial" w:cs="Arial" w:eastAsia="Arial" w:hAnsi="Arial"/>
          <w:sz w:val="18"/>
          <w:szCs w:val="18"/>
          <w:color w:val="auto"/>
        </w:rPr>
      </w:pPr>
    </w:p>
    <w:p>
      <w:pPr>
        <w:jc w:val="both"/>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Advanced Materials sales decreased by 5% (increased 3% organic) driven primarily by the impact of the October 1, 2016 spin-off of AdvanSix and lower market pricing, as well as lower raw material pass-through pricing in AdvanSix in the first nine months, partially offset by increased volumes in fluorine and specialty products.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type w:val="continuous"/>
        </w:sectPr>
      </w:pPr>
    </w:p>
    <w:bookmarkStart w:id="23" w:name="page24"/>
    <w:bookmarkEnd w:id="23"/>
    <w:p>
      <w:pPr>
        <w:jc w:val="both"/>
        <w:ind w:firstLine="648"/>
        <w:spacing w:after="0" w:line="238" w:lineRule="auto"/>
        <w:rPr>
          <w:sz w:val="20"/>
          <w:szCs w:val="20"/>
          <w:color w:val="auto"/>
        </w:rPr>
      </w:pPr>
      <w:r>
        <w:rPr>
          <w:rFonts w:ascii="Arial" w:cs="Arial" w:eastAsia="Arial" w:hAnsi="Arial"/>
          <w:sz w:val="18"/>
          <w:szCs w:val="18"/>
          <w:color w:val="auto"/>
        </w:rPr>
        <w:t>Performance Materials and Technologies segment profit increased due to acquisitions, net of divestitures, and an increase in operational segment profit, partially offset by the unfavorable impact of foreign currency translation. The increase in operational segment profit is primarily due to productivity, net of inflation, partially offset by lower organic sales volumes and continued investments for growth. Cost of products and services sold decreased primarily due to lower organic sales volumes, favorable foreign currency translation, and productivity, net of inflation, partially offset by acquisitions, net of divestitures.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2015 compared with 2014</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Performance Materials and Technologies sales decreased due to a decrease in organic sales volumes and the unfavorable impact of foreign currency translation.</w:t>
      </w:r>
    </w:p>
    <w:p>
      <w:pPr>
        <w:spacing w:after="0" w:line="183" w:lineRule="exact"/>
        <w:rPr>
          <w:sz w:val="20"/>
          <w:szCs w:val="20"/>
          <w:color w:val="auto"/>
        </w:rPr>
      </w:pPr>
    </w:p>
    <w:p>
      <w:pPr>
        <w:ind w:left="660" w:hanging="328"/>
        <w:spacing w:after="0" w:line="24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UOP sales decreased by 7% (decreased 6% organic) driven primarily by lower gas processing revenues due to a significant slowdown in customer projects and decreased equipment, engineering and licensing revenues partially offset by increased catalyst revenues.</w:t>
      </w:r>
    </w:p>
    <w:p>
      <w:pPr>
        <w:spacing w:after="0" w:line="196"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Process Solutions sales decreased by 12% (decreased 3% organic) driven primarily by the unfavorable impact of foreign currency translation and lower volumes primarily due to weakness in projects and field products.</w:t>
      </w:r>
    </w:p>
    <w:p>
      <w:pPr>
        <w:spacing w:after="0" w:line="196" w:lineRule="exact"/>
        <w:rPr>
          <w:rFonts w:ascii="Arial" w:cs="Arial" w:eastAsia="Arial" w:hAnsi="Arial"/>
          <w:sz w:val="18"/>
          <w:szCs w:val="18"/>
          <w:color w:val="auto"/>
        </w:rPr>
      </w:pPr>
    </w:p>
    <w:p>
      <w:pPr>
        <w:ind w:left="660" w:right="20" w:hanging="328"/>
        <w:spacing w:after="0" w:line="24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Advanced Materials sales decreased by 10% (decreased 7% organic) primarily driven by lower raw material pass-through pricing and unplanned plant outages in resins and chemicals partially offset by increased volumes in fluorine products.</w:t>
      </w:r>
    </w:p>
    <w:p>
      <w:pPr>
        <w:spacing w:after="0" w:line="19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Performance Materials and Technologies segment profit increased due to an increase in operational segment profit partially offset by the unfavorable impact of foreign currency translation. The increase in operational segment profit is primarily due to price and productivity, net of inflation partially offset by lower organic sales volumes and continued investments for growth. Cost of products and services sold decreased primarily due to the favorable impacts of inflation, foreign currency translation, lower organic sales volumes and productivity, partially offset by continued investments for growth.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and Productivity Solutions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ind w:left="560"/>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2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Net sales</w:t>
            </w:r>
          </w:p>
        </w:tc>
        <w:tc>
          <w:tcPr>
            <w:tcW w:w="940" w:type="dxa"/>
            <w:vAlign w:val="bottom"/>
            <w:gridSpan w:val="2"/>
            <w:shd w:val="clear" w:color="auto" w:fill="E5FF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4,625</w:t>
            </w:r>
          </w:p>
        </w:tc>
        <w:tc>
          <w:tcPr>
            <w:tcW w:w="100" w:type="dxa"/>
            <w:vAlign w:val="bottom"/>
            <w:shd w:val="clear" w:color="auto" w:fill="E5FFFF"/>
          </w:tcPr>
          <w:p>
            <w:pPr>
              <w:spacing w:after="0"/>
              <w:rPr>
                <w:sz w:val="17"/>
                <w:szCs w:val="17"/>
                <w:color w:val="auto"/>
              </w:rPr>
            </w:pPr>
          </w:p>
        </w:tc>
        <w:tc>
          <w:tcPr>
            <w:tcW w:w="640" w:type="dxa"/>
            <w:vAlign w:val="bottom"/>
            <w:gridSpan w:val="2"/>
            <w:shd w:val="clear" w:color="auto" w:fill="E5FFFF"/>
          </w:tcPr>
          <w:p>
            <w:pPr>
              <w:ind w:left="22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3"/>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4,708</w:t>
            </w: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960" w:type="dxa"/>
            <w:vAlign w:val="bottom"/>
            <w:gridSpan w:val="3"/>
            <w:shd w:val="clear" w:color="auto" w:fill="E5FFFF"/>
          </w:tcPr>
          <w:p>
            <w:pPr>
              <w:jc w:val="right"/>
              <w:spacing w:after="0" w:line="202" w:lineRule="exact"/>
              <w:rPr>
                <w:sz w:val="20"/>
                <w:szCs w:val="20"/>
                <w:color w:val="auto"/>
              </w:rPr>
            </w:pPr>
            <w:r>
              <w:rPr>
                <w:rFonts w:ascii="Arial" w:cs="Arial" w:eastAsia="Arial" w:hAnsi="Arial"/>
                <w:sz w:val="18"/>
                <w:szCs w:val="18"/>
                <w:color w:val="auto"/>
              </w:rPr>
              <w:t>(2)%</w:t>
            </w:r>
          </w:p>
        </w:tc>
        <w:tc>
          <w:tcPr>
            <w:tcW w:w="520" w:type="dxa"/>
            <w:vAlign w:val="bottom"/>
            <w:gridSpan w:val="2"/>
            <w:shd w:val="clear" w:color="auto" w:fill="E5FFFF"/>
          </w:tcPr>
          <w:p>
            <w:pPr>
              <w:jc w:val="center"/>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gridSpan w:val="3"/>
            <w:shd w:val="clear" w:color="auto" w:fill="E5FFFF"/>
          </w:tcPr>
          <w:p>
            <w:pPr>
              <w:jc w:val="right"/>
              <w:ind w:right="28"/>
              <w:spacing w:after="0" w:line="202" w:lineRule="exact"/>
              <w:rPr>
                <w:sz w:val="20"/>
                <w:szCs w:val="20"/>
                <w:color w:val="auto"/>
              </w:rPr>
            </w:pPr>
            <w:r>
              <w:rPr>
                <w:rFonts w:ascii="Arial" w:cs="Arial" w:eastAsia="Arial" w:hAnsi="Arial"/>
                <w:sz w:val="18"/>
                <w:szCs w:val="18"/>
                <w:color w:val="auto"/>
              </w:rPr>
              <w:t>4,746</w:t>
            </w:r>
          </w:p>
        </w:tc>
        <w:tc>
          <w:tcPr>
            <w:tcW w:w="220" w:type="dxa"/>
            <w:vAlign w:val="bottom"/>
            <w:shd w:val="clear" w:color="auto" w:fill="E5FFFF"/>
          </w:tcPr>
          <w:p>
            <w:pPr>
              <w:spacing w:after="0"/>
              <w:rPr>
                <w:sz w:val="17"/>
                <w:szCs w:val="17"/>
                <w:color w:val="auto"/>
              </w:rPr>
            </w:pPr>
          </w:p>
        </w:tc>
        <w:tc>
          <w:tcPr>
            <w:tcW w:w="114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540" w:type="dxa"/>
            <w:vAlign w:val="bottom"/>
            <w:gridSpan w:val="3"/>
          </w:tcPr>
          <w:p>
            <w:pPr>
              <w:spacing w:after="0"/>
              <w:rPr>
                <w:sz w:val="20"/>
                <w:szCs w:val="20"/>
                <w:color w:val="auto"/>
              </w:rPr>
            </w:pPr>
            <w:r>
              <w:rPr>
                <w:rFonts w:ascii="Arial" w:cs="Arial" w:eastAsia="Arial" w:hAnsi="Arial"/>
                <w:sz w:val="18"/>
                <w:szCs w:val="18"/>
                <w:color w:val="auto"/>
              </w:rPr>
              <w:t>Cost of products and services sold</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3,020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3"/>
          </w:tcPr>
          <w:p>
            <w:pPr>
              <w:jc w:val="right"/>
              <w:ind w:right="28"/>
              <w:spacing w:after="0"/>
              <w:rPr>
                <w:sz w:val="20"/>
                <w:szCs w:val="20"/>
                <w:color w:val="auto"/>
              </w:rPr>
            </w:pPr>
            <w:r>
              <w:rPr>
                <w:rFonts w:ascii="Arial" w:cs="Arial" w:eastAsia="Arial" w:hAnsi="Arial"/>
                <w:sz w:val="18"/>
                <w:szCs w:val="18"/>
                <w:color w:val="auto"/>
              </w:rPr>
              <w:t>3,052</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Selling, general and administrative expenses</w:t>
            </w:r>
          </w:p>
        </w:tc>
        <w:tc>
          <w:tcPr>
            <w:tcW w:w="7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6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5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851</w:t>
            </w:r>
          </w:p>
        </w:tc>
        <w:tc>
          <w:tcPr>
            <w:tcW w:w="2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700" w:type="dxa"/>
            <w:vAlign w:val="bottom"/>
            <w:gridSpan w:val="3"/>
            <w:shd w:val="clear" w:color="auto" w:fill="E5FFFF"/>
          </w:tcPr>
          <w:p>
            <w:pPr>
              <w:jc w:val="right"/>
              <w:ind w:right="28"/>
              <w:spacing w:after="0"/>
              <w:rPr>
                <w:sz w:val="20"/>
                <w:szCs w:val="20"/>
                <w:color w:val="auto"/>
              </w:rPr>
            </w:pPr>
            <w:r>
              <w:rPr>
                <w:rFonts w:ascii="Arial" w:cs="Arial" w:eastAsia="Arial" w:hAnsi="Arial"/>
                <w:sz w:val="18"/>
                <w:szCs w:val="18"/>
                <w:color w:val="auto"/>
              </w:rPr>
              <w:t>933</w:t>
            </w:r>
          </w:p>
        </w:tc>
        <w:tc>
          <w:tcPr>
            <w:tcW w:w="22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5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3"/>
          </w:tcPr>
          <w:p>
            <w:pPr>
              <w:jc w:val="right"/>
              <w:ind w:right="28"/>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Borders>
              <w:top w:val="single" w:sz="8" w:color="E5FFFF"/>
            </w:tcBorders>
            <w:gridSpan w:val="2"/>
            <w:shd w:val="clear" w:color="auto" w:fill="E5FFFF"/>
          </w:tcPr>
          <w:p>
            <w:pPr>
              <w:spacing w:after="0" w:line="196" w:lineRule="exact"/>
              <w:rPr>
                <w:sz w:val="20"/>
                <w:szCs w:val="20"/>
                <w:color w:val="auto"/>
              </w:rPr>
            </w:pPr>
            <w:r>
              <w:rPr>
                <w:rFonts w:ascii="Arial" w:cs="Arial" w:eastAsia="Arial" w:hAnsi="Arial"/>
                <w:sz w:val="18"/>
                <w:szCs w:val="18"/>
                <w:color w:val="auto"/>
              </w:rPr>
              <w:t>Segment profit</w:t>
            </w:r>
          </w:p>
        </w:tc>
        <w:tc>
          <w:tcPr>
            <w:tcW w:w="70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auto"/>
              <w:bottom w:val="single" w:sz="8" w:color="auto"/>
            </w:tcBorders>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680</w:t>
            </w:r>
          </w:p>
        </w:tc>
        <w:tc>
          <w:tcPr>
            <w:tcW w:w="100" w:type="dxa"/>
            <w:vAlign w:val="bottom"/>
            <w:tcBorders>
              <w:top w:val="single" w:sz="8" w:color="auto"/>
              <w:bottom w:val="single" w:sz="8" w:color="auto"/>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420" w:type="dxa"/>
            <w:vAlign w:val="bottom"/>
            <w:tcBorders>
              <w:top w:val="single" w:sz="8" w:color="auto"/>
              <w:bottom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gridSpan w:val="3"/>
            <w:shd w:val="clear" w:color="auto" w:fill="E5FFFF"/>
          </w:tcPr>
          <w:p>
            <w:pPr>
              <w:jc w:val="right"/>
              <w:ind w:right="100"/>
              <w:spacing w:after="0" w:line="196" w:lineRule="exact"/>
              <w:rPr>
                <w:sz w:val="20"/>
                <w:szCs w:val="20"/>
                <w:color w:val="auto"/>
              </w:rPr>
            </w:pPr>
            <w:r>
              <w:rPr>
                <w:rFonts w:ascii="Arial" w:cs="Arial" w:eastAsia="Arial" w:hAnsi="Arial"/>
                <w:sz w:val="18"/>
                <w:szCs w:val="18"/>
                <w:color w:val="auto"/>
              </w:rPr>
              <w:t>746</w:t>
            </w:r>
          </w:p>
        </w:tc>
        <w:tc>
          <w:tcPr>
            <w:tcW w:w="22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E5FFFF"/>
            </w:tcBorders>
            <w:shd w:val="clear" w:color="auto" w:fill="E5FFFF"/>
          </w:tcPr>
          <w:p>
            <w:pPr>
              <w:spacing w:after="0"/>
              <w:rPr>
                <w:sz w:val="17"/>
                <w:szCs w:val="17"/>
                <w:color w:val="auto"/>
              </w:rPr>
            </w:pPr>
          </w:p>
        </w:tc>
        <w:tc>
          <w:tcPr>
            <w:tcW w:w="960" w:type="dxa"/>
            <w:vAlign w:val="bottom"/>
            <w:tcBorders>
              <w:top w:val="single" w:sz="8" w:color="E5FFFF"/>
            </w:tcBorders>
            <w:gridSpan w:val="3"/>
            <w:shd w:val="clear" w:color="auto" w:fill="E5FFFF"/>
          </w:tcPr>
          <w:p>
            <w:pPr>
              <w:jc w:val="right"/>
              <w:spacing w:after="0" w:line="196" w:lineRule="exact"/>
              <w:rPr>
                <w:sz w:val="20"/>
                <w:szCs w:val="20"/>
                <w:color w:val="auto"/>
              </w:rPr>
            </w:pPr>
            <w:r>
              <w:rPr>
                <w:rFonts w:ascii="Arial" w:cs="Arial" w:eastAsia="Arial" w:hAnsi="Arial"/>
                <w:sz w:val="18"/>
                <w:szCs w:val="18"/>
                <w:color w:val="auto"/>
              </w:rPr>
              <w:t>(9)%</w:t>
            </w:r>
          </w:p>
        </w:tc>
        <w:tc>
          <w:tcPr>
            <w:tcW w:w="220" w:type="dxa"/>
            <w:vAlign w:val="bottom"/>
            <w:tcBorders>
              <w:top w:val="single" w:sz="8" w:color="E5FFFF"/>
            </w:tcBorders>
            <w:shd w:val="clear" w:color="auto" w:fill="E5FFFF"/>
          </w:tcPr>
          <w:p>
            <w:pPr>
              <w:spacing w:after="0"/>
              <w:rPr>
                <w:sz w:val="17"/>
                <w:szCs w:val="17"/>
                <w:color w:val="auto"/>
              </w:rPr>
            </w:pPr>
          </w:p>
        </w:tc>
        <w:tc>
          <w:tcPr>
            <w:tcW w:w="300" w:type="dxa"/>
            <w:vAlign w:val="bottom"/>
            <w:tcBorders>
              <w:top w:val="single" w:sz="8" w:color="auto"/>
              <w:bottom w:val="single" w:sz="8" w:color="auto"/>
            </w:tcBorders>
            <w:shd w:val="clear" w:color="auto" w:fill="E5FFFF"/>
          </w:tcPr>
          <w:p>
            <w:pPr>
              <w:jc w:val="center"/>
              <w:ind w:right="119"/>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gridSpan w:val="3"/>
            <w:shd w:val="clear" w:color="auto" w:fill="E5FFFF"/>
          </w:tcPr>
          <w:p>
            <w:pPr>
              <w:jc w:val="right"/>
              <w:ind w:right="28"/>
              <w:spacing w:after="0" w:line="196" w:lineRule="exact"/>
              <w:rPr>
                <w:sz w:val="20"/>
                <w:szCs w:val="20"/>
                <w:color w:val="auto"/>
              </w:rPr>
            </w:pPr>
            <w:r>
              <w:rPr>
                <w:rFonts w:ascii="Arial" w:cs="Arial" w:eastAsia="Arial" w:hAnsi="Arial"/>
                <w:sz w:val="18"/>
                <w:szCs w:val="18"/>
                <w:color w:val="auto"/>
              </w:rPr>
              <w:t>686</w:t>
            </w:r>
          </w:p>
        </w:tc>
        <w:tc>
          <w:tcPr>
            <w:tcW w:w="22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E5FFFF"/>
            </w:tcBorders>
            <w:gridSpan w:val="2"/>
            <w:shd w:val="clear" w:color="auto" w:fill="E5FFFF"/>
          </w:tcPr>
          <w:p>
            <w:pPr>
              <w:jc w:val="right"/>
              <w:ind w:right="6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2016 vs. 2015</w:t>
            </w:r>
          </w:p>
        </w:tc>
        <w:tc>
          <w:tcPr>
            <w:tcW w:w="5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2015 vs. 2014</w:t>
            </w:r>
          </w:p>
        </w:tc>
        <w:tc>
          <w:tcPr>
            <w:tcW w:w="5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4"/>
                <w:szCs w:val="14"/>
                <w:b w:val="1"/>
                <w:bCs w:val="1"/>
                <w:color w:val="auto"/>
              </w:rPr>
              <w:t>Factors Contributing to Year-Over-Year Change</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rPr>
              <w:t>Sales</w:t>
            </w:r>
          </w:p>
        </w:tc>
        <w:tc>
          <w:tcPr>
            <w:tcW w:w="280" w:type="dxa"/>
            <w:vAlign w:val="bottom"/>
          </w:tcPr>
          <w:p>
            <w:pPr>
              <w:spacing w:after="0"/>
              <w:rPr>
                <w:sz w:val="24"/>
                <w:szCs w:val="24"/>
                <w:color w:val="auto"/>
              </w:rPr>
            </w:pPr>
          </w:p>
        </w:tc>
        <w:tc>
          <w:tcPr>
            <w:tcW w:w="166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rPr>
              <w:t>Segment Profit</w:t>
            </w: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rPr>
              <w:t>Sales</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Segment Profit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22" w:right="239" w:bottom="1440" w:gutter="0" w:footer="0" w:header="0"/>
        </w:sectPr>
      </w:pPr>
    </w:p>
    <w:p>
      <w:pPr>
        <w:spacing w:after="0" w:line="1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Organic growth/ Operational segment profit</w:t>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Foreign currency translation</w:t>
      </w:r>
    </w:p>
    <w:p>
      <w:pPr>
        <w:ind w:left="580"/>
        <w:spacing w:after="0"/>
        <w:rPr>
          <w:sz w:val="20"/>
          <w:szCs w:val="20"/>
          <w:color w:val="auto"/>
        </w:rPr>
      </w:pPr>
      <w:r>
        <w:rPr>
          <w:rFonts w:ascii="Arial" w:cs="Arial" w:eastAsia="Arial" w:hAnsi="Arial"/>
          <w:sz w:val="18"/>
          <w:szCs w:val="18"/>
          <w:color w:val="auto"/>
        </w:rPr>
        <w:t>Acquisitions and divestitures, net</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Total % Change</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2016 compared with 2015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3"/>
        </w:trPr>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w:t>
            </w:r>
          </w:p>
        </w:tc>
        <w:tc>
          <w:tcPr>
            <w:tcW w:w="20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r>
      <w:tr>
        <w:trPr>
          <w:trHeight w:val="210"/>
        </w:trPr>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-565150</wp:posOffset>
            </wp:positionV>
            <wp:extent cx="651764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17640" cy="12890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-307975</wp:posOffset>
            </wp:positionV>
            <wp:extent cx="651764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586" w:lineRule="exact"/>
        <w:rPr>
          <w:sz w:val="20"/>
          <w:szCs w:val="20"/>
          <w:color w:val="auto"/>
        </w:rPr>
      </w:pPr>
    </w:p>
    <w:p>
      <w:pPr>
        <w:sectPr>
          <w:pgSz w:w="11900" w:h="16838" w:orient="portrait"/>
          <w:cols w:equalWidth="0" w:num="2">
            <w:col w:w="5440" w:space="720"/>
            <w:col w:w="5260"/>
          </w:cols>
          <w:pgMar w:left="240" w:top="422" w:right="239" w:bottom="1440" w:gutter="0" w:footer="0" w:header="0"/>
          <w:type w:val="continuous"/>
        </w:sectPr>
      </w:pPr>
    </w:p>
    <w:p>
      <w:pPr>
        <w:spacing w:after="0" w:line="20"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Safety and Productivity Solutions sales decreased primarily due to decreased sales volumes and the unfavorable impact of foreign currency translation, partially offset by growth from acquisitions.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type w:val="continuous"/>
        </w:sectPr>
      </w:pPr>
    </w:p>
    <w:bookmarkStart w:id="24" w:name="page25"/>
    <w:bookmarkEnd w:id="24"/>
    <w:p>
      <w:pPr>
        <w:ind w:left="980" w:right="20" w:hanging="324"/>
        <w:spacing w:after="0" w:line="246"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in Safety decreased by 3% (decreased 2% organic) due to decreased sales volume in the Industrial Safety business, lower distribution in the Retail business, and the unfavorable impact of foreign currency translation.</w:t>
      </w:r>
    </w:p>
    <w:p>
      <w:pPr>
        <w:spacing w:after="0" w:line="196" w:lineRule="exact"/>
        <w:rPr>
          <w:rFonts w:ascii="Arial" w:cs="Arial" w:eastAsia="Arial" w:hAnsi="Arial"/>
          <w:sz w:val="18"/>
          <w:szCs w:val="18"/>
          <w:color w:val="auto"/>
        </w:rPr>
      </w:pPr>
    </w:p>
    <w:p>
      <w:pPr>
        <w:ind w:left="980" w:hanging="324"/>
        <w:spacing w:after="0" w:line="246"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in Productivity Solutions decreased by 1% (decreased 11% organic) principally due to declines in the Productivity Products business, partially offset by growth from acquisitions.</w:t>
      </w:r>
    </w:p>
    <w:p>
      <w:pPr>
        <w:spacing w:after="0" w:line="19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Safety and Productivity Solutions segment profit decreased due to a decrease in operational segment profit and the unfavorable impact of foreign currency translation, partially offset by growth from acquisitions. The decrease in operational segment profit is due to decreased sales volumes, partially offset by price and productivity, net of inflation, and growth from acquisitions. Cost of products and services decreased primarily due to productivity, net of inflation, decreased sales volumes, and the favorable impact of foreign currency translation partially offset by growth from acquisitions.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2015 compared with 2014</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Safety and Productivity Solutions sales decreased primarily due to the unfavorable impact of foreign currency translation partially offset by acquisitions and organic sales growth.</w:t>
      </w:r>
    </w:p>
    <w:p>
      <w:pPr>
        <w:spacing w:after="0" w:line="183" w:lineRule="exact"/>
        <w:rPr>
          <w:sz w:val="20"/>
          <w:szCs w:val="20"/>
          <w:color w:val="auto"/>
        </w:rPr>
      </w:pPr>
    </w:p>
    <w:p>
      <w:pPr>
        <w:ind w:left="980" w:right="20" w:hanging="324"/>
        <w:spacing w:after="0" w:line="246"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in Safety decreased by 9% (decreased 3% organic) principally due to decreased sales volumes in Industrial Safety and the unfavorable impact of foreign currency translation, partially offset by increased sales volume in the Retail business.</w:t>
      </w:r>
    </w:p>
    <w:p>
      <w:pPr>
        <w:spacing w:after="0" w:line="196" w:lineRule="exact"/>
        <w:rPr>
          <w:rFonts w:ascii="Arial" w:cs="Arial" w:eastAsia="Arial" w:hAnsi="Arial"/>
          <w:sz w:val="18"/>
          <w:szCs w:val="18"/>
          <w:color w:val="auto"/>
        </w:rPr>
      </w:pPr>
    </w:p>
    <w:p>
      <w:pPr>
        <w:ind w:left="980" w:hanging="324"/>
        <w:spacing w:after="0" w:line="246"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in Productivity Solutions increased by 7% (increased 8% organic) principally due to acquisitions and increased sales volumes in the Productivity Products business, partially offset by the unfavorable impact of foreign currency translation.</w:t>
      </w:r>
    </w:p>
    <w:p>
      <w:pPr>
        <w:spacing w:after="0" w:line="19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Safety and Productivity Solutions segment profit increased due to an increase in operational segment profit and acquisitions, partially offset by the unfavorable impact of foreign currency translation. The increase in operational segment profit is due to the positive impact of price and productivity, net of inflation, and higher sales volumes, partially offset by continued investment for growth. Cost of products and services sold decreased primarily due to the favorable impact of foreign currency translation, partially offset by acquisitions and higher sales volumes.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Repositioning Charges</w:t>
      </w:r>
    </w:p>
    <w:p>
      <w:pPr>
        <w:spacing w:after="0" w:line="22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See Note 3 Repositioning and Other Charges of Notes to Financial Statements for a discussion of our repositioning actions and related charges incurred in 2016, 2015 and 2014. These repositioning actions are expected to generate incremental pretax savings of $200 million to $300 million in 2017 compared with 2016 principally from planned workforce reductions. Cash spending related to our repositioning actions was $228 million, $118 million and $161 million in 2016, 2015 and 2014, and was funded through operating cash flows. In 2017, we expect cash spending for repositioning actions to be approximately $225 million and to be funded through operating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Company continues to manage its businesses to maximize operating cash flows as the primary source of liquidity. In addition to our available cash and operating cash flows, additional sources of liquidity include committed credit lines, short-term debt from the commercial paper market, long-term borrowings, and access to the public debt and equity markets. We continue to balance our cash and financing uses through investment in our existing core businesses, acquisition activity, share repurchases and dividends.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Our cash flows from operating, investing and financing activities, as reflected in the Consolidated Statement of Cash Flows, are summarized as follows: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5"/>
        </w:trPr>
        <w:tc>
          <w:tcPr>
            <w:tcW w:w="5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Years Ended December 31,</w:t>
            </w:r>
          </w:p>
        </w:tc>
        <w:tc>
          <w:tcPr>
            <w:tcW w:w="5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r>
      <w:tr>
        <w:trPr>
          <w:trHeight w:val="169"/>
        </w:trPr>
        <w:tc>
          <w:tcPr>
            <w:tcW w:w="5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2015</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2014</w:t>
            </w:r>
          </w:p>
        </w:tc>
        <w:tc>
          <w:tcPr>
            <w:tcW w:w="520" w:type="dxa"/>
            <w:vAlign w:val="bottom"/>
          </w:tcPr>
          <w:p>
            <w:pPr>
              <w:spacing w:after="0"/>
              <w:rPr>
                <w:sz w:val="14"/>
                <w:szCs w:val="14"/>
                <w:color w:val="auto"/>
              </w:rPr>
            </w:pPr>
          </w:p>
        </w:tc>
      </w:tr>
      <w:tr>
        <w:trPr>
          <w:trHeight w:val="196"/>
        </w:trPr>
        <w:tc>
          <w:tcPr>
            <w:tcW w:w="55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Cash provided by (used for):</w:t>
            </w:r>
          </w:p>
        </w:tc>
        <w:tc>
          <w:tcPr>
            <w:tcW w:w="12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320" w:type="dxa"/>
            <w:vAlign w:val="bottom"/>
            <w:tcBorders>
              <w:top w:val="single" w:sz="8" w:color="auto"/>
            </w:tcBorders>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320" w:type="dxa"/>
            <w:vAlign w:val="bottom"/>
            <w:tcBorders>
              <w:top w:val="single" w:sz="8" w:color="auto"/>
            </w:tcBorders>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320" w:type="dxa"/>
            <w:vAlign w:val="bottom"/>
            <w:tcBorders>
              <w:top w:val="single" w:sz="8" w:color="auto"/>
            </w:tcBorders>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r>
      <w:tr>
        <w:trPr>
          <w:trHeight w:val="203"/>
        </w:trPr>
        <w:tc>
          <w:tcPr>
            <w:tcW w:w="5580" w:type="dxa"/>
            <w:vAlign w:val="bottom"/>
          </w:tcPr>
          <w:p>
            <w:pPr>
              <w:ind w:left="180"/>
              <w:spacing w:after="0" w:line="202" w:lineRule="exact"/>
              <w:rPr>
                <w:sz w:val="20"/>
                <w:szCs w:val="20"/>
                <w:color w:val="auto"/>
              </w:rPr>
            </w:pPr>
            <w:r>
              <w:rPr>
                <w:rFonts w:ascii="Arial" w:cs="Arial" w:eastAsia="Arial" w:hAnsi="Arial"/>
                <w:sz w:val="18"/>
                <w:szCs w:val="18"/>
                <w:color w:val="auto"/>
              </w:rPr>
              <w:t>Operating activities</w:t>
            </w:r>
          </w:p>
        </w:tc>
        <w:tc>
          <w:tcPr>
            <w:tcW w:w="16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5,498</w:t>
            </w:r>
          </w:p>
        </w:tc>
        <w:tc>
          <w:tcPr>
            <w:tcW w:w="8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5,519</w:t>
            </w:r>
          </w:p>
        </w:tc>
        <w:tc>
          <w:tcPr>
            <w:tcW w:w="200" w:type="dxa"/>
            <w:vAlign w:val="bottom"/>
          </w:tcPr>
          <w:p>
            <w:pPr>
              <w:spacing w:after="0"/>
              <w:rPr>
                <w:sz w:val="17"/>
                <w:szCs w:val="17"/>
                <w:color w:val="auto"/>
              </w:rPr>
            </w:pPr>
          </w:p>
        </w:tc>
        <w:tc>
          <w:tcPr>
            <w:tcW w:w="520" w:type="dxa"/>
            <w:vAlign w:val="bottom"/>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5,080</w:t>
            </w:r>
          </w:p>
        </w:tc>
      </w:tr>
      <w:tr>
        <w:trPr>
          <w:trHeight w:val="203"/>
        </w:trPr>
        <w:tc>
          <w:tcPr>
            <w:tcW w:w="55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Investing activities</w:t>
            </w:r>
          </w:p>
        </w:tc>
        <w:tc>
          <w:tcPr>
            <w:tcW w:w="12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40" w:type="dxa"/>
            <w:vAlign w:val="bottom"/>
            <w:gridSpan w:val="3"/>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(3,342)</w:t>
            </w:r>
          </w:p>
        </w:tc>
        <w:tc>
          <w:tcPr>
            <w:tcW w:w="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84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(6,514)</w:t>
            </w:r>
          </w:p>
        </w:tc>
        <w:tc>
          <w:tcPr>
            <w:tcW w:w="20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(1,876)</w:t>
            </w:r>
          </w:p>
        </w:tc>
      </w:tr>
      <w:tr>
        <w:trPr>
          <w:trHeight w:val="203"/>
        </w:trPr>
        <w:tc>
          <w:tcPr>
            <w:tcW w:w="5580" w:type="dxa"/>
            <w:vAlign w:val="bottom"/>
          </w:tcPr>
          <w:p>
            <w:pPr>
              <w:ind w:left="180"/>
              <w:spacing w:after="0" w:line="202" w:lineRule="exact"/>
              <w:rPr>
                <w:sz w:val="20"/>
                <w:szCs w:val="20"/>
                <w:color w:val="auto"/>
              </w:rPr>
            </w:pPr>
            <w:r>
              <w:rPr>
                <w:rFonts w:ascii="Arial" w:cs="Arial" w:eastAsia="Arial" w:hAnsi="Arial"/>
                <w:sz w:val="18"/>
                <w:szCs w:val="18"/>
                <w:color w:val="auto"/>
              </w:rPr>
              <w:t>Financing activities</w:t>
            </w: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346</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37</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(2,328)</w:t>
            </w:r>
          </w:p>
        </w:tc>
      </w:tr>
      <w:tr>
        <w:trPr>
          <w:trHeight w:val="216"/>
        </w:trPr>
        <w:tc>
          <w:tcPr>
            <w:tcW w:w="55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Effect of exchange rate changes on cash</w:t>
            </w:r>
          </w:p>
        </w:tc>
        <w:tc>
          <w:tcPr>
            <w:tcW w:w="1280" w:type="dxa"/>
            <w:vAlign w:val="bottom"/>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spacing w:after="0"/>
              <w:rPr>
                <w:sz w:val="18"/>
                <w:szCs w:val="18"/>
                <w:color w:val="auto"/>
              </w:rPr>
            </w:pPr>
          </w:p>
        </w:tc>
        <w:tc>
          <w:tcPr>
            <w:tcW w:w="1040" w:type="dxa"/>
            <w:vAlign w:val="bottom"/>
            <w:tcBorders>
              <w:bottom w:val="single" w:sz="8" w:color="auto"/>
            </w:tcBorders>
            <w:gridSpan w:val="3"/>
            <w:shd w:val="clear" w:color="auto" w:fill="E5FFFF"/>
          </w:tcPr>
          <w:p>
            <w:pPr>
              <w:jc w:val="right"/>
              <w:ind w:right="20"/>
              <w:spacing w:after="0"/>
              <w:rPr>
                <w:sz w:val="20"/>
                <w:szCs w:val="20"/>
                <w:color w:val="auto"/>
              </w:rPr>
            </w:pPr>
            <w:r>
              <w:rPr>
                <w:rFonts w:ascii="Arial" w:cs="Arial" w:eastAsia="Arial" w:hAnsi="Arial"/>
                <w:sz w:val="18"/>
                <w:szCs w:val="18"/>
                <w:color w:val="auto"/>
              </w:rPr>
              <w:t>(114)</w:t>
            </w:r>
          </w:p>
        </w:tc>
        <w:tc>
          <w:tcPr>
            <w:tcW w:w="40" w:type="dxa"/>
            <w:vAlign w:val="bottom"/>
            <w:tcBorders>
              <w:bottom w:val="single" w:sz="8" w:color="auto"/>
            </w:tcBorders>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54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(546)</w:t>
            </w:r>
          </w:p>
        </w:tc>
        <w:tc>
          <w:tcPr>
            <w:tcW w:w="200" w:type="dxa"/>
            <w:vAlign w:val="bottom"/>
            <w:shd w:val="clear" w:color="auto" w:fill="E5FFFF"/>
          </w:tcPr>
          <w:p>
            <w:pPr>
              <w:spacing w:after="0"/>
              <w:rPr>
                <w:sz w:val="18"/>
                <w:szCs w:val="18"/>
                <w:color w:val="auto"/>
              </w:rPr>
            </w:pPr>
          </w:p>
        </w:tc>
        <w:tc>
          <w:tcPr>
            <w:tcW w:w="52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(339)</w:t>
            </w:r>
          </w:p>
        </w:tc>
      </w:tr>
      <w:tr>
        <w:trPr>
          <w:trHeight w:val="210"/>
        </w:trPr>
        <w:tc>
          <w:tcPr>
            <w:tcW w:w="5580" w:type="dxa"/>
            <w:vAlign w:val="bottom"/>
          </w:tcPr>
          <w:p>
            <w:pPr>
              <w:spacing w:after="0" w:line="197" w:lineRule="exact"/>
              <w:rPr>
                <w:sz w:val="20"/>
                <w:szCs w:val="20"/>
                <w:color w:val="auto"/>
              </w:rPr>
            </w:pPr>
            <w:r>
              <w:rPr>
                <w:rFonts w:ascii="Arial" w:cs="Arial" w:eastAsia="Arial" w:hAnsi="Arial"/>
                <w:sz w:val="18"/>
                <w:szCs w:val="18"/>
                <w:color w:val="auto"/>
              </w:rPr>
              <w:t>Net increase (decrease) in cash and cash equivalents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2,388</w:t>
            </w:r>
          </w:p>
        </w:tc>
        <w:tc>
          <w:tcPr>
            <w:tcW w:w="8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(1,504)</w:t>
            </w:r>
          </w:p>
        </w:tc>
        <w:tc>
          <w:tcPr>
            <w:tcW w:w="2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537</w:t>
            </w:r>
          </w:p>
        </w:tc>
      </w:tr>
      <w:tr>
        <w:trPr>
          <w:trHeight w:val="20"/>
        </w:trPr>
        <w:tc>
          <w:tcPr>
            <w:tcW w:w="5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2016 compared with 2015</w:t>
      </w:r>
    </w:p>
    <w:p>
      <w:pPr>
        <w:spacing w:after="0" w:line="22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Cash provided by operating activities decreased by $ 21 million primarily due to a $958 million unfavorable impact from working capital, partially offset by (i) a $395 million improvement in customer advances and deferred income, (ii) a $171 million increase in net income before the non-cash pension mark-to-market adjustment, (iii) the absence of $151 million in OEM incentive payments and (iv) lower cash tax payments of $50 million.</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Cash used for investing activities decreased by $ 3,172 million primarily due to (i) a decrease in cash paid for acquisitions of $2,655 million, most significantly Elster in 2015, (ii) an increase in proceeds from the sales of businesses of $295 million (most significantly Honeywell Technology Solutions Inc.) and (iii) a $384 million favorable change in settlements of foreign currency exchange contracts used as economic hedges on certain non-functional currency denominated monetary assets and liabilities. The decreases were partially offset by a net $146 million increase in investments, primarily short-term marketable securities.</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Cash provided by financing activities increased by $309 million primarily due to an increase in the net proceeds from debt issuances of $497 million, partially offset by an increase in cash dividends paid of $189 million including amounts paid to the former UOP Russell LLC noncontrolling shareholder.</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2015 compared with 2014</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Cash provided by operating activities increased by $439 million primarily due to a $489 million favorable impact from working capital and a $382 million increase in net income before the non-cash pension mark-to-market adjustment, partially offset by (i) a $175 million decrease in customer advances and deferred income, (ii) $151 million in OEM incentives and (iii) increased cash tax payments of $50 million.</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Cash used for investing activities increased by $4,638 million primarily due to an increase in cash paid for acquisitions of $5,224 million, most significantly Elster, and a decrease in proceeds of $159 million, primarily from the Friction Materials divestiture, partially offset by a net $659 million decrease in investments, primarily short-term marketable securities.</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Cash provided by financing activities increased by $2,365 million primarily due to an increase in the net proceeds from debt issuances of $3,648 million, partially offset by an increase in net repurchases of common stock of $1,039 million and an increase in cash dividends paid of $216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Each of our businesses is focused on implementing strategies to increase operating cash flows through revenue growth, margin expansion and improved working capital turnover. Considering the current economic environment in which each of the businesses operate and their business plans and strategies, including the focus on growth, cost reduction and productivity initiatives, we believe that cash balances and operating cash flow will continue to be our principal source of liquidity. In addition to the available cash and operating cash flows, additional sources of liquidity include committed credit lines, short-term debt from the commercial paper markets, long-term borrowings, and access to the public debt and equity markets. At December 31, 2016, a substantial portion of the Company’s cash and cash equivalents were held by foreign subsidiaries. If the amounts held outside of the U.S. were to be repatriated, under current law, they would be subject to U.S. federal income taxes, less applicable foreign tax credits. However, our intent is to permanently reinvest the vast majority of these funds outside of the U.S. It is not practicable to estimate the amount of tax that might be payable if some or all of such earnings were to be repatriated, and the amount of foreign tax credits that would be available to reduce or eliminate the resulting U.S. income tax liability.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4" w:right="239" w:bottom="1440" w:gutter="0" w:footer="0" w:header="0"/>
        </w:sectPr>
      </w:pPr>
    </w:p>
    <w:bookmarkStart w:id="26" w:name="page27"/>
    <w:bookmarkEnd w:id="26"/>
    <w:p>
      <w:pPr>
        <w:jc w:val="both"/>
        <w:ind w:firstLine="648"/>
        <w:spacing w:after="0"/>
        <w:rPr>
          <w:sz w:val="20"/>
          <w:szCs w:val="20"/>
          <w:color w:val="auto"/>
        </w:rPr>
      </w:pPr>
      <w:r>
        <w:rPr>
          <w:rFonts w:ascii="Arial" w:cs="Arial" w:eastAsia="Arial" w:hAnsi="Arial"/>
          <w:sz w:val="18"/>
          <w:szCs w:val="18"/>
          <w:color w:val="auto"/>
        </w:rPr>
        <w:t>We monitor the third-party depository institutions that hold our cash and cash equivalents on a daily basis. Our emphasis is primarily safety of principal and secondarily maximizing yield of those funds. We diversify our cash and cash equivalents among counterparties to minimize exposure to any one of these entities.</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A source of liquidity is our ability to issue short-term debt in the commercial paper market. Commercial paper notes are sold at a discount and have a maturity of not more than 365 days from date of issuance. Borrowings under the commercial paper program are available for general corporate purposes as well as for financing acquisitions. The weighted average interest rate on short-term borrowings and commercial paper outstanding as of December 31, 2016 was (0.13%) and as of December 31, 2015 was 0.26%.</w:t>
      </w:r>
    </w:p>
    <w:p>
      <w:pPr>
        <w:spacing w:after="0" w:line="22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Our ability to access the commercial paper market, and the related cost of these borrowings, is affected by the strength of our credit rating and market conditions. Our credit ratings are periodically reviewed by the major independent debt-rating agencies. As of December 31, 2016, Standard and Poor’s (S&amp;P), Fitch, and Moody’s have ratings on our long-term debt of A, A and A2 and short-term debt of A-1, F1 and P1. S&amp;P, Fitch and Moody’s have Honeywell’s rating outlook as “stable.” To date, the Company has not experienced any limitations in our ability to access these sources of liquidity.</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also have a current shelf registration statement filed with the Securities and Exchange Commission under which we may issue additional debt securities, common stock and preferred stock that may be offered in one or more offerings on terms to be determined at the time of the offering. Net proceeds of any offering would be used for general corporate purposes, including repayment of existing indebtedness, share repurchases, capital expenditures and acquisitions.</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See Note 2 Acquisitions and Divestitures and Note 12 Long-term Debt and Credit Agreements of Notes to Financial Statements for additional discussion of items impacting our liquidity.</w:t>
      </w:r>
    </w:p>
    <w:p>
      <w:pPr>
        <w:spacing w:after="0" w:line="18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2016, the Company repurchased $2,079 million of outstanding shares to offset the dilutive impact of employee stock based compensation plans, including option exercises, restricted unit vesting and matching contributions under our savings plans. In April 2016, the Board of Directors authorized the repurchase of up to a total of $5 billion of Honeywell common stock, of which $4.1 billion remained available as of December 31, 2016 for additional share repurchases. Honeywell presently expects to repurchase outstanding shares from time to time to generally offset the dilutive impact of employee stock based compensation plans, including option exercises, restricted unit vesting and matching contributions under our savings plans.</w:t>
      </w:r>
    </w:p>
    <w:p>
      <w:pPr>
        <w:spacing w:after="0" w:line="19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addition to our normal operating cash requirements, our principal future cash requirements will be to fund capital expenditures, dividends, strategic acquisitions, share repurchases, employee benefit obligations, environmental remediation costs, asbestos claims, severance and exit costs related to repositioning actions and debt repayments.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Specifically, we expect our primary cash requirements in 2017 to be as follows:</w:t>
      </w:r>
    </w:p>
    <w:p>
      <w:pPr>
        <w:spacing w:after="0" w:line="198" w:lineRule="exact"/>
        <w:rPr>
          <w:sz w:val="20"/>
          <w:szCs w:val="20"/>
          <w:color w:val="auto"/>
        </w:rPr>
      </w:pPr>
    </w:p>
    <w:p>
      <w:pPr>
        <w:ind w:left="980" w:hanging="324"/>
        <w:spacing w:after="0" w:line="186" w:lineRule="auto"/>
        <w:tabs>
          <w:tab w:leader="none" w:pos="9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Capital expenditures—we expect to spend approximately $1.1 billion for capital expenditures in 2017 primarily for growth, production and capacity expansion, cost reduction, maintenance, and replacement.</w:t>
      </w:r>
    </w:p>
    <w:p>
      <w:pPr>
        <w:spacing w:after="0" w:line="229" w:lineRule="exact"/>
        <w:rPr>
          <w:rFonts w:ascii="Arial" w:cs="Arial" w:eastAsia="Arial" w:hAnsi="Arial"/>
          <w:sz w:val="29"/>
          <w:szCs w:val="29"/>
          <w:color w:val="auto"/>
          <w:vertAlign w:val="superscript"/>
        </w:rPr>
      </w:pPr>
    </w:p>
    <w:p>
      <w:pPr>
        <w:jc w:val="both"/>
        <w:ind w:left="980" w:hanging="324"/>
        <w:spacing w:after="0" w:line="212" w:lineRule="auto"/>
        <w:tabs>
          <w:tab w:leader="none" w:pos="9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Share repurchases— under the Company’s share repurchase program, $4.1 billion is available as of December 31, 2016 for additional share repurchases. Honeywell presently expects to repurchase outstanding shares from time to time to generally offset the dilutive impact of employee stock-based compensation plans, including option exercises, restricted unit vesting and matching contributions under our savings plans. The amount and timing of future repurchases may vary depending on market conditions and our level of operating, financing and other investing activities.</w:t>
      </w:r>
    </w:p>
    <w:p>
      <w:pPr>
        <w:spacing w:after="0" w:line="230" w:lineRule="exact"/>
        <w:rPr>
          <w:rFonts w:ascii="Arial" w:cs="Arial" w:eastAsia="Arial" w:hAnsi="Arial"/>
          <w:sz w:val="29"/>
          <w:szCs w:val="29"/>
          <w:color w:val="auto"/>
          <w:vertAlign w:val="superscript"/>
        </w:rPr>
      </w:pPr>
    </w:p>
    <w:p>
      <w:pPr>
        <w:ind w:left="980" w:hanging="324"/>
        <w:spacing w:after="0" w:line="186" w:lineRule="auto"/>
        <w:tabs>
          <w:tab w:leader="none" w:pos="9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Dividends—we increased our quarterly dividend rate by 12% to $.6650 per share of common stock effective with the fourth quarter 2016 dividend. The Company intends to continue to pay quarterly dividends in 2017.</w:t>
      </w:r>
    </w:p>
    <w:p>
      <w:pPr>
        <w:spacing w:after="0" w:line="229" w:lineRule="exact"/>
        <w:rPr>
          <w:rFonts w:ascii="Arial" w:cs="Arial" w:eastAsia="Arial" w:hAnsi="Arial"/>
          <w:sz w:val="29"/>
          <w:szCs w:val="29"/>
          <w:color w:val="auto"/>
          <w:vertAlign w:val="superscript"/>
        </w:rPr>
      </w:pPr>
    </w:p>
    <w:p>
      <w:pPr>
        <w:ind w:left="980" w:hanging="324"/>
        <w:spacing w:after="0" w:line="186" w:lineRule="auto"/>
        <w:tabs>
          <w:tab w:leader="none" w:pos="9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Asbestos claims—we expect our cash spending for asbestos claims and our cash receipts for related insurance recoveries to be approximately $546 million and $23 million in 2017.</w:t>
      </w:r>
    </w:p>
    <w:p>
      <w:pPr>
        <w:spacing w:after="0" w:line="229" w:lineRule="exact"/>
        <w:rPr>
          <w:rFonts w:ascii="Arial" w:cs="Arial" w:eastAsia="Arial" w:hAnsi="Arial"/>
          <w:sz w:val="29"/>
          <w:szCs w:val="29"/>
          <w:color w:val="auto"/>
          <w:vertAlign w:val="superscript"/>
        </w:rPr>
      </w:pPr>
    </w:p>
    <w:p>
      <w:pPr>
        <w:jc w:val="both"/>
        <w:ind w:left="980" w:hanging="324"/>
        <w:spacing w:after="0" w:line="199" w:lineRule="auto"/>
        <w:tabs>
          <w:tab w:leader="none" w:pos="9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Pension contributions—in 2017, we are not required to make contributions to our U.S. pension plans. We plan to make contributions of cash and/or marketable securities of approximately $130 million ($89 million of marketable securities were contributed in January 2017) to our non-U.S. plans to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27" w:name="page28"/>
    <w:bookmarkEnd w:id="27"/>
    <w:p>
      <w:pPr>
        <w:ind w:left="980" w:right="20"/>
        <w:spacing w:after="0" w:line="246" w:lineRule="auto"/>
        <w:rPr>
          <w:sz w:val="20"/>
          <w:szCs w:val="20"/>
          <w:color w:val="auto"/>
        </w:rPr>
      </w:pPr>
      <w:r>
        <w:rPr>
          <w:rFonts w:ascii="Arial" w:cs="Arial" w:eastAsia="Arial" w:hAnsi="Arial"/>
          <w:sz w:val="18"/>
          <w:szCs w:val="18"/>
          <w:color w:val="auto"/>
        </w:rPr>
        <w:t>satisfy regulatory funding standards. The timing and amount of contributions to both our U.S. and non-U.S. plans may be impacted by a number of factors, including the funded status of the plans.</w:t>
      </w:r>
    </w:p>
    <w:p>
      <w:pPr>
        <w:spacing w:after="0" w:line="183" w:lineRule="exact"/>
        <w:rPr>
          <w:sz w:val="20"/>
          <w:szCs w:val="20"/>
          <w:color w:val="auto"/>
        </w:rPr>
      </w:pPr>
    </w:p>
    <w:p>
      <w:pPr>
        <w:ind w:left="980" w:hanging="324"/>
        <w:spacing w:after="0" w:line="186" w:lineRule="auto"/>
        <w:tabs>
          <w:tab w:leader="none" w:pos="98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Repositioning actions—we expect that cash spending for severance and other exit costs necessary to execute repositioning actions will approximate $225 million in 2017.</w:t>
      </w:r>
    </w:p>
    <w:p>
      <w:pPr>
        <w:spacing w:after="0" w:line="229" w:lineRule="exact"/>
        <w:rPr>
          <w:rFonts w:ascii="Arial" w:cs="Arial" w:eastAsia="Arial" w:hAnsi="Arial"/>
          <w:sz w:val="29"/>
          <w:szCs w:val="29"/>
          <w:color w:val="auto"/>
          <w:vertAlign w:val="superscript"/>
        </w:rPr>
      </w:pPr>
    </w:p>
    <w:p>
      <w:pPr>
        <w:ind w:left="980" w:hanging="324"/>
        <w:spacing w:after="0" w:line="186" w:lineRule="auto"/>
        <w:tabs>
          <w:tab w:leader="none" w:pos="98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Environmental remediation costs—we expect to spend approximately $250 million in 2017 for remedial response and voluntary clean-up costs.</w:t>
      </w:r>
    </w:p>
    <w:p>
      <w:pPr>
        <w:spacing w:after="0" w:line="22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continuously assess the relative strength of each business in our portfolio as to strategic fit, market position, profit and cash flow contribution in order to upgrade our combined portfolio and identify business units that will most benefit from increased investment. We identify acquisition candidates that will further our strategic plan and strengthen our existing core businesses. We also identify businesses that do not fit into our long-term strategic plan based on their market position, relative profitability or growth potential. These businesses are considered for potential divestiture, restructuring or other repositioning actions subject to regulatory constraints. In 2016 and 2015, we realized $565 million and $1 million in cash proceeds from sales and a spin-off of non-strategic businesses.</w:t>
      </w:r>
    </w:p>
    <w:p>
      <w:pPr>
        <w:spacing w:after="0" w:line="19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Based on past performance and current expectations, we believe that our operating cash flows will be sufficient to meet our future operating cash needs. Our available cash, committed credit lines and access to the public debt and equity markets, provide additional sources of short-term and long-term liquidity to fund current operations, debt maturities, and future investment opportunities.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Probable Liability Payments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a summary of our significant contractual obligations and probable liability payments at December 31, 2016:</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Payments by Period</w:t>
            </w: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6"/>
        </w:trPr>
        <w:tc>
          <w:tcPr>
            <w:tcW w:w="4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75"/>
        </w:trPr>
        <w:tc>
          <w:tcPr>
            <w:tcW w:w="482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Total(6)</w:t>
            </w:r>
          </w:p>
        </w:tc>
        <w:tc>
          <w:tcPr>
            <w:tcW w:w="220" w:type="dxa"/>
            <w:vAlign w:val="bottom"/>
            <w:tcBorders>
              <w:bottom w:val="single" w:sz="8" w:color="E5FF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E5FFFF"/>
            </w:tcBorders>
          </w:tcPr>
          <w:p>
            <w:pPr>
              <w:spacing w:after="0"/>
              <w:rPr>
                <w:sz w:val="15"/>
                <w:szCs w:val="15"/>
                <w:color w:val="auto"/>
              </w:rPr>
            </w:pPr>
          </w:p>
        </w:tc>
        <w:tc>
          <w:tcPr>
            <w:tcW w:w="6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E5FF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Thereafter</w:t>
            </w:r>
          </w:p>
        </w:tc>
      </w:tr>
      <w:tr>
        <w:trPr>
          <w:trHeight w:val="223"/>
        </w:trPr>
        <w:tc>
          <w:tcPr>
            <w:tcW w:w="4820" w:type="dxa"/>
            <w:vAlign w:val="bottom"/>
            <w:shd w:val="clear" w:color="auto" w:fill="E5FFFF"/>
          </w:tcPr>
          <w:p>
            <w:pPr>
              <w:spacing w:after="0" w:line="223" w:lineRule="exact"/>
              <w:rPr>
                <w:sz w:val="20"/>
                <w:szCs w:val="20"/>
                <w:color w:val="auto"/>
              </w:rPr>
            </w:pPr>
            <w:r>
              <w:rPr>
                <w:rFonts w:ascii="Arial" w:cs="Arial" w:eastAsia="Arial" w:hAnsi="Arial"/>
                <w:sz w:val="16"/>
                <w:szCs w:val="16"/>
                <w:color w:val="auto"/>
              </w:rPr>
              <w:t>Long-term debt, including capitalized leases</w:t>
            </w:r>
            <w:r>
              <w:rPr>
                <w:rFonts w:ascii="Arial" w:cs="Arial" w:eastAsia="Arial" w:hAnsi="Arial"/>
                <w:sz w:val="25"/>
                <w:szCs w:val="25"/>
                <w:color w:val="auto"/>
                <w:vertAlign w:val="superscript"/>
              </w:rPr>
              <w:t>(1)</w:t>
            </w:r>
          </w:p>
        </w:tc>
        <w:tc>
          <w:tcPr>
            <w:tcW w:w="2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12,409</w:t>
            </w:r>
          </w:p>
        </w:tc>
        <w:tc>
          <w:tcPr>
            <w:tcW w:w="220" w:type="dxa"/>
            <w:vAlign w:val="bottom"/>
            <w:shd w:val="clear" w:color="auto" w:fill="E5FFFF"/>
          </w:tcPr>
          <w:p>
            <w:pPr>
              <w:spacing w:after="0"/>
              <w:rPr>
                <w:sz w:val="19"/>
                <w:szCs w:val="19"/>
                <w:color w:val="auto"/>
              </w:rPr>
            </w:pPr>
          </w:p>
        </w:tc>
        <w:tc>
          <w:tcPr>
            <w:tcW w:w="260" w:type="dxa"/>
            <w:vAlign w:val="bottom"/>
            <w:shd w:val="clear" w:color="auto" w:fill="E5FF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227</w:t>
            </w:r>
          </w:p>
        </w:tc>
        <w:tc>
          <w:tcPr>
            <w:tcW w:w="48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2,672</w:t>
            </w:r>
          </w:p>
        </w:tc>
        <w:tc>
          <w:tcPr>
            <w:tcW w:w="160" w:type="dxa"/>
            <w:vAlign w:val="bottom"/>
            <w:shd w:val="clear" w:color="auto" w:fill="E5FFFF"/>
          </w:tcPr>
          <w:p>
            <w:pPr>
              <w:spacing w:after="0"/>
              <w:rPr>
                <w:sz w:val="19"/>
                <w:szCs w:val="19"/>
                <w:color w:val="auto"/>
              </w:rPr>
            </w:pPr>
          </w:p>
        </w:tc>
        <w:tc>
          <w:tcPr>
            <w:tcW w:w="30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3,611</w:t>
            </w:r>
          </w:p>
        </w:tc>
        <w:tc>
          <w:tcPr>
            <w:tcW w:w="220" w:type="dxa"/>
            <w:vAlign w:val="bottom"/>
            <w:shd w:val="clear" w:color="auto" w:fill="E5FFFF"/>
          </w:tcPr>
          <w:p>
            <w:pPr>
              <w:spacing w:after="0"/>
              <w:rPr>
                <w:sz w:val="19"/>
                <w:szCs w:val="19"/>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5,899</w:t>
            </w:r>
          </w:p>
        </w:tc>
      </w:tr>
      <w:tr>
        <w:trPr>
          <w:trHeight w:val="202"/>
        </w:trPr>
        <w:tc>
          <w:tcPr>
            <w:tcW w:w="4820" w:type="dxa"/>
            <w:vAlign w:val="bottom"/>
          </w:tcPr>
          <w:p>
            <w:pPr>
              <w:spacing w:after="0" w:line="201" w:lineRule="exact"/>
              <w:rPr>
                <w:sz w:val="20"/>
                <w:szCs w:val="20"/>
                <w:color w:val="auto"/>
              </w:rPr>
            </w:pPr>
            <w:r>
              <w:rPr>
                <w:rFonts w:ascii="Arial" w:cs="Arial" w:eastAsia="Arial" w:hAnsi="Arial"/>
                <w:sz w:val="18"/>
                <w:szCs w:val="18"/>
                <w:color w:val="auto"/>
              </w:rPr>
              <w:t>Interest payments on long-term debt, including</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820" w:type="dxa"/>
            <w:vAlign w:val="bottom"/>
          </w:tcPr>
          <w:p>
            <w:pPr>
              <w:ind w:left="180"/>
              <w:spacing w:after="0" w:line="203" w:lineRule="exact"/>
              <w:rPr>
                <w:sz w:val="20"/>
                <w:szCs w:val="20"/>
                <w:color w:val="auto"/>
              </w:rPr>
            </w:pPr>
            <w:r>
              <w:rPr>
                <w:rFonts w:ascii="Arial" w:cs="Arial" w:eastAsia="Arial" w:hAnsi="Arial"/>
                <w:sz w:val="18"/>
                <w:szCs w:val="18"/>
                <w:color w:val="auto"/>
              </w:rPr>
              <w:t>capitalized leases</w:t>
            </w:r>
          </w:p>
        </w:tc>
        <w:tc>
          <w:tcPr>
            <w:tcW w:w="2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Arial" w:cs="Arial" w:eastAsia="Arial" w:hAnsi="Arial"/>
                <w:sz w:val="18"/>
                <w:szCs w:val="18"/>
                <w:color w:val="auto"/>
              </w:rPr>
              <w:t>3,491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Arial" w:cs="Arial" w:eastAsia="Arial" w:hAnsi="Arial"/>
                <w:sz w:val="18"/>
                <w:szCs w:val="18"/>
                <w:color w:val="auto"/>
              </w:rPr>
              <w:t>290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14"/>
              <w:spacing w:after="0" w:line="203" w:lineRule="exact"/>
              <w:rPr>
                <w:sz w:val="20"/>
                <w:szCs w:val="20"/>
                <w:color w:val="auto"/>
              </w:rPr>
            </w:pPr>
            <w:r>
              <w:rPr>
                <w:rFonts w:ascii="Arial" w:cs="Arial" w:eastAsia="Arial" w:hAnsi="Arial"/>
                <w:sz w:val="18"/>
                <w:szCs w:val="18"/>
                <w:color w:val="auto"/>
              </w:rPr>
              <w:t>568</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4"/>
              <w:spacing w:after="0" w:line="203" w:lineRule="exact"/>
              <w:rPr>
                <w:sz w:val="20"/>
                <w:szCs w:val="20"/>
                <w:color w:val="auto"/>
              </w:rPr>
            </w:pPr>
            <w:r>
              <w:rPr>
                <w:rFonts w:ascii="Arial" w:cs="Arial" w:eastAsia="Arial" w:hAnsi="Arial"/>
                <w:sz w:val="18"/>
                <w:szCs w:val="18"/>
                <w:color w:val="auto"/>
              </w:rPr>
              <w:t>495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Arial" w:cs="Arial" w:eastAsia="Arial" w:hAnsi="Arial"/>
                <w:sz w:val="18"/>
                <w:szCs w:val="18"/>
                <w:color w:val="auto"/>
              </w:rPr>
              <w:t>2,138</w:t>
            </w:r>
          </w:p>
        </w:tc>
      </w:tr>
      <w:tr>
        <w:trPr>
          <w:trHeight w:val="203"/>
        </w:trPr>
        <w:tc>
          <w:tcPr>
            <w:tcW w:w="48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Minimum operating lease payments</w:t>
            </w:r>
          </w:p>
        </w:tc>
        <w:tc>
          <w:tcPr>
            <w:tcW w:w="200" w:type="dxa"/>
            <w:vAlign w:val="bottom"/>
            <w:shd w:val="clear" w:color="auto" w:fill="E5FFFF"/>
          </w:tcPr>
          <w:p>
            <w:pPr>
              <w:spacing w:after="0"/>
              <w:rPr>
                <w:sz w:val="17"/>
                <w:szCs w:val="17"/>
                <w:color w:val="auto"/>
              </w:rPr>
            </w:pPr>
          </w:p>
        </w:tc>
        <w:tc>
          <w:tcPr>
            <w:tcW w:w="9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1,123</w:t>
            </w:r>
          </w:p>
        </w:tc>
        <w:tc>
          <w:tcPr>
            <w:tcW w:w="2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289</w:t>
            </w:r>
          </w:p>
        </w:tc>
        <w:tc>
          <w:tcPr>
            <w:tcW w:w="2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374</w:t>
            </w:r>
          </w:p>
        </w:tc>
        <w:tc>
          <w:tcPr>
            <w:tcW w:w="16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204</w:t>
            </w: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9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256</w:t>
            </w:r>
          </w:p>
        </w:tc>
      </w:tr>
      <w:tr>
        <w:trPr>
          <w:trHeight w:val="243"/>
        </w:trPr>
        <w:tc>
          <w:tcPr>
            <w:tcW w:w="4820" w:type="dxa"/>
            <w:vAlign w:val="bottom"/>
          </w:tcPr>
          <w:p>
            <w:pPr>
              <w:spacing w:after="0" w:line="243" w:lineRule="exact"/>
              <w:rPr>
                <w:sz w:val="20"/>
                <w:szCs w:val="20"/>
                <w:color w:val="auto"/>
              </w:rPr>
            </w:pPr>
            <w:r>
              <w:rPr>
                <w:rFonts w:ascii="Arial" w:cs="Arial" w:eastAsia="Arial" w:hAnsi="Arial"/>
                <w:sz w:val="17"/>
                <w:szCs w:val="17"/>
                <w:color w:val="auto"/>
              </w:rPr>
              <w:t>Purchase obligations</w:t>
            </w:r>
            <w:r>
              <w:rPr>
                <w:rFonts w:ascii="Arial" w:cs="Arial" w:eastAsia="Arial" w:hAnsi="Arial"/>
                <w:sz w:val="28"/>
                <w:szCs w:val="28"/>
                <w:color w:val="auto"/>
                <w:vertAlign w:val="superscript"/>
              </w:rPr>
              <w:t>(2)</w:t>
            </w:r>
          </w:p>
        </w:tc>
        <w:tc>
          <w:tcPr>
            <w:tcW w:w="2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1,657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778</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499</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87</w:t>
            </w:r>
          </w:p>
        </w:tc>
      </w:tr>
      <w:tr>
        <w:trPr>
          <w:trHeight w:val="243"/>
        </w:trPr>
        <w:tc>
          <w:tcPr>
            <w:tcW w:w="4820" w:type="dxa"/>
            <w:vAlign w:val="bottom"/>
            <w:shd w:val="clear" w:color="auto" w:fill="E5FFFF"/>
          </w:tcPr>
          <w:p>
            <w:pPr>
              <w:spacing w:after="0" w:line="243" w:lineRule="exact"/>
              <w:rPr>
                <w:sz w:val="20"/>
                <w:szCs w:val="20"/>
                <w:color w:val="auto"/>
              </w:rPr>
            </w:pPr>
            <w:r>
              <w:rPr>
                <w:rFonts w:ascii="Arial" w:cs="Arial" w:eastAsia="Arial" w:hAnsi="Arial"/>
                <w:sz w:val="17"/>
                <w:szCs w:val="17"/>
                <w:color w:val="auto"/>
              </w:rPr>
              <w:t>Estimated environmental liability payments</w:t>
            </w:r>
            <w:r>
              <w:rPr>
                <w:rFonts w:ascii="Arial" w:cs="Arial" w:eastAsia="Arial" w:hAnsi="Arial"/>
                <w:sz w:val="28"/>
                <w:szCs w:val="28"/>
                <w:color w:val="auto"/>
                <w:vertAlign w:val="superscript"/>
              </w:rPr>
              <w:t>(3)</w:t>
            </w:r>
          </w:p>
        </w:tc>
        <w:tc>
          <w:tcPr>
            <w:tcW w:w="200" w:type="dxa"/>
            <w:vAlign w:val="bottom"/>
            <w:shd w:val="clear" w:color="auto" w:fill="E5FFFF"/>
          </w:tcPr>
          <w:p>
            <w:pPr>
              <w:spacing w:after="0"/>
              <w:rPr>
                <w:sz w:val="21"/>
                <w:szCs w:val="21"/>
                <w:color w:val="auto"/>
              </w:rPr>
            </w:pPr>
          </w:p>
        </w:tc>
        <w:tc>
          <w:tcPr>
            <w:tcW w:w="96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511</w:t>
            </w:r>
          </w:p>
        </w:tc>
        <w:tc>
          <w:tcPr>
            <w:tcW w:w="2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90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252</w:t>
            </w:r>
          </w:p>
        </w:tc>
        <w:tc>
          <w:tcPr>
            <w:tcW w:w="24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0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88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62</w:t>
            </w:r>
          </w:p>
        </w:tc>
        <w:tc>
          <w:tcPr>
            <w:tcW w:w="2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96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6</w:t>
            </w:r>
          </w:p>
        </w:tc>
      </w:tr>
      <w:tr>
        <w:trPr>
          <w:trHeight w:val="243"/>
        </w:trPr>
        <w:tc>
          <w:tcPr>
            <w:tcW w:w="4820" w:type="dxa"/>
            <w:vAlign w:val="bottom"/>
          </w:tcPr>
          <w:p>
            <w:pPr>
              <w:spacing w:after="0" w:line="243" w:lineRule="exact"/>
              <w:rPr>
                <w:sz w:val="20"/>
                <w:szCs w:val="20"/>
                <w:color w:val="auto"/>
              </w:rPr>
            </w:pPr>
            <w:r>
              <w:rPr>
                <w:rFonts w:ascii="Arial" w:cs="Arial" w:eastAsia="Arial" w:hAnsi="Arial"/>
                <w:sz w:val="17"/>
                <w:szCs w:val="17"/>
                <w:color w:val="auto"/>
              </w:rPr>
              <w:t>Asbestos related liability payments</w:t>
            </w:r>
            <w:r>
              <w:rPr>
                <w:rFonts w:ascii="Arial" w:cs="Arial" w:eastAsia="Arial" w:hAnsi="Arial"/>
                <w:sz w:val="28"/>
                <w:szCs w:val="28"/>
                <w:color w:val="auto"/>
                <w:vertAlign w:val="superscript"/>
              </w:rPr>
              <w:t>(4)</w:t>
            </w:r>
          </w:p>
        </w:tc>
        <w:tc>
          <w:tcPr>
            <w:tcW w:w="2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1,560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546</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699</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295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57"/>
        </w:trPr>
        <w:tc>
          <w:tcPr>
            <w:tcW w:w="4820" w:type="dxa"/>
            <w:vAlign w:val="bottom"/>
            <w:shd w:val="clear" w:color="auto" w:fill="E5FFFF"/>
          </w:tcPr>
          <w:p>
            <w:pPr>
              <w:spacing w:after="0" w:line="256" w:lineRule="exact"/>
              <w:rPr>
                <w:sz w:val="20"/>
                <w:szCs w:val="20"/>
                <w:color w:val="auto"/>
              </w:rPr>
            </w:pPr>
            <w:r>
              <w:rPr>
                <w:rFonts w:ascii="Arial" w:cs="Arial" w:eastAsia="Arial" w:hAnsi="Arial"/>
                <w:sz w:val="18"/>
                <w:szCs w:val="18"/>
                <w:color w:val="auto"/>
              </w:rPr>
              <w:t>Asbestos insurance recoveries</w:t>
            </w:r>
            <w:r>
              <w:rPr>
                <w:rFonts w:ascii="Arial" w:cs="Arial" w:eastAsia="Arial" w:hAnsi="Arial"/>
                <w:sz w:val="29"/>
                <w:szCs w:val="29"/>
                <w:color w:val="auto"/>
                <w:vertAlign w:val="superscript"/>
              </w:rPr>
              <w:t>(5)</w:t>
            </w:r>
          </w:p>
        </w:tc>
        <w:tc>
          <w:tcPr>
            <w:tcW w:w="200" w:type="dxa"/>
            <w:vAlign w:val="bottom"/>
            <w:tcBorders>
              <w:bottom w:val="single" w:sz="8" w:color="auto"/>
            </w:tcBorders>
            <w:shd w:val="clear" w:color="auto" w:fill="E5FFFF"/>
          </w:tcPr>
          <w:p>
            <w:pPr>
              <w:spacing w:after="0"/>
              <w:rPr>
                <w:sz w:val="22"/>
                <w:szCs w:val="22"/>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(440)</w:t>
            </w:r>
          </w:p>
        </w:tc>
        <w:tc>
          <w:tcPr>
            <w:tcW w:w="220" w:type="dxa"/>
            <w:vAlign w:val="bottom"/>
            <w:shd w:val="clear" w:color="auto" w:fill="E5FFFF"/>
          </w:tcPr>
          <w:p>
            <w:pPr>
              <w:spacing w:after="0"/>
              <w:rPr>
                <w:sz w:val="22"/>
                <w:szCs w:val="22"/>
                <w:color w:val="auto"/>
              </w:rPr>
            </w:pPr>
          </w:p>
        </w:tc>
        <w:tc>
          <w:tcPr>
            <w:tcW w:w="260" w:type="dxa"/>
            <w:vAlign w:val="bottom"/>
            <w:tcBorders>
              <w:bottom w:val="single" w:sz="8" w:color="auto"/>
            </w:tcBorders>
            <w:shd w:val="clear" w:color="auto" w:fill="E5FFFF"/>
          </w:tcPr>
          <w:p>
            <w:pPr>
              <w:spacing w:after="0"/>
              <w:rPr>
                <w:sz w:val="22"/>
                <w:szCs w:val="22"/>
                <w:color w:val="auto"/>
              </w:rPr>
            </w:pP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E5FFFF"/>
          </w:tcPr>
          <w:p>
            <w:pPr>
              <w:spacing w:after="0"/>
              <w:rPr>
                <w:sz w:val="22"/>
                <w:szCs w:val="22"/>
                <w:color w:val="auto"/>
              </w:rPr>
            </w:pPr>
          </w:p>
        </w:tc>
        <w:tc>
          <w:tcPr>
            <w:tcW w:w="240" w:type="dxa"/>
            <w:vAlign w:val="bottom"/>
            <w:tcBorders>
              <w:bottom w:val="single" w:sz="8" w:color="auto"/>
            </w:tcBorders>
            <w:shd w:val="clear" w:color="auto" w:fill="E5FFFF"/>
          </w:tcPr>
          <w:p>
            <w:pPr>
              <w:spacing w:after="0"/>
              <w:rPr>
                <w:sz w:val="22"/>
                <w:szCs w:val="22"/>
                <w:color w:val="auto"/>
              </w:rPr>
            </w:pP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E5FFFF"/>
          </w:tcPr>
          <w:p>
            <w:pPr>
              <w:spacing w:after="0"/>
              <w:rPr>
                <w:sz w:val="22"/>
                <w:szCs w:val="22"/>
                <w:color w:val="auto"/>
              </w:rPr>
            </w:pPr>
          </w:p>
        </w:tc>
        <w:tc>
          <w:tcPr>
            <w:tcW w:w="60" w:type="dxa"/>
            <w:vAlign w:val="bottom"/>
            <w:shd w:val="clear" w:color="auto" w:fill="E5FFFF"/>
          </w:tcPr>
          <w:p>
            <w:pPr>
              <w:spacing w:after="0"/>
              <w:rPr>
                <w:sz w:val="22"/>
                <w:szCs w:val="22"/>
                <w:color w:val="auto"/>
              </w:rPr>
            </w:pPr>
          </w:p>
        </w:tc>
        <w:tc>
          <w:tcPr>
            <w:tcW w:w="240" w:type="dxa"/>
            <w:vAlign w:val="bottom"/>
            <w:tcBorders>
              <w:bottom w:val="single" w:sz="8" w:color="auto"/>
            </w:tcBorders>
            <w:shd w:val="clear" w:color="auto" w:fill="E5FFFF"/>
          </w:tcPr>
          <w:p>
            <w:pPr>
              <w:spacing w:after="0"/>
              <w:rPr>
                <w:sz w:val="22"/>
                <w:szCs w:val="22"/>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E5FFFF"/>
          </w:tcPr>
          <w:p>
            <w:pPr>
              <w:spacing w:after="0"/>
              <w:rPr>
                <w:sz w:val="22"/>
                <w:szCs w:val="22"/>
                <w:color w:val="auto"/>
              </w:rPr>
            </w:pPr>
          </w:p>
        </w:tc>
        <w:tc>
          <w:tcPr>
            <w:tcW w:w="160" w:type="dxa"/>
            <w:vAlign w:val="bottom"/>
            <w:tcBorders>
              <w:bottom w:val="single" w:sz="8" w:color="auto"/>
            </w:tcBorders>
            <w:shd w:val="clear" w:color="auto" w:fill="E5FFFF"/>
          </w:tcPr>
          <w:p>
            <w:pPr>
              <w:spacing w:after="0"/>
              <w:rPr>
                <w:sz w:val="22"/>
                <w:szCs w:val="22"/>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(204)</w:t>
            </w:r>
          </w:p>
        </w:tc>
      </w:tr>
      <w:tr>
        <w:trPr>
          <w:trHeight w:val="210"/>
        </w:trPr>
        <w:tc>
          <w:tcPr>
            <w:tcW w:w="48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20,311</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2,359</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4,893</w:t>
            </w:r>
          </w:p>
        </w:tc>
        <w:tc>
          <w:tcPr>
            <w:tcW w:w="16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4,857</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8,202</w:t>
            </w:r>
          </w:p>
        </w:tc>
      </w:tr>
      <w:tr>
        <w:trPr>
          <w:trHeight w:val="20"/>
        </w:trPr>
        <w:tc>
          <w:tcPr>
            <w:tcW w:w="4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Assumes all long-term debt is outstanding until scheduled maturity.</w:t>
      </w:r>
    </w:p>
    <w:p>
      <w:pPr>
        <w:ind w:left="340" w:hanging="332"/>
        <w:spacing w:after="0" w:line="23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Purchase obligations are entered into with various vendors in the normal course of business and are consistent with our expected requirements.</w:t>
      </w:r>
    </w:p>
    <w:p>
      <w:pPr>
        <w:spacing w:after="0" w:line="1" w:lineRule="exact"/>
        <w:rPr>
          <w:rFonts w:ascii="Arial" w:cs="Arial" w:eastAsia="Arial" w:hAnsi="Arial"/>
          <w:sz w:val="18"/>
          <w:szCs w:val="18"/>
          <w:color w:val="auto"/>
        </w:rPr>
      </w:pPr>
    </w:p>
    <w:p>
      <w:pPr>
        <w:ind w:left="340" w:right="20" w:hanging="332"/>
        <w:spacing w:after="0" w:line="23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payment amounts in the table only reflect the environmental liabilities which are probable and reasonably estimable as of December 31, 2016.</w:t>
      </w:r>
    </w:p>
    <w:p>
      <w:pPr>
        <w:spacing w:after="0" w:line="1" w:lineRule="exact"/>
        <w:rPr>
          <w:rFonts w:ascii="Arial" w:cs="Arial" w:eastAsia="Arial" w:hAnsi="Arial"/>
          <w:sz w:val="18"/>
          <w:szCs w:val="18"/>
          <w:color w:val="auto"/>
        </w:rPr>
      </w:pPr>
    </w:p>
    <w:p>
      <w:pPr>
        <w:jc w:val="both"/>
        <w:ind w:left="340" w:hanging="332"/>
        <w:spacing w:after="0" w:line="23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These amounts are estimates of asbestos related cash payments for NARCO and Bendix based on our asbestos related liabilities which are probable and reasonably estimable as of December 31, 2016. See Asbestos Matters in Note 19 Commitments and Contingencies of Notes to Financial Statements for additional information.</w:t>
      </w:r>
    </w:p>
    <w:p>
      <w:pPr>
        <w:spacing w:after="0" w:line="2" w:lineRule="exact"/>
        <w:rPr>
          <w:rFonts w:ascii="Arial" w:cs="Arial" w:eastAsia="Arial" w:hAnsi="Arial"/>
          <w:sz w:val="18"/>
          <w:szCs w:val="18"/>
          <w:color w:val="auto"/>
        </w:rPr>
      </w:pPr>
    </w:p>
    <w:p>
      <w:pPr>
        <w:ind w:left="340" w:right="20" w:hanging="332"/>
        <w:spacing w:after="0" w:line="23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These amounts represent our insurance recoveries that are deemed probable for asbestos related liabilities as of December 31, 2016. See Asbestos Matters in Note 19 Commitments and Contingencies of Notes to Financial Statements for additional information.</w:t>
      </w:r>
    </w:p>
    <w:p>
      <w:pPr>
        <w:spacing w:after="0" w:line="1" w:lineRule="exact"/>
        <w:rPr>
          <w:rFonts w:ascii="Arial" w:cs="Arial" w:eastAsia="Arial" w:hAnsi="Arial"/>
          <w:sz w:val="18"/>
          <w:szCs w:val="18"/>
          <w:color w:val="auto"/>
        </w:rPr>
      </w:pPr>
    </w:p>
    <w:p>
      <w:pPr>
        <w:ind w:left="340" w:hanging="332"/>
        <w:spacing w:after="0" w:line="246"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table excludes tax liability payments, including those for unrecognized tax benefits. See Note 5 Income Taxes of Notes to Financial Statements for additional information.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Environmental Matters</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Accruals for environmental matters deemed probable and reasonably estimable were $195 million, $194 million and $268 million in 2016, 2015 and 2014. In addition, in 2016 and 2015 we incurred operating costs for ongoing businesses of approximately $83 million and $90 million relating to compliance with environmental regulations.</w:t>
      </w:r>
    </w:p>
    <w:p>
      <w:pPr>
        <w:spacing w:after="0" w:line="18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Spending related to known environmental matters was $228 million, $273 million and $321 million in 2016, 2015 and 2014 and is estimated to be approximately $250 million in 2017. We expect to fund expenditures for these environmental matters from operating cash flow. The timing of cash expenditures depends on several factors, including the timing of litigation and settlements of remediation liability, personal injury and property damage claims, regulatory approval of cleanup projects, execution timeframe of projects, remedial techniques to be utilized and agreement with other parties.</w:t>
      </w:r>
    </w:p>
    <w:p>
      <w:pPr>
        <w:spacing w:after="0" w:line="189" w:lineRule="exact"/>
        <w:rPr>
          <w:sz w:val="20"/>
          <w:szCs w:val="20"/>
          <w:color w:val="auto"/>
        </w:rPr>
      </w:pPr>
    </w:p>
    <w:p>
      <w:pPr>
        <w:ind w:right="300" w:firstLine="648"/>
        <w:spacing w:after="0" w:line="469" w:lineRule="auto"/>
        <w:rPr>
          <w:sz w:val="20"/>
          <w:szCs w:val="20"/>
          <w:color w:val="auto"/>
        </w:rPr>
      </w:pPr>
      <w:r>
        <w:rPr>
          <w:rFonts w:ascii="Arial" w:cs="Arial" w:eastAsia="Arial" w:hAnsi="Arial"/>
          <w:sz w:val="18"/>
          <w:szCs w:val="18"/>
          <w:color w:val="auto"/>
        </w:rPr>
        <w:t xml:space="preserve">See Note 19 Commitments and Contingencies of Notes to Financial Statements for further discussion of our environmental matters. </w:t>
      </w:r>
      <w:r>
        <w:rPr>
          <w:rFonts w:ascii="Arial" w:cs="Arial" w:eastAsia="Arial" w:hAnsi="Arial"/>
          <w:sz w:val="18"/>
          <w:szCs w:val="18"/>
          <w:b w:val="1"/>
          <w:bCs w:val="1"/>
          <w:color w:val="auto"/>
        </w:rPr>
        <w:t>Financial Instruments</w:t>
      </w:r>
    </w:p>
    <w:p>
      <w:pPr>
        <w:spacing w:after="0" w:line="1"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following table illustrates the potential change in fair value for interest rate sensitive instruments based on a hypothetical immediate one percentage point increase in interest rates across all maturities and the potential change in fair value for foreign exchange rate sensitive instruments based on a 10% weakening of the U.S. Dollar versus local currency exchange rates across all maturities at December 31, 2016 and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59"/>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59"/>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Face or</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9"/>
              </w:rPr>
              <w:t>Notional</w:t>
            </w:r>
          </w:p>
        </w:tc>
        <w:tc>
          <w:tcPr>
            <w:tcW w:w="180" w:type="dxa"/>
            <w:vAlign w:val="bottom"/>
          </w:tcPr>
          <w:p>
            <w:pPr>
              <w:spacing w:after="0"/>
              <w:rPr>
                <w:sz w:val="14"/>
                <w:szCs w:val="14"/>
                <w:color w:val="auto"/>
              </w:rPr>
            </w:pPr>
          </w:p>
        </w:tc>
        <w:tc>
          <w:tcPr>
            <w:tcW w:w="980" w:type="dxa"/>
            <w:vAlign w:val="bottom"/>
          </w:tcPr>
          <w:p>
            <w:pPr>
              <w:jc w:val="right"/>
              <w:ind w:right="215"/>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335"/>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59"/>
              <w:spacing w:after="0"/>
              <w:rPr>
                <w:sz w:val="20"/>
                <w:szCs w:val="20"/>
                <w:color w:val="auto"/>
              </w:rPr>
            </w:pPr>
            <w:r>
              <w:rPr>
                <w:rFonts w:ascii="Arial" w:cs="Arial" w:eastAsia="Arial" w:hAnsi="Arial"/>
                <w:sz w:val="14"/>
                <w:szCs w:val="14"/>
                <w:b w:val="1"/>
                <w:bCs w:val="1"/>
                <w:color w:val="auto"/>
              </w:rPr>
              <w:t>in Fair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980" w:type="dxa"/>
            <w:vAlign w:val="bottom"/>
          </w:tcPr>
          <w:p>
            <w:pPr>
              <w:jc w:val="right"/>
              <w:ind w:right="235"/>
              <w:spacing w:after="0" w:line="189" w:lineRule="exact"/>
              <w:rPr>
                <w:sz w:val="20"/>
                <w:szCs w:val="20"/>
                <w:color w:val="auto"/>
              </w:rPr>
            </w:pPr>
            <w:r>
              <w:rPr>
                <w:rFonts w:ascii="Arial" w:cs="Arial" w:eastAsia="Arial" w:hAnsi="Arial"/>
                <w:sz w:val="13"/>
                <w:szCs w:val="13"/>
                <w:b w:val="1"/>
                <w:bCs w:val="1"/>
                <w:color w:val="auto"/>
              </w:rPr>
              <w:t>Value</w:t>
            </w:r>
            <w:r>
              <w:rPr>
                <w:rFonts w:ascii="Arial" w:cs="Arial" w:eastAsia="Arial" w:hAnsi="Arial"/>
                <w:sz w:val="21"/>
                <w:szCs w:val="21"/>
                <w:b w:val="1"/>
                <w:bCs w:val="1"/>
                <w:color w:val="auto"/>
                <w:vertAlign w:val="superscript"/>
              </w:rPr>
              <w:t>(1)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15"/>
              <w:spacing w:after="0" w:line="189" w:lineRule="exact"/>
              <w:rPr>
                <w:sz w:val="20"/>
                <w:szCs w:val="20"/>
                <w:color w:val="auto"/>
              </w:rPr>
            </w:pPr>
            <w:r>
              <w:rPr>
                <w:rFonts w:ascii="Arial" w:cs="Arial" w:eastAsia="Arial" w:hAnsi="Arial"/>
                <w:sz w:val="13"/>
                <w:szCs w:val="13"/>
                <w:b w:val="1"/>
                <w:bCs w:val="1"/>
                <w:color w:val="auto"/>
              </w:rPr>
              <w:t>Value</w:t>
            </w:r>
            <w:r>
              <w:rPr>
                <w:rFonts w:ascii="Arial" w:cs="Arial" w:eastAsia="Arial" w:hAnsi="Arial"/>
                <w:sz w:val="21"/>
                <w:szCs w:val="21"/>
                <w:b w:val="1"/>
                <w:bCs w:val="1"/>
                <w:color w:val="auto"/>
                <w:vertAlign w:val="superscript"/>
              </w:rPr>
              <w:t>(1)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9"/>
              <w:spacing w:after="0" w:line="189" w:lineRule="exact"/>
              <w:rPr>
                <w:sz w:val="20"/>
                <w:szCs w:val="20"/>
                <w:color w:val="auto"/>
              </w:rPr>
            </w:pPr>
            <w:r>
              <w:rPr>
                <w:rFonts w:ascii="Arial" w:cs="Arial" w:eastAsia="Arial" w:hAnsi="Arial"/>
                <w:sz w:val="13"/>
                <w:szCs w:val="13"/>
                <w:b w:val="1"/>
                <w:bCs w:val="1"/>
                <w:color w:val="auto"/>
              </w:rPr>
              <w:t>Value</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160" w:type="dxa"/>
            <w:vAlign w:val="bottom"/>
            <w:tcBorders>
              <w:top w:val="single" w:sz="8" w:color="E5FFFF"/>
            </w:tcBorders>
            <w:shd w:val="clear" w:color="auto" w:fill="E5FFFF"/>
          </w:tcPr>
          <w:p>
            <w:pPr>
              <w:spacing w:after="0" w:line="182" w:lineRule="exact"/>
              <w:rPr>
                <w:sz w:val="20"/>
                <w:szCs w:val="20"/>
                <w:color w:val="auto"/>
              </w:rPr>
            </w:pPr>
            <w:r>
              <w:rPr>
                <w:rFonts w:ascii="Arial" w:cs="Arial" w:eastAsia="Arial" w:hAnsi="Arial"/>
                <w:sz w:val="18"/>
                <w:szCs w:val="18"/>
                <w:b w:val="1"/>
                <w:bCs w:val="1"/>
                <w:color w:val="auto"/>
              </w:rPr>
              <w:t>December 31, 2016</w:t>
            </w:r>
          </w:p>
        </w:tc>
        <w:tc>
          <w:tcPr>
            <w:tcW w:w="200" w:type="dxa"/>
            <w:vAlign w:val="bottom"/>
            <w:tcBorders>
              <w:top w:val="single" w:sz="8" w:color="auto"/>
            </w:tcBorders>
            <w:shd w:val="clear" w:color="auto" w:fill="E5FFFF"/>
          </w:tcPr>
          <w:p>
            <w:pPr>
              <w:spacing w:after="0"/>
              <w:rPr>
                <w:sz w:val="15"/>
                <w:szCs w:val="15"/>
                <w:color w:val="auto"/>
              </w:rPr>
            </w:pPr>
          </w:p>
        </w:tc>
        <w:tc>
          <w:tcPr>
            <w:tcW w:w="960" w:type="dxa"/>
            <w:vAlign w:val="bottom"/>
            <w:tcBorders>
              <w:top w:val="single" w:sz="8" w:color="auto"/>
            </w:tcBorders>
            <w:shd w:val="clear" w:color="auto" w:fill="E5FFFF"/>
          </w:tcPr>
          <w:p>
            <w:pPr>
              <w:spacing w:after="0"/>
              <w:rPr>
                <w:sz w:val="15"/>
                <w:szCs w:val="15"/>
                <w:color w:val="auto"/>
              </w:rPr>
            </w:pPr>
          </w:p>
        </w:tc>
        <w:tc>
          <w:tcPr>
            <w:tcW w:w="240" w:type="dxa"/>
            <w:vAlign w:val="bottom"/>
            <w:tcBorders>
              <w:top w:val="single" w:sz="8" w:color="E5FFFF"/>
            </w:tcBorders>
            <w:shd w:val="clear" w:color="auto" w:fill="E5FFFF"/>
          </w:tcPr>
          <w:p>
            <w:pPr>
              <w:spacing w:after="0"/>
              <w:rPr>
                <w:sz w:val="15"/>
                <w:szCs w:val="15"/>
                <w:color w:val="auto"/>
              </w:rPr>
            </w:pPr>
          </w:p>
        </w:tc>
        <w:tc>
          <w:tcPr>
            <w:tcW w:w="180" w:type="dxa"/>
            <w:vAlign w:val="bottom"/>
            <w:tcBorders>
              <w:top w:val="single" w:sz="8" w:color="auto"/>
            </w:tcBorders>
            <w:shd w:val="clear" w:color="auto" w:fill="E5FFFF"/>
          </w:tcPr>
          <w:p>
            <w:pPr>
              <w:spacing w:after="0"/>
              <w:rPr>
                <w:sz w:val="15"/>
                <w:szCs w:val="15"/>
                <w:color w:val="auto"/>
              </w:rPr>
            </w:pPr>
          </w:p>
        </w:tc>
        <w:tc>
          <w:tcPr>
            <w:tcW w:w="98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200" w:type="dxa"/>
            <w:vAlign w:val="bottom"/>
            <w:tcBorders>
              <w:top w:val="single" w:sz="8" w:color="auto"/>
            </w:tcBorders>
            <w:shd w:val="clear" w:color="auto" w:fill="E5FFFF"/>
          </w:tcPr>
          <w:p>
            <w:pPr>
              <w:spacing w:after="0"/>
              <w:rPr>
                <w:sz w:val="15"/>
                <w:szCs w:val="15"/>
                <w:color w:val="auto"/>
              </w:rPr>
            </w:pPr>
          </w:p>
        </w:tc>
        <w:tc>
          <w:tcPr>
            <w:tcW w:w="92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40" w:type="dxa"/>
            <w:vAlign w:val="bottom"/>
            <w:tcBorders>
              <w:top w:val="single" w:sz="8" w:color="auto"/>
            </w:tcBorders>
            <w:shd w:val="clear" w:color="auto" w:fill="E5FFFF"/>
          </w:tcPr>
          <w:p>
            <w:pPr>
              <w:spacing w:after="0"/>
              <w:rPr>
                <w:sz w:val="15"/>
                <w:szCs w:val="15"/>
                <w:color w:val="auto"/>
              </w:rPr>
            </w:pPr>
          </w:p>
        </w:tc>
        <w:tc>
          <w:tcPr>
            <w:tcW w:w="980" w:type="dxa"/>
            <w:vAlign w:val="bottom"/>
            <w:tcBorders>
              <w:top w:val="single" w:sz="8" w:color="auto"/>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b w:val="1"/>
                <w:bCs w:val="1"/>
                <w:color w:val="auto"/>
              </w:rPr>
              <w:t>Interest Rate Sensitive Instruments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Long-term debt (including current maturities)</w:t>
            </w:r>
          </w:p>
        </w:tc>
        <w:tc>
          <w:tcPr>
            <w:tcW w:w="20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E5FFFF"/>
          </w:tcPr>
          <w:p>
            <w:pPr>
              <w:jc w:val="right"/>
              <w:ind w:right="36"/>
              <w:spacing w:after="0" w:line="202" w:lineRule="exact"/>
              <w:rPr>
                <w:sz w:val="20"/>
                <w:szCs w:val="20"/>
                <w:color w:val="auto"/>
              </w:rPr>
            </w:pPr>
            <w:r>
              <w:rPr>
                <w:rFonts w:ascii="Arial" w:cs="Arial" w:eastAsia="Arial" w:hAnsi="Arial"/>
                <w:sz w:val="18"/>
                <w:szCs w:val="18"/>
                <w:color w:val="auto"/>
              </w:rPr>
              <w:t>12,409</w:t>
            </w:r>
          </w:p>
        </w:tc>
        <w:tc>
          <w:tcPr>
            <w:tcW w:w="240" w:type="dxa"/>
            <w:vAlign w:val="bottom"/>
            <w:shd w:val="clear" w:color="auto" w:fill="E5FFFF"/>
          </w:tcPr>
          <w:p>
            <w:pPr>
              <w:spacing w:after="0"/>
              <w:rPr>
                <w:sz w:val="17"/>
                <w:szCs w:val="17"/>
                <w:color w:val="auto"/>
              </w:rPr>
            </w:pPr>
          </w:p>
        </w:tc>
        <w:tc>
          <w:tcPr>
            <w:tcW w:w="1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(12,409)</w:t>
            </w:r>
          </w:p>
        </w:tc>
        <w:tc>
          <w:tcPr>
            <w:tcW w:w="42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(13,008)</w:t>
            </w:r>
          </w:p>
        </w:tc>
        <w:tc>
          <w:tcPr>
            <w:tcW w:w="36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160"/>
              <w:spacing w:after="0" w:line="202" w:lineRule="exact"/>
              <w:rPr>
                <w:sz w:val="20"/>
                <w:szCs w:val="20"/>
                <w:color w:val="auto"/>
              </w:rPr>
            </w:pPr>
            <w:r>
              <w:rPr>
                <w:rFonts w:ascii="Arial" w:cs="Arial" w:eastAsia="Arial" w:hAnsi="Arial"/>
                <w:sz w:val="18"/>
                <w:szCs w:val="18"/>
                <w:color w:val="auto"/>
              </w:rPr>
              <w:t>Interest rate swap agreements</w:t>
            </w:r>
          </w:p>
        </w:tc>
        <w:tc>
          <w:tcPr>
            <w:tcW w:w="200" w:type="dxa"/>
            <w:vAlign w:val="bottom"/>
          </w:tcPr>
          <w:p>
            <w:pPr>
              <w:spacing w:after="0"/>
              <w:rPr>
                <w:sz w:val="17"/>
                <w:szCs w:val="17"/>
                <w:color w:val="auto"/>
              </w:rPr>
            </w:pPr>
          </w:p>
        </w:tc>
        <w:tc>
          <w:tcPr>
            <w:tcW w:w="9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1,850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Foreign Exchange Rate Sensitive Instruments</w:t>
            </w:r>
          </w:p>
        </w:tc>
        <w:tc>
          <w:tcPr>
            <w:tcW w:w="20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9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9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Foreign currency exchange contracts</w:t>
            </w:r>
            <w:r>
              <w:rPr>
                <w:rFonts w:ascii="Arial" w:cs="Arial" w:eastAsia="Arial" w:hAnsi="Arial"/>
                <w:sz w:val="30"/>
                <w:szCs w:val="30"/>
                <w:color w:val="auto"/>
                <w:vertAlign w:val="superscript"/>
              </w:rPr>
              <w:t>(3)</w:t>
            </w:r>
          </w:p>
        </w:tc>
        <w:tc>
          <w:tcPr>
            <w:tcW w:w="200" w:type="dxa"/>
            <w:vAlign w:val="bottom"/>
          </w:tcPr>
          <w:p>
            <w:pPr>
              <w:spacing w:after="0"/>
              <w:rPr>
                <w:sz w:val="24"/>
                <w:szCs w:val="24"/>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9,554</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6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December 31, 2015</w:t>
            </w:r>
          </w:p>
        </w:tc>
        <w:tc>
          <w:tcPr>
            <w:tcW w:w="20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9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9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b w:val="1"/>
                <w:bCs w:val="1"/>
                <w:color w:val="auto"/>
              </w:rPr>
              <w:t>Interest Rate Sensitive Instruments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Long-term debt (including current maturities)</w:t>
            </w:r>
          </w:p>
        </w:tc>
        <w:tc>
          <w:tcPr>
            <w:tcW w:w="20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E5FFFF"/>
          </w:tcPr>
          <w:p>
            <w:pPr>
              <w:jc w:val="right"/>
              <w:ind w:right="36"/>
              <w:spacing w:after="0" w:line="202" w:lineRule="exact"/>
              <w:rPr>
                <w:sz w:val="20"/>
                <w:szCs w:val="20"/>
                <w:color w:val="auto"/>
              </w:rPr>
            </w:pPr>
            <w:r>
              <w:rPr>
                <w:rFonts w:ascii="Arial" w:cs="Arial" w:eastAsia="Arial" w:hAnsi="Arial"/>
                <w:sz w:val="18"/>
                <w:szCs w:val="18"/>
                <w:color w:val="auto"/>
              </w:rPr>
              <w:t>6,131</w:t>
            </w:r>
          </w:p>
        </w:tc>
        <w:tc>
          <w:tcPr>
            <w:tcW w:w="240" w:type="dxa"/>
            <w:vAlign w:val="bottom"/>
            <w:shd w:val="clear" w:color="auto" w:fill="E5FFFF"/>
          </w:tcPr>
          <w:p>
            <w:pPr>
              <w:spacing w:after="0"/>
              <w:rPr>
                <w:sz w:val="17"/>
                <w:szCs w:val="17"/>
                <w:color w:val="auto"/>
              </w:rPr>
            </w:pPr>
          </w:p>
        </w:tc>
        <w:tc>
          <w:tcPr>
            <w:tcW w:w="1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(6,131)</w:t>
            </w:r>
          </w:p>
        </w:tc>
        <w:tc>
          <w:tcPr>
            <w:tcW w:w="42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(6,721)</w:t>
            </w:r>
          </w:p>
        </w:tc>
        <w:tc>
          <w:tcPr>
            <w:tcW w:w="36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160"/>
              <w:spacing w:after="0" w:line="202" w:lineRule="exact"/>
              <w:rPr>
                <w:sz w:val="20"/>
                <w:szCs w:val="20"/>
                <w:color w:val="auto"/>
              </w:rPr>
            </w:pPr>
            <w:r>
              <w:rPr>
                <w:rFonts w:ascii="Arial" w:cs="Arial" w:eastAsia="Arial" w:hAnsi="Arial"/>
                <w:sz w:val="18"/>
                <w:szCs w:val="18"/>
                <w:color w:val="auto"/>
              </w:rPr>
              <w:t>Interest rate swap agreements</w:t>
            </w:r>
          </w:p>
        </w:tc>
        <w:tc>
          <w:tcPr>
            <w:tcW w:w="200" w:type="dxa"/>
            <w:vAlign w:val="bottom"/>
          </w:tcPr>
          <w:p>
            <w:pPr>
              <w:spacing w:after="0"/>
              <w:rPr>
                <w:sz w:val="17"/>
                <w:szCs w:val="17"/>
                <w:color w:val="auto"/>
              </w:rPr>
            </w:pPr>
          </w:p>
        </w:tc>
        <w:tc>
          <w:tcPr>
            <w:tcW w:w="9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1,100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92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92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Foreign Exchange Rate Sensitive Instruments</w:t>
            </w:r>
          </w:p>
        </w:tc>
        <w:tc>
          <w:tcPr>
            <w:tcW w:w="20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9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9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Foreign currency exchange contracts</w:t>
            </w:r>
            <w:r>
              <w:rPr>
                <w:rFonts w:ascii="Arial" w:cs="Arial" w:eastAsia="Arial" w:hAnsi="Arial"/>
                <w:sz w:val="30"/>
                <w:szCs w:val="30"/>
                <w:color w:val="auto"/>
                <w:vertAlign w:val="superscript"/>
              </w:rPr>
              <w:t>(3)</w:t>
            </w:r>
          </w:p>
        </w:tc>
        <w:tc>
          <w:tcPr>
            <w:tcW w:w="200" w:type="dxa"/>
            <w:vAlign w:val="bottom"/>
          </w:tcPr>
          <w:p>
            <w:pPr>
              <w:spacing w:after="0"/>
              <w:rPr>
                <w:sz w:val="24"/>
                <w:szCs w:val="24"/>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10,538</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Asset or (liability).</w:t>
      </w:r>
    </w:p>
    <w:p>
      <w:pPr>
        <w:jc w:val="both"/>
        <w:ind w:left="340" w:hanging="332"/>
        <w:spacing w:after="0" w:line="23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hypothetical immediate one percentage point decrease in interest rates across all maturities and a potential change in fair value of foreign exchange rate sensitive instruments based on a 10% strengthening of the U.S. dollar versus local currency exchange rates across all maturities will result in a change in fair value equal to the inverse of the amount disclosed in the table.</w:t>
      </w:r>
    </w:p>
    <w:p>
      <w:pPr>
        <w:spacing w:after="0" w:line="2" w:lineRule="exact"/>
        <w:rPr>
          <w:rFonts w:ascii="Arial" w:cs="Arial" w:eastAsia="Arial" w:hAnsi="Arial"/>
          <w:sz w:val="18"/>
          <w:szCs w:val="18"/>
          <w:color w:val="auto"/>
        </w:rPr>
      </w:pPr>
    </w:p>
    <w:p>
      <w:pPr>
        <w:ind w:left="340" w:hanging="332"/>
        <w:spacing w:after="0" w:line="246"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fair value of foreign currency exchange contracts are offset by changes in the fair value or cash flows of underlying hedged foreign currency transactions.</w:t>
      </w:r>
    </w:p>
    <w:p>
      <w:pPr>
        <w:spacing w:after="0" w:line="183" w:lineRule="exact"/>
        <w:rPr>
          <w:sz w:val="20"/>
          <w:szCs w:val="20"/>
          <w:color w:val="auto"/>
        </w:rPr>
      </w:pPr>
    </w:p>
    <w:p>
      <w:pPr>
        <w:ind w:right="1040" w:firstLine="648"/>
        <w:spacing w:after="0" w:line="246" w:lineRule="auto"/>
        <w:rPr>
          <w:sz w:val="20"/>
          <w:szCs w:val="20"/>
          <w:color w:val="auto"/>
        </w:rPr>
      </w:pPr>
      <w:r>
        <w:rPr>
          <w:rFonts w:ascii="Arial" w:cs="Arial" w:eastAsia="Arial" w:hAnsi="Arial"/>
          <w:sz w:val="18"/>
          <w:szCs w:val="18"/>
          <w:color w:val="auto"/>
        </w:rPr>
        <w:t>See Note 14 Financial Instruments and Fair Value Measures of Notes to Financial Statements for further discussion on the agreements.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9" w:name="page30"/>
    <w:bookmarkEnd w:id="29"/>
    <w:p>
      <w:pPr>
        <w:spacing w:after="0"/>
        <w:rPr>
          <w:sz w:val="20"/>
          <w:szCs w:val="20"/>
          <w:color w:val="auto"/>
        </w:rPr>
      </w:pPr>
      <w:r>
        <w:rPr>
          <w:rFonts w:ascii="Arial" w:cs="Arial" w:eastAsia="Arial" w:hAnsi="Arial"/>
          <w:sz w:val="22"/>
          <w:szCs w:val="22"/>
          <w:b w:val="1"/>
          <w:bCs w:val="1"/>
          <w:color w:val="auto"/>
        </w:rPr>
        <w:t>CRITICAL ACCOUNTING POLICIES</w:t>
      </w:r>
    </w:p>
    <w:p>
      <w:pPr>
        <w:spacing w:after="0" w:line="26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preparation of our consolidated financial statements in accordance with generally accepted accounting principles is based on the selection and application of accounting policies that require us to make significant estimates and assumptions about the effects of matters that are inherently uncertain. We consider the accounting policies discussed below to be critical to the understanding of our financial statements. Actual results could differ from our estimates and assumptions, and any such differences could be material to our consolidated financial statements.</w:t>
      </w:r>
    </w:p>
    <w:p>
      <w:pPr>
        <w:spacing w:after="0" w:line="16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b w:val="1"/>
          <w:bCs w:val="1"/>
          <w:i w:val="1"/>
          <w:iCs w:val="1"/>
          <w:color w:val="auto"/>
        </w:rPr>
        <w:t>Contingent Liabilities</w:t>
      </w:r>
      <w:r>
        <w:rPr>
          <w:rFonts w:ascii="Arial" w:cs="Arial" w:eastAsia="Arial" w:hAnsi="Arial"/>
          <w:sz w:val="18"/>
          <w:szCs w:val="18"/>
          <w:color w:val="auto"/>
        </w:rPr>
        <w:t>—We are subject to a number of lawsuits, investigations and claims (some of which involve substantial dollar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that arise out of the conduct of our global business operations or those of previously owned entities, including matters relating to commercial transactions, government contracts, product liability (including asbestos), prior acquisitions and divestitures, employee benefit plans, intellectual property, legal and environmental, health and safety matters. We continually assess the likelihood of any adverse judgments or outcomes to our contingencies, as well as potential amounts or ranges of probable losses, and recognize a liability, if any, for these contingencies based on a careful analysis of each matter with the assistance of outside legal counsel and, if applicable, other experts. Such analysis includes making judgments concerning matters such as the costs associated with environmental matters, the outcome of negotiations, the number and cost of pending and future asbestos claims, and the impact of evidentiary requirements. Because most contingencies are resolved over long periods of time, liabilities may change in the future due to new developments (including new discovery of facts, changes in legislation and outcomes of similar cases through the judicial system), changes in assumptions or changes in our settlement strategy. See Note 19 Commitments and Contingencies of Notes to Financial Statements for a discussion of management’s judgment applied in the recognition and measurement of our environmental and asbestos liabilities which represent our most significant contingencies.</w:t>
      </w:r>
    </w:p>
    <w:p>
      <w:pPr>
        <w:spacing w:after="0" w:line="17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b w:val="1"/>
          <w:bCs w:val="1"/>
          <w:i w:val="1"/>
          <w:iCs w:val="1"/>
          <w:color w:val="auto"/>
        </w:rPr>
        <w:t>Asbestos Related Contingencies and Insurance Recoveries</w:t>
      </w:r>
      <w:r>
        <w:rPr>
          <w:rFonts w:ascii="Arial" w:cs="Arial" w:eastAsia="Arial" w:hAnsi="Arial"/>
          <w:sz w:val="18"/>
          <w:szCs w:val="18"/>
          <w:color w:val="auto"/>
        </w:rPr>
        <w:t>—Honeywell’s involvement in asbestos related personal injury actions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relates to two predecessor companies. Regarding North American Refractories Company (NARCO) asbestos related claims, we accrued for pending claims based on terms and conditions in agreements with NARCO, its former parent company, and certain asbestos claimants, and an estimate of the unsettled claims pending as of the time NARCO filed for bankruptcy protection. We also accrued for the estimated value of future NARCO asbestos related claims expected to be asserted against the NARCO Trust. The estimate of future NARCO claims is based on a commonly accepted methodology used by numerous bankruptcy courts addressing 524(g) trusts and also reflects disputes concerning implementation of the Trust Distribution Procedures by the NARCO Trust, a lack of sufficient trust claims processing experience, as well as the stay of all NARCO asbestos claims which remained in place throughout NARCO’s Chapter 11 case. Some critical assumptions underlying this commonly accepted methodology include claims filing rates, disease criteria and payment values contained in the Trust Distribution Procedures, estimated approval rates of claims submitted to the NARCO Trust and epidemiological studies estimating disease instances. The estimated value of future NARCO claims was originally established at the time of the NARCO Chapter 11 filing reflecting claims expected to be asserted against NARCO over a fifteen year period. This projection resulted in a range of estimated liability of $743 million to $961 million. We believe that no amount within this range is a better estimate than any other amount and accordingly, we have recorded the minimum amount in the range. Regarding Bendix asbestos related claims, we accrued for the estimated value of pending claims using average resolution values for the previous five years. We also accrued for the estimated value of future anticipated claims related to Bendix for the next five years based on historic claims filing experience and dismissal rates, disease classifications, and average resolution values in the tort system for the previous five years. In light of the uncertainties inherent in making long-term projections, as well as certain factors unique to friction product asbestos claims, we do not believe that we have a reasonable basis for estimating asbestos claims beyond the next five years.</w:t>
      </w:r>
    </w:p>
    <w:p>
      <w:pPr>
        <w:spacing w:after="0" w:line="19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connection with the recognition of liabilities for asbestos related matters, we record asbestos related insurance recoveries that are deemed probable. In assessing the probability of insurance recovery, we make judgments concerning insurance coverage that we believe are reasonable and consistent with our historical dealings and our knowledge of any pertinent solvency issues surrounding insurers. While the substantial majority of our insurance carriers are solvent, some of our individual carriers are insolvent, which has been considered in our analysis of probable recoveries. Projecting future events is subject to various uncertainties that could cause the insurance recovery on asbestos related liabilities to be higher or lower than that projected and recorded. Given the inherent uncertainty in making future projections, we reevaluate our projections concerning our probable insurance recoveries in light of any changes to the projected liability, our recovery experience or other relevant factors that may impact future insurance recoveries.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0" w:name="page31"/>
    <w:bookmarkEnd w:id="30"/>
    <w:p>
      <w:pPr>
        <w:jc w:val="both"/>
        <w:ind w:firstLine="648"/>
        <w:spacing w:after="0" w:line="246" w:lineRule="auto"/>
        <w:rPr>
          <w:sz w:val="20"/>
          <w:szCs w:val="20"/>
          <w:color w:val="auto"/>
        </w:rPr>
      </w:pPr>
      <w:r>
        <w:rPr>
          <w:rFonts w:ascii="Arial" w:cs="Arial" w:eastAsia="Arial" w:hAnsi="Arial"/>
          <w:sz w:val="18"/>
          <w:szCs w:val="18"/>
          <w:color w:val="auto"/>
        </w:rPr>
        <w:t>See Note 19 Commitments and Contingencies of Notes to Financial Statements for a discussion of management’s judgments applied in the recognition and measurement of our asbestos-related liabilities and related insurance recoveries.</w:t>
      </w:r>
    </w:p>
    <w:p>
      <w:pPr>
        <w:spacing w:after="0" w:line="16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b w:val="1"/>
          <w:bCs w:val="1"/>
          <w:i w:val="1"/>
          <w:iCs w:val="1"/>
          <w:color w:val="auto"/>
        </w:rPr>
        <w:t>Defined Benefit Pension Plans</w:t>
      </w:r>
      <w:r>
        <w:rPr>
          <w:rFonts w:ascii="Arial" w:cs="Arial" w:eastAsia="Arial" w:hAnsi="Arial"/>
          <w:sz w:val="18"/>
          <w:szCs w:val="18"/>
          <w:color w:val="auto"/>
        </w:rPr>
        <w:t>—We sponsor both funded and unfunded U.S. and non-U.S. defined benefit pension plans.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reporting purposes, net periodic pension (income) expense is calculated annually based upon a number of actuarial assumptions, including a discount rate for plan obligations and an expected long-term rate of return on plan assets. Changes in the discount rate and expected long-term rate of return on plan assets could materially affect the annual pension (income) expense amount. Annual pension (income) expense is comprised of a potential mark-to-market adjustment (MTM Adjustment) and service and interest cost, assumed return on plan assets and prior service amortization (Pension Ongoing (Income) Expense).</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key assumptions used in developing our 2016, 2015 and 2014 net periodic pension (income) expense for our U.S. plans included the following:</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6740" w:type="dxa"/>
            <w:vAlign w:val="bottom"/>
            <w:tcBorders>
              <w:bottom w:val="single" w:sz="8" w:color="E5FFFF"/>
            </w:tcBorders>
          </w:tcPr>
          <w:p>
            <w:pPr>
              <w:spacing w:after="0"/>
              <w:rPr>
                <w:sz w:val="15"/>
                <w:szCs w:val="15"/>
                <w:color w:val="auto"/>
              </w:rPr>
            </w:pPr>
          </w:p>
        </w:tc>
        <w:tc>
          <w:tcPr>
            <w:tcW w:w="9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E5FFFF"/>
            </w:tcBorders>
          </w:tcPr>
          <w:p>
            <w:pPr>
              <w:spacing w:after="0"/>
              <w:rPr>
                <w:sz w:val="15"/>
                <w:szCs w:val="15"/>
                <w:color w:val="auto"/>
              </w:rPr>
            </w:pPr>
          </w:p>
        </w:tc>
        <w:tc>
          <w:tcPr>
            <w:tcW w:w="9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E5FFFF"/>
            </w:tcBorders>
          </w:tcPr>
          <w:p>
            <w:pPr>
              <w:spacing w:after="0"/>
              <w:rPr>
                <w:sz w:val="15"/>
                <w:szCs w:val="15"/>
                <w:color w:val="auto"/>
              </w:rPr>
            </w:pPr>
          </w:p>
        </w:tc>
        <w:tc>
          <w:tcPr>
            <w:tcW w:w="9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2014</w:t>
            </w:r>
          </w:p>
        </w:tc>
      </w:tr>
      <w:tr>
        <w:trPr>
          <w:trHeight w:val="196"/>
        </w:trPr>
        <w:tc>
          <w:tcPr>
            <w:tcW w:w="67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Discount Rate:</w:t>
            </w:r>
          </w:p>
        </w:tc>
        <w:tc>
          <w:tcPr>
            <w:tcW w:w="9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r>
      <w:tr>
        <w:trPr>
          <w:trHeight w:val="203"/>
        </w:trPr>
        <w:tc>
          <w:tcPr>
            <w:tcW w:w="6740" w:type="dxa"/>
            <w:vAlign w:val="bottom"/>
          </w:tcPr>
          <w:p>
            <w:pPr>
              <w:ind w:left="180"/>
              <w:spacing w:after="0" w:line="202" w:lineRule="exact"/>
              <w:rPr>
                <w:sz w:val="20"/>
                <w:szCs w:val="20"/>
                <w:color w:val="auto"/>
              </w:rPr>
            </w:pPr>
            <w:r>
              <w:rPr>
                <w:rFonts w:ascii="Arial" w:cs="Arial" w:eastAsia="Arial" w:hAnsi="Arial"/>
                <w:sz w:val="18"/>
                <w:szCs w:val="18"/>
                <w:color w:val="auto"/>
              </w:rPr>
              <w:t>Projected benefit obligation</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4.46%</w:t>
            </w: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4.08%</w:t>
            </w: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4.89%</w:t>
            </w:r>
          </w:p>
        </w:tc>
      </w:tr>
      <w:tr>
        <w:trPr>
          <w:trHeight w:val="203"/>
        </w:trPr>
        <w:tc>
          <w:tcPr>
            <w:tcW w:w="674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Service cost (1)</w:t>
            </w:r>
          </w:p>
        </w:tc>
        <w:tc>
          <w:tcPr>
            <w:tcW w:w="9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4.69%</w:t>
            </w:r>
          </w:p>
        </w:tc>
        <w:tc>
          <w:tcPr>
            <w:tcW w:w="300" w:type="dxa"/>
            <w:vAlign w:val="bottom"/>
            <w:shd w:val="clear" w:color="auto" w:fill="E5FFFF"/>
          </w:tcPr>
          <w:p>
            <w:pPr>
              <w:spacing w:after="0"/>
              <w:rPr>
                <w:sz w:val="17"/>
                <w:szCs w:val="17"/>
                <w:color w:val="auto"/>
              </w:rPr>
            </w:pPr>
          </w:p>
        </w:tc>
        <w:tc>
          <w:tcPr>
            <w:tcW w:w="1260" w:type="dxa"/>
            <w:vAlign w:val="bottom"/>
            <w:gridSpan w:val="2"/>
            <w:shd w:val="clear" w:color="auto" w:fill="E5FFFF"/>
          </w:tcPr>
          <w:p>
            <w:pPr>
              <w:ind w:left="500"/>
              <w:spacing w:after="0" w:line="202" w:lineRule="exact"/>
              <w:rPr>
                <w:sz w:val="20"/>
                <w:szCs w:val="20"/>
                <w:color w:val="auto"/>
              </w:rPr>
            </w:pPr>
            <w:r>
              <w:rPr>
                <w:rFonts w:ascii="Arial" w:cs="Arial" w:eastAsia="Arial" w:hAnsi="Arial"/>
                <w:sz w:val="18"/>
                <w:szCs w:val="18"/>
                <w:color w:val="auto"/>
              </w:rPr>
              <w:t>N/A</w:t>
            </w:r>
          </w:p>
        </w:tc>
        <w:tc>
          <w:tcPr>
            <w:tcW w:w="980" w:type="dxa"/>
            <w:vAlign w:val="bottom"/>
            <w:shd w:val="clear" w:color="auto" w:fill="E5FFFF"/>
          </w:tcPr>
          <w:p>
            <w:pPr>
              <w:jc w:val="right"/>
              <w:ind w:right="73"/>
              <w:spacing w:after="0" w:line="202" w:lineRule="exact"/>
              <w:rPr>
                <w:sz w:val="20"/>
                <w:szCs w:val="20"/>
                <w:color w:val="auto"/>
              </w:rPr>
            </w:pPr>
            <w:r>
              <w:rPr>
                <w:rFonts w:ascii="Arial" w:cs="Arial" w:eastAsia="Arial" w:hAnsi="Arial"/>
                <w:sz w:val="18"/>
                <w:szCs w:val="18"/>
                <w:color w:val="auto"/>
              </w:rPr>
              <w:t>N/A</w:t>
            </w:r>
          </w:p>
        </w:tc>
      </w:tr>
      <w:tr>
        <w:trPr>
          <w:trHeight w:val="203"/>
        </w:trPr>
        <w:tc>
          <w:tcPr>
            <w:tcW w:w="6740" w:type="dxa"/>
            <w:vAlign w:val="bottom"/>
          </w:tcPr>
          <w:p>
            <w:pPr>
              <w:ind w:left="180"/>
              <w:spacing w:after="0" w:line="202" w:lineRule="exact"/>
              <w:rPr>
                <w:sz w:val="20"/>
                <w:szCs w:val="20"/>
                <w:color w:val="auto"/>
              </w:rPr>
            </w:pPr>
            <w:r>
              <w:rPr>
                <w:rFonts w:ascii="Arial" w:cs="Arial" w:eastAsia="Arial" w:hAnsi="Arial"/>
                <w:sz w:val="18"/>
                <w:szCs w:val="18"/>
                <w:color w:val="auto"/>
              </w:rPr>
              <w:t>Interest cost (1)</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3.59%</w:t>
            </w:r>
          </w:p>
        </w:tc>
        <w:tc>
          <w:tcPr>
            <w:tcW w:w="300" w:type="dxa"/>
            <w:vAlign w:val="bottom"/>
          </w:tcPr>
          <w:p>
            <w:pPr>
              <w:spacing w:after="0"/>
              <w:rPr>
                <w:sz w:val="17"/>
                <w:szCs w:val="17"/>
                <w:color w:val="auto"/>
              </w:rPr>
            </w:pPr>
          </w:p>
        </w:tc>
        <w:tc>
          <w:tcPr>
            <w:tcW w:w="126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N/A</w:t>
            </w:r>
          </w:p>
        </w:tc>
        <w:tc>
          <w:tcPr>
            <w:tcW w:w="9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N/A</w:t>
            </w:r>
          </w:p>
        </w:tc>
      </w:tr>
      <w:tr>
        <w:trPr>
          <w:trHeight w:val="203"/>
        </w:trPr>
        <w:tc>
          <w:tcPr>
            <w:tcW w:w="67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Assets:</w:t>
            </w:r>
          </w:p>
        </w:tc>
        <w:tc>
          <w:tcPr>
            <w:tcW w:w="9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r>
      <w:tr>
        <w:trPr>
          <w:trHeight w:val="203"/>
        </w:trPr>
        <w:tc>
          <w:tcPr>
            <w:tcW w:w="6740" w:type="dxa"/>
            <w:vAlign w:val="bottom"/>
          </w:tcPr>
          <w:p>
            <w:pPr>
              <w:ind w:left="180"/>
              <w:spacing w:after="0" w:line="202" w:lineRule="exact"/>
              <w:rPr>
                <w:sz w:val="20"/>
                <w:szCs w:val="20"/>
                <w:color w:val="auto"/>
              </w:rPr>
            </w:pPr>
            <w:r>
              <w:rPr>
                <w:rFonts w:ascii="Arial" w:cs="Arial" w:eastAsia="Arial" w:hAnsi="Arial"/>
                <w:sz w:val="18"/>
                <w:szCs w:val="18"/>
                <w:color w:val="auto"/>
              </w:rPr>
              <w:t>Expected rate of return</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7.75%</w:t>
            </w: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7.75%</w:t>
            </w: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7.75%</w:t>
            </w:r>
          </w:p>
        </w:tc>
      </w:tr>
      <w:tr>
        <w:trPr>
          <w:trHeight w:val="203"/>
        </w:trPr>
        <w:tc>
          <w:tcPr>
            <w:tcW w:w="674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Actual rate of return</w:t>
            </w:r>
          </w:p>
        </w:tc>
        <w:tc>
          <w:tcPr>
            <w:tcW w:w="9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10%</w:t>
            </w:r>
          </w:p>
        </w:tc>
        <w:tc>
          <w:tcPr>
            <w:tcW w:w="300" w:type="dxa"/>
            <w:vAlign w:val="bottom"/>
            <w:shd w:val="clear" w:color="auto" w:fill="E5FFFF"/>
          </w:tcPr>
          <w:p>
            <w:pPr>
              <w:spacing w:after="0"/>
              <w:rPr>
                <w:sz w:val="17"/>
                <w:szCs w:val="17"/>
                <w:color w:val="auto"/>
              </w:rPr>
            </w:pPr>
          </w:p>
        </w:tc>
        <w:tc>
          <w:tcPr>
            <w:tcW w:w="9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w:t>
            </w:r>
          </w:p>
        </w:tc>
        <w:tc>
          <w:tcPr>
            <w:tcW w:w="280" w:type="dxa"/>
            <w:vAlign w:val="bottom"/>
            <w:shd w:val="clear" w:color="auto" w:fill="E5FFFF"/>
          </w:tcPr>
          <w:p>
            <w:pPr>
              <w:spacing w:after="0"/>
              <w:rPr>
                <w:sz w:val="17"/>
                <w:szCs w:val="17"/>
                <w:color w:val="auto"/>
              </w:rPr>
            </w:pPr>
          </w:p>
        </w:tc>
        <w:tc>
          <w:tcPr>
            <w:tcW w:w="9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w:t>
            </w:r>
          </w:p>
        </w:tc>
      </w:tr>
      <w:tr>
        <w:trPr>
          <w:trHeight w:val="217"/>
        </w:trPr>
        <w:tc>
          <w:tcPr>
            <w:tcW w:w="6740" w:type="dxa"/>
            <w:vAlign w:val="bottom"/>
          </w:tcPr>
          <w:p>
            <w:pPr>
              <w:ind w:left="180"/>
              <w:spacing w:after="0"/>
              <w:rPr>
                <w:sz w:val="20"/>
                <w:szCs w:val="20"/>
                <w:color w:val="auto"/>
              </w:rPr>
            </w:pPr>
            <w:r>
              <w:rPr>
                <w:rFonts w:ascii="Arial" w:cs="Arial" w:eastAsia="Arial" w:hAnsi="Arial"/>
                <w:sz w:val="18"/>
                <w:szCs w:val="18"/>
                <w:color w:val="auto"/>
              </w:rPr>
              <w:t>Actual 10 year average annual compounded rate of return</w:t>
            </w: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228" w:lineRule="exact"/>
        <w:rPr>
          <w:sz w:val="20"/>
          <w:szCs w:val="20"/>
          <w:color w:val="auto"/>
        </w:rPr>
      </w:pPr>
    </w:p>
    <w:p>
      <w:pPr>
        <w:ind w:left="1220" w:right="1300" w:firstLine="6"/>
        <w:spacing w:after="0" w:line="246" w:lineRule="auto"/>
        <w:tabs>
          <w:tab w:leader="none" w:pos="149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 in 2015 and 2014 as the discount rate methodology was changed in fourth quarter of 2015. See Note 20 Pension and Other Postretirement Benefits of Notes to Financial Statements.</w:t>
      </w:r>
    </w:p>
    <w:p>
      <w:pPr>
        <w:spacing w:after="0" w:line="18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MTM Adjustment represents the recognition of net actuarial gains or losses in excess of the corridor. Net actuarial gains and losses occur when the actual experience differs from any of the various assumptions used to value our pension plans or when assumptions change. The primary factors contributing to actuarial gains and losses are changes in the discount rate used to value pension obligations as of the measurement date each year and the difference between expected and actual returns on plan assets. The mark-to-market accounting method results in the potential for volatile and difficult to forecast MTM Adjustments. MTM charges were $273 million, $67 million and $249 million in 2016, 2015 and 2014.</w:t>
      </w:r>
    </w:p>
    <w:p>
      <w:pPr>
        <w:spacing w:after="0" w:line="19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determine the expected long-term rate of return on plan assets utilizing historical plan asset returns over varying long-term periods combined with our expectations of future market conditions and asset mix considerations (see Note 20 Pension and Other Postretirement Benefits of Notes to Financial Statements for details on the actual various asset classes and targeted asset allocation percentages for our pension plans). We plan to continue to use an expected rate of return on plan assets of 7.75% for 2017 as this is a long-term rate based on historical plan asset returns over varying long term periods combined with our expectations of future market conditions and the asset mix of the plan’s investments.</w:t>
      </w:r>
    </w:p>
    <w:p>
      <w:pPr>
        <w:spacing w:after="0" w:line="19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discount rate reflects the market rate on December 31 (measurement date) for high-quality fixed-income investments with maturities corresponding to our benefit obligations and is subject to change each year. The discount rate can be volatile from year to year as it is determined based upon prevailing interest rates as of the measurement date. We used a 4.20% discount rate to determine benefit obligations as of December 31, 2016, reflecting the decrease in the market interest rate environment since the prior year-end.</w:t>
      </w:r>
    </w:p>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addition to the potential for MTM Adjustments, changes in our expected rate of return on plan assets and discount rate resulting from economic events also affects future pension ongoing (income) expense. The following table highlights the sensitivity of our U.S. pension obligations and ongoing (income) expense to changes in these assumptions, assuming all other assumptions remain constant. These estimates exclude any potential MTM Adjustment: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1" w:name="page32"/>
    <w:bookmarkEnd w:id="31"/>
    <w:tbl>
      <w:tblPr>
        <w:tblLayout w:type="fixed"/>
        <w:tblInd w:w="340" w:type="dxa"/>
        <w:tblCellMar>
          <w:top w:w="0" w:type="dxa"/>
          <w:left w:w="0" w:type="dxa"/>
          <w:bottom w:w="0" w:type="dxa"/>
          <w:right w:w="0" w:type="dxa"/>
        </w:tblCellMar>
      </w:tblPr>
      <w:tr>
        <w:trPr>
          <w:trHeight w:val="162"/>
        </w:trPr>
        <w:tc>
          <w:tcPr>
            <w:tcW w:w="1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Impact on 2017</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1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Pension</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5"/>
        </w:trPr>
        <w:tc>
          <w:tcPr>
            <w:tcW w:w="1760" w:type="dxa"/>
            <w:vAlign w:val="bottom"/>
          </w:tcPr>
          <w:p>
            <w:pPr>
              <w:spacing w:after="0"/>
              <w:rPr>
                <w:sz w:val="15"/>
                <w:szCs w:val="15"/>
                <w:color w:val="auto"/>
              </w:rPr>
            </w:pPr>
          </w:p>
        </w:tc>
        <w:tc>
          <w:tcPr>
            <w:tcW w:w="1580" w:type="dxa"/>
            <w:vAlign w:val="bottom"/>
          </w:tcPr>
          <w:p>
            <w:pPr>
              <w:spacing w:after="0"/>
              <w:rPr>
                <w:sz w:val="20"/>
                <w:szCs w:val="20"/>
                <w:color w:val="auto"/>
              </w:rPr>
            </w:pPr>
            <w:r>
              <w:rPr>
                <w:rFonts w:ascii="Arial" w:cs="Arial" w:eastAsia="Arial" w:hAnsi="Arial"/>
                <w:sz w:val="14"/>
                <w:szCs w:val="14"/>
                <w:b w:val="1"/>
                <w:bCs w:val="1"/>
                <w:color w:val="auto"/>
              </w:rPr>
              <w:t>Change in Assumption</w:t>
            </w:r>
          </w:p>
        </w:tc>
        <w:tc>
          <w:tcPr>
            <w:tcW w:w="2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Ongoing Expense</w:t>
            </w:r>
          </w:p>
        </w:tc>
        <w:tc>
          <w:tcPr>
            <w:tcW w:w="780" w:type="dxa"/>
            <w:vAlign w:val="bottom"/>
          </w:tcPr>
          <w:p>
            <w:pPr>
              <w:spacing w:after="0"/>
              <w:rPr>
                <w:sz w:val="15"/>
                <w:szCs w:val="15"/>
                <w:color w:val="auto"/>
              </w:rPr>
            </w:pPr>
          </w:p>
        </w:tc>
        <w:tc>
          <w:tcPr>
            <w:tcW w:w="2600" w:type="dxa"/>
            <w:vAlign w:val="bottom"/>
            <w:gridSpan w:val="3"/>
          </w:tcPr>
          <w:p>
            <w:pPr>
              <w:jc w:val="center"/>
              <w:ind w:left="236"/>
              <w:spacing w:after="0"/>
              <w:rPr>
                <w:sz w:val="20"/>
                <w:szCs w:val="20"/>
                <w:color w:val="auto"/>
              </w:rPr>
            </w:pPr>
            <w:r>
              <w:rPr>
                <w:rFonts w:ascii="Arial" w:cs="Arial" w:eastAsia="Arial" w:hAnsi="Arial"/>
                <w:sz w:val="14"/>
                <w:szCs w:val="14"/>
                <w:b w:val="1"/>
                <w:bCs w:val="1"/>
                <w:color w:val="auto"/>
              </w:rPr>
              <w:t>Impact on PBO</w:t>
            </w:r>
          </w:p>
        </w:tc>
      </w:tr>
      <w:tr>
        <w:trPr>
          <w:trHeight w:val="20"/>
        </w:trPr>
        <w:tc>
          <w:tcPr>
            <w:tcW w:w="17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5400" w:type="dxa"/>
            <w:vAlign w:val="bottom"/>
            <w:gridSpan w:val="3"/>
            <w:shd w:val="clear" w:color="auto" w:fill="E5FFFF"/>
          </w:tcPr>
          <w:p>
            <w:pPr>
              <w:spacing w:after="0" w:line="196" w:lineRule="exact"/>
              <w:rPr>
                <w:sz w:val="20"/>
                <w:szCs w:val="20"/>
                <w:color w:val="auto"/>
              </w:rPr>
            </w:pPr>
            <w:r>
              <w:rPr>
                <w:rFonts w:ascii="Arial" w:cs="Arial" w:eastAsia="Arial" w:hAnsi="Arial"/>
                <w:sz w:val="18"/>
                <w:szCs w:val="18"/>
                <w:color w:val="auto"/>
              </w:rPr>
              <w:t>0.25 percentage point decrease in discount rate</w:t>
            </w:r>
          </w:p>
        </w:tc>
        <w:tc>
          <w:tcPr>
            <w:tcW w:w="2820" w:type="dxa"/>
            <w:vAlign w:val="bottom"/>
            <w:gridSpan w:val="3"/>
            <w:shd w:val="clear" w:color="auto" w:fill="E5FFFF"/>
          </w:tcPr>
          <w:p>
            <w:pPr>
              <w:jc w:val="center"/>
              <w:spacing w:after="0" w:line="196" w:lineRule="exact"/>
              <w:rPr>
                <w:sz w:val="20"/>
                <w:szCs w:val="20"/>
                <w:color w:val="auto"/>
              </w:rPr>
            </w:pPr>
            <w:r>
              <w:rPr>
                <w:rFonts w:ascii="Arial" w:cs="Arial" w:eastAsia="Arial" w:hAnsi="Arial"/>
                <w:sz w:val="18"/>
                <w:szCs w:val="18"/>
                <w:color w:val="auto"/>
                <w:w w:val="99"/>
              </w:rPr>
              <w:t>Decrease $20 million</w:t>
            </w:r>
          </w:p>
        </w:tc>
        <w:tc>
          <w:tcPr>
            <w:tcW w:w="2600" w:type="dxa"/>
            <w:vAlign w:val="bottom"/>
            <w:gridSpan w:val="3"/>
            <w:shd w:val="clear" w:color="auto" w:fill="E5FFFF"/>
          </w:tcPr>
          <w:p>
            <w:pPr>
              <w:jc w:val="center"/>
              <w:ind w:left="216"/>
              <w:spacing w:after="0" w:line="196" w:lineRule="exact"/>
              <w:rPr>
                <w:sz w:val="20"/>
                <w:szCs w:val="20"/>
                <w:color w:val="auto"/>
              </w:rPr>
            </w:pPr>
            <w:r>
              <w:rPr>
                <w:rFonts w:ascii="Arial" w:cs="Arial" w:eastAsia="Arial" w:hAnsi="Arial"/>
                <w:sz w:val="18"/>
                <w:szCs w:val="18"/>
                <w:color w:val="auto"/>
                <w:w w:val="99"/>
              </w:rPr>
              <w:t>Increase $500 million</w:t>
            </w:r>
          </w:p>
        </w:tc>
      </w:tr>
      <w:tr>
        <w:trPr>
          <w:trHeight w:val="203"/>
        </w:trPr>
        <w:tc>
          <w:tcPr>
            <w:tcW w:w="5400" w:type="dxa"/>
            <w:vAlign w:val="bottom"/>
            <w:gridSpan w:val="3"/>
          </w:tcPr>
          <w:p>
            <w:pPr>
              <w:spacing w:after="0" w:line="202" w:lineRule="exact"/>
              <w:rPr>
                <w:sz w:val="20"/>
                <w:szCs w:val="20"/>
                <w:color w:val="auto"/>
              </w:rPr>
            </w:pPr>
            <w:r>
              <w:rPr>
                <w:rFonts w:ascii="Arial" w:cs="Arial" w:eastAsia="Arial" w:hAnsi="Arial"/>
                <w:sz w:val="18"/>
                <w:szCs w:val="18"/>
                <w:color w:val="auto"/>
              </w:rPr>
              <w:t>0.25 percentage point increase in discount rate</w:t>
            </w:r>
          </w:p>
        </w:tc>
        <w:tc>
          <w:tcPr>
            <w:tcW w:w="2820" w:type="dxa"/>
            <w:vAlign w:val="bottom"/>
            <w:gridSpan w:val="3"/>
          </w:tcPr>
          <w:p>
            <w:pPr>
              <w:jc w:val="center"/>
              <w:spacing w:after="0" w:line="202" w:lineRule="exact"/>
              <w:rPr>
                <w:sz w:val="20"/>
                <w:szCs w:val="20"/>
                <w:color w:val="auto"/>
              </w:rPr>
            </w:pPr>
            <w:r>
              <w:rPr>
                <w:rFonts w:ascii="Arial" w:cs="Arial" w:eastAsia="Arial" w:hAnsi="Arial"/>
                <w:sz w:val="18"/>
                <w:szCs w:val="18"/>
                <w:color w:val="auto"/>
                <w:w w:val="99"/>
              </w:rPr>
              <w:t>Increase $18 million</w:t>
            </w:r>
          </w:p>
        </w:tc>
        <w:tc>
          <w:tcPr>
            <w:tcW w:w="2600" w:type="dxa"/>
            <w:vAlign w:val="bottom"/>
            <w:gridSpan w:val="3"/>
          </w:tcPr>
          <w:p>
            <w:pPr>
              <w:jc w:val="center"/>
              <w:ind w:left="216"/>
              <w:spacing w:after="0" w:line="202" w:lineRule="exact"/>
              <w:rPr>
                <w:sz w:val="20"/>
                <w:szCs w:val="20"/>
                <w:color w:val="auto"/>
              </w:rPr>
            </w:pPr>
            <w:r>
              <w:rPr>
                <w:rFonts w:ascii="Arial" w:cs="Arial" w:eastAsia="Arial" w:hAnsi="Arial"/>
                <w:sz w:val="18"/>
                <w:szCs w:val="18"/>
                <w:color w:val="auto"/>
                <w:w w:val="99"/>
              </w:rPr>
              <w:t>Decrease $460 million</w:t>
            </w:r>
          </w:p>
        </w:tc>
      </w:tr>
      <w:tr>
        <w:trPr>
          <w:trHeight w:val="202"/>
        </w:trPr>
        <w:tc>
          <w:tcPr>
            <w:tcW w:w="5400" w:type="dxa"/>
            <w:vAlign w:val="bottom"/>
            <w:gridSpan w:val="3"/>
            <w:shd w:val="clear" w:color="auto" w:fill="E5FFFF"/>
          </w:tcPr>
          <w:p>
            <w:pPr>
              <w:spacing w:after="0" w:line="201" w:lineRule="exact"/>
              <w:rPr>
                <w:sz w:val="20"/>
                <w:szCs w:val="20"/>
                <w:color w:val="auto"/>
              </w:rPr>
            </w:pPr>
            <w:r>
              <w:rPr>
                <w:rFonts w:ascii="Arial" w:cs="Arial" w:eastAsia="Arial" w:hAnsi="Arial"/>
                <w:sz w:val="18"/>
                <w:szCs w:val="18"/>
                <w:color w:val="auto"/>
              </w:rPr>
              <w:t>0.25 percentage point decrease in expected rate of return on</w:t>
            </w:r>
          </w:p>
        </w:tc>
        <w:tc>
          <w:tcPr>
            <w:tcW w:w="80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640" w:type="dxa"/>
            <w:vAlign w:val="bottom"/>
            <w:shd w:val="clear" w:color="auto" w:fill="E5FFFF"/>
          </w:tcPr>
          <w:p>
            <w:pPr>
              <w:spacing w:after="0"/>
              <w:rPr>
                <w:sz w:val="17"/>
                <w:szCs w:val="17"/>
                <w:color w:val="auto"/>
              </w:rPr>
            </w:pPr>
          </w:p>
        </w:tc>
      </w:tr>
      <w:tr>
        <w:trPr>
          <w:trHeight w:val="203"/>
        </w:trPr>
        <w:tc>
          <w:tcPr>
            <w:tcW w:w="5400" w:type="dxa"/>
            <w:vAlign w:val="bottom"/>
            <w:gridSpan w:val="3"/>
            <w:shd w:val="clear" w:color="auto" w:fill="E5FFFF"/>
          </w:tcPr>
          <w:p>
            <w:pPr>
              <w:ind w:left="180"/>
              <w:spacing w:after="0" w:line="203" w:lineRule="exact"/>
              <w:rPr>
                <w:sz w:val="20"/>
                <w:szCs w:val="20"/>
                <w:color w:val="auto"/>
              </w:rPr>
            </w:pPr>
            <w:r>
              <w:rPr>
                <w:rFonts w:ascii="Arial" w:cs="Arial" w:eastAsia="Arial" w:hAnsi="Arial"/>
                <w:sz w:val="18"/>
                <w:szCs w:val="18"/>
                <w:color w:val="auto"/>
              </w:rPr>
              <w:t>assets</w:t>
            </w:r>
          </w:p>
        </w:tc>
        <w:tc>
          <w:tcPr>
            <w:tcW w:w="2820" w:type="dxa"/>
            <w:vAlign w:val="bottom"/>
            <w:gridSpan w:val="3"/>
            <w:shd w:val="clear" w:color="auto" w:fill="E5FFFF"/>
          </w:tcPr>
          <w:p>
            <w:pPr>
              <w:jc w:val="center"/>
              <w:spacing w:after="0" w:line="203" w:lineRule="exact"/>
              <w:rPr>
                <w:sz w:val="20"/>
                <w:szCs w:val="20"/>
                <w:color w:val="auto"/>
              </w:rPr>
            </w:pPr>
            <w:r>
              <w:rPr>
                <w:rFonts w:ascii="Arial" w:cs="Arial" w:eastAsia="Arial" w:hAnsi="Arial"/>
                <w:sz w:val="18"/>
                <w:szCs w:val="18"/>
                <w:color w:val="auto"/>
                <w:w w:val="99"/>
              </w:rPr>
              <w:t>Increase $40 million</w:t>
            </w:r>
          </w:p>
        </w:tc>
        <w:tc>
          <w:tcPr>
            <w:tcW w:w="940" w:type="dxa"/>
            <w:vAlign w:val="bottom"/>
            <w:shd w:val="clear" w:color="auto" w:fill="E5FFFF"/>
          </w:tcPr>
          <w:p>
            <w:pPr>
              <w:spacing w:after="0"/>
              <w:rPr>
                <w:sz w:val="17"/>
                <w:szCs w:val="17"/>
                <w:color w:val="auto"/>
              </w:rPr>
            </w:pPr>
          </w:p>
        </w:tc>
        <w:tc>
          <w:tcPr>
            <w:tcW w:w="1660" w:type="dxa"/>
            <w:vAlign w:val="bottom"/>
            <w:gridSpan w:val="2"/>
            <w:shd w:val="clear" w:color="auto" w:fill="E5FFFF"/>
          </w:tcPr>
          <w:p>
            <w:pPr>
              <w:jc w:val="center"/>
              <w:ind w:right="640"/>
              <w:spacing w:after="0" w:line="203" w:lineRule="exact"/>
              <w:rPr>
                <w:sz w:val="20"/>
                <w:szCs w:val="20"/>
                <w:color w:val="auto"/>
              </w:rPr>
            </w:pPr>
            <w:r>
              <w:rPr>
                <w:rFonts w:ascii="Arial" w:cs="Arial" w:eastAsia="Arial" w:hAnsi="Arial"/>
                <w:sz w:val="18"/>
                <w:szCs w:val="18"/>
                <w:color w:val="auto"/>
                <w:w w:val="99"/>
              </w:rPr>
              <w:t>—</w:t>
            </w:r>
          </w:p>
        </w:tc>
      </w:tr>
      <w:tr>
        <w:trPr>
          <w:trHeight w:val="202"/>
        </w:trPr>
        <w:tc>
          <w:tcPr>
            <w:tcW w:w="5400" w:type="dxa"/>
            <w:vAlign w:val="bottom"/>
            <w:gridSpan w:val="3"/>
          </w:tcPr>
          <w:p>
            <w:pPr>
              <w:spacing w:after="0" w:line="201" w:lineRule="exact"/>
              <w:rPr>
                <w:sz w:val="20"/>
                <w:szCs w:val="20"/>
                <w:color w:val="auto"/>
              </w:rPr>
            </w:pPr>
            <w:r>
              <w:rPr>
                <w:rFonts w:ascii="Arial" w:cs="Arial" w:eastAsia="Arial" w:hAnsi="Arial"/>
                <w:sz w:val="18"/>
                <w:szCs w:val="18"/>
                <w:color w:val="auto"/>
              </w:rPr>
              <w:t>0.25 percentage point increase in expected rate of return on</w:t>
            </w: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7"/>
        </w:trPr>
        <w:tc>
          <w:tcPr>
            <w:tcW w:w="5400" w:type="dxa"/>
            <w:vAlign w:val="bottom"/>
            <w:gridSpan w:val="3"/>
          </w:tcPr>
          <w:p>
            <w:pPr>
              <w:ind w:left="180"/>
              <w:spacing w:after="0"/>
              <w:rPr>
                <w:sz w:val="20"/>
                <w:szCs w:val="20"/>
                <w:color w:val="auto"/>
              </w:rPr>
            </w:pPr>
            <w:r>
              <w:rPr>
                <w:rFonts w:ascii="Arial" w:cs="Arial" w:eastAsia="Arial" w:hAnsi="Arial"/>
                <w:sz w:val="18"/>
                <w:szCs w:val="18"/>
                <w:color w:val="auto"/>
              </w:rPr>
              <w:t>assets</w:t>
            </w:r>
          </w:p>
        </w:tc>
        <w:tc>
          <w:tcPr>
            <w:tcW w:w="2820" w:type="dxa"/>
            <w:vAlign w:val="bottom"/>
            <w:gridSpan w:val="3"/>
          </w:tcPr>
          <w:p>
            <w:pPr>
              <w:jc w:val="center"/>
              <w:spacing w:after="0"/>
              <w:rPr>
                <w:sz w:val="20"/>
                <w:szCs w:val="20"/>
                <w:color w:val="auto"/>
              </w:rPr>
            </w:pPr>
            <w:r>
              <w:rPr>
                <w:rFonts w:ascii="Arial" w:cs="Arial" w:eastAsia="Arial" w:hAnsi="Arial"/>
                <w:sz w:val="18"/>
                <w:szCs w:val="18"/>
                <w:color w:val="auto"/>
                <w:w w:val="99"/>
              </w:rPr>
              <w:t>Decrease $40 million</w:t>
            </w:r>
          </w:p>
        </w:tc>
        <w:tc>
          <w:tcPr>
            <w:tcW w:w="940" w:type="dxa"/>
            <w:vAlign w:val="bottom"/>
          </w:tcPr>
          <w:p>
            <w:pPr>
              <w:spacing w:after="0"/>
              <w:rPr>
                <w:sz w:val="18"/>
                <w:szCs w:val="18"/>
                <w:color w:val="auto"/>
              </w:rPr>
            </w:pPr>
          </w:p>
        </w:tc>
        <w:tc>
          <w:tcPr>
            <w:tcW w:w="1660" w:type="dxa"/>
            <w:vAlign w:val="bottom"/>
            <w:gridSpan w:val="2"/>
          </w:tcPr>
          <w:p>
            <w:pPr>
              <w:jc w:val="center"/>
              <w:ind w:right="640"/>
              <w:spacing w:after="0"/>
              <w:rPr>
                <w:sz w:val="20"/>
                <w:szCs w:val="20"/>
                <w:color w:val="auto"/>
              </w:rPr>
            </w:pPr>
            <w:r>
              <w:rPr>
                <w:rFonts w:ascii="Arial" w:cs="Arial" w:eastAsia="Arial" w:hAnsi="Arial"/>
                <w:sz w:val="18"/>
                <w:szCs w:val="18"/>
                <w:color w:val="auto"/>
                <w:w w:val="99"/>
              </w:rPr>
              <w:t>—</w:t>
            </w:r>
          </w:p>
        </w:tc>
      </w:tr>
    </w:tbl>
    <w:p>
      <w:pPr>
        <w:spacing w:after="0" w:line="18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Pension ongoing income for all of our pension plans is expected to be approximately $715 million in 2017 compared with pension ongoing income of $ 601 million in 2016. The expected increase is primarily due to higher asset returns in 2016 and lower interest costs due to a decline in discount rates, mainly in our U.S. and UK plans. Also, if required, an MTM Adjustment will be recorded in the fourth quarter of 2017 in accordance with our pension accounting method as previously described. It is difficult to reliably forecast or predict whether there will be a MTM Adjustment in 2017, and if one is required what the magnitude of such adjustment will be. MTM Adjustments are primarily driven by events and circumstances beyond the control of the Company such as changes in interest rates and the performance of the financial markets.</w:t>
      </w:r>
    </w:p>
    <w:p>
      <w:pPr>
        <w:spacing w:after="0" w:line="17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b w:val="1"/>
          <w:bCs w:val="1"/>
          <w:i w:val="1"/>
          <w:iCs w:val="1"/>
          <w:color w:val="auto"/>
        </w:rPr>
        <w:t>Long-Lived Assets (including Tangible and Finite-Lived Intangible Assets)</w:t>
      </w:r>
      <w:r>
        <w:rPr>
          <w:rFonts w:ascii="Arial" w:cs="Arial" w:eastAsia="Arial" w:hAnsi="Arial"/>
          <w:sz w:val="18"/>
          <w:szCs w:val="18"/>
          <w:color w:val="auto"/>
        </w:rPr>
        <w:t>—The determination of useful lives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depreciation/amortization purposes) and whether or not tangible and intangible assets are impaired involves the use of accounting estimates and assumptions, changes in which could materially impact our financial condition or operating performance if actual results differ from such estimates and assumptions. We evaluate the recoverability of the carrying amount of our long-lived assets whenever events or changes in circumstances indicate that the carrying amount of a long-lived asset group may not be fully recoverable. The principal factors in considering when to perform an impairment review are as follows:</w:t>
      </w:r>
    </w:p>
    <w:p>
      <w:pPr>
        <w:spacing w:after="0" w:line="188" w:lineRule="exact"/>
        <w:rPr>
          <w:sz w:val="20"/>
          <w:szCs w:val="20"/>
          <w:color w:val="auto"/>
        </w:rPr>
      </w:pPr>
    </w:p>
    <w:p>
      <w:pPr>
        <w:ind w:left="980" w:hanging="324"/>
        <w:spacing w:after="0" w:line="246"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under-performance (i.e., declines in sales, earnings or cash flows) of a business or product line in relation to expectations;</w:t>
      </w:r>
    </w:p>
    <w:p>
      <w:pPr>
        <w:spacing w:after="0" w:line="196" w:lineRule="exact"/>
        <w:rPr>
          <w:rFonts w:ascii="Arial" w:cs="Arial" w:eastAsia="Arial" w:hAnsi="Arial"/>
          <w:sz w:val="18"/>
          <w:szCs w:val="18"/>
          <w:color w:val="auto"/>
        </w:rPr>
      </w:pPr>
    </w:p>
    <w:p>
      <w:pPr>
        <w:ind w:left="980" w:hanging="324"/>
        <w:spacing w:after="0" w:line="246"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Annual operating plans or five-year strategic plans that indicate an unfavorable trend in operating performance of a business or product line;</w:t>
      </w:r>
    </w:p>
    <w:p>
      <w:pPr>
        <w:spacing w:after="0" w:line="196"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negative industry or economic trends;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changes or planned changes in our use of the assets.</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Once it is determined that an impairment review is necessary, recoverability of assets is measured by comparing the carrying amount of the asset grouping to the estimated future undiscounted cash flows. If the carrying amount exceeds the estimated future undiscounted cash flows, the asset grouping is considered to be impaired. The impairment is then measured as the difference between the carrying amount of the asset grouping and its fair value. We endeavor to utilize the best information available to measure fair value, which is usually either market prices (if available), level 1 or level 2 of the fair value hierarchy, or an estimate of the future discounted cash flow, level 3 of the fair value hierarchy. The key estimates in our discounted cash flow analysis include assumptions as to expected industry growth rates, sales volume, selling prices and costs, and the discount rate selected. These estimates are subject to changes in the economic environment, including market interest rates and expected volatility. Management believes the estimates of future cash flows and fair values are reasonable; however, changes in estimates due to variance from assumptions could materially affect the valuations.</w:t>
      </w:r>
    </w:p>
    <w:p>
      <w:pPr>
        <w:spacing w:after="0" w:line="17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b w:val="1"/>
          <w:bCs w:val="1"/>
          <w:i w:val="1"/>
          <w:iCs w:val="1"/>
          <w:color w:val="auto"/>
        </w:rPr>
        <w:t>Goodwill and Indefinite-Lived Intangible Assets Impairment Testing</w:t>
      </w:r>
      <w:r>
        <w:rPr>
          <w:rFonts w:ascii="Arial" w:cs="Arial" w:eastAsia="Arial" w:hAnsi="Arial"/>
          <w:sz w:val="18"/>
          <w:szCs w:val="18"/>
          <w:color w:val="auto"/>
        </w:rPr>
        <w:t>— Goodwill and intangible assets deemed to have indefinite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lives are not amortized, but are subject to annual, or more frequent if necessary, impairment testing. In testing goodwill and indefinite-lived intangible assets, the fair value is estimated utilizing a discounted cash flow approach utilizing cash flow forecasts in our five year strategic and annual operating plans adjusted for terminal value assumptions. These impairment tests involve the use of accounting estimates and assumptions, changes in which could materially impact our financial condition or operating performance if actual results differ from such estimates and assumptions. To address this uncertainty we perform sensitivity analysis on key estimates and assumptions.</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—On a recurring basis, we assess the need for a valuation allowance against our deferred tax assets by considering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positive and negative evidence, such as past operating results, projections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32" w:name="page33"/>
    <w:bookmarkEnd w:id="32"/>
    <w:p>
      <w:pPr>
        <w:jc w:val="both"/>
        <w:spacing w:after="0"/>
        <w:rPr>
          <w:sz w:val="20"/>
          <w:szCs w:val="20"/>
          <w:color w:val="auto"/>
        </w:rPr>
      </w:pPr>
      <w:r>
        <w:rPr>
          <w:rFonts w:ascii="Arial" w:cs="Arial" w:eastAsia="Arial" w:hAnsi="Arial"/>
          <w:sz w:val="18"/>
          <w:szCs w:val="18"/>
          <w:color w:val="auto"/>
        </w:rPr>
        <w:t>of future taxable income, enacted tax law changes and the feasibility and impact of tax planning initiatives. Our projections of future taxable income include a number of estimates and assumptions regarding our volume, pricing and costs, as well as the timing and amount of reversals of taxable temporary differences.</w:t>
      </w:r>
    </w:p>
    <w:p>
      <w:pPr>
        <w:spacing w:after="0" w:line="16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b w:val="1"/>
          <w:bCs w:val="1"/>
          <w:i w:val="1"/>
          <w:iCs w:val="1"/>
          <w:color w:val="auto"/>
        </w:rPr>
        <w:t>Sales Recognition on Long-Term Contracts</w:t>
      </w:r>
      <w:r>
        <w:rPr>
          <w:rFonts w:ascii="Arial" w:cs="Arial" w:eastAsia="Arial" w:hAnsi="Arial"/>
          <w:sz w:val="18"/>
          <w:szCs w:val="18"/>
          <w:color w:val="auto"/>
        </w:rPr>
        <w:t>—In 2016, we recognized approximately 13% of our total net sales using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percentage-of-completion method for long-term contracts. These long-term contracts are measured on the cost-to-cost basis for engineering-type contracts and the units-of-delivery basis for production-type contracts. Accounting for these contracts involves management judgment in estimating total contract revenue and cost. Contract revenues are largely determined by negotiated contract prices and quantities, modified by our assumptions regarding contract options, change orders, incentive and award provisions associated with technical performance and price adjustment clauses (such as inflation or index-based clauses). Contract costs are incurred over a period of time, which can be several years, and the estimation of these costs requires management judgment. Cost estimates are largely based on negotiated or estimated purchase contract terms, historical performance trends and other economic projections. Significant factors that influence these estimates include inflationary trends, technical and schedule risk, internal and subcontractor performance trends, business volume assumptions, asset utilization, and anticipated labor agreements. Revenue and cost estimates are regularly monitored and revised based on changes in circumstances. Anticipated losses on long-term contracts are recognized when such losses become evident. We maintain financial controls over the customer qualification, contract pricing and estimation processes to reduce the risk of contract losses.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MATTERS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Litigation</w:t>
      </w:r>
    </w:p>
    <w:p>
      <w:pPr>
        <w:spacing w:after="0" w:line="22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See Note 19 Commitments and Contingencies of Notes to Financial Statements for a discussion of environmental, asbestos and other litigation matters.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265"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See Note 1 Summary of Significant Accounting Policies of Notes to Financial Statements for a discussion of recent accounting pronouncements.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Risks</w:t>
      </w:r>
    </w:p>
    <w:p>
      <w:pPr>
        <w:spacing w:after="0" w:line="26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Information relating to market risks is included in Item 7. Management’s Discussion and Analysis of Financial Condition and Results of Operations under the caption “Financial Instruments”.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3" w:name="page34"/>
    <w:bookmarkEnd w:id="33"/>
    <w:p>
      <w:pPr>
        <w:spacing w:after="0"/>
        <w:rPr>
          <w:sz w:val="20"/>
          <w:szCs w:val="20"/>
          <w:color w:val="auto"/>
        </w:rPr>
      </w:pPr>
      <w:r>
        <w:rPr>
          <w:rFonts w:ascii="Arial" w:cs="Arial" w:eastAsia="Arial" w:hAnsi="Arial"/>
          <w:sz w:val="22"/>
          <w:szCs w:val="22"/>
          <w:b w:val="1"/>
          <w:bCs w:val="1"/>
          <w:u w:val="single" w:color="auto"/>
          <w:color w:val="auto"/>
        </w:rPr>
        <w:t>ITEM 8. Financial Statements and Supplementary Data</w:t>
      </w:r>
    </w:p>
    <w:p>
      <w:pPr>
        <w:spacing w:after="0" w:line="193"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60" w:type="dxa"/>
            <w:vAlign w:val="bottom"/>
            <w:gridSpan w:val="7"/>
          </w:tcPr>
          <w:p>
            <w:pPr>
              <w:jc w:val="right"/>
              <w:ind w:right="251"/>
              <w:spacing w:after="0"/>
              <w:rPr>
                <w:sz w:val="20"/>
                <w:szCs w:val="20"/>
                <w:color w:val="auto"/>
              </w:rPr>
            </w:pPr>
            <w:r>
              <w:rPr>
                <w:rFonts w:ascii="Arial" w:cs="Arial" w:eastAsia="Arial" w:hAnsi="Arial"/>
                <w:sz w:val="14"/>
                <w:szCs w:val="14"/>
                <w:b w:val="1"/>
                <w:bCs w:val="1"/>
                <w:color w:val="auto"/>
              </w:rPr>
              <w:t>(Dollars in millions, except per share amounts)</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E5FFFF"/>
          </w:tcPr>
          <w:p>
            <w:pPr>
              <w:spacing w:after="0"/>
              <w:rPr>
                <w:sz w:val="20"/>
                <w:szCs w:val="20"/>
                <w:color w:val="auto"/>
              </w:rPr>
            </w:pPr>
            <w:r>
              <w:rPr>
                <w:rFonts w:ascii="Arial" w:cs="Arial" w:eastAsia="Arial" w:hAnsi="Arial"/>
                <w:sz w:val="18"/>
                <w:szCs w:val="18"/>
                <w:color w:val="auto"/>
              </w:rPr>
              <w:t>Product sales</w:t>
            </w:r>
          </w:p>
        </w:tc>
        <w:tc>
          <w:tcPr>
            <w:tcW w:w="2620" w:type="dxa"/>
            <w:vAlign w:val="bottom"/>
            <w:gridSpan w:val="2"/>
            <w:shd w:val="clear" w:color="auto" w:fill="E5FF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E5FFFF"/>
          </w:tcPr>
          <w:p>
            <w:pPr>
              <w:jc w:val="right"/>
              <w:ind w:right="33"/>
              <w:spacing w:after="0"/>
              <w:rPr>
                <w:sz w:val="20"/>
                <w:szCs w:val="20"/>
                <w:color w:val="auto"/>
              </w:rPr>
            </w:pPr>
            <w:r>
              <w:rPr>
                <w:rFonts w:ascii="Arial" w:cs="Arial" w:eastAsia="Arial" w:hAnsi="Arial"/>
                <w:sz w:val="18"/>
                <w:szCs w:val="18"/>
                <w:color w:val="auto"/>
              </w:rPr>
              <w:t>31,362</w:t>
            </w:r>
          </w:p>
        </w:tc>
        <w:tc>
          <w:tcPr>
            <w:tcW w:w="240" w:type="dxa"/>
            <w:vAlign w:val="bottom"/>
            <w:shd w:val="clear" w:color="auto" w:fill="E5FFFF"/>
          </w:tcPr>
          <w:p>
            <w:pPr>
              <w:spacing w:after="0"/>
              <w:rPr>
                <w:sz w:val="18"/>
                <w:szCs w:val="18"/>
                <w:color w:val="auto"/>
              </w:rPr>
            </w:pPr>
          </w:p>
        </w:tc>
        <w:tc>
          <w:tcPr>
            <w:tcW w:w="260" w:type="dxa"/>
            <w:vAlign w:val="bottom"/>
            <w:shd w:val="clear" w:color="auto" w:fill="E5FF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30,695</w:t>
            </w:r>
          </w:p>
        </w:tc>
        <w:tc>
          <w:tcPr>
            <w:tcW w:w="48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32,398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Service sales</w:t>
            </w:r>
          </w:p>
        </w:tc>
        <w:tc>
          <w:tcPr>
            <w:tcW w:w="240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7,940</w:t>
            </w:r>
          </w:p>
        </w:tc>
        <w:tc>
          <w:tcPr>
            <w:tcW w:w="2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7,886</w:t>
            </w:r>
          </w:p>
        </w:tc>
        <w:tc>
          <w:tcPr>
            <w:tcW w:w="22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7,908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2400" w:type="dxa"/>
            <w:vAlign w:val="bottom"/>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spacing w:after="0"/>
              <w:rPr>
                <w:sz w:val="17"/>
                <w:szCs w:val="17"/>
                <w:color w:val="auto"/>
              </w:rPr>
            </w:pPr>
          </w:p>
        </w:tc>
        <w:tc>
          <w:tcPr>
            <w:tcW w:w="940" w:type="dxa"/>
            <w:vAlign w:val="bottom"/>
            <w:tcBorders>
              <w:bottom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39,302</w:t>
            </w:r>
          </w:p>
        </w:tc>
        <w:tc>
          <w:tcPr>
            <w:tcW w:w="24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8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38,581</w:t>
            </w:r>
          </w:p>
        </w:tc>
        <w:tc>
          <w:tcPr>
            <w:tcW w:w="22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40,306</w:t>
            </w:r>
          </w:p>
        </w:tc>
        <w:tc>
          <w:tcPr>
            <w:tcW w:w="0" w:type="dxa"/>
            <w:vAlign w:val="bottom"/>
          </w:tcPr>
          <w:p>
            <w:pPr>
              <w:spacing w:after="0"/>
              <w:rPr>
                <w:sz w:val="1"/>
                <w:szCs w:val="1"/>
                <w:color w:val="auto"/>
              </w:rPr>
            </w:pPr>
          </w:p>
        </w:tc>
      </w:tr>
      <w:tr>
        <w:trPr>
          <w:trHeight w:val="399"/>
        </w:trPr>
        <w:tc>
          <w:tcPr>
            <w:tcW w:w="5140" w:type="dxa"/>
            <w:vAlign w:val="bottom"/>
            <w:gridSpan w:val="2"/>
          </w:tcPr>
          <w:p>
            <w:pPr>
              <w:spacing w:after="0"/>
              <w:rPr>
                <w:sz w:val="20"/>
                <w:szCs w:val="20"/>
                <w:color w:val="auto"/>
              </w:rPr>
            </w:pPr>
            <w:r>
              <w:rPr>
                <w:rFonts w:ascii="Arial" w:cs="Arial" w:eastAsia="Arial" w:hAnsi="Arial"/>
                <w:sz w:val="18"/>
                <w:szCs w:val="18"/>
                <w:color w:val="auto"/>
              </w:rPr>
              <w:t>Costs, expenses and other</w:t>
            </w: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Cost of products sold</w:t>
            </w:r>
          </w:p>
        </w:tc>
        <w:tc>
          <w:tcPr>
            <w:tcW w:w="24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4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22,170</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21,775</w:t>
            </w:r>
          </w:p>
        </w:tc>
        <w:tc>
          <w:tcPr>
            <w:tcW w:w="2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23,889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Cost of services sold</w:t>
            </w:r>
          </w:p>
        </w:tc>
        <w:tc>
          <w:tcPr>
            <w:tcW w:w="240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4,980</w:t>
            </w:r>
          </w:p>
        </w:tc>
        <w:tc>
          <w:tcPr>
            <w:tcW w:w="2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4,972</w:t>
            </w:r>
          </w:p>
        </w:tc>
        <w:tc>
          <w:tcPr>
            <w:tcW w:w="22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shd w:val="clear" w:color="auto" w:fill="E5FFFF"/>
          </w:tcPr>
          <w:p>
            <w:pPr>
              <w:spacing w:after="0"/>
              <w:rPr>
                <w:sz w:val="17"/>
                <w:szCs w:val="17"/>
                <w:color w:val="auto"/>
              </w:rPr>
            </w:pPr>
          </w:p>
        </w:tc>
        <w:tc>
          <w:tcPr>
            <w:tcW w:w="24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40" w:type="dxa"/>
            <w:vAlign w:val="bottom"/>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27,150</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26,747</w:t>
            </w:r>
          </w:p>
        </w:tc>
        <w:tc>
          <w:tcPr>
            <w:tcW w:w="2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28,957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16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2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5,469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5,006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5,518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Other (income) expense</w:t>
            </w:r>
          </w:p>
        </w:tc>
        <w:tc>
          <w:tcPr>
            <w:tcW w:w="24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(102)</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(68)</w:t>
            </w:r>
          </w:p>
        </w:tc>
        <w:tc>
          <w:tcPr>
            <w:tcW w:w="2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Interest and other financial charges</w:t>
            </w:r>
          </w:p>
        </w:tc>
        <w:tc>
          <w:tcPr>
            <w:tcW w:w="240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338</w:t>
            </w:r>
          </w:p>
        </w:tc>
        <w:tc>
          <w:tcPr>
            <w:tcW w:w="2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310</w:t>
            </w:r>
          </w:p>
        </w:tc>
        <w:tc>
          <w:tcPr>
            <w:tcW w:w="22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shd w:val="clear" w:color="auto" w:fill="E5FFFF"/>
          </w:tcPr>
          <w:p>
            <w:pPr>
              <w:spacing w:after="0"/>
              <w:rPr>
                <w:sz w:val="17"/>
                <w:szCs w:val="17"/>
                <w:color w:val="auto"/>
              </w:rPr>
            </w:pPr>
          </w:p>
        </w:tc>
        <w:tc>
          <w:tcPr>
            <w:tcW w:w="2400" w:type="dxa"/>
            <w:vAlign w:val="bottom"/>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spacing w:after="0"/>
              <w:rPr>
                <w:sz w:val="17"/>
                <w:szCs w:val="17"/>
                <w:color w:val="auto"/>
              </w:rPr>
            </w:pPr>
          </w:p>
        </w:tc>
        <w:tc>
          <w:tcPr>
            <w:tcW w:w="940" w:type="dxa"/>
            <w:vAlign w:val="bottom"/>
            <w:tcBorders>
              <w:bottom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32,855</w:t>
            </w:r>
          </w:p>
        </w:tc>
        <w:tc>
          <w:tcPr>
            <w:tcW w:w="24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8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31,995</w:t>
            </w:r>
          </w:p>
        </w:tc>
        <w:tc>
          <w:tcPr>
            <w:tcW w:w="22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34,488</w:t>
            </w:r>
          </w:p>
        </w:tc>
        <w:tc>
          <w:tcPr>
            <w:tcW w:w="0" w:type="dxa"/>
            <w:vAlign w:val="bottom"/>
          </w:tcPr>
          <w:p>
            <w:pPr>
              <w:spacing w:after="0"/>
              <w:rPr>
                <w:sz w:val="1"/>
                <w:szCs w:val="1"/>
                <w:color w:val="auto"/>
              </w:rPr>
            </w:pPr>
          </w:p>
        </w:tc>
      </w:tr>
      <w:tr>
        <w:trPr>
          <w:trHeight w:val="399"/>
        </w:trPr>
        <w:tc>
          <w:tcPr>
            <w:tcW w:w="514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taxes</w:t>
            </w: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6,447</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6,586</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5FFFF"/>
          </w:tcPr>
          <w:p>
            <w:pPr>
              <w:spacing w:after="0"/>
              <w:rPr>
                <w:sz w:val="20"/>
                <w:szCs w:val="20"/>
                <w:color w:val="auto"/>
              </w:rPr>
            </w:pPr>
            <w:r>
              <w:rPr>
                <w:rFonts w:ascii="Arial" w:cs="Arial" w:eastAsia="Arial" w:hAnsi="Arial"/>
                <w:sz w:val="18"/>
                <w:szCs w:val="18"/>
                <w:color w:val="auto"/>
              </w:rPr>
              <w:t>Tax expense</w:t>
            </w:r>
          </w:p>
        </w:tc>
        <w:tc>
          <w:tcPr>
            <w:tcW w:w="240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940" w:type="dxa"/>
            <w:vAlign w:val="bottom"/>
            <w:tcBorders>
              <w:bottom w:val="single" w:sz="8" w:color="auto"/>
            </w:tcBorders>
            <w:shd w:val="clear" w:color="auto" w:fill="E5FFFF"/>
          </w:tcPr>
          <w:p>
            <w:pPr>
              <w:jc w:val="right"/>
              <w:ind w:right="33"/>
              <w:spacing w:after="0"/>
              <w:rPr>
                <w:sz w:val="20"/>
                <w:szCs w:val="20"/>
                <w:color w:val="auto"/>
              </w:rPr>
            </w:pPr>
            <w:r>
              <w:rPr>
                <w:rFonts w:ascii="Arial" w:cs="Arial" w:eastAsia="Arial" w:hAnsi="Arial"/>
                <w:sz w:val="18"/>
                <w:szCs w:val="18"/>
                <w:color w:val="auto"/>
              </w:rPr>
              <w:t>1,601</w:t>
            </w:r>
          </w:p>
        </w:tc>
        <w:tc>
          <w:tcPr>
            <w:tcW w:w="2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1,739</w:t>
            </w:r>
          </w:p>
        </w:tc>
        <w:tc>
          <w:tcPr>
            <w:tcW w:w="22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196"/>
        </w:trPr>
        <w:tc>
          <w:tcPr>
            <w:tcW w:w="5140" w:type="dxa"/>
            <w:vAlign w:val="bottom"/>
            <w:gridSpan w:val="2"/>
          </w:tcPr>
          <w:p>
            <w:pPr>
              <w:spacing w:after="0" w:line="196" w:lineRule="exact"/>
              <w:rPr>
                <w:sz w:val="20"/>
                <w:szCs w:val="20"/>
                <w:color w:val="auto"/>
              </w:rPr>
            </w:pPr>
            <w:r>
              <w:rPr>
                <w:rFonts w:ascii="Arial" w:cs="Arial" w:eastAsia="Arial" w:hAnsi="Arial"/>
                <w:sz w:val="18"/>
                <w:szCs w:val="18"/>
                <w:color w:val="auto"/>
              </w:rPr>
              <w:t>Net income</w:t>
            </w:r>
          </w:p>
        </w:tc>
        <w:tc>
          <w:tcPr>
            <w:tcW w:w="2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3"/>
              <w:spacing w:after="0" w:line="196" w:lineRule="exact"/>
              <w:rPr>
                <w:sz w:val="20"/>
                <w:szCs w:val="20"/>
                <w:color w:val="auto"/>
              </w:rPr>
            </w:pPr>
            <w:r>
              <w:rPr>
                <w:rFonts w:ascii="Arial" w:cs="Arial" w:eastAsia="Arial" w:hAnsi="Arial"/>
                <w:sz w:val="18"/>
                <w:szCs w:val="18"/>
                <w:color w:val="auto"/>
              </w:rPr>
              <w:t>4,846</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4,847</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4,329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5FFFF"/>
          </w:tcPr>
          <w:p>
            <w:pPr>
              <w:spacing w:after="0"/>
              <w:rPr>
                <w:sz w:val="20"/>
                <w:szCs w:val="20"/>
                <w:color w:val="auto"/>
              </w:rPr>
            </w:pPr>
            <w:r>
              <w:rPr>
                <w:rFonts w:ascii="Arial" w:cs="Arial" w:eastAsia="Arial" w:hAnsi="Arial"/>
                <w:sz w:val="18"/>
                <w:szCs w:val="18"/>
                <w:color w:val="auto"/>
              </w:rPr>
              <w:t>Less: Net income attributable to the noncontrolling interest</w:t>
            </w:r>
          </w:p>
        </w:tc>
        <w:tc>
          <w:tcPr>
            <w:tcW w:w="240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940" w:type="dxa"/>
            <w:vAlign w:val="bottom"/>
            <w:tcBorders>
              <w:bottom w:val="single" w:sz="8" w:color="auto"/>
            </w:tcBorders>
            <w:shd w:val="clear" w:color="auto" w:fill="E5FFFF"/>
          </w:tcPr>
          <w:p>
            <w:pPr>
              <w:jc w:val="right"/>
              <w:ind w:right="33"/>
              <w:spacing w:after="0"/>
              <w:rPr>
                <w:sz w:val="20"/>
                <w:szCs w:val="20"/>
                <w:color w:val="auto"/>
              </w:rPr>
            </w:pPr>
            <w:r>
              <w:rPr>
                <w:rFonts w:ascii="Arial" w:cs="Arial" w:eastAsia="Arial" w:hAnsi="Arial"/>
                <w:sz w:val="18"/>
                <w:szCs w:val="18"/>
                <w:color w:val="auto"/>
              </w:rPr>
              <w:t>37</w:t>
            </w:r>
          </w:p>
        </w:tc>
        <w:tc>
          <w:tcPr>
            <w:tcW w:w="2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79</w:t>
            </w:r>
          </w:p>
        </w:tc>
        <w:tc>
          <w:tcPr>
            <w:tcW w:w="22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Pr>
          <w:p>
            <w:pPr>
              <w:spacing w:after="0" w:line="197" w:lineRule="exact"/>
              <w:rPr>
                <w:sz w:val="20"/>
                <w:szCs w:val="20"/>
                <w:color w:val="auto"/>
              </w:rPr>
            </w:pPr>
            <w:r>
              <w:rPr>
                <w:rFonts w:ascii="Arial" w:cs="Arial" w:eastAsia="Arial" w:hAnsi="Arial"/>
                <w:sz w:val="18"/>
                <w:szCs w:val="18"/>
                <w:color w:val="auto"/>
              </w:rPr>
              <w:t>Net income attributable to Honeywell</w:t>
            </w:r>
          </w:p>
        </w:tc>
        <w:tc>
          <w:tcPr>
            <w:tcW w:w="26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4,809</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4,768</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20" w:type="dxa"/>
            <w:vAlign w:val="bottom"/>
            <w:shd w:val="clear" w:color="auto" w:fill="E5FFFF"/>
          </w:tcPr>
          <w:p>
            <w:pPr>
              <w:spacing w:after="0"/>
              <w:rPr>
                <w:sz w:val="20"/>
                <w:szCs w:val="20"/>
                <w:color w:val="auto"/>
              </w:rPr>
            </w:pPr>
            <w:r>
              <w:rPr>
                <w:rFonts w:ascii="Arial" w:cs="Arial" w:eastAsia="Arial" w:hAnsi="Arial"/>
                <w:sz w:val="18"/>
                <w:szCs w:val="18"/>
                <w:color w:val="auto"/>
              </w:rPr>
              <w:t>Earnings per share of common stock - basic</w:t>
            </w:r>
          </w:p>
        </w:tc>
        <w:tc>
          <w:tcPr>
            <w:tcW w:w="2400" w:type="dxa"/>
            <w:vAlign w:val="bottom"/>
            <w:shd w:val="clear" w:color="auto" w:fill="E5FFFF"/>
          </w:tcPr>
          <w:p>
            <w:pPr>
              <w:spacing w:after="0"/>
              <w:rPr>
                <w:sz w:val="19"/>
                <w:szCs w:val="19"/>
                <w:color w:val="auto"/>
              </w:rPr>
            </w:pPr>
          </w:p>
        </w:tc>
        <w:tc>
          <w:tcPr>
            <w:tcW w:w="22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5FFFF"/>
          </w:tcPr>
          <w:p>
            <w:pPr>
              <w:jc w:val="right"/>
              <w:ind w:right="33"/>
              <w:spacing w:after="0"/>
              <w:rPr>
                <w:sz w:val="20"/>
                <w:szCs w:val="20"/>
                <w:color w:val="auto"/>
              </w:rPr>
            </w:pPr>
            <w:r>
              <w:rPr>
                <w:rFonts w:ascii="Arial" w:cs="Arial" w:eastAsia="Arial" w:hAnsi="Arial"/>
                <w:sz w:val="18"/>
                <w:szCs w:val="18"/>
                <w:color w:val="auto"/>
              </w:rPr>
              <w:t>6.29</w:t>
            </w:r>
          </w:p>
        </w:tc>
        <w:tc>
          <w:tcPr>
            <w:tcW w:w="240" w:type="dxa"/>
            <w:vAlign w:val="bottom"/>
            <w:shd w:val="clear" w:color="auto" w:fill="E5FFFF"/>
          </w:tcPr>
          <w:p>
            <w:pPr>
              <w:spacing w:after="0"/>
              <w:rPr>
                <w:sz w:val="19"/>
                <w:szCs w:val="19"/>
                <w:color w:val="auto"/>
              </w:rPr>
            </w:pPr>
          </w:p>
        </w:tc>
        <w:tc>
          <w:tcPr>
            <w:tcW w:w="260" w:type="dxa"/>
            <w:vAlign w:val="bottom"/>
            <w:shd w:val="clear" w:color="auto" w:fill="E5FF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6.11</w:t>
            </w:r>
          </w:p>
        </w:tc>
        <w:tc>
          <w:tcPr>
            <w:tcW w:w="48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shd w:val="clear" w:color="auto" w:fill="E5FFFF"/>
          </w:tcPr>
          <w:p>
            <w:pPr>
              <w:spacing w:after="0" w:line="20" w:lineRule="exact"/>
              <w:rPr>
                <w:sz w:val="1"/>
                <w:szCs w:val="1"/>
                <w:color w:val="auto"/>
              </w:rPr>
            </w:pPr>
          </w:p>
        </w:tc>
        <w:tc>
          <w:tcPr>
            <w:tcW w:w="2400" w:type="dxa"/>
            <w:vAlign w:val="bottom"/>
            <w:shd w:val="clear" w:color="auto" w:fill="E5FF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E5FF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of common stock - assuming dilution</w:t>
            </w:r>
          </w:p>
        </w:tc>
        <w:tc>
          <w:tcPr>
            <w:tcW w:w="2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40" w:type="dxa"/>
            <w:vAlign w:val="bottom"/>
            <w:gridSpan w:val="2"/>
            <w:vMerge w:val="continue"/>
          </w:tcPr>
          <w:p>
            <w:pPr>
              <w:spacing w:after="0"/>
              <w:rPr>
                <w:sz w:val="24"/>
                <w:szCs w:val="24"/>
                <w:color w:val="auto"/>
              </w:rPr>
            </w:pPr>
          </w:p>
        </w:tc>
        <w:tc>
          <w:tcPr>
            <w:tcW w:w="26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6.20</w:t>
            </w:r>
          </w:p>
        </w:tc>
        <w:tc>
          <w:tcPr>
            <w:tcW w:w="24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6.04</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20" w:type="dxa"/>
            <w:vAlign w:val="bottom"/>
            <w:shd w:val="clear" w:color="auto" w:fill="E5FFFF"/>
          </w:tcPr>
          <w:p>
            <w:pPr>
              <w:spacing w:after="0"/>
              <w:rPr>
                <w:sz w:val="20"/>
                <w:szCs w:val="20"/>
                <w:color w:val="auto"/>
              </w:rPr>
            </w:pPr>
            <w:r>
              <w:rPr>
                <w:rFonts w:ascii="Arial" w:cs="Arial" w:eastAsia="Arial" w:hAnsi="Arial"/>
                <w:sz w:val="18"/>
                <w:szCs w:val="18"/>
                <w:color w:val="auto"/>
              </w:rPr>
              <w:t>Cash dividends per share of common stock</w:t>
            </w:r>
          </w:p>
        </w:tc>
        <w:tc>
          <w:tcPr>
            <w:tcW w:w="2620" w:type="dxa"/>
            <w:vAlign w:val="bottom"/>
            <w:gridSpan w:val="2"/>
            <w:shd w:val="clear" w:color="auto" w:fill="E5FF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E5FFFF"/>
          </w:tcPr>
          <w:p>
            <w:pPr>
              <w:jc w:val="right"/>
              <w:ind w:right="33"/>
              <w:spacing w:after="0"/>
              <w:rPr>
                <w:sz w:val="20"/>
                <w:szCs w:val="20"/>
                <w:color w:val="auto"/>
              </w:rPr>
            </w:pPr>
            <w:r>
              <w:rPr>
                <w:rFonts w:ascii="Arial" w:cs="Arial" w:eastAsia="Arial" w:hAnsi="Arial"/>
                <w:sz w:val="18"/>
                <w:szCs w:val="18"/>
                <w:color w:val="auto"/>
              </w:rPr>
              <w:t>2.45</w:t>
            </w:r>
          </w:p>
        </w:tc>
        <w:tc>
          <w:tcPr>
            <w:tcW w:w="240" w:type="dxa"/>
            <w:vAlign w:val="bottom"/>
            <w:shd w:val="clear" w:color="auto" w:fill="E5FFFF"/>
          </w:tcPr>
          <w:p>
            <w:pPr>
              <w:spacing w:after="0"/>
              <w:rPr>
                <w:sz w:val="19"/>
                <w:szCs w:val="19"/>
                <w:color w:val="auto"/>
              </w:rPr>
            </w:pPr>
          </w:p>
        </w:tc>
        <w:tc>
          <w:tcPr>
            <w:tcW w:w="260" w:type="dxa"/>
            <w:vAlign w:val="bottom"/>
            <w:shd w:val="clear" w:color="auto" w:fill="E5FF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2.15</w:t>
            </w:r>
          </w:p>
        </w:tc>
        <w:tc>
          <w:tcPr>
            <w:tcW w:w="48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Borders>
              <w:top w:val="single" w:sz="8" w:color="E5FFFF"/>
            </w:tcBorders>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8920" w:type="dxa"/>
            <w:vAlign w:val="bottom"/>
            <w:gridSpan w:val="5"/>
          </w:tcPr>
          <w:p>
            <w:pPr>
              <w:jc w:val="center"/>
              <w:ind w:left="2370"/>
              <w:spacing w:after="0"/>
              <w:rPr>
                <w:sz w:val="20"/>
                <w:szCs w:val="20"/>
                <w:color w:val="auto"/>
              </w:rPr>
            </w:pPr>
            <w:r>
              <w:rPr>
                <w:rFonts w:ascii="Arial" w:cs="Arial" w:eastAsia="Arial" w:hAnsi="Arial"/>
                <w:sz w:val="18"/>
                <w:szCs w:val="18"/>
                <w:color w:val="auto"/>
                <w:w w:val="99"/>
              </w:rPr>
              <w:t>The Notes to Financial Statements are an integral part of this statement.</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400" w:type="dxa"/>
            <w:vAlign w:val="bottom"/>
          </w:tcPr>
          <w:p>
            <w:pPr>
              <w:jc w:val="right"/>
              <w:ind w:right="165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20" w:type="dxa"/>
            <w:vAlign w:val="bottom"/>
            <w:tcBorders>
              <w:bottom w:val="single" w:sz="8" w:color="C0C0C0"/>
            </w:tcBorders>
          </w:tcPr>
          <w:p>
            <w:pPr>
              <w:spacing w:after="0"/>
              <w:rPr>
                <w:sz w:val="21"/>
                <w:szCs w:val="21"/>
                <w:color w:val="auto"/>
              </w:rPr>
            </w:pPr>
          </w:p>
        </w:tc>
        <w:tc>
          <w:tcPr>
            <w:tcW w:w="240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94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88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86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gridSpan w:val="4"/>
          </w:tcPr>
          <w:p>
            <w:pPr>
              <w:ind w:left="120"/>
              <w:spacing w:after="0" w:line="155" w:lineRule="exact"/>
              <w:rPr>
                <w:sz w:val="20"/>
                <w:szCs w:val="20"/>
                <w:color w:val="auto"/>
              </w:rPr>
            </w:pPr>
            <w:r>
              <w:rPr>
                <w:rFonts w:ascii="Arial" w:cs="Arial" w:eastAsia="Arial" w:hAnsi="Arial"/>
                <w:sz w:val="14"/>
                <w:szCs w:val="14"/>
                <w:b w:val="1"/>
                <w:bCs w:val="1"/>
                <w:color w:val="auto"/>
              </w:rPr>
              <w:t>(Dollars in millions)</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Net income</w:t>
            </w:r>
          </w:p>
        </w:tc>
        <w:tc>
          <w:tcPr>
            <w:tcW w:w="260" w:type="dxa"/>
            <w:vAlign w:val="bottom"/>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4,846</w:t>
            </w:r>
          </w:p>
        </w:tc>
        <w:tc>
          <w:tcPr>
            <w:tcW w:w="50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4,847</w:t>
            </w:r>
          </w:p>
        </w:tc>
        <w:tc>
          <w:tcPr>
            <w:tcW w:w="140" w:type="dxa"/>
            <w:vAlign w:val="bottom"/>
            <w:shd w:val="clear" w:color="auto" w:fill="E5FFFF"/>
          </w:tcPr>
          <w:p>
            <w:pPr>
              <w:spacing w:after="0"/>
              <w:rPr>
                <w:sz w:val="17"/>
                <w:szCs w:val="17"/>
                <w:color w:val="auto"/>
              </w:rPr>
            </w:pPr>
          </w:p>
        </w:tc>
        <w:tc>
          <w:tcPr>
            <w:tcW w:w="34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4,329</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Foreign exchange translation adjustment</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(52)</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(1,152)</w:t>
            </w: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7520" w:type="dxa"/>
            <w:vAlign w:val="bottom"/>
          </w:tcPr>
          <w:p>
            <w:pPr>
              <w:ind w:left="520"/>
              <w:spacing w:after="0"/>
              <w:rPr>
                <w:sz w:val="20"/>
                <w:szCs w:val="20"/>
                <w:color w:val="auto"/>
              </w:rPr>
            </w:pPr>
            <w:r>
              <w:rPr>
                <w:rFonts w:ascii="Arial" w:cs="Arial" w:eastAsia="Arial" w:hAnsi="Arial"/>
                <w:sz w:val="18"/>
                <w:szCs w:val="18"/>
                <w:color w:val="auto"/>
              </w:rPr>
              <w:t>Actuarial losses</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(443)</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E5FFFF"/>
          </w:tcPr>
          <w:p>
            <w:pPr>
              <w:ind w:left="520"/>
              <w:spacing w:after="0" w:line="202" w:lineRule="exact"/>
              <w:rPr>
                <w:sz w:val="20"/>
                <w:szCs w:val="20"/>
                <w:color w:val="auto"/>
              </w:rPr>
            </w:pPr>
            <w:r>
              <w:rPr>
                <w:rFonts w:ascii="Arial" w:cs="Arial" w:eastAsia="Arial" w:hAnsi="Arial"/>
                <w:sz w:val="18"/>
                <w:szCs w:val="18"/>
                <w:color w:val="auto"/>
              </w:rPr>
              <w:t>Prior service (cost) credit</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(18)</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446</w:t>
            </w: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520"/>
              <w:spacing w:after="0" w:line="202" w:lineRule="exact"/>
              <w:rPr>
                <w:sz w:val="20"/>
                <w:szCs w:val="20"/>
                <w:color w:val="auto"/>
              </w:rPr>
            </w:pPr>
            <w:r>
              <w:rPr>
                <w:rFonts w:ascii="Arial" w:cs="Arial" w:eastAsia="Arial" w:hAnsi="Arial"/>
                <w:sz w:val="18"/>
                <w:szCs w:val="18"/>
                <w:color w:val="auto"/>
              </w:rPr>
              <w:t>Prior service credit recognized during year</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E5FFFF"/>
          </w:tcPr>
          <w:p>
            <w:pPr>
              <w:ind w:left="520"/>
              <w:spacing w:after="0" w:line="202" w:lineRule="exact"/>
              <w:rPr>
                <w:sz w:val="20"/>
                <w:szCs w:val="20"/>
                <w:color w:val="auto"/>
              </w:rPr>
            </w:pPr>
            <w:r>
              <w:rPr>
                <w:rFonts w:ascii="Arial" w:cs="Arial" w:eastAsia="Arial" w:hAnsi="Arial"/>
                <w:sz w:val="18"/>
                <w:szCs w:val="18"/>
                <w:color w:val="auto"/>
              </w:rPr>
              <w:t>Actuarial losses recognized during year</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236</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72</w:t>
            </w: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520"/>
              <w:spacing w:after="0" w:line="202" w:lineRule="exact"/>
              <w:rPr>
                <w:sz w:val="20"/>
                <w:szCs w:val="20"/>
                <w:color w:val="auto"/>
              </w:rPr>
            </w:pPr>
            <w:r>
              <w:rPr>
                <w:rFonts w:ascii="Arial" w:cs="Arial" w:eastAsia="Arial" w:hAnsi="Arial"/>
                <w:sz w:val="18"/>
                <w:szCs w:val="18"/>
                <w:color w:val="auto"/>
              </w:rPr>
              <w:t>Transition obligation recognized during year</w:t>
            </w:r>
          </w:p>
        </w:tc>
        <w:tc>
          <w:tcPr>
            <w:tcW w:w="26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E5FFFF"/>
          </w:tcPr>
          <w:p>
            <w:pPr>
              <w:ind w:left="520"/>
              <w:spacing w:after="0" w:line="202" w:lineRule="exact"/>
              <w:rPr>
                <w:sz w:val="20"/>
                <w:szCs w:val="20"/>
                <w:color w:val="auto"/>
              </w:rPr>
            </w:pPr>
            <w:r>
              <w:rPr>
                <w:rFonts w:ascii="Arial" w:cs="Arial" w:eastAsia="Arial" w:hAnsi="Arial"/>
                <w:sz w:val="18"/>
                <w:szCs w:val="18"/>
                <w:color w:val="auto"/>
              </w:rPr>
              <w:t>Settlements and curtailments</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w:t>
            </w: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E5FFFF"/>
            </w:tcBorders>
          </w:tcPr>
          <w:p>
            <w:pPr>
              <w:ind w:left="520"/>
              <w:spacing w:after="0"/>
              <w:rPr>
                <w:sz w:val="20"/>
                <w:szCs w:val="20"/>
                <w:color w:val="auto"/>
              </w:rPr>
            </w:pPr>
            <w:r>
              <w:rPr>
                <w:rFonts w:ascii="Arial" w:cs="Arial" w:eastAsia="Arial" w:hAnsi="Arial"/>
                <w:sz w:val="18"/>
                <w:szCs w:val="18"/>
                <w:color w:val="auto"/>
              </w:rPr>
              <w:t>Foreign exchange translation and other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73</w:t>
            </w:r>
          </w:p>
        </w:tc>
        <w:tc>
          <w:tcPr>
            <w:tcW w:w="2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20" w:type="dxa"/>
            <w:vAlign w:val="bottom"/>
            <w:shd w:val="clear" w:color="auto" w:fill="E5FFFF"/>
          </w:tcPr>
          <w:p>
            <w:pPr>
              <w:ind w:left="340"/>
              <w:spacing w:after="0" w:line="196" w:lineRule="exact"/>
              <w:rPr>
                <w:sz w:val="20"/>
                <w:szCs w:val="20"/>
                <w:color w:val="auto"/>
              </w:rPr>
            </w:pPr>
            <w:r>
              <w:rPr>
                <w:rFonts w:ascii="Arial" w:cs="Arial" w:eastAsia="Arial" w:hAnsi="Arial"/>
                <w:sz w:val="18"/>
                <w:szCs w:val="18"/>
                <w:color w:val="auto"/>
              </w:rPr>
              <w:t>Pensions and other postretirement benefit adjustments</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(235)</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84</w:t>
            </w: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7520" w:type="dxa"/>
            <w:vAlign w:val="bottom"/>
          </w:tcPr>
          <w:p>
            <w:pPr>
              <w:ind w:left="520"/>
              <w:spacing w:after="0"/>
              <w:rPr>
                <w:sz w:val="20"/>
                <w:szCs w:val="20"/>
                <w:color w:val="auto"/>
              </w:rPr>
            </w:pPr>
            <w:r>
              <w:rPr>
                <w:rFonts w:ascii="Arial" w:cs="Arial" w:eastAsia="Arial" w:hAnsi="Arial"/>
                <w:sz w:val="18"/>
                <w:szCs w:val="18"/>
                <w:color w:val="auto"/>
              </w:rPr>
              <w:t>Unrealized gains for the period</w:t>
            </w:r>
          </w:p>
        </w:tc>
        <w:tc>
          <w:tcPr>
            <w:tcW w:w="26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E5FFFF"/>
          </w:tcPr>
          <w:p>
            <w:pPr>
              <w:ind w:left="520"/>
              <w:spacing w:after="0"/>
              <w:rPr>
                <w:sz w:val="20"/>
                <w:szCs w:val="20"/>
                <w:color w:val="auto"/>
              </w:rPr>
            </w:pPr>
            <w:r>
              <w:rPr>
                <w:rFonts w:ascii="Arial" w:cs="Arial" w:eastAsia="Arial" w:hAnsi="Arial"/>
                <w:sz w:val="18"/>
                <w:szCs w:val="18"/>
                <w:color w:val="auto"/>
              </w:rPr>
              <w:t>Less: reclassification adjustment for gains included in net income</w:t>
            </w:r>
          </w:p>
        </w:tc>
        <w:tc>
          <w:tcPr>
            <w:tcW w:w="2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Changes in fair value of available for sale investments</w:t>
            </w:r>
          </w:p>
        </w:tc>
        <w:tc>
          <w:tcPr>
            <w:tcW w:w="2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E5FFFF"/>
          </w:tcPr>
          <w:p>
            <w:pPr>
              <w:ind w:left="520"/>
              <w:spacing w:after="0" w:line="202" w:lineRule="exact"/>
              <w:rPr>
                <w:sz w:val="20"/>
                <w:szCs w:val="20"/>
                <w:color w:val="auto"/>
              </w:rPr>
            </w:pPr>
            <w:r>
              <w:rPr>
                <w:rFonts w:ascii="Arial" w:cs="Arial" w:eastAsia="Arial" w:hAnsi="Arial"/>
                <w:sz w:val="18"/>
                <w:szCs w:val="18"/>
                <w:color w:val="auto"/>
              </w:rPr>
              <w:t>Effective portion of cash flow hedges recognized in other comprehensive income</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103</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91</w:t>
            </w: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E5FFFF"/>
            </w:tcBorders>
          </w:tcPr>
          <w:p>
            <w:pPr>
              <w:ind w:left="520"/>
              <w:spacing w:after="0"/>
              <w:rPr>
                <w:sz w:val="20"/>
                <w:szCs w:val="20"/>
                <w:color w:val="auto"/>
              </w:rPr>
            </w:pPr>
            <w:r>
              <w:rPr>
                <w:rFonts w:ascii="Arial" w:cs="Arial" w:eastAsia="Arial" w:hAnsi="Arial"/>
                <w:sz w:val="18"/>
                <w:szCs w:val="18"/>
                <w:color w:val="auto"/>
              </w:rPr>
              <w:t>Less: reclassification adjustment for (losses) gains included in net income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99</w:t>
            </w:r>
          </w:p>
        </w:tc>
        <w:tc>
          <w:tcPr>
            <w:tcW w:w="14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20" w:type="dxa"/>
            <w:vAlign w:val="bottom"/>
            <w:shd w:val="clear" w:color="auto" w:fill="E5FFFF"/>
          </w:tcPr>
          <w:p>
            <w:pPr>
              <w:ind w:left="340"/>
              <w:spacing w:after="0" w:line="196" w:lineRule="exact"/>
              <w:rPr>
                <w:sz w:val="20"/>
                <w:szCs w:val="20"/>
                <w:color w:val="auto"/>
              </w:rPr>
            </w:pPr>
            <w:r>
              <w:rPr>
                <w:rFonts w:ascii="Arial" w:cs="Arial" w:eastAsia="Arial" w:hAnsi="Arial"/>
                <w:sz w:val="18"/>
                <w:szCs w:val="18"/>
                <w:color w:val="auto"/>
              </w:rPr>
              <w:t>Changes in fair value of effective cash flow hedges</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108</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(8)</w:t>
            </w: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Comprehensive income</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4,667</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3,771</w:t>
            </w: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E5FFFF"/>
            </w:tcBorders>
          </w:tcPr>
          <w:p>
            <w:pPr>
              <w:ind w:left="340"/>
              <w:spacing w:after="0"/>
              <w:rPr>
                <w:sz w:val="20"/>
                <w:szCs w:val="20"/>
                <w:color w:val="auto"/>
              </w:rPr>
            </w:pPr>
            <w:r>
              <w:rPr>
                <w:rFonts w:ascii="Arial" w:cs="Arial" w:eastAsia="Arial" w:hAnsi="Arial"/>
                <w:sz w:val="18"/>
                <w:szCs w:val="18"/>
                <w:color w:val="auto"/>
              </w:rPr>
              <w:t>Less: Comprehensive income attributable to the noncontrolling interest</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w:t>
            </w:r>
          </w:p>
        </w:tc>
        <w:tc>
          <w:tcPr>
            <w:tcW w:w="2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w:t>
            </w:r>
          </w:p>
        </w:tc>
        <w:tc>
          <w:tcPr>
            <w:tcW w:w="14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Comprehensive income attributable to Honeywell</w:t>
            </w:r>
          </w:p>
        </w:tc>
        <w:tc>
          <w:tcPr>
            <w:tcW w:w="260" w:type="dxa"/>
            <w:vAlign w:val="bottom"/>
            <w:shd w:val="clear" w:color="auto" w:fill="E5FF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4,638</w:t>
            </w:r>
          </w:p>
        </w:tc>
        <w:tc>
          <w:tcPr>
            <w:tcW w:w="50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3,698</w:t>
            </w:r>
          </w:p>
        </w:tc>
        <w:tc>
          <w:tcPr>
            <w:tcW w:w="140" w:type="dxa"/>
            <w:vAlign w:val="bottom"/>
            <w:shd w:val="clear" w:color="auto" w:fill="E5FFFF"/>
          </w:tcPr>
          <w:p>
            <w:pPr>
              <w:spacing w:after="0"/>
              <w:rPr>
                <w:sz w:val="18"/>
                <w:szCs w:val="18"/>
                <w:color w:val="auto"/>
              </w:rPr>
            </w:pPr>
          </w:p>
        </w:tc>
        <w:tc>
          <w:tcPr>
            <w:tcW w:w="34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Financial Statements are an integral part of this statement.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160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7,843</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5,455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160"/>
              <w:spacing w:after="0" w:line="202" w:lineRule="exact"/>
              <w:rPr>
                <w:sz w:val="20"/>
                <w:szCs w:val="20"/>
                <w:color w:val="auto"/>
              </w:rPr>
            </w:pPr>
            <w:r>
              <w:rPr>
                <w:rFonts w:ascii="Arial" w:cs="Arial" w:eastAsia="Arial" w:hAnsi="Arial"/>
                <w:sz w:val="18"/>
                <w:szCs w:val="18"/>
                <w:color w:val="auto"/>
              </w:rPr>
              <w:t>Accounts, notes and other receivables</w:t>
            </w: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8,818</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8,075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Inventories</w:t>
            </w:r>
          </w:p>
        </w:tc>
        <w:tc>
          <w:tcPr>
            <w:tcW w:w="1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4,366</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Investments and other current assets</w:t>
            </w:r>
          </w:p>
        </w:tc>
        <w:tc>
          <w:tcPr>
            <w:tcW w:w="1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2,031</w:t>
            </w:r>
          </w:p>
        </w:tc>
        <w:tc>
          <w:tcPr>
            <w:tcW w:w="340" w:type="dxa"/>
            <w:vAlign w:val="bottom"/>
            <w:tcBorders>
              <w:bottom w:val="single" w:sz="8" w:color="E5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shd w:val="clear" w:color="auto" w:fill="E5FFFF"/>
          </w:tcPr>
          <w:p>
            <w:pPr>
              <w:ind w:left="340"/>
              <w:spacing w:after="0" w:line="196" w:lineRule="exact"/>
              <w:rPr>
                <w:sz w:val="20"/>
                <w:szCs w:val="20"/>
                <w:color w:val="auto"/>
              </w:rPr>
            </w:pPr>
            <w:r>
              <w:rPr>
                <w:rFonts w:ascii="Arial" w:cs="Arial" w:eastAsia="Arial" w:hAnsi="Arial"/>
                <w:sz w:val="18"/>
                <w:szCs w:val="18"/>
                <w:color w:val="auto"/>
              </w:rPr>
              <w:t>Total current assets</w:t>
            </w:r>
          </w:p>
        </w:tc>
        <w:tc>
          <w:tcPr>
            <w:tcW w:w="1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23,058</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20,053</w:t>
            </w:r>
          </w:p>
        </w:tc>
        <w:tc>
          <w:tcPr>
            <w:tcW w:w="0" w:type="dxa"/>
            <w:vAlign w:val="bottom"/>
          </w:tcPr>
          <w:p>
            <w:pPr>
              <w:spacing w:after="0"/>
              <w:rPr>
                <w:sz w:val="1"/>
                <w:szCs w:val="1"/>
                <w:color w:val="auto"/>
              </w:rPr>
            </w:pPr>
          </w:p>
        </w:tc>
      </w:tr>
      <w:tr>
        <w:trPr>
          <w:trHeight w:val="405"/>
        </w:trPr>
        <w:tc>
          <w:tcPr>
            <w:tcW w:w="7480" w:type="dxa"/>
            <w:vAlign w:val="bottom"/>
            <w:gridSpan w:val="2"/>
          </w:tcPr>
          <w:p>
            <w:pPr>
              <w:spacing w:after="0"/>
              <w:rPr>
                <w:sz w:val="20"/>
                <w:szCs w:val="20"/>
                <w:color w:val="auto"/>
              </w:rPr>
            </w:pPr>
            <w:r>
              <w:rPr>
                <w:rFonts w:ascii="Arial" w:cs="Arial" w:eastAsia="Arial" w:hAnsi="Arial"/>
                <w:sz w:val="18"/>
                <w:szCs w:val="18"/>
                <w:color w:val="auto"/>
              </w:rPr>
              <w:t>Investments and long-term receivables</w:t>
            </w: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587</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Property, plant and equipment - net</w:t>
            </w:r>
          </w:p>
        </w:tc>
        <w:tc>
          <w:tcPr>
            <w:tcW w:w="1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5,793</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17,707</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15,895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Other intangible assets - net</w:t>
            </w:r>
          </w:p>
        </w:tc>
        <w:tc>
          <w:tcPr>
            <w:tcW w:w="1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4,634</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4,577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spacing w:after="0" w:line="202" w:lineRule="exact"/>
              <w:rPr>
                <w:sz w:val="20"/>
                <w:szCs w:val="20"/>
                <w:color w:val="auto"/>
              </w:rPr>
            </w:pPr>
            <w:r>
              <w:rPr>
                <w:rFonts w:ascii="Arial" w:cs="Arial" w:eastAsia="Arial" w:hAnsi="Arial"/>
                <w:sz w:val="18"/>
                <w:szCs w:val="18"/>
                <w:color w:val="auto"/>
              </w:rPr>
              <w:t>Insurance recoveries for asbestos related liabilities</w:t>
            </w: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417</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Deferred income taxes</w:t>
            </w:r>
          </w:p>
        </w:tc>
        <w:tc>
          <w:tcPr>
            <w:tcW w:w="1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347</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Other assets</w:t>
            </w:r>
          </w:p>
        </w:tc>
        <w:tc>
          <w:tcPr>
            <w:tcW w:w="1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1,603</w:t>
            </w:r>
          </w:p>
        </w:tc>
        <w:tc>
          <w:tcPr>
            <w:tcW w:w="340" w:type="dxa"/>
            <w:vAlign w:val="bottom"/>
            <w:tcBorders>
              <w:bottom w:val="single" w:sz="8" w:color="E5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E5FFFF"/>
          </w:tcPr>
          <w:p>
            <w:pPr>
              <w:ind w:left="160"/>
              <w:spacing w:after="0" w:line="197" w:lineRule="exact"/>
              <w:rPr>
                <w:sz w:val="20"/>
                <w:szCs w:val="20"/>
                <w:color w:val="auto"/>
              </w:rPr>
            </w:pPr>
            <w:r>
              <w:rPr>
                <w:rFonts w:ascii="Arial" w:cs="Arial" w:eastAsia="Arial" w:hAnsi="Arial"/>
                <w:sz w:val="18"/>
                <w:szCs w:val="18"/>
                <w:color w:val="auto"/>
              </w:rPr>
              <w:t>Total assets</w:t>
            </w:r>
          </w:p>
        </w:tc>
        <w:tc>
          <w:tcPr>
            <w:tcW w:w="160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54,146</w:t>
            </w:r>
          </w:p>
        </w:tc>
        <w:tc>
          <w:tcPr>
            <w:tcW w:w="340" w:type="dxa"/>
            <w:vAlign w:val="bottom"/>
            <w:shd w:val="clear" w:color="auto" w:fill="E5FFFF"/>
          </w:tcPr>
          <w:p>
            <w:pPr>
              <w:spacing w:after="0"/>
              <w:rPr>
                <w:sz w:val="18"/>
                <w:szCs w:val="18"/>
                <w:color w:val="auto"/>
              </w:rPr>
            </w:pPr>
          </w:p>
        </w:tc>
        <w:tc>
          <w:tcPr>
            <w:tcW w:w="340" w:type="dxa"/>
            <w:vAlign w:val="bottom"/>
            <w:shd w:val="clear" w:color="auto" w:fill="E5FF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49,316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shd w:val="clear" w:color="auto" w:fill="E5FFFF"/>
          </w:tcPr>
          <w:p>
            <w:pPr>
              <w:spacing w:after="0" w:line="20" w:lineRule="exact"/>
              <w:rPr>
                <w:sz w:val="1"/>
                <w:szCs w:val="1"/>
                <w:color w:val="auto"/>
              </w:rPr>
            </w:pPr>
          </w:p>
        </w:tc>
        <w:tc>
          <w:tcPr>
            <w:tcW w:w="1340" w:type="dxa"/>
            <w:vAlign w:val="bottom"/>
            <w:shd w:val="clear" w:color="auto" w:fill="E5FF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E5FF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48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Current liabilities:</w:t>
            </w:r>
          </w:p>
        </w:tc>
        <w:tc>
          <w:tcPr>
            <w:tcW w:w="1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16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5,690</w:t>
            </w:r>
          </w:p>
        </w:tc>
        <w:tc>
          <w:tcPr>
            <w:tcW w:w="34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5,580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Commercial paper and other short-term borrowings</w:t>
            </w:r>
          </w:p>
        </w:tc>
        <w:tc>
          <w:tcPr>
            <w:tcW w:w="1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3,366</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5,937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160"/>
              <w:spacing w:after="0" w:line="202" w:lineRule="exact"/>
              <w:rPr>
                <w:sz w:val="20"/>
                <w:szCs w:val="20"/>
                <w:color w:val="auto"/>
              </w:rPr>
            </w:pPr>
            <w:r>
              <w:rPr>
                <w:rFonts w:ascii="Arial" w:cs="Arial" w:eastAsia="Arial" w:hAnsi="Arial"/>
                <w:sz w:val="18"/>
                <w:szCs w:val="18"/>
                <w:color w:val="auto"/>
              </w:rPr>
              <w:t>Current maturities of long-term debt</w:t>
            </w: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227</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Accrued liabilities</w:t>
            </w:r>
          </w:p>
        </w:tc>
        <w:tc>
          <w:tcPr>
            <w:tcW w:w="13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7,048</w:t>
            </w:r>
          </w:p>
        </w:tc>
        <w:tc>
          <w:tcPr>
            <w:tcW w:w="340" w:type="dxa"/>
            <w:vAlign w:val="bottom"/>
            <w:shd w:val="clear" w:color="auto" w:fill="E5FFFF"/>
          </w:tcPr>
          <w:p>
            <w:pPr>
              <w:spacing w:after="0"/>
              <w:rPr>
                <w:sz w:val="18"/>
                <w:szCs w:val="18"/>
                <w:color w:val="auto"/>
              </w:rPr>
            </w:pPr>
          </w:p>
        </w:tc>
        <w:tc>
          <w:tcPr>
            <w:tcW w:w="34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6,277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16,331</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18,371</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7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Long-term debt</w:t>
            </w:r>
          </w:p>
        </w:tc>
        <w:tc>
          <w:tcPr>
            <w:tcW w:w="1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12,182</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5,554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486</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Postretirement benefit obligations other than pensions</w:t>
            </w:r>
          </w:p>
        </w:tc>
        <w:tc>
          <w:tcPr>
            <w:tcW w:w="1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473</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spacing w:after="0" w:line="202" w:lineRule="exact"/>
              <w:rPr>
                <w:sz w:val="20"/>
                <w:szCs w:val="20"/>
                <w:color w:val="auto"/>
              </w:rPr>
            </w:pPr>
            <w:r>
              <w:rPr>
                <w:rFonts w:ascii="Arial" w:cs="Arial" w:eastAsia="Arial" w:hAnsi="Arial"/>
                <w:sz w:val="18"/>
                <w:szCs w:val="18"/>
                <w:color w:val="auto"/>
              </w:rPr>
              <w:t>Asbestos related liabilities</w:t>
            </w: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1,014</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Other liabilities</w:t>
            </w:r>
          </w:p>
        </w:tc>
        <w:tc>
          <w:tcPr>
            <w:tcW w:w="1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4,110</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4,348</w:t>
            </w:r>
          </w:p>
        </w:tc>
        <w:tc>
          <w:tcPr>
            <w:tcW w:w="0" w:type="dxa"/>
            <w:vAlign w:val="bottom"/>
          </w:tcPr>
          <w:p>
            <w:pPr>
              <w:spacing w:after="0"/>
              <w:rPr>
                <w:sz w:val="1"/>
                <w:szCs w:val="1"/>
                <w:color w:val="auto"/>
              </w:rPr>
            </w:pPr>
          </w:p>
        </w:tc>
      </w:tr>
      <w:tr>
        <w:trPr>
          <w:trHeight w:val="419"/>
        </w:trPr>
        <w:tc>
          <w:tcPr>
            <w:tcW w:w="7480" w:type="dxa"/>
            <w:vAlign w:val="bottom"/>
            <w:gridSpan w:val="2"/>
          </w:tcPr>
          <w:p>
            <w:pPr>
              <w:spacing w:after="0"/>
              <w:rPr>
                <w:sz w:val="20"/>
                <w:szCs w:val="20"/>
                <w:color w:val="auto"/>
              </w:rPr>
            </w:pPr>
            <w:r>
              <w:rPr>
                <w:rFonts w:ascii="Arial" w:cs="Arial" w:eastAsia="Arial" w:hAnsi="Arial"/>
                <w:sz w:val="18"/>
                <w:szCs w:val="18"/>
                <w:color w:val="auto"/>
              </w:rPr>
              <w:t>Redeemable noncontrolling interest</w:t>
            </w: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6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SHAREOWNERS’ EQUITY</w:t>
            </w:r>
          </w:p>
        </w:tc>
        <w:tc>
          <w:tcPr>
            <w:tcW w:w="1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spacing w:after="0" w:line="202" w:lineRule="exact"/>
              <w:rPr>
                <w:sz w:val="20"/>
                <w:szCs w:val="20"/>
                <w:color w:val="auto"/>
              </w:rPr>
            </w:pPr>
            <w:r>
              <w:rPr>
                <w:rFonts w:ascii="Arial" w:cs="Arial" w:eastAsia="Arial" w:hAnsi="Arial"/>
                <w:sz w:val="18"/>
                <w:szCs w:val="18"/>
                <w:color w:val="auto"/>
              </w:rPr>
              <w:t>Capital - common stock issued</w:t>
            </w: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958</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FFFF"/>
          </w:tcPr>
          <w:p>
            <w:pPr>
              <w:ind w:left="600"/>
              <w:spacing w:after="0" w:line="202" w:lineRule="exact"/>
              <w:rPr>
                <w:sz w:val="20"/>
                <w:szCs w:val="20"/>
                <w:color w:val="auto"/>
              </w:rPr>
            </w:pPr>
            <w:r>
              <w:rPr>
                <w:rFonts w:ascii="Arial" w:cs="Arial" w:eastAsia="Arial" w:hAnsi="Arial"/>
                <w:sz w:val="18"/>
                <w:szCs w:val="18"/>
                <w:color w:val="auto"/>
              </w:rPr>
              <w:t>- additional paid-in capital</w:t>
            </w:r>
          </w:p>
        </w:tc>
        <w:tc>
          <w:tcPr>
            <w:tcW w:w="1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5,781</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5,377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spacing w:after="0" w:line="202" w:lineRule="exact"/>
              <w:rPr>
                <w:sz w:val="20"/>
                <w:szCs w:val="20"/>
                <w:color w:val="auto"/>
              </w:rPr>
            </w:pPr>
            <w:r>
              <w:rPr>
                <w:rFonts w:ascii="Arial" w:cs="Arial" w:eastAsia="Arial" w:hAnsi="Arial"/>
                <w:sz w:val="18"/>
                <w:szCs w:val="18"/>
                <w:color w:val="auto"/>
              </w:rPr>
              <w:t>Common stock held in treasury, at cost</w:t>
            </w: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(13,366)</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(11,664)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1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(2,714)</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Retained earnings</w:t>
            </w:r>
          </w:p>
        </w:tc>
        <w:tc>
          <w:tcPr>
            <w:tcW w:w="1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28,710</w:t>
            </w:r>
          </w:p>
        </w:tc>
        <w:tc>
          <w:tcPr>
            <w:tcW w:w="340" w:type="dxa"/>
            <w:vAlign w:val="bottom"/>
            <w:tcBorders>
              <w:bottom w:val="single" w:sz="8" w:color="E5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26,147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shd w:val="clear" w:color="auto" w:fill="E5FFFF"/>
          </w:tcPr>
          <w:p>
            <w:pPr>
              <w:ind w:left="160"/>
              <w:spacing w:after="0" w:line="196" w:lineRule="exact"/>
              <w:rPr>
                <w:sz w:val="20"/>
                <w:szCs w:val="20"/>
                <w:color w:val="auto"/>
              </w:rPr>
            </w:pPr>
            <w:r>
              <w:rPr>
                <w:rFonts w:ascii="Arial" w:cs="Arial" w:eastAsia="Arial" w:hAnsi="Arial"/>
                <w:sz w:val="18"/>
                <w:szCs w:val="18"/>
                <w:color w:val="auto"/>
              </w:rPr>
              <w:t>Total Honeywell shareowners’ equity</w:t>
            </w:r>
          </w:p>
        </w:tc>
        <w:tc>
          <w:tcPr>
            <w:tcW w:w="1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19,369</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18,283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Noncontrolling interest</w:t>
            </w:r>
          </w:p>
        </w:tc>
        <w:tc>
          <w:tcPr>
            <w:tcW w:w="1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178</w:t>
            </w:r>
          </w:p>
        </w:tc>
        <w:tc>
          <w:tcPr>
            <w:tcW w:w="340" w:type="dxa"/>
            <w:vAlign w:val="bottom"/>
            <w:tcBorders>
              <w:bottom w:val="single" w:sz="8" w:color="E5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shd w:val="clear" w:color="auto" w:fill="E5FFFF"/>
          </w:tcPr>
          <w:p>
            <w:pPr>
              <w:ind w:left="160"/>
              <w:spacing w:after="0" w:line="196" w:lineRule="exact"/>
              <w:rPr>
                <w:sz w:val="20"/>
                <w:szCs w:val="20"/>
                <w:color w:val="auto"/>
              </w:rPr>
            </w:pPr>
            <w:r>
              <w:rPr>
                <w:rFonts w:ascii="Arial" w:cs="Arial" w:eastAsia="Arial" w:hAnsi="Arial"/>
                <w:sz w:val="18"/>
                <w:szCs w:val="18"/>
                <w:color w:val="auto"/>
              </w:rPr>
              <w:t>Total shareowners’ equity</w:t>
            </w:r>
          </w:p>
        </w:tc>
        <w:tc>
          <w:tcPr>
            <w:tcW w:w="134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8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19,547</w:t>
            </w:r>
          </w:p>
        </w:tc>
        <w:tc>
          <w:tcPr>
            <w:tcW w:w="340" w:type="dxa"/>
            <w:vAlign w:val="bottom"/>
            <w:shd w:val="clear" w:color="auto" w:fill="E5FFFF"/>
          </w:tcPr>
          <w:p>
            <w:pPr>
              <w:spacing w:after="0"/>
              <w:rPr>
                <w:sz w:val="17"/>
                <w:szCs w:val="17"/>
                <w:color w:val="auto"/>
              </w:rPr>
            </w:pPr>
          </w:p>
        </w:tc>
        <w:tc>
          <w:tcPr>
            <w:tcW w:w="340" w:type="dxa"/>
            <w:vAlign w:val="bottom"/>
            <w:tcBorders>
              <w:bottom w:val="single" w:sz="8" w:color="auto"/>
            </w:tcBorders>
            <w:shd w:val="clear" w:color="auto" w:fill="E5FFFF"/>
          </w:tcPr>
          <w:p>
            <w:pPr>
              <w:spacing w:after="0"/>
              <w:rPr>
                <w:sz w:val="17"/>
                <w:szCs w:val="17"/>
                <w:color w:val="auto"/>
              </w:rPr>
            </w:pPr>
          </w:p>
        </w:tc>
        <w:tc>
          <w:tcPr>
            <w:tcW w:w="78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18,418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ind w:left="160"/>
              <w:spacing w:after="0" w:line="197" w:lineRule="exact"/>
              <w:rPr>
                <w:sz w:val="20"/>
                <w:szCs w:val="20"/>
                <w:color w:val="auto"/>
              </w:rPr>
            </w:pPr>
            <w:r>
              <w:rPr>
                <w:rFonts w:ascii="Arial" w:cs="Arial" w:eastAsia="Arial" w:hAnsi="Arial"/>
                <w:sz w:val="18"/>
                <w:szCs w:val="18"/>
                <w:color w:val="auto"/>
              </w:rPr>
              <w:t>Total liabilities, redeemable noncontrolling interest and shareowners’ equity</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54,146</w:t>
            </w:r>
          </w:p>
        </w:tc>
        <w:tc>
          <w:tcPr>
            <w:tcW w:w="3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49,316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Financial Statements are an integral part of this statement.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5"/>
                <w:szCs w:val="15"/>
                <w:color w:val="auto"/>
              </w:rPr>
            </w:pPr>
          </w:p>
        </w:tc>
      </w:tr>
      <w:tr>
        <w:trPr>
          <w:trHeight w:val="169"/>
        </w:trPr>
        <w:tc>
          <w:tcPr>
            <w:tcW w:w="7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2014</w:t>
            </w:r>
          </w:p>
        </w:tc>
      </w:tr>
      <w:tr>
        <w:trPr>
          <w:trHeight w:val="156"/>
        </w:trPr>
        <w:tc>
          <w:tcPr>
            <w:tcW w:w="7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gridSpan w:val="4"/>
          </w:tcPr>
          <w:p>
            <w:pPr>
              <w:ind w:left="120"/>
              <w:spacing w:after="0" w:line="155" w:lineRule="exact"/>
              <w:rPr>
                <w:sz w:val="20"/>
                <w:szCs w:val="20"/>
                <w:color w:val="auto"/>
              </w:rPr>
            </w:pPr>
            <w:r>
              <w:rPr>
                <w:rFonts w:ascii="Arial" w:cs="Arial" w:eastAsia="Arial" w:hAnsi="Arial"/>
                <w:sz w:val="14"/>
                <w:szCs w:val="14"/>
                <w:b w:val="1"/>
                <w:bCs w:val="1"/>
                <w:color w:val="auto"/>
              </w:rPr>
              <w:t>(Dollars in millions)</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03"/>
        </w:trPr>
        <w:tc>
          <w:tcPr>
            <w:tcW w:w="754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r>
      <w:tr>
        <w:trPr>
          <w:trHeight w:val="203"/>
        </w:trPr>
        <w:tc>
          <w:tcPr>
            <w:tcW w:w="7540" w:type="dxa"/>
            <w:vAlign w:val="bottom"/>
          </w:tcPr>
          <w:p>
            <w:pPr>
              <w:ind w:left="180"/>
              <w:spacing w:after="0" w:line="202" w:lineRule="exact"/>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4,846</w:t>
            </w:r>
          </w:p>
        </w:tc>
        <w:tc>
          <w:tcPr>
            <w:tcW w:w="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4,847</w:t>
            </w:r>
          </w:p>
        </w:tc>
        <w:tc>
          <w:tcPr>
            <w:tcW w:w="140" w:type="dxa"/>
            <w:vAlign w:val="bottom"/>
          </w:tcPr>
          <w:p>
            <w:pPr>
              <w:spacing w:after="0"/>
              <w:rPr>
                <w:sz w:val="17"/>
                <w:szCs w:val="17"/>
                <w:color w:val="auto"/>
              </w:rPr>
            </w:pPr>
          </w:p>
        </w:tc>
        <w:tc>
          <w:tcPr>
            <w:tcW w:w="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4,329</w:t>
            </w:r>
          </w:p>
        </w:tc>
      </w:tr>
      <w:tr>
        <w:trPr>
          <w:trHeight w:val="216"/>
        </w:trPr>
        <w:tc>
          <w:tcPr>
            <w:tcW w:w="7540" w:type="dxa"/>
            <w:vAlign w:val="bottom"/>
            <w:shd w:val="clear" w:color="auto" w:fill="E5FFFF"/>
          </w:tcPr>
          <w:p>
            <w:pPr>
              <w:ind w:left="180"/>
              <w:spacing w:after="0"/>
              <w:rPr>
                <w:sz w:val="20"/>
                <w:szCs w:val="20"/>
                <w:color w:val="auto"/>
              </w:rPr>
            </w:pPr>
            <w:r>
              <w:rPr>
                <w:rFonts w:ascii="Arial" w:cs="Arial" w:eastAsia="Arial" w:hAnsi="Arial"/>
                <w:sz w:val="18"/>
                <w:szCs w:val="18"/>
                <w:color w:val="auto"/>
              </w:rPr>
              <w:t>Less: Net income attributable to the noncontrolling interest</w:t>
            </w:r>
          </w:p>
        </w:tc>
        <w:tc>
          <w:tcPr>
            <w:tcW w:w="2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37</w:t>
            </w:r>
          </w:p>
        </w:tc>
        <w:tc>
          <w:tcPr>
            <w:tcW w:w="2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79</w:t>
            </w:r>
          </w:p>
        </w:tc>
        <w:tc>
          <w:tcPr>
            <w:tcW w:w="1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90</w:t>
            </w:r>
          </w:p>
        </w:tc>
      </w:tr>
      <w:tr>
        <w:trPr>
          <w:trHeight w:val="196"/>
        </w:trPr>
        <w:tc>
          <w:tcPr>
            <w:tcW w:w="7540" w:type="dxa"/>
            <w:vAlign w:val="bottom"/>
          </w:tcPr>
          <w:p>
            <w:pPr>
              <w:ind w:left="180"/>
              <w:spacing w:after="0" w:line="196" w:lineRule="exact"/>
              <w:rPr>
                <w:sz w:val="20"/>
                <w:szCs w:val="20"/>
                <w:color w:val="auto"/>
              </w:rPr>
            </w:pPr>
            <w:r>
              <w:rPr>
                <w:rFonts w:ascii="Arial" w:cs="Arial" w:eastAsia="Arial" w:hAnsi="Arial"/>
                <w:sz w:val="18"/>
                <w:szCs w:val="18"/>
                <w:color w:val="auto"/>
              </w:rPr>
              <w:t>Net income attributable to Honeywell</w:t>
            </w:r>
          </w:p>
        </w:tc>
        <w:tc>
          <w:tcPr>
            <w:tcW w:w="260" w:type="dxa"/>
            <w:vAlign w:val="bottom"/>
          </w:tcPr>
          <w:p>
            <w:pPr>
              <w:spacing w:after="0"/>
              <w:rPr>
                <w:sz w:val="17"/>
                <w:szCs w:val="17"/>
                <w:color w:val="auto"/>
              </w:rPr>
            </w:pPr>
          </w:p>
        </w:tc>
        <w:tc>
          <w:tcPr>
            <w:tcW w:w="900" w:type="dxa"/>
            <w:vAlign w:val="bottom"/>
          </w:tcPr>
          <w:p>
            <w:pPr>
              <w:jc w:val="right"/>
              <w:ind w:right="31"/>
              <w:spacing w:after="0" w:line="196" w:lineRule="exact"/>
              <w:rPr>
                <w:sz w:val="20"/>
                <w:szCs w:val="20"/>
                <w:color w:val="auto"/>
              </w:rPr>
            </w:pPr>
            <w:r>
              <w:rPr>
                <w:rFonts w:ascii="Arial" w:cs="Arial" w:eastAsia="Arial" w:hAnsi="Arial"/>
                <w:sz w:val="18"/>
                <w:szCs w:val="18"/>
                <w:color w:val="auto"/>
              </w:rPr>
              <w:t>4,809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4,768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4,239</w:t>
            </w:r>
          </w:p>
        </w:tc>
      </w:tr>
      <w:tr>
        <w:trPr>
          <w:trHeight w:val="202"/>
        </w:trPr>
        <w:tc>
          <w:tcPr>
            <w:tcW w:w="7540" w:type="dxa"/>
            <w:vAlign w:val="bottom"/>
            <w:shd w:val="clear" w:color="auto" w:fill="E5FFFF"/>
          </w:tcPr>
          <w:p>
            <w:pPr>
              <w:ind w:left="180"/>
              <w:spacing w:after="0" w:line="201" w:lineRule="exact"/>
              <w:rPr>
                <w:sz w:val="20"/>
                <w:szCs w:val="20"/>
                <w:color w:val="auto"/>
              </w:rPr>
            </w:pPr>
            <w:r>
              <w:rPr>
                <w:rFonts w:ascii="Arial" w:cs="Arial" w:eastAsia="Arial" w:hAnsi="Arial"/>
                <w:sz w:val="18"/>
                <w:szCs w:val="18"/>
                <w:color w:val="auto"/>
              </w:rPr>
              <w:t>Adjustments to reconcile net income attributable to Honeywell to net cash provided by</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r>
      <w:tr>
        <w:trPr>
          <w:trHeight w:val="203"/>
        </w:trPr>
        <w:tc>
          <w:tcPr>
            <w:tcW w:w="7540" w:type="dxa"/>
            <w:vAlign w:val="bottom"/>
            <w:shd w:val="clear" w:color="auto" w:fill="E5FFFF"/>
          </w:tcPr>
          <w:p>
            <w:pPr>
              <w:ind w:left="180"/>
              <w:spacing w:after="0" w:line="203" w:lineRule="exact"/>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r>
      <w:tr>
        <w:trPr>
          <w:trHeight w:val="203"/>
        </w:trPr>
        <w:tc>
          <w:tcPr>
            <w:tcW w:w="7540" w:type="dxa"/>
            <w:vAlign w:val="bottom"/>
          </w:tcPr>
          <w:p>
            <w:pPr>
              <w:ind w:left="360"/>
              <w:spacing w:after="0" w:line="202" w:lineRule="exact"/>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7"/>
                <w:szCs w:val="17"/>
                <w:color w:val="auto"/>
              </w:rPr>
            </w:pP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726</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672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667</w:t>
            </w:r>
          </w:p>
        </w:tc>
      </w:tr>
      <w:tr>
        <w:trPr>
          <w:trHeight w:val="203"/>
        </w:trPr>
        <w:tc>
          <w:tcPr>
            <w:tcW w:w="754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Amortization</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304</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211</w:t>
            </w: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257</w:t>
            </w:r>
          </w:p>
        </w:tc>
      </w:tr>
      <w:tr>
        <w:trPr>
          <w:trHeight w:val="203"/>
        </w:trPr>
        <w:tc>
          <w:tcPr>
            <w:tcW w:w="7540" w:type="dxa"/>
            <w:vAlign w:val="bottom"/>
          </w:tcPr>
          <w:p>
            <w:pPr>
              <w:ind w:left="360"/>
              <w:spacing w:after="0" w:line="202" w:lineRule="exact"/>
              <w:rPr>
                <w:sz w:val="20"/>
                <w:szCs w:val="20"/>
                <w:color w:val="auto"/>
              </w:rPr>
            </w:pPr>
            <w:r>
              <w:rPr>
                <w:rFonts w:ascii="Arial" w:cs="Arial" w:eastAsia="Arial" w:hAnsi="Arial"/>
                <w:sz w:val="18"/>
                <w:szCs w:val="18"/>
                <w:color w:val="auto"/>
              </w:rPr>
              <w:t>(Gain) loss on sale of non-strategic businesses and assets</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w:t>
            </w:r>
          </w:p>
        </w:tc>
      </w:tr>
      <w:tr>
        <w:trPr>
          <w:trHeight w:val="203"/>
        </w:trPr>
        <w:tc>
          <w:tcPr>
            <w:tcW w:w="754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Gain on sale of available for sale investments</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(221)</w:t>
            </w:r>
          </w:p>
        </w:tc>
      </w:tr>
      <w:tr>
        <w:trPr>
          <w:trHeight w:val="203"/>
        </w:trPr>
        <w:tc>
          <w:tcPr>
            <w:tcW w:w="7540" w:type="dxa"/>
            <w:vAlign w:val="bottom"/>
          </w:tcPr>
          <w:p>
            <w:pPr>
              <w:ind w:left="360"/>
              <w:spacing w:after="0" w:line="202" w:lineRule="exact"/>
              <w:rPr>
                <w:sz w:val="20"/>
                <w:szCs w:val="20"/>
                <w:color w:val="auto"/>
              </w:rPr>
            </w:pPr>
            <w:r>
              <w:rPr>
                <w:rFonts w:ascii="Arial" w:cs="Arial" w:eastAsia="Arial" w:hAnsi="Arial"/>
                <w:sz w:val="18"/>
                <w:szCs w:val="18"/>
                <w:color w:val="auto"/>
              </w:rPr>
              <w:t>Repositioning and other charges</w:t>
            </w:r>
          </w:p>
        </w:tc>
        <w:tc>
          <w:tcPr>
            <w:tcW w:w="260" w:type="dxa"/>
            <w:vAlign w:val="bottom"/>
          </w:tcPr>
          <w:p>
            <w:pPr>
              <w:spacing w:after="0"/>
              <w:rPr>
                <w:sz w:val="17"/>
                <w:szCs w:val="17"/>
                <w:color w:val="auto"/>
              </w:rPr>
            </w:pP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695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598</w:t>
            </w:r>
          </w:p>
        </w:tc>
      </w:tr>
      <w:tr>
        <w:trPr>
          <w:trHeight w:val="203"/>
        </w:trPr>
        <w:tc>
          <w:tcPr>
            <w:tcW w:w="754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Net payments for repositioning and other charges</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(625)</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(537)</w:t>
            </w: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(530)</w:t>
            </w:r>
          </w:p>
        </w:tc>
      </w:tr>
      <w:tr>
        <w:trPr>
          <w:trHeight w:val="203"/>
        </w:trPr>
        <w:tc>
          <w:tcPr>
            <w:tcW w:w="7540" w:type="dxa"/>
            <w:vAlign w:val="bottom"/>
          </w:tcPr>
          <w:p>
            <w:pPr>
              <w:ind w:left="360"/>
              <w:spacing w:after="0" w:line="202" w:lineRule="exact"/>
              <w:rPr>
                <w:sz w:val="20"/>
                <w:szCs w:val="20"/>
                <w:color w:val="auto"/>
              </w:rPr>
            </w:pPr>
            <w:r>
              <w:rPr>
                <w:rFonts w:ascii="Arial" w:cs="Arial" w:eastAsia="Arial" w:hAnsi="Arial"/>
                <w:sz w:val="18"/>
                <w:szCs w:val="18"/>
                <w:color w:val="auto"/>
              </w:rPr>
              <w:t>Pension and other postretirement (income) expense</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(360)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(323)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w:t>
            </w:r>
          </w:p>
        </w:tc>
      </w:tr>
      <w:tr>
        <w:trPr>
          <w:trHeight w:val="203"/>
        </w:trPr>
        <w:tc>
          <w:tcPr>
            <w:tcW w:w="754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Pension and other postretirement benefit payments</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(143)</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(122)</w:t>
            </w: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(167)</w:t>
            </w:r>
          </w:p>
        </w:tc>
      </w:tr>
      <w:tr>
        <w:trPr>
          <w:trHeight w:val="203"/>
        </w:trPr>
        <w:tc>
          <w:tcPr>
            <w:tcW w:w="7540" w:type="dxa"/>
            <w:vAlign w:val="bottom"/>
          </w:tcPr>
          <w:p>
            <w:pPr>
              <w:ind w:left="360"/>
              <w:spacing w:after="0" w:line="202" w:lineRule="exact"/>
              <w:rPr>
                <w:sz w:val="20"/>
                <w:szCs w:val="20"/>
                <w:color w:val="auto"/>
              </w:rPr>
            </w:pPr>
            <w:r>
              <w:rPr>
                <w:rFonts w:ascii="Arial" w:cs="Arial" w:eastAsia="Arial" w:hAnsi="Arial"/>
                <w:sz w:val="18"/>
                <w:szCs w:val="18"/>
                <w:color w:val="auto"/>
              </w:rPr>
              <w:t>Stock compensation expense</w:t>
            </w:r>
          </w:p>
        </w:tc>
        <w:tc>
          <w:tcPr>
            <w:tcW w:w="260" w:type="dxa"/>
            <w:vAlign w:val="bottom"/>
          </w:tcPr>
          <w:p>
            <w:pPr>
              <w:spacing w:after="0"/>
              <w:rPr>
                <w:sz w:val="17"/>
                <w:szCs w:val="17"/>
                <w:color w:val="auto"/>
              </w:rPr>
            </w:pP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184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187</w:t>
            </w:r>
          </w:p>
        </w:tc>
      </w:tr>
      <w:tr>
        <w:trPr>
          <w:trHeight w:val="203"/>
        </w:trPr>
        <w:tc>
          <w:tcPr>
            <w:tcW w:w="754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76</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315</w:t>
            </w: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132</w:t>
            </w:r>
          </w:p>
        </w:tc>
      </w:tr>
      <w:tr>
        <w:trPr>
          <w:trHeight w:val="203"/>
        </w:trPr>
        <w:tc>
          <w:tcPr>
            <w:tcW w:w="7540" w:type="dxa"/>
            <w:vAlign w:val="bottom"/>
          </w:tcPr>
          <w:p>
            <w:pPr>
              <w:ind w:left="360"/>
              <w:spacing w:after="0" w:line="202" w:lineRule="exact"/>
              <w:rPr>
                <w:sz w:val="20"/>
                <w:szCs w:val="20"/>
                <w:color w:val="auto"/>
              </w:rPr>
            </w:pPr>
            <w:r>
              <w:rPr>
                <w:rFonts w:ascii="Arial" w:cs="Arial" w:eastAsia="Arial" w:hAnsi="Arial"/>
                <w:sz w:val="18"/>
                <w:szCs w:val="18"/>
                <w:color w:val="auto"/>
              </w:rPr>
              <w:t>Excess tax benefits from share based payment arrangements</w:t>
            </w:r>
          </w:p>
        </w:tc>
        <w:tc>
          <w:tcPr>
            <w:tcW w:w="260" w:type="dxa"/>
            <w:vAlign w:val="bottom"/>
          </w:tcPr>
          <w:p>
            <w:pPr>
              <w:spacing w:after="0"/>
              <w:rPr>
                <w:sz w:val="17"/>
                <w:szCs w:val="17"/>
                <w:color w:val="auto"/>
              </w:rPr>
            </w:pP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r>
      <w:tr>
        <w:trPr>
          <w:trHeight w:val="203"/>
        </w:trPr>
        <w:tc>
          <w:tcPr>
            <w:tcW w:w="754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Other</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194</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57</w:t>
            </w: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(271)</w:t>
            </w:r>
          </w:p>
        </w:tc>
      </w:tr>
      <w:tr>
        <w:trPr>
          <w:trHeight w:val="203"/>
        </w:trPr>
        <w:tc>
          <w:tcPr>
            <w:tcW w:w="7540" w:type="dxa"/>
            <w:vAlign w:val="bottom"/>
          </w:tcPr>
          <w:p>
            <w:pPr>
              <w:ind w:left="360"/>
              <w:spacing w:after="0" w:line="202" w:lineRule="exact"/>
              <w:rPr>
                <w:sz w:val="20"/>
                <w:szCs w:val="20"/>
                <w:color w:val="auto"/>
              </w:rPr>
            </w:pPr>
            <w:r>
              <w:rPr>
                <w:rFonts w:ascii="Arial" w:cs="Arial" w:eastAsia="Arial" w:hAnsi="Arial"/>
                <w:sz w:val="18"/>
                <w:szCs w:val="18"/>
                <w:color w:val="auto"/>
              </w:rPr>
              <w:t>Changes in assets and liabilities, net of the effects of acquisitions and divestitures: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7540" w:type="dxa"/>
            <w:vAlign w:val="bottom"/>
            <w:shd w:val="clear" w:color="auto" w:fill="E5FFFF"/>
          </w:tcPr>
          <w:p>
            <w:pPr>
              <w:ind w:left="540"/>
              <w:spacing w:after="0" w:line="202" w:lineRule="exact"/>
              <w:rPr>
                <w:sz w:val="20"/>
                <w:szCs w:val="20"/>
                <w:color w:val="auto"/>
              </w:rPr>
            </w:pPr>
            <w:r>
              <w:rPr>
                <w:rFonts w:ascii="Arial" w:cs="Arial" w:eastAsia="Arial" w:hAnsi="Arial"/>
                <w:sz w:val="18"/>
                <w:szCs w:val="18"/>
                <w:color w:val="auto"/>
              </w:rPr>
              <w:t>Accounts, notes and other receivables</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(770)</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211</w:t>
            </w: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(172)</w:t>
            </w:r>
          </w:p>
        </w:tc>
      </w:tr>
      <w:tr>
        <w:trPr>
          <w:trHeight w:val="203"/>
        </w:trPr>
        <w:tc>
          <w:tcPr>
            <w:tcW w:w="7540" w:type="dxa"/>
            <w:vAlign w:val="bottom"/>
          </w:tcPr>
          <w:p>
            <w:pPr>
              <w:ind w:left="540"/>
              <w:spacing w:after="0" w:line="202" w:lineRule="exact"/>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(200)</w:t>
            </w:r>
          </w:p>
        </w:tc>
      </w:tr>
      <w:tr>
        <w:trPr>
          <w:trHeight w:val="203"/>
        </w:trPr>
        <w:tc>
          <w:tcPr>
            <w:tcW w:w="7540" w:type="dxa"/>
            <w:vAlign w:val="bottom"/>
            <w:shd w:val="clear" w:color="auto" w:fill="E5FFFF"/>
          </w:tcPr>
          <w:p>
            <w:pPr>
              <w:ind w:left="540"/>
              <w:spacing w:after="0" w:line="202" w:lineRule="exact"/>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117</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80</w:t>
            </w: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120</w:t>
            </w:r>
          </w:p>
        </w:tc>
      </w:tr>
      <w:tr>
        <w:trPr>
          <w:trHeight w:val="203"/>
        </w:trPr>
        <w:tc>
          <w:tcPr>
            <w:tcW w:w="7540" w:type="dxa"/>
            <w:vAlign w:val="bottom"/>
          </w:tcPr>
          <w:p>
            <w:pPr>
              <w:ind w:left="540"/>
              <w:spacing w:after="0" w:line="202" w:lineRule="exact"/>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7"/>
                <w:szCs w:val="17"/>
                <w:color w:val="auto"/>
              </w:rPr>
            </w:pP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254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307</w:t>
            </w:r>
          </w:p>
        </w:tc>
      </w:tr>
      <w:tr>
        <w:trPr>
          <w:trHeight w:val="216"/>
        </w:trPr>
        <w:tc>
          <w:tcPr>
            <w:tcW w:w="7540" w:type="dxa"/>
            <w:vAlign w:val="bottom"/>
            <w:shd w:val="clear" w:color="auto" w:fill="E5FFFF"/>
          </w:tcPr>
          <w:p>
            <w:pPr>
              <w:ind w:left="54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(667)</w:t>
            </w:r>
          </w:p>
        </w:tc>
        <w:tc>
          <w:tcPr>
            <w:tcW w:w="1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181</w:t>
            </w:r>
          </w:p>
        </w:tc>
      </w:tr>
      <w:tr>
        <w:trPr>
          <w:trHeight w:val="196"/>
        </w:trPr>
        <w:tc>
          <w:tcPr>
            <w:tcW w:w="7540" w:type="dxa"/>
            <w:vAlign w:val="bottom"/>
            <w:tcBorders>
              <w:bottom w:val="single" w:sz="8" w:color="E5FFFF"/>
            </w:tcBorders>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5,498</w:t>
            </w:r>
          </w:p>
        </w:tc>
        <w:tc>
          <w:tcPr>
            <w:tcW w:w="240" w:type="dxa"/>
            <w:vAlign w:val="bottom"/>
            <w:tcBorders>
              <w:bottom w:val="single" w:sz="8" w:color="E5FF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5,519</w:t>
            </w:r>
          </w:p>
        </w:tc>
        <w:tc>
          <w:tcPr>
            <w:tcW w:w="14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5,080</w:t>
            </w:r>
          </w:p>
        </w:tc>
      </w:tr>
      <w:tr>
        <w:trPr>
          <w:trHeight w:val="196"/>
        </w:trPr>
        <w:tc>
          <w:tcPr>
            <w:tcW w:w="7540" w:type="dxa"/>
            <w:vAlign w:val="bottom"/>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r>
      <w:tr>
        <w:trPr>
          <w:trHeight w:val="203"/>
        </w:trPr>
        <w:tc>
          <w:tcPr>
            <w:tcW w:w="7540" w:type="dxa"/>
            <w:vAlign w:val="bottom"/>
          </w:tcPr>
          <w:p>
            <w:pPr>
              <w:ind w:left="180"/>
              <w:spacing w:after="0" w:line="202" w:lineRule="exact"/>
              <w:rPr>
                <w:sz w:val="20"/>
                <w:szCs w:val="20"/>
                <w:color w:val="auto"/>
              </w:rPr>
            </w:pPr>
            <w:r>
              <w:rPr>
                <w:rFonts w:ascii="Arial" w:cs="Arial" w:eastAsia="Arial" w:hAnsi="Arial"/>
                <w:sz w:val="18"/>
                <w:szCs w:val="18"/>
                <w:color w:val="auto"/>
              </w:rPr>
              <w:t>Expenditures for property, plant and equipment</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(1,095)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(1,073)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(1,094)</w:t>
            </w:r>
          </w:p>
        </w:tc>
      </w:tr>
      <w:tr>
        <w:trPr>
          <w:trHeight w:val="203"/>
        </w:trPr>
        <w:tc>
          <w:tcPr>
            <w:tcW w:w="754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Proceeds from disposals of property, plant and equipment</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21</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15</w:t>
            </w: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18</w:t>
            </w:r>
          </w:p>
        </w:tc>
      </w:tr>
      <w:tr>
        <w:trPr>
          <w:trHeight w:val="203"/>
        </w:trPr>
        <w:tc>
          <w:tcPr>
            <w:tcW w:w="7540" w:type="dxa"/>
            <w:vAlign w:val="bottom"/>
          </w:tcPr>
          <w:p>
            <w:pPr>
              <w:ind w:left="180"/>
              <w:spacing w:after="0" w:line="202" w:lineRule="exact"/>
              <w:rPr>
                <w:sz w:val="20"/>
                <w:szCs w:val="20"/>
                <w:color w:val="auto"/>
              </w:rPr>
            </w:pPr>
            <w:r>
              <w:rPr>
                <w:rFonts w:ascii="Arial" w:cs="Arial" w:eastAsia="Arial" w:hAnsi="Arial"/>
                <w:sz w:val="18"/>
                <w:szCs w:val="18"/>
                <w:color w:val="auto"/>
              </w:rPr>
              <w:t>Increase in investments</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(3,954)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(6,714)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(4,074)</w:t>
            </w:r>
          </w:p>
        </w:tc>
      </w:tr>
      <w:tr>
        <w:trPr>
          <w:trHeight w:val="203"/>
        </w:trPr>
        <w:tc>
          <w:tcPr>
            <w:tcW w:w="754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Decrease in investments</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3,681</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6,587</w:t>
            </w: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3,288</w:t>
            </w:r>
          </w:p>
        </w:tc>
      </w:tr>
      <w:tr>
        <w:trPr>
          <w:trHeight w:val="203"/>
        </w:trPr>
        <w:tc>
          <w:tcPr>
            <w:tcW w:w="7540" w:type="dxa"/>
            <w:vAlign w:val="bottom"/>
          </w:tcPr>
          <w:p>
            <w:pPr>
              <w:ind w:left="180"/>
              <w:spacing w:after="0" w:line="202" w:lineRule="exact"/>
              <w:rPr>
                <w:sz w:val="20"/>
                <w:szCs w:val="20"/>
                <w:color w:val="auto"/>
              </w:rPr>
            </w:pPr>
            <w:r>
              <w:rPr>
                <w:rFonts w:ascii="Arial" w:cs="Arial" w:eastAsia="Arial" w:hAnsi="Arial"/>
                <w:sz w:val="18"/>
                <w:szCs w:val="18"/>
                <w:color w:val="auto"/>
              </w:rPr>
              <w:t>Cash paid for acquisitions, net of cash acquired</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(2,573)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(5,228)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754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Proceeds from sales of businesses, net of fees paid</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296</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160</w:t>
            </w:r>
          </w:p>
        </w:tc>
      </w:tr>
      <w:tr>
        <w:trPr>
          <w:trHeight w:val="216"/>
        </w:trPr>
        <w:tc>
          <w:tcPr>
            <w:tcW w:w="754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282</w:t>
            </w:r>
          </w:p>
        </w:tc>
        <w:tc>
          <w:tcPr>
            <w:tcW w:w="2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r>
      <w:tr>
        <w:trPr>
          <w:trHeight w:val="196"/>
        </w:trPr>
        <w:tc>
          <w:tcPr>
            <w:tcW w:w="75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cash used for investing activities</w:t>
            </w:r>
          </w:p>
        </w:tc>
        <w:tc>
          <w:tcPr>
            <w:tcW w:w="260" w:type="dxa"/>
            <w:vAlign w:val="bottom"/>
            <w:tcBorders>
              <w:bottom w:val="single" w:sz="8" w:color="auto"/>
            </w:tcBorders>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(3,342)</w:t>
            </w:r>
          </w:p>
        </w:tc>
        <w:tc>
          <w:tcPr>
            <w:tcW w:w="24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8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(6,514)</w:t>
            </w: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(1,876)</w:t>
            </w:r>
          </w:p>
        </w:tc>
      </w:tr>
      <w:tr>
        <w:trPr>
          <w:trHeight w:val="196"/>
        </w:trPr>
        <w:tc>
          <w:tcPr>
            <w:tcW w:w="754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754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Net (decrease) increase in commercial paper and other short term borrowings</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(2,464)</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4,265</w:t>
            </w: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309</w:t>
            </w:r>
          </w:p>
        </w:tc>
      </w:tr>
      <w:tr>
        <w:trPr>
          <w:trHeight w:val="203"/>
        </w:trPr>
        <w:tc>
          <w:tcPr>
            <w:tcW w:w="7540" w:type="dxa"/>
            <w:vAlign w:val="bottom"/>
          </w:tcPr>
          <w:p>
            <w:pPr>
              <w:ind w:left="180"/>
              <w:spacing w:after="0" w:line="202" w:lineRule="exact"/>
              <w:rPr>
                <w:sz w:val="20"/>
                <w:szCs w:val="20"/>
                <w:color w:val="auto"/>
              </w:rPr>
            </w:pPr>
            <w:r>
              <w:rPr>
                <w:rFonts w:ascii="Arial" w:cs="Arial" w:eastAsia="Arial" w:hAnsi="Arial"/>
                <w:sz w:val="18"/>
                <w:szCs w:val="18"/>
                <w:color w:val="auto"/>
              </w:rPr>
              <w:t>Proceeds from issuance of common stock</w:t>
            </w:r>
          </w:p>
        </w:tc>
        <w:tc>
          <w:tcPr>
            <w:tcW w:w="260" w:type="dxa"/>
            <w:vAlign w:val="bottom"/>
          </w:tcPr>
          <w:p>
            <w:pPr>
              <w:spacing w:after="0"/>
              <w:rPr>
                <w:sz w:val="17"/>
                <w:szCs w:val="17"/>
                <w:color w:val="auto"/>
              </w:rPr>
            </w:pP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409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265</w:t>
            </w:r>
          </w:p>
        </w:tc>
      </w:tr>
      <w:tr>
        <w:trPr>
          <w:trHeight w:val="203"/>
        </w:trPr>
        <w:tc>
          <w:tcPr>
            <w:tcW w:w="754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Proceeds from issuance of long-term debt</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9,245</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60</w:t>
            </w: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97</w:t>
            </w:r>
          </w:p>
        </w:tc>
      </w:tr>
      <w:tr>
        <w:trPr>
          <w:trHeight w:val="203"/>
        </w:trPr>
        <w:tc>
          <w:tcPr>
            <w:tcW w:w="7540" w:type="dxa"/>
            <w:vAlign w:val="bottom"/>
          </w:tcPr>
          <w:p>
            <w:pPr>
              <w:ind w:left="180"/>
              <w:spacing w:after="0" w:line="202" w:lineRule="exact"/>
              <w:rPr>
                <w:sz w:val="20"/>
                <w:szCs w:val="20"/>
                <w:color w:val="auto"/>
              </w:rPr>
            </w:pPr>
            <w:r>
              <w:rPr>
                <w:rFonts w:ascii="Arial" w:cs="Arial" w:eastAsia="Arial" w:hAnsi="Arial"/>
                <w:sz w:val="18"/>
                <w:szCs w:val="18"/>
                <w:color w:val="auto"/>
              </w:rPr>
              <w:t>Payments of long-term debt</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(2,839)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(880)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(609)</w:t>
            </w:r>
          </w:p>
        </w:tc>
      </w:tr>
      <w:tr>
        <w:trPr>
          <w:trHeight w:val="203"/>
        </w:trPr>
        <w:tc>
          <w:tcPr>
            <w:tcW w:w="754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Excess tax benefits from share based payment arrangements</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81</w:t>
            </w: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102</w:t>
            </w:r>
          </w:p>
        </w:tc>
      </w:tr>
      <w:tr>
        <w:trPr>
          <w:trHeight w:val="203"/>
        </w:trPr>
        <w:tc>
          <w:tcPr>
            <w:tcW w:w="7540" w:type="dxa"/>
            <w:vAlign w:val="bottom"/>
          </w:tcPr>
          <w:p>
            <w:pPr>
              <w:ind w:left="180"/>
              <w:spacing w:after="0" w:line="202" w:lineRule="exact"/>
              <w:rPr>
                <w:sz w:val="20"/>
                <w:szCs w:val="20"/>
                <w:color w:val="auto"/>
              </w:rPr>
            </w:pPr>
            <w:r>
              <w:rPr>
                <w:rFonts w:ascii="Arial" w:cs="Arial" w:eastAsia="Arial" w:hAnsi="Arial"/>
                <w:sz w:val="18"/>
                <w:szCs w:val="18"/>
                <w:color w:val="auto"/>
              </w:rPr>
              <w:t>Repurchases of common stock</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(2,079)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(1,884)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(924)</w:t>
            </w:r>
          </w:p>
        </w:tc>
      </w:tr>
      <w:tr>
        <w:trPr>
          <w:trHeight w:val="203"/>
        </w:trPr>
        <w:tc>
          <w:tcPr>
            <w:tcW w:w="754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Cash dividends paid</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(1,915)</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(1,726)</w:t>
            </w: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(1,510)</w:t>
            </w:r>
          </w:p>
        </w:tc>
      </w:tr>
      <w:tr>
        <w:trPr>
          <w:trHeight w:val="203"/>
        </w:trPr>
        <w:tc>
          <w:tcPr>
            <w:tcW w:w="7540" w:type="dxa"/>
            <w:vAlign w:val="bottom"/>
          </w:tcPr>
          <w:p>
            <w:pPr>
              <w:ind w:left="180"/>
              <w:spacing w:after="0" w:line="202" w:lineRule="exact"/>
              <w:rPr>
                <w:sz w:val="20"/>
                <w:szCs w:val="20"/>
                <w:color w:val="auto"/>
              </w:rPr>
            </w:pPr>
            <w:r>
              <w:rPr>
                <w:rFonts w:ascii="Arial" w:cs="Arial" w:eastAsia="Arial" w:hAnsi="Arial"/>
                <w:sz w:val="18"/>
                <w:szCs w:val="18"/>
                <w:color w:val="auto"/>
              </w:rPr>
              <w:t>Payments to purchase the noncontrolling interest</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(238)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54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AdvanSix pre-separation funding</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269</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540" w:type="dxa"/>
            <w:vAlign w:val="bottom"/>
          </w:tcPr>
          <w:p>
            <w:pPr>
              <w:ind w:left="180"/>
              <w:spacing w:after="0" w:line="202" w:lineRule="exact"/>
              <w:rPr>
                <w:sz w:val="20"/>
                <w:szCs w:val="20"/>
                <w:color w:val="auto"/>
              </w:rPr>
            </w:pPr>
            <w:r>
              <w:rPr>
                <w:rFonts w:ascii="Arial" w:cs="Arial" w:eastAsia="Arial" w:hAnsi="Arial"/>
                <w:sz w:val="18"/>
                <w:szCs w:val="18"/>
                <w:color w:val="auto"/>
              </w:rPr>
              <w:t>AdvanSix pre-spin borrowing</w:t>
            </w:r>
          </w:p>
        </w:tc>
        <w:tc>
          <w:tcPr>
            <w:tcW w:w="260" w:type="dxa"/>
            <w:vAlign w:val="bottom"/>
          </w:tcPr>
          <w:p>
            <w:pPr>
              <w:spacing w:after="0"/>
              <w:rPr>
                <w:sz w:val="17"/>
                <w:szCs w:val="17"/>
                <w:color w:val="auto"/>
              </w:rPr>
            </w:pP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54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AdvanSix cash at spin-off</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(38)</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16"/>
        </w:trPr>
        <w:tc>
          <w:tcPr>
            <w:tcW w:w="754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196"/>
        </w:trPr>
        <w:tc>
          <w:tcPr>
            <w:tcW w:w="75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cash provided by (used for) financing activities</w:t>
            </w:r>
          </w:p>
        </w:tc>
        <w:tc>
          <w:tcPr>
            <w:tcW w:w="260" w:type="dxa"/>
            <w:vAlign w:val="bottom"/>
            <w:tcBorders>
              <w:bottom w:val="single" w:sz="8" w:color="auto"/>
            </w:tcBorders>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346</w:t>
            </w:r>
          </w:p>
        </w:tc>
        <w:tc>
          <w:tcPr>
            <w:tcW w:w="24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8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37</w:t>
            </w: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(2,328)</w:t>
            </w:r>
          </w:p>
        </w:tc>
      </w:tr>
      <w:tr>
        <w:trPr>
          <w:trHeight w:val="196"/>
        </w:trPr>
        <w:tc>
          <w:tcPr>
            <w:tcW w:w="7540" w:type="dxa"/>
            <w:vAlign w:val="bottom"/>
            <w:tcBorders>
              <w:bottom w:val="single" w:sz="8" w:color="E5FFFF"/>
            </w:tcBorders>
          </w:tcPr>
          <w:p>
            <w:pPr>
              <w:spacing w:after="0" w:line="196" w:lineRule="exact"/>
              <w:rPr>
                <w:sz w:val="20"/>
                <w:szCs w:val="20"/>
                <w:color w:val="auto"/>
              </w:rPr>
            </w:pPr>
            <w:r>
              <w:rPr>
                <w:rFonts w:ascii="Arial" w:cs="Arial" w:eastAsia="Arial" w:hAnsi="Arial"/>
                <w:sz w:val="18"/>
                <w:szCs w:val="18"/>
                <w:color w:val="auto"/>
              </w:rPr>
              <w:t>Effect of foreign exchange rate changes on cash and cash equivalents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w:t>
            </w:r>
          </w:p>
        </w:tc>
        <w:tc>
          <w:tcPr>
            <w:tcW w:w="240" w:type="dxa"/>
            <w:vAlign w:val="bottom"/>
            <w:tcBorders>
              <w:bottom w:val="single" w:sz="8" w:color="E5FF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(546)</w:t>
            </w:r>
          </w:p>
        </w:tc>
        <w:tc>
          <w:tcPr>
            <w:tcW w:w="14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(339)</w:t>
            </w:r>
          </w:p>
        </w:tc>
      </w:tr>
      <w:tr>
        <w:trPr>
          <w:trHeight w:val="196"/>
        </w:trPr>
        <w:tc>
          <w:tcPr>
            <w:tcW w:w="75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2,388</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(1,504)</w:t>
            </w: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537</w:t>
            </w:r>
          </w:p>
        </w:tc>
      </w:tr>
      <w:tr>
        <w:trPr>
          <w:trHeight w:val="216"/>
        </w:trPr>
        <w:tc>
          <w:tcPr>
            <w:tcW w:w="75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5,455</w:t>
            </w:r>
          </w:p>
        </w:tc>
        <w:tc>
          <w:tcPr>
            <w:tcW w:w="2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6,959</w:t>
            </w:r>
          </w:p>
        </w:tc>
        <w:tc>
          <w:tcPr>
            <w:tcW w:w="14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6,422</w:t>
            </w:r>
          </w:p>
        </w:tc>
      </w:tr>
      <w:tr>
        <w:trPr>
          <w:trHeight w:val="210"/>
        </w:trPr>
        <w:tc>
          <w:tcPr>
            <w:tcW w:w="754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Cash and cash equivalents at end of period</w:t>
            </w:r>
          </w:p>
        </w:tc>
        <w:tc>
          <w:tcPr>
            <w:tcW w:w="260" w:type="dxa"/>
            <w:vAlign w:val="bottom"/>
            <w:shd w:val="clear" w:color="auto" w:fill="E5FF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5FFFF"/>
          </w:tcPr>
          <w:p>
            <w:pPr>
              <w:jc w:val="right"/>
              <w:ind w:right="31"/>
              <w:spacing w:after="0"/>
              <w:rPr>
                <w:sz w:val="20"/>
                <w:szCs w:val="20"/>
                <w:color w:val="auto"/>
              </w:rPr>
            </w:pPr>
            <w:r>
              <w:rPr>
                <w:rFonts w:ascii="Arial" w:cs="Arial" w:eastAsia="Arial" w:hAnsi="Arial"/>
                <w:sz w:val="18"/>
                <w:szCs w:val="18"/>
                <w:color w:val="auto"/>
              </w:rPr>
              <w:t>7,843</w:t>
            </w:r>
          </w:p>
        </w:tc>
        <w:tc>
          <w:tcPr>
            <w:tcW w:w="50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5,455</w:t>
            </w:r>
          </w:p>
        </w:tc>
        <w:tc>
          <w:tcPr>
            <w:tcW w:w="140" w:type="dxa"/>
            <w:vAlign w:val="bottom"/>
            <w:shd w:val="clear" w:color="auto" w:fill="E5FFFF"/>
          </w:tcPr>
          <w:p>
            <w:pPr>
              <w:spacing w:after="0"/>
              <w:rPr>
                <w:sz w:val="18"/>
                <w:szCs w:val="18"/>
                <w:color w:val="auto"/>
              </w:rPr>
            </w:pPr>
          </w:p>
        </w:tc>
        <w:tc>
          <w:tcPr>
            <w:tcW w:w="34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6,959</w:t>
            </w:r>
          </w:p>
        </w:tc>
      </w:tr>
      <w:tr>
        <w:trPr>
          <w:trHeight w:val="20"/>
        </w:trPr>
        <w:tc>
          <w:tcPr>
            <w:tcW w:w="75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Financial Statements are an integral part of this statement.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SHAREOWNERS’ EQUITY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rPr>
              <w:t>Years Ended December 31,</w:t>
            </w:r>
          </w:p>
        </w:tc>
        <w:tc>
          <w:tcPr>
            <w:tcW w:w="7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700" w:type="dxa"/>
            <w:vAlign w:val="bottom"/>
          </w:tcPr>
          <w:p>
            <w:pPr>
              <w:spacing w:after="0"/>
              <w:rPr>
                <w:sz w:val="14"/>
                <w:szCs w:val="14"/>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2015</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gridSpan w:val="3"/>
          </w:tcPr>
          <w:p>
            <w:pPr>
              <w:jc w:val="right"/>
              <w:ind w:right="668"/>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180" w:type="dxa"/>
            <w:vAlign w:val="bottom"/>
            <w:tcBorders>
              <w:top w:val="single" w:sz="8" w:color="auto"/>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6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1060" w:type="dxa"/>
            <w:vAlign w:val="bottom"/>
            <w:tcBorders>
              <w:top w:val="single" w:sz="8" w:color="auto"/>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5"/>
          </w:tcPr>
          <w:p>
            <w:pPr>
              <w:jc w:val="center"/>
              <w:ind w:right="340"/>
              <w:spacing w:after="0" w:line="155" w:lineRule="exact"/>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80" w:type="dxa"/>
            <w:vAlign w:val="bottom"/>
            <w:shd w:val="clear" w:color="auto" w:fill="E5FFFF"/>
          </w:tcPr>
          <w:p>
            <w:pPr>
              <w:spacing w:after="0"/>
              <w:rPr>
                <w:sz w:val="20"/>
                <w:szCs w:val="20"/>
                <w:color w:val="auto"/>
              </w:rPr>
            </w:pPr>
            <w:r>
              <w:rPr>
                <w:rFonts w:ascii="Arial" w:cs="Arial" w:eastAsia="Arial" w:hAnsi="Arial"/>
                <w:sz w:val="14"/>
                <w:szCs w:val="14"/>
                <w:b w:val="1"/>
                <w:bCs w:val="1"/>
                <w:color w:val="auto"/>
              </w:rPr>
              <w:t>Common stock, par value</w:t>
            </w:r>
          </w:p>
        </w:tc>
        <w:tc>
          <w:tcPr>
            <w:tcW w:w="82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957.6</w:t>
            </w:r>
          </w:p>
        </w:tc>
        <w:tc>
          <w:tcPr>
            <w:tcW w:w="24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70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958</w:t>
            </w:r>
          </w:p>
        </w:tc>
        <w:tc>
          <w:tcPr>
            <w:tcW w:w="1040" w:type="dxa"/>
            <w:vAlign w:val="bottom"/>
            <w:gridSpan w:val="2"/>
            <w:shd w:val="clear" w:color="auto" w:fill="E5FFFF"/>
          </w:tcPr>
          <w:p>
            <w:pPr>
              <w:jc w:val="right"/>
              <w:ind w:right="28"/>
              <w:spacing w:after="0"/>
              <w:rPr>
                <w:sz w:val="20"/>
                <w:szCs w:val="20"/>
                <w:color w:val="auto"/>
              </w:rPr>
            </w:pPr>
            <w:r>
              <w:rPr>
                <w:rFonts w:ascii="Arial" w:cs="Arial" w:eastAsia="Arial" w:hAnsi="Arial"/>
                <w:sz w:val="14"/>
                <w:szCs w:val="14"/>
                <w:color w:val="auto"/>
              </w:rPr>
              <w:t>957.6</w:t>
            </w:r>
          </w:p>
        </w:tc>
        <w:tc>
          <w:tcPr>
            <w:tcW w:w="22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660" w:type="dxa"/>
            <w:vAlign w:val="bottom"/>
            <w:shd w:val="clear" w:color="auto" w:fill="E5FFFF"/>
          </w:tcPr>
          <w:p>
            <w:pPr>
              <w:jc w:val="right"/>
              <w:ind w:right="28"/>
              <w:spacing w:after="0"/>
              <w:rPr>
                <w:sz w:val="20"/>
                <w:szCs w:val="20"/>
                <w:color w:val="auto"/>
              </w:rPr>
            </w:pPr>
            <w:r>
              <w:rPr>
                <w:rFonts w:ascii="Arial" w:cs="Arial" w:eastAsia="Arial" w:hAnsi="Arial"/>
                <w:sz w:val="14"/>
                <w:szCs w:val="14"/>
                <w:color w:val="auto"/>
              </w:rPr>
              <w:t>958</w:t>
            </w:r>
          </w:p>
        </w:tc>
        <w:tc>
          <w:tcPr>
            <w:tcW w:w="220" w:type="dxa"/>
            <w:vAlign w:val="bottom"/>
            <w:shd w:val="clear" w:color="auto" w:fill="E5FFFF"/>
          </w:tcPr>
          <w:p>
            <w:pPr>
              <w:spacing w:after="0"/>
              <w:rPr>
                <w:sz w:val="15"/>
                <w:szCs w:val="15"/>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4"/>
                <w:szCs w:val="14"/>
                <w:color w:val="auto"/>
              </w:rPr>
              <w:t>957.6</w:t>
            </w:r>
          </w:p>
        </w:tc>
        <w:tc>
          <w:tcPr>
            <w:tcW w:w="1060" w:type="dxa"/>
            <w:vAlign w:val="bottom"/>
            <w:gridSpan w:val="3"/>
            <w:shd w:val="clear" w:color="auto" w:fill="E5FFFF"/>
          </w:tcPr>
          <w:p>
            <w:pPr>
              <w:jc w:val="right"/>
              <w:ind w:right="28"/>
              <w:spacing w:after="0"/>
              <w:rPr>
                <w:sz w:val="20"/>
                <w:szCs w:val="20"/>
                <w:color w:val="auto"/>
              </w:rPr>
            </w:pPr>
            <w:r>
              <w:rPr>
                <w:rFonts w:ascii="Arial" w:cs="Arial" w:eastAsia="Arial" w:hAnsi="Arial"/>
                <w:sz w:val="14"/>
                <w:szCs w:val="14"/>
                <w:color w:val="auto"/>
              </w:rPr>
              <w:t>958</w:t>
            </w:r>
          </w:p>
        </w:tc>
        <w:tc>
          <w:tcPr>
            <w:tcW w:w="0" w:type="dxa"/>
            <w:vAlign w:val="bottom"/>
          </w:tcPr>
          <w:p>
            <w:pPr>
              <w:spacing w:after="0"/>
              <w:rPr>
                <w:sz w:val="1"/>
                <w:szCs w:val="1"/>
                <w:color w:val="auto"/>
              </w:rPr>
            </w:pPr>
          </w:p>
        </w:tc>
      </w:tr>
      <w:tr>
        <w:trPr>
          <w:trHeight w:val="318"/>
        </w:trPr>
        <w:tc>
          <w:tcPr>
            <w:tcW w:w="5500" w:type="dxa"/>
            <w:vAlign w:val="bottom"/>
            <w:gridSpan w:val="2"/>
          </w:tcPr>
          <w:p>
            <w:pPr>
              <w:spacing w:after="0"/>
              <w:rPr>
                <w:sz w:val="20"/>
                <w:szCs w:val="20"/>
                <w:color w:val="auto"/>
              </w:rPr>
            </w:pPr>
            <w:r>
              <w:rPr>
                <w:rFonts w:ascii="Arial" w:cs="Arial" w:eastAsia="Arial" w:hAnsi="Arial"/>
                <w:sz w:val="14"/>
                <w:szCs w:val="14"/>
                <w:b w:val="1"/>
                <w:bCs w:val="1"/>
                <w:color w:val="auto"/>
              </w:rPr>
              <w:t>Additional paid-in capital</w:t>
            </w:r>
          </w:p>
        </w:tc>
        <w:tc>
          <w:tcPr>
            <w:tcW w:w="8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80" w:type="dxa"/>
            <w:vAlign w:val="bottom"/>
            <w:shd w:val="clear" w:color="auto" w:fill="E5FFFF"/>
          </w:tcPr>
          <w:p>
            <w:pPr>
              <w:spacing w:after="0"/>
              <w:rPr>
                <w:sz w:val="20"/>
                <w:szCs w:val="20"/>
                <w:color w:val="auto"/>
              </w:rPr>
            </w:pPr>
            <w:r>
              <w:rPr>
                <w:rFonts w:ascii="Arial" w:cs="Arial" w:eastAsia="Arial" w:hAnsi="Arial"/>
                <w:sz w:val="14"/>
                <w:szCs w:val="14"/>
                <w:color w:val="auto"/>
              </w:rPr>
              <w:t>Beginning balance</w:t>
            </w:r>
          </w:p>
        </w:tc>
        <w:tc>
          <w:tcPr>
            <w:tcW w:w="82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70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5,377</w:t>
            </w:r>
          </w:p>
        </w:tc>
        <w:tc>
          <w:tcPr>
            <w:tcW w:w="240" w:type="dxa"/>
            <w:vAlign w:val="bottom"/>
            <w:shd w:val="clear" w:color="auto" w:fill="E5FFFF"/>
          </w:tcPr>
          <w:p>
            <w:pPr>
              <w:spacing w:after="0"/>
              <w:rPr>
                <w:sz w:val="14"/>
                <w:szCs w:val="14"/>
                <w:color w:val="auto"/>
              </w:rPr>
            </w:pPr>
          </w:p>
        </w:tc>
        <w:tc>
          <w:tcPr>
            <w:tcW w:w="80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60" w:type="dxa"/>
            <w:vAlign w:val="bottom"/>
            <w:shd w:val="clear" w:color="auto" w:fill="E5FFFF"/>
          </w:tcPr>
          <w:p>
            <w:pPr>
              <w:jc w:val="right"/>
              <w:ind w:right="28"/>
              <w:spacing w:after="0"/>
              <w:rPr>
                <w:sz w:val="20"/>
                <w:szCs w:val="20"/>
                <w:color w:val="auto"/>
              </w:rPr>
            </w:pPr>
            <w:r>
              <w:rPr>
                <w:rFonts w:ascii="Arial" w:cs="Arial" w:eastAsia="Arial" w:hAnsi="Arial"/>
                <w:sz w:val="14"/>
                <w:szCs w:val="14"/>
                <w:color w:val="auto"/>
              </w:rPr>
              <w:t>5,038</w:t>
            </w:r>
          </w:p>
        </w:tc>
        <w:tc>
          <w:tcPr>
            <w:tcW w:w="220" w:type="dxa"/>
            <w:vAlign w:val="bottom"/>
            <w:shd w:val="clear" w:color="auto" w:fill="E5FFFF"/>
          </w:tcPr>
          <w:p>
            <w:pPr>
              <w:spacing w:after="0"/>
              <w:rPr>
                <w:sz w:val="14"/>
                <w:szCs w:val="14"/>
                <w:color w:val="auto"/>
              </w:rPr>
            </w:pPr>
          </w:p>
        </w:tc>
        <w:tc>
          <w:tcPr>
            <w:tcW w:w="720" w:type="dxa"/>
            <w:vAlign w:val="bottom"/>
            <w:shd w:val="clear" w:color="auto" w:fill="E5FFFF"/>
          </w:tcPr>
          <w:p>
            <w:pPr>
              <w:spacing w:after="0"/>
              <w:rPr>
                <w:sz w:val="14"/>
                <w:szCs w:val="14"/>
                <w:color w:val="auto"/>
              </w:rPr>
            </w:pPr>
          </w:p>
        </w:tc>
        <w:tc>
          <w:tcPr>
            <w:tcW w:w="1060" w:type="dxa"/>
            <w:vAlign w:val="bottom"/>
            <w:gridSpan w:val="3"/>
            <w:shd w:val="clear" w:color="auto" w:fill="E5FFFF"/>
          </w:tcPr>
          <w:p>
            <w:pPr>
              <w:jc w:val="right"/>
              <w:ind w:right="28"/>
              <w:spacing w:after="0"/>
              <w:rPr>
                <w:sz w:val="20"/>
                <w:szCs w:val="20"/>
                <w:color w:val="auto"/>
              </w:rPr>
            </w:pPr>
            <w:r>
              <w:rPr>
                <w:rFonts w:ascii="Arial" w:cs="Arial" w:eastAsia="Arial" w:hAnsi="Arial"/>
                <w:sz w:val="14"/>
                <w:szCs w:val="14"/>
                <w:color w:val="auto"/>
              </w:rPr>
              <w:t>4,682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80" w:type="dxa"/>
            <w:vAlign w:val="bottom"/>
          </w:tcPr>
          <w:p>
            <w:pPr>
              <w:ind w:left="160"/>
              <w:spacing w:after="0"/>
              <w:rPr>
                <w:sz w:val="20"/>
                <w:szCs w:val="20"/>
                <w:color w:val="auto"/>
              </w:rPr>
            </w:pPr>
            <w:r>
              <w:rPr>
                <w:rFonts w:ascii="Arial" w:cs="Arial" w:eastAsia="Arial" w:hAnsi="Arial"/>
                <w:sz w:val="14"/>
                <w:szCs w:val="14"/>
                <w:color w:val="auto"/>
              </w:rPr>
              <w:t>Issued for employee savings and option plans</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183</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164</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gridSpan w:val="3"/>
          </w:tcPr>
          <w:p>
            <w:pPr>
              <w:jc w:val="right"/>
              <w:ind w:right="28"/>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80" w:type="dxa"/>
            <w:vAlign w:val="bottom"/>
            <w:shd w:val="clear" w:color="auto" w:fill="E5FFFF"/>
          </w:tcPr>
          <w:p>
            <w:pPr>
              <w:ind w:left="160"/>
              <w:spacing w:after="0"/>
              <w:rPr>
                <w:sz w:val="20"/>
                <w:szCs w:val="20"/>
                <w:color w:val="auto"/>
              </w:rPr>
            </w:pPr>
            <w:r>
              <w:rPr>
                <w:rFonts w:ascii="Arial" w:cs="Arial" w:eastAsia="Arial" w:hAnsi="Arial"/>
                <w:sz w:val="14"/>
                <w:szCs w:val="14"/>
                <w:color w:val="auto"/>
              </w:rPr>
              <w:t>Stock-based compensation expense</w:t>
            </w:r>
          </w:p>
        </w:tc>
        <w:tc>
          <w:tcPr>
            <w:tcW w:w="82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70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171</w:t>
            </w:r>
          </w:p>
        </w:tc>
        <w:tc>
          <w:tcPr>
            <w:tcW w:w="240" w:type="dxa"/>
            <w:vAlign w:val="bottom"/>
            <w:shd w:val="clear" w:color="auto" w:fill="E5FFFF"/>
          </w:tcPr>
          <w:p>
            <w:pPr>
              <w:spacing w:after="0"/>
              <w:rPr>
                <w:sz w:val="14"/>
                <w:szCs w:val="14"/>
                <w:color w:val="auto"/>
              </w:rPr>
            </w:pPr>
          </w:p>
        </w:tc>
        <w:tc>
          <w:tcPr>
            <w:tcW w:w="80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60" w:type="dxa"/>
            <w:vAlign w:val="bottom"/>
            <w:shd w:val="clear" w:color="auto" w:fill="E5FFFF"/>
          </w:tcPr>
          <w:p>
            <w:pPr>
              <w:jc w:val="right"/>
              <w:ind w:right="28"/>
              <w:spacing w:after="0"/>
              <w:rPr>
                <w:sz w:val="20"/>
                <w:szCs w:val="20"/>
                <w:color w:val="auto"/>
              </w:rPr>
            </w:pPr>
            <w:r>
              <w:rPr>
                <w:rFonts w:ascii="Arial" w:cs="Arial" w:eastAsia="Arial" w:hAnsi="Arial"/>
                <w:sz w:val="14"/>
                <w:szCs w:val="14"/>
                <w:color w:val="auto"/>
              </w:rPr>
              <w:t>175</w:t>
            </w:r>
          </w:p>
        </w:tc>
        <w:tc>
          <w:tcPr>
            <w:tcW w:w="220" w:type="dxa"/>
            <w:vAlign w:val="bottom"/>
            <w:shd w:val="clear" w:color="auto" w:fill="E5FFFF"/>
          </w:tcPr>
          <w:p>
            <w:pPr>
              <w:spacing w:after="0"/>
              <w:rPr>
                <w:sz w:val="14"/>
                <w:szCs w:val="14"/>
                <w:color w:val="auto"/>
              </w:rPr>
            </w:pPr>
          </w:p>
        </w:tc>
        <w:tc>
          <w:tcPr>
            <w:tcW w:w="720" w:type="dxa"/>
            <w:vAlign w:val="bottom"/>
            <w:shd w:val="clear" w:color="auto" w:fill="E5FFFF"/>
          </w:tcPr>
          <w:p>
            <w:pPr>
              <w:spacing w:after="0"/>
              <w:rPr>
                <w:sz w:val="14"/>
                <w:szCs w:val="14"/>
                <w:color w:val="auto"/>
              </w:rPr>
            </w:pPr>
          </w:p>
        </w:tc>
        <w:tc>
          <w:tcPr>
            <w:tcW w:w="1060" w:type="dxa"/>
            <w:vAlign w:val="bottom"/>
            <w:gridSpan w:val="3"/>
            <w:shd w:val="clear" w:color="auto" w:fill="E5FFFF"/>
          </w:tcPr>
          <w:p>
            <w:pPr>
              <w:jc w:val="right"/>
              <w:ind w:right="28"/>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80" w:type="dxa"/>
            <w:vAlign w:val="bottom"/>
            <w:tcBorders>
              <w:bottom w:val="single" w:sz="8" w:color="E5FFFF"/>
            </w:tcBorders>
          </w:tcPr>
          <w:p>
            <w:pPr>
              <w:ind w:left="160"/>
              <w:spacing w:after="0"/>
              <w:rPr>
                <w:sz w:val="20"/>
                <w:szCs w:val="20"/>
                <w:color w:val="auto"/>
              </w:rPr>
            </w:pPr>
            <w:r>
              <w:rPr>
                <w:rFonts w:ascii="Arial" w:cs="Arial" w:eastAsia="Arial" w:hAnsi="Arial"/>
                <w:sz w:val="14"/>
                <w:szCs w:val="14"/>
                <w:color w:val="auto"/>
              </w:rPr>
              <w:t>Other owner changes</w:t>
            </w:r>
          </w:p>
        </w:tc>
        <w:tc>
          <w:tcPr>
            <w:tcW w:w="820" w:type="dxa"/>
            <w:vAlign w:val="bottom"/>
            <w:tcBorders>
              <w:bottom w:val="single" w:sz="8" w:color="E5FFFF"/>
            </w:tcBorders>
          </w:tcPr>
          <w:p>
            <w:pPr>
              <w:spacing w:after="0"/>
              <w:rPr>
                <w:sz w:val="15"/>
                <w:szCs w:val="15"/>
                <w:color w:val="auto"/>
              </w:rPr>
            </w:pPr>
          </w:p>
        </w:tc>
        <w:tc>
          <w:tcPr>
            <w:tcW w:w="240" w:type="dxa"/>
            <w:vAlign w:val="bottom"/>
            <w:tcBorders>
              <w:bottom w:val="single" w:sz="8" w:color="E5FF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w:t>
            </w:r>
          </w:p>
        </w:tc>
        <w:tc>
          <w:tcPr>
            <w:tcW w:w="240" w:type="dxa"/>
            <w:vAlign w:val="bottom"/>
            <w:tcBorders>
              <w:bottom w:val="single" w:sz="8" w:color="E5FFFF"/>
            </w:tcBorders>
          </w:tcPr>
          <w:p>
            <w:pPr>
              <w:spacing w:after="0"/>
              <w:rPr>
                <w:sz w:val="15"/>
                <w:szCs w:val="15"/>
                <w:color w:val="auto"/>
              </w:rPr>
            </w:pPr>
          </w:p>
        </w:tc>
        <w:tc>
          <w:tcPr>
            <w:tcW w:w="800" w:type="dxa"/>
            <w:vAlign w:val="bottom"/>
            <w:tcBorders>
              <w:bottom w:val="single" w:sz="8" w:color="E5FFFF"/>
            </w:tcBorders>
          </w:tcPr>
          <w:p>
            <w:pPr>
              <w:spacing w:after="0"/>
              <w:rPr>
                <w:sz w:val="15"/>
                <w:szCs w:val="15"/>
                <w:color w:val="auto"/>
              </w:rPr>
            </w:pPr>
          </w:p>
        </w:tc>
        <w:tc>
          <w:tcPr>
            <w:tcW w:w="220" w:type="dxa"/>
            <w:vAlign w:val="bottom"/>
            <w:tcBorders>
              <w:bottom w:val="single" w:sz="8" w:color="E5FF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E5FFFF"/>
            </w:tcBorders>
          </w:tcPr>
          <w:p>
            <w:pPr>
              <w:spacing w:after="0"/>
              <w:rPr>
                <w:sz w:val="15"/>
                <w:szCs w:val="15"/>
                <w:color w:val="auto"/>
              </w:rPr>
            </w:pPr>
          </w:p>
        </w:tc>
        <w:tc>
          <w:tcPr>
            <w:tcW w:w="720" w:type="dxa"/>
            <w:vAlign w:val="bottom"/>
            <w:tcBorders>
              <w:bottom w:val="single" w:sz="8" w:color="E5FFFF"/>
            </w:tcBorders>
          </w:tcPr>
          <w:p>
            <w:pPr>
              <w:spacing w:after="0"/>
              <w:rPr>
                <w:sz w:val="15"/>
                <w:szCs w:val="15"/>
                <w:color w:val="auto"/>
              </w:rPr>
            </w:pPr>
          </w:p>
        </w:tc>
        <w:tc>
          <w:tcPr>
            <w:tcW w:w="280" w:type="dxa"/>
            <w:vAlign w:val="bottom"/>
            <w:tcBorders>
              <w:bottom w:val="single" w:sz="8" w:color="E5FFFF"/>
            </w:tcBorders>
            <w:gridSpan w:val="2"/>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80" w:type="dxa"/>
            <w:vAlign w:val="bottom"/>
            <w:shd w:val="clear" w:color="auto" w:fill="E5FFFF"/>
          </w:tcPr>
          <w:p>
            <w:pPr>
              <w:spacing w:after="0" w:line="155" w:lineRule="exact"/>
              <w:rPr>
                <w:sz w:val="20"/>
                <w:szCs w:val="20"/>
                <w:color w:val="auto"/>
              </w:rPr>
            </w:pPr>
            <w:r>
              <w:rPr>
                <w:rFonts w:ascii="Arial" w:cs="Arial" w:eastAsia="Arial" w:hAnsi="Arial"/>
                <w:sz w:val="14"/>
                <w:szCs w:val="14"/>
                <w:color w:val="auto"/>
              </w:rPr>
              <w:t>Ending balance</w:t>
            </w:r>
          </w:p>
        </w:tc>
        <w:tc>
          <w:tcPr>
            <w:tcW w:w="820" w:type="dxa"/>
            <w:vAlign w:val="bottom"/>
            <w:shd w:val="clear" w:color="auto" w:fill="E5FFFF"/>
          </w:tcPr>
          <w:p>
            <w:pPr>
              <w:spacing w:after="0"/>
              <w:rPr>
                <w:sz w:val="13"/>
                <w:szCs w:val="13"/>
                <w:color w:val="auto"/>
              </w:rPr>
            </w:pPr>
          </w:p>
        </w:tc>
        <w:tc>
          <w:tcPr>
            <w:tcW w:w="240" w:type="dxa"/>
            <w:vAlign w:val="bottom"/>
            <w:shd w:val="clear" w:color="auto" w:fill="E5FFFF"/>
          </w:tcPr>
          <w:p>
            <w:pPr>
              <w:spacing w:after="0"/>
              <w:rPr>
                <w:sz w:val="13"/>
                <w:szCs w:val="13"/>
                <w:color w:val="auto"/>
              </w:rPr>
            </w:pPr>
          </w:p>
        </w:tc>
        <w:tc>
          <w:tcPr>
            <w:tcW w:w="120" w:type="dxa"/>
            <w:vAlign w:val="bottom"/>
            <w:shd w:val="clear" w:color="auto" w:fill="E5FFFF"/>
          </w:tcPr>
          <w:p>
            <w:pPr>
              <w:spacing w:after="0"/>
              <w:rPr>
                <w:sz w:val="13"/>
                <w:szCs w:val="13"/>
                <w:color w:val="auto"/>
              </w:rPr>
            </w:pPr>
          </w:p>
        </w:tc>
        <w:tc>
          <w:tcPr>
            <w:tcW w:w="700" w:type="dxa"/>
            <w:vAlign w:val="bottom"/>
            <w:shd w:val="clear" w:color="auto" w:fill="E5FFFF"/>
          </w:tcPr>
          <w:p>
            <w:pPr>
              <w:jc w:val="right"/>
              <w:ind w:right="48"/>
              <w:spacing w:after="0" w:line="155" w:lineRule="exact"/>
              <w:rPr>
                <w:sz w:val="20"/>
                <w:szCs w:val="20"/>
                <w:color w:val="auto"/>
              </w:rPr>
            </w:pPr>
            <w:r>
              <w:rPr>
                <w:rFonts w:ascii="Arial" w:cs="Arial" w:eastAsia="Arial" w:hAnsi="Arial"/>
                <w:sz w:val="14"/>
                <w:szCs w:val="14"/>
                <w:color w:val="auto"/>
              </w:rPr>
              <w:t>5,781</w:t>
            </w:r>
          </w:p>
        </w:tc>
        <w:tc>
          <w:tcPr>
            <w:tcW w:w="240" w:type="dxa"/>
            <w:vAlign w:val="bottom"/>
            <w:shd w:val="clear" w:color="auto" w:fill="E5FFFF"/>
          </w:tcPr>
          <w:p>
            <w:pPr>
              <w:spacing w:after="0"/>
              <w:rPr>
                <w:sz w:val="13"/>
                <w:szCs w:val="13"/>
                <w:color w:val="auto"/>
              </w:rPr>
            </w:pPr>
          </w:p>
        </w:tc>
        <w:tc>
          <w:tcPr>
            <w:tcW w:w="80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120" w:type="dxa"/>
            <w:vAlign w:val="bottom"/>
            <w:shd w:val="clear" w:color="auto" w:fill="E5FFFF"/>
          </w:tcPr>
          <w:p>
            <w:pPr>
              <w:spacing w:after="0"/>
              <w:rPr>
                <w:sz w:val="13"/>
                <w:szCs w:val="13"/>
                <w:color w:val="auto"/>
              </w:rPr>
            </w:pPr>
          </w:p>
        </w:tc>
        <w:tc>
          <w:tcPr>
            <w:tcW w:w="660" w:type="dxa"/>
            <w:vAlign w:val="bottom"/>
            <w:shd w:val="clear" w:color="auto" w:fill="E5FFFF"/>
          </w:tcPr>
          <w:p>
            <w:pPr>
              <w:jc w:val="right"/>
              <w:ind w:right="28"/>
              <w:spacing w:after="0" w:line="155" w:lineRule="exact"/>
              <w:rPr>
                <w:sz w:val="20"/>
                <w:szCs w:val="20"/>
                <w:color w:val="auto"/>
              </w:rPr>
            </w:pPr>
            <w:r>
              <w:rPr>
                <w:rFonts w:ascii="Arial" w:cs="Arial" w:eastAsia="Arial" w:hAnsi="Arial"/>
                <w:sz w:val="14"/>
                <w:szCs w:val="14"/>
                <w:color w:val="auto"/>
              </w:rPr>
              <w:t>5,377</w:t>
            </w:r>
          </w:p>
        </w:tc>
        <w:tc>
          <w:tcPr>
            <w:tcW w:w="220" w:type="dxa"/>
            <w:vAlign w:val="bottom"/>
            <w:shd w:val="clear" w:color="auto" w:fill="E5FFFF"/>
          </w:tcPr>
          <w:p>
            <w:pPr>
              <w:spacing w:after="0"/>
              <w:rPr>
                <w:sz w:val="13"/>
                <w:szCs w:val="13"/>
                <w:color w:val="auto"/>
              </w:rPr>
            </w:pPr>
          </w:p>
        </w:tc>
        <w:tc>
          <w:tcPr>
            <w:tcW w:w="720" w:type="dxa"/>
            <w:vAlign w:val="bottom"/>
            <w:shd w:val="clear" w:color="auto" w:fill="E5FFFF"/>
          </w:tcPr>
          <w:p>
            <w:pPr>
              <w:spacing w:after="0"/>
              <w:rPr>
                <w:sz w:val="13"/>
                <w:szCs w:val="13"/>
                <w:color w:val="auto"/>
              </w:rPr>
            </w:pPr>
          </w:p>
        </w:tc>
        <w:tc>
          <w:tcPr>
            <w:tcW w:w="1060" w:type="dxa"/>
            <w:vAlign w:val="bottom"/>
            <w:gridSpan w:val="3"/>
            <w:shd w:val="clear" w:color="auto" w:fill="E5FFFF"/>
          </w:tcPr>
          <w:p>
            <w:pPr>
              <w:jc w:val="right"/>
              <w:ind w:right="28"/>
              <w:spacing w:after="0" w:line="155" w:lineRule="exact"/>
              <w:rPr>
                <w:sz w:val="20"/>
                <w:szCs w:val="20"/>
                <w:color w:val="auto"/>
              </w:rPr>
            </w:pPr>
            <w:r>
              <w:rPr>
                <w:rFonts w:ascii="Arial" w:cs="Arial" w:eastAsia="Arial" w:hAnsi="Arial"/>
                <w:sz w:val="14"/>
                <w:szCs w:val="14"/>
                <w:color w:val="auto"/>
              </w:rPr>
              <w:t>5,038</w:t>
            </w:r>
          </w:p>
        </w:tc>
        <w:tc>
          <w:tcPr>
            <w:tcW w:w="0" w:type="dxa"/>
            <w:vAlign w:val="bottom"/>
          </w:tcPr>
          <w:p>
            <w:pPr>
              <w:spacing w:after="0"/>
              <w:rPr>
                <w:sz w:val="1"/>
                <w:szCs w:val="1"/>
                <w:color w:val="auto"/>
              </w:rPr>
            </w:pPr>
          </w:p>
        </w:tc>
      </w:tr>
      <w:tr>
        <w:trPr>
          <w:trHeight w:val="318"/>
        </w:trPr>
        <w:tc>
          <w:tcPr>
            <w:tcW w:w="5500" w:type="dxa"/>
            <w:vAlign w:val="bottom"/>
            <w:gridSpan w:val="2"/>
          </w:tcPr>
          <w:p>
            <w:pPr>
              <w:spacing w:after="0"/>
              <w:rPr>
                <w:sz w:val="20"/>
                <w:szCs w:val="20"/>
                <w:color w:val="auto"/>
              </w:rPr>
            </w:pPr>
            <w:r>
              <w:rPr>
                <w:rFonts w:ascii="Arial" w:cs="Arial" w:eastAsia="Arial" w:hAnsi="Arial"/>
                <w:sz w:val="14"/>
                <w:szCs w:val="14"/>
                <w:b w:val="1"/>
                <w:bCs w:val="1"/>
                <w:color w:val="auto"/>
              </w:rPr>
              <w:t>Treasury stock</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80" w:type="dxa"/>
            <w:vAlign w:val="bottom"/>
            <w:shd w:val="clear" w:color="auto" w:fill="E5FFFF"/>
          </w:tcPr>
          <w:p>
            <w:pPr>
              <w:spacing w:after="0"/>
              <w:rPr>
                <w:sz w:val="20"/>
                <w:szCs w:val="20"/>
                <w:color w:val="auto"/>
              </w:rPr>
            </w:pPr>
            <w:r>
              <w:rPr>
                <w:rFonts w:ascii="Arial" w:cs="Arial" w:eastAsia="Arial" w:hAnsi="Arial"/>
                <w:sz w:val="14"/>
                <w:szCs w:val="14"/>
                <w:color w:val="auto"/>
              </w:rPr>
              <w:t>Beginning balance</w:t>
            </w:r>
          </w:p>
        </w:tc>
        <w:tc>
          <w:tcPr>
            <w:tcW w:w="820" w:type="dxa"/>
            <w:vAlign w:val="bottom"/>
            <w:shd w:val="clear" w:color="auto" w:fill="E5FFFF"/>
          </w:tcPr>
          <w:p>
            <w:pPr>
              <w:jc w:val="right"/>
              <w:spacing w:after="0"/>
              <w:rPr>
                <w:sz w:val="20"/>
                <w:szCs w:val="20"/>
                <w:color w:val="auto"/>
              </w:rPr>
            </w:pPr>
            <w:r>
              <w:rPr>
                <w:rFonts w:ascii="Arial" w:cs="Arial" w:eastAsia="Arial" w:hAnsi="Arial"/>
                <w:sz w:val="14"/>
                <w:szCs w:val="14"/>
                <w:color w:val="auto"/>
              </w:rPr>
              <w:t>(187.2)</w:t>
            </w:r>
          </w:p>
        </w:tc>
        <w:tc>
          <w:tcPr>
            <w:tcW w:w="24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700" w:type="dxa"/>
            <w:vAlign w:val="bottom"/>
            <w:shd w:val="clear" w:color="auto" w:fill="E5FFFF"/>
          </w:tcPr>
          <w:p>
            <w:pPr>
              <w:jc w:val="right"/>
              <w:ind w:right="8"/>
              <w:spacing w:after="0"/>
              <w:rPr>
                <w:sz w:val="20"/>
                <w:szCs w:val="20"/>
                <w:color w:val="auto"/>
              </w:rPr>
            </w:pPr>
            <w:r>
              <w:rPr>
                <w:rFonts w:ascii="Arial" w:cs="Arial" w:eastAsia="Arial" w:hAnsi="Arial"/>
                <w:sz w:val="14"/>
                <w:szCs w:val="14"/>
                <w:color w:val="auto"/>
              </w:rPr>
              <w:t>(11,664)</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rPr>
              <w:t>(175.4)</w:t>
            </w:r>
          </w:p>
        </w:tc>
        <w:tc>
          <w:tcPr>
            <w:tcW w:w="22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(9,995)</w:t>
            </w:r>
          </w:p>
        </w:tc>
        <w:tc>
          <w:tcPr>
            <w:tcW w:w="220" w:type="dxa"/>
            <w:vAlign w:val="bottom"/>
            <w:shd w:val="clear" w:color="auto" w:fill="E5FFFF"/>
          </w:tcPr>
          <w:p>
            <w:pPr>
              <w:spacing w:after="0"/>
              <w:rPr>
                <w:sz w:val="14"/>
                <w:szCs w:val="14"/>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4"/>
                <w:szCs w:val="14"/>
                <w:color w:val="auto"/>
              </w:rPr>
              <w:t>(173.8)</w:t>
            </w:r>
          </w:p>
        </w:tc>
        <w:tc>
          <w:tcPr>
            <w:tcW w:w="1060" w:type="dxa"/>
            <w:vAlign w:val="bottom"/>
            <w:gridSpan w:val="3"/>
            <w:shd w:val="clear" w:color="auto" w:fill="E5FFFF"/>
          </w:tcPr>
          <w:p>
            <w:pPr>
              <w:jc w:val="right"/>
              <w:spacing w:after="0"/>
              <w:rPr>
                <w:sz w:val="20"/>
                <w:szCs w:val="20"/>
                <w:color w:val="auto"/>
              </w:rPr>
            </w:pPr>
            <w:r>
              <w:rPr>
                <w:rFonts w:ascii="Arial" w:cs="Arial" w:eastAsia="Arial" w:hAnsi="Arial"/>
                <w:sz w:val="14"/>
                <w:szCs w:val="14"/>
                <w:color w:val="auto"/>
              </w:rPr>
              <w:t>(9,374)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80" w:type="dxa"/>
            <w:vAlign w:val="bottom"/>
          </w:tcPr>
          <w:p>
            <w:pPr>
              <w:ind w:left="160"/>
              <w:spacing w:after="0"/>
              <w:rPr>
                <w:sz w:val="20"/>
                <w:szCs w:val="20"/>
                <w:color w:val="auto"/>
              </w:rPr>
            </w:pPr>
            <w:r>
              <w:rPr>
                <w:rFonts w:ascii="Arial" w:cs="Arial" w:eastAsia="Arial" w:hAnsi="Arial"/>
                <w:sz w:val="14"/>
                <w:szCs w:val="14"/>
                <w:color w:val="auto"/>
              </w:rPr>
              <w:t>Reacquired stock or repurchases of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(19.3)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(2,079)</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(18.8)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(1,884)</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w:t>
            </w: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(924)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80" w:type="dxa"/>
            <w:vAlign w:val="bottom"/>
            <w:shd w:val="clear" w:color="auto" w:fill="E5FFFF"/>
          </w:tcPr>
          <w:p>
            <w:pPr>
              <w:ind w:left="160"/>
              <w:spacing w:after="0"/>
              <w:rPr>
                <w:sz w:val="20"/>
                <w:szCs w:val="20"/>
                <w:color w:val="auto"/>
              </w:rPr>
            </w:pPr>
            <w:r>
              <w:rPr>
                <w:rFonts w:ascii="Arial" w:cs="Arial" w:eastAsia="Arial" w:hAnsi="Arial"/>
                <w:sz w:val="14"/>
                <w:szCs w:val="14"/>
                <w:color w:val="auto"/>
              </w:rPr>
              <w:t>Issued for employee savings and option plans</w:t>
            </w:r>
          </w:p>
        </w:tc>
        <w:tc>
          <w:tcPr>
            <w:tcW w:w="82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9.7</w:t>
            </w:r>
          </w:p>
        </w:tc>
        <w:tc>
          <w:tcPr>
            <w:tcW w:w="24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70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377</w:t>
            </w:r>
          </w:p>
        </w:tc>
        <w:tc>
          <w:tcPr>
            <w:tcW w:w="1040" w:type="dxa"/>
            <w:vAlign w:val="bottom"/>
            <w:gridSpan w:val="2"/>
            <w:shd w:val="clear" w:color="auto" w:fill="E5FFFF"/>
          </w:tcPr>
          <w:p>
            <w:pPr>
              <w:jc w:val="right"/>
              <w:ind w:right="28"/>
              <w:spacing w:after="0"/>
              <w:rPr>
                <w:sz w:val="20"/>
                <w:szCs w:val="20"/>
                <w:color w:val="auto"/>
              </w:rPr>
            </w:pPr>
            <w:r>
              <w:rPr>
                <w:rFonts w:ascii="Arial" w:cs="Arial" w:eastAsia="Arial" w:hAnsi="Arial"/>
                <w:sz w:val="14"/>
                <w:szCs w:val="14"/>
                <w:color w:val="auto"/>
              </w:rPr>
              <w:t>6.7</w:t>
            </w:r>
          </w:p>
        </w:tc>
        <w:tc>
          <w:tcPr>
            <w:tcW w:w="22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60" w:type="dxa"/>
            <w:vAlign w:val="bottom"/>
            <w:shd w:val="clear" w:color="auto" w:fill="E5FFFF"/>
          </w:tcPr>
          <w:p>
            <w:pPr>
              <w:jc w:val="right"/>
              <w:ind w:right="28"/>
              <w:spacing w:after="0"/>
              <w:rPr>
                <w:sz w:val="20"/>
                <w:szCs w:val="20"/>
                <w:color w:val="auto"/>
              </w:rPr>
            </w:pPr>
            <w:r>
              <w:rPr>
                <w:rFonts w:ascii="Arial" w:cs="Arial" w:eastAsia="Arial" w:hAnsi="Arial"/>
                <w:sz w:val="14"/>
                <w:szCs w:val="14"/>
                <w:color w:val="auto"/>
              </w:rPr>
              <w:t>215</w:t>
            </w:r>
          </w:p>
        </w:tc>
        <w:tc>
          <w:tcPr>
            <w:tcW w:w="220" w:type="dxa"/>
            <w:vAlign w:val="bottom"/>
            <w:shd w:val="clear" w:color="auto" w:fill="E5FFFF"/>
          </w:tcPr>
          <w:p>
            <w:pPr>
              <w:spacing w:after="0"/>
              <w:rPr>
                <w:sz w:val="14"/>
                <w:szCs w:val="14"/>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4"/>
                <w:szCs w:val="14"/>
                <w:color w:val="auto"/>
              </w:rPr>
              <w:t>8.4</w:t>
            </w:r>
          </w:p>
        </w:tc>
        <w:tc>
          <w:tcPr>
            <w:tcW w:w="1060" w:type="dxa"/>
            <w:vAlign w:val="bottom"/>
            <w:gridSpan w:val="3"/>
            <w:shd w:val="clear" w:color="auto" w:fill="E5FFFF"/>
          </w:tcPr>
          <w:p>
            <w:pPr>
              <w:jc w:val="right"/>
              <w:ind w:right="28"/>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80" w:type="dxa"/>
            <w:vAlign w:val="bottom"/>
            <w:tcBorders>
              <w:bottom w:val="single" w:sz="8" w:color="E5FFFF"/>
            </w:tcBorders>
          </w:tcPr>
          <w:p>
            <w:pPr>
              <w:ind w:left="160"/>
              <w:spacing w:after="0"/>
              <w:rPr>
                <w:sz w:val="20"/>
                <w:szCs w:val="20"/>
                <w:color w:val="auto"/>
              </w:rPr>
            </w:pPr>
            <w:r>
              <w:rPr>
                <w:rFonts w:ascii="Arial" w:cs="Arial" w:eastAsia="Arial" w:hAnsi="Arial"/>
                <w:sz w:val="14"/>
                <w:szCs w:val="14"/>
                <w:color w:val="auto"/>
              </w:rPr>
              <w:t>Other owner changes</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E5FF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E5FFFF"/>
            </w:tcBorders>
          </w:tcPr>
          <w:p>
            <w:pPr>
              <w:spacing w:after="0"/>
              <w:rPr>
                <w:sz w:val="15"/>
                <w:szCs w:val="15"/>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w:t>
            </w:r>
          </w:p>
        </w:tc>
        <w:tc>
          <w:tcPr>
            <w:tcW w:w="220" w:type="dxa"/>
            <w:vAlign w:val="bottom"/>
            <w:tcBorders>
              <w:bottom w:val="single" w:sz="8" w:color="E5FF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E5FF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E5FFFF"/>
            </w:tcBorders>
          </w:tcPr>
          <w:p>
            <w:pPr>
              <w:spacing w:after="0"/>
              <w:rPr>
                <w:sz w:val="15"/>
                <w:szCs w:val="15"/>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80" w:type="dxa"/>
            <w:vAlign w:val="bottom"/>
            <w:shd w:val="clear" w:color="auto" w:fill="E5FFFF"/>
          </w:tcPr>
          <w:p>
            <w:pPr>
              <w:spacing w:after="0" w:line="155" w:lineRule="exact"/>
              <w:rPr>
                <w:sz w:val="20"/>
                <w:szCs w:val="20"/>
                <w:color w:val="auto"/>
              </w:rPr>
            </w:pPr>
            <w:r>
              <w:rPr>
                <w:rFonts w:ascii="Arial" w:cs="Arial" w:eastAsia="Arial" w:hAnsi="Arial"/>
                <w:sz w:val="14"/>
                <w:szCs w:val="14"/>
                <w:color w:val="auto"/>
              </w:rPr>
              <w:t>Ending balance</w:t>
            </w:r>
          </w:p>
        </w:tc>
        <w:tc>
          <w:tcPr>
            <w:tcW w:w="820" w:type="dxa"/>
            <w:vAlign w:val="bottom"/>
            <w:shd w:val="clear" w:color="auto" w:fill="E5FFFF"/>
          </w:tcPr>
          <w:p>
            <w:pPr>
              <w:jc w:val="right"/>
              <w:spacing w:after="0" w:line="155" w:lineRule="exact"/>
              <w:rPr>
                <w:sz w:val="20"/>
                <w:szCs w:val="20"/>
                <w:color w:val="auto"/>
              </w:rPr>
            </w:pPr>
            <w:r>
              <w:rPr>
                <w:rFonts w:ascii="Arial" w:cs="Arial" w:eastAsia="Arial" w:hAnsi="Arial"/>
                <w:sz w:val="14"/>
                <w:szCs w:val="14"/>
                <w:color w:val="auto"/>
              </w:rPr>
              <w:t>(196.8)</w:t>
            </w:r>
          </w:p>
        </w:tc>
        <w:tc>
          <w:tcPr>
            <w:tcW w:w="240" w:type="dxa"/>
            <w:vAlign w:val="bottom"/>
            <w:shd w:val="clear" w:color="auto" w:fill="E5FFFF"/>
          </w:tcPr>
          <w:p>
            <w:pPr>
              <w:spacing w:after="0"/>
              <w:rPr>
                <w:sz w:val="13"/>
                <w:szCs w:val="13"/>
                <w:color w:val="auto"/>
              </w:rPr>
            </w:pPr>
          </w:p>
        </w:tc>
        <w:tc>
          <w:tcPr>
            <w:tcW w:w="120" w:type="dxa"/>
            <w:vAlign w:val="bottom"/>
            <w:shd w:val="clear" w:color="auto" w:fill="E5FFFF"/>
          </w:tcPr>
          <w:p>
            <w:pPr>
              <w:spacing w:after="0"/>
              <w:rPr>
                <w:sz w:val="13"/>
                <w:szCs w:val="13"/>
                <w:color w:val="auto"/>
              </w:rPr>
            </w:pPr>
          </w:p>
        </w:tc>
        <w:tc>
          <w:tcPr>
            <w:tcW w:w="700" w:type="dxa"/>
            <w:vAlign w:val="bottom"/>
            <w:shd w:val="clear" w:color="auto" w:fill="E5FFFF"/>
          </w:tcPr>
          <w:p>
            <w:pPr>
              <w:jc w:val="right"/>
              <w:ind w:right="8"/>
              <w:spacing w:after="0" w:line="155" w:lineRule="exact"/>
              <w:rPr>
                <w:sz w:val="20"/>
                <w:szCs w:val="20"/>
                <w:color w:val="auto"/>
              </w:rPr>
            </w:pPr>
            <w:r>
              <w:rPr>
                <w:rFonts w:ascii="Arial" w:cs="Arial" w:eastAsia="Arial" w:hAnsi="Arial"/>
                <w:sz w:val="14"/>
                <w:szCs w:val="14"/>
                <w:color w:val="auto"/>
              </w:rPr>
              <w:t>(13,366)</w:t>
            </w:r>
          </w:p>
        </w:tc>
        <w:tc>
          <w:tcPr>
            <w:tcW w:w="1040" w:type="dxa"/>
            <w:vAlign w:val="bottom"/>
            <w:gridSpan w:val="2"/>
            <w:shd w:val="clear" w:color="auto" w:fill="E5FFFF"/>
          </w:tcPr>
          <w:p>
            <w:pPr>
              <w:jc w:val="right"/>
              <w:spacing w:after="0" w:line="155" w:lineRule="exact"/>
              <w:rPr>
                <w:sz w:val="20"/>
                <w:szCs w:val="20"/>
                <w:color w:val="auto"/>
              </w:rPr>
            </w:pPr>
            <w:r>
              <w:rPr>
                <w:rFonts w:ascii="Arial" w:cs="Arial" w:eastAsia="Arial" w:hAnsi="Arial"/>
                <w:sz w:val="14"/>
                <w:szCs w:val="14"/>
                <w:color w:val="auto"/>
              </w:rPr>
              <w:t>(187.2)</w:t>
            </w:r>
          </w:p>
        </w:tc>
        <w:tc>
          <w:tcPr>
            <w:tcW w:w="220" w:type="dxa"/>
            <w:vAlign w:val="bottom"/>
            <w:shd w:val="clear" w:color="auto" w:fill="E5FFFF"/>
          </w:tcPr>
          <w:p>
            <w:pPr>
              <w:spacing w:after="0"/>
              <w:rPr>
                <w:sz w:val="13"/>
                <w:szCs w:val="13"/>
                <w:color w:val="auto"/>
              </w:rPr>
            </w:pPr>
          </w:p>
        </w:tc>
        <w:tc>
          <w:tcPr>
            <w:tcW w:w="120" w:type="dxa"/>
            <w:vAlign w:val="bottom"/>
            <w:shd w:val="clear" w:color="auto" w:fill="E5FFFF"/>
          </w:tcPr>
          <w:p>
            <w:pPr>
              <w:spacing w:after="0"/>
              <w:rPr>
                <w:sz w:val="13"/>
                <w:szCs w:val="13"/>
                <w:color w:val="auto"/>
              </w:rPr>
            </w:pPr>
          </w:p>
        </w:tc>
        <w:tc>
          <w:tcPr>
            <w:tcW w:w="660" w:type="dxa"/>
            <w:vAlign w:val="bottom"/>
            <w:shd w:val="clear" w:color="auto" w:fill="E5FFFF"/>
          </w:tcPr>
          <w:p>
            <w:pPr>
              <w:jc w:val="right"/>
              <w:spacing w:after="0" w:line="155" w:lineRule="exact"/>
              <w:rPr>
                <w:sz w:val="20"/>
                <w:szCs w:val="20"/>
                <w:color w:val="auto"/>
              </w:rPr>
            </w:pPr>
            <w:r>
              <w:rPr>
                <w:rFonts w:ascii="Arial" w:cs="Arial" w:eastAsia="Arial" w:hAnsi="Arial"/>
                <w:sz w:val="14"/>
                <w:szCs w:val="14"/>
                <w:color w:val="auto"/>
              </w:rPr>
              <w:t>(11,664)</w:t>
            </w:r>
          </w:p>
        </w:tc>
        <w:tc>
          <w:tcPr>
            <w:tcW w:w="220" w:type="dxa"/>
            <w:vAlign w:val="bottom"/>
            <w:shd w:val="clear" w:color="auto" w:fill="E5FFFF"/>
          </w:tcPr>
          <w:p>
            <w:pPr>
              <w:spacing w:after="0"/>
              <w:rPr>
                <w:sz w:val="13"/>
                <w:szCs w:val="13"/>
                <w:color w:val="auto"/>
              </w:rPr>
            </w:pPr>
          </w:p>
        </w:tc>
        <w:tc>
          <w:tcPr>
            <w:tcW w:w="720" w:type="dxa"/>
            <w:vAlign w:val="bottom"/>
            <w:shd w:val="clear" w:color="auto" w:fill="E5FFFF"/>
          </w:tcPr>
          <w:p>
            <w:pPr>
              <w:jc w:val="right"/>
              <w:spacing w:after="0" w:line="155" w:lineRule="exact"/>
              <w:rPr>
                <w:sz w:val="20"/>
                <w:szCs w:val="20"/>
                <w:color w:val="auto"/>
              </w:rPr>
            </w:pPr>
            <w:r>
              <w:rPr>
                <w:rFonts w:ascii="Arial" w:cs="Arial" w:eastAsia="Arial" w:hAnsi="Arial"/>
                <w:sz w:val="14"/>
                <w:szCs w:val="14"/>
                <w:color w:val="auto"/>
              </w:rPr>
              <w:t>(175.4)</w:t>
            </w:r>
          </w:p>
        </w:tc>
        <w:tc>
          <w:tcPr>
            <w:tcW w:w="1060" w:type="dxa"/>
            <w:vAlign w:val="bottom"/>
            <w:gridSpan w:val="3"/>
            <w:shd w:val="clear" w:color="auto" w:fill="E5FFFF"/>
          </w:tcPr>
          <w:p>
            <w:pPr>
              <w:jc w:val="right"/>
              <w:spacing w:after="0" w:line="155" w:lineRule="exact"/>
              <w:rPr>
                <w:sz w:val="20"/>
                <w:szCs w:val="20"/>
                <w:color w:val="auto"/>
              </w:rPr>
            </w:pPr>
            <w:r>
              <w:rPr>
                <w:rFonts w:ascii="Arial" w:cs="Arial" w:eastAsia="Arial" w:hAnsi="Arial"/>
                <w:sz w:val="14"/>
                <w:szCs w:val="14"/>
                <w:color w:val="auto"/>
              </w:rPr>
              <w:t>(9,995)</w:t>
            </w:r>
          </w:p>
        </w:tc>
        <w:tc>
          <w:tcPr>
            <w:tcW w:w="0" w:type="dxa"/>
            <w:vAlign w:val="bottom"/>
          </w:tcPr>
          <w:p>
            <w:pPr>
              <w:spacing w:after="0"/>
              <w:rPr>
                <w:sz w:val="1"/>
                <w:szCs w:val="1"/>
                <w:color w:val="auto"/>
              </w:rPr>
            </w:pPr>
          </w:p>
        </w:tc>
      </w:tr>
      <w:tr>
        <w:trPr>
          <w:trHeight w:val="318"/>
        </w:trPr>
        <w:tc>
          <w:tcPr>
            <w:tcW w:w="5500" w:type="dxa"/>
            <w:vAlign w:val="bottom"/>
            <w:gridSpan w:val="2"/>
          </w:tcPr>
          <w:p>
            <w:pPr>
              <w:spacing w:after="0"/>
              <w:rPr>
                <w:sz w:val="20"/>
                <w:szCs w:val="20"/>
                <w:color w:val="auto"/>
              </w:rPr>
            </w:pPr>
            <w:r>
              <w:rPr>
                <w:rFonts w:ascii="Arial" w:cs="Arial" w:eastAsia="Arial" w:hAnsi="Arial"/>
                <w:sz w:val="14"/>
                <w:szCs w:val="14"/>
                <w:b w:val="1"/>
                <w:bCs w:val="1"/>
                <w:color w:val="auto"/>
              </w:rPr>
              <w:t>Retained earnings</w:t>
            </w:r>
          </w:p>
        </w:tc>
        <w:tc>
          <w:tcPr>
            <w:tcW w:w="8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80" w:type="dxa"/>
            <w:vAlign w:val="bottom"/>
            <w:shd w:val="clear" w:color="auto" w:fill="E5FFFF"/>
          </w:tcPr>
          <w:p>
            <w:pPr>
              <w:spacing w:after="0"/>
              <w:rPr>
                <w:sz w:val="20"/>
                <w:szCs w:val="20"/>
                <w:color w:val="auto"/>
              </w:rPr>
            </w:pPr>
            <w:r>
              <w:rPr>
                <w:rFonts w:ascii="Arial" w:cs="Arial" w:eastAsia="Arial" w:hAnsi="Arial"/>
                <w:sz w:val="14"/>
                <w:szCs w:val="14"/>
                <w:color w:val="auto"/>
              </w:rPr>
              <w:t>Beginning balance</w:t>
            </w:r>
          </w:p>
        </w:tc>
        <w:tc>
          <w:tcPr>
            <w:tcW w:w="82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70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26,147</w:t>
            </w:r>
          </w:p>
        </w:tc>
        <w:tc>
          <w:tcPr>
            <w:tcW w:w="240" w:type="dxa"/>
            <w:vAlign w:val="bottom"/>
            <w:shd w:val="clear" w:color="auto" w:fill="E5FFFF"/>
          </w:tcPr>
          <w:p>
            <w:pPr>
              <w:spacing w:after="0"/>
              <w:rPr>
                <w:sz w:val="14"/>
                <w:szCs w:val="14"/>
                <w:color w:val="auto"/>
              </w:rPr>
            </w:pPr>
          </w:p>
        </w:tc>
        <w:tc>
          <w:tcPr>
            <w:tcW w:w="80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60" w:type="dxa"/>
            <w:vAlign w:val="bottom"/>
            <w:shd w:val="clear" w:color="auto" w:fill="E5FFFF"/>
          </w:tcPr>
          <w:p>
            <w:pPr>
              <w:jc w:val="right"/>
              <w:ind w:right="28"/>
              <w:spacing w:after="0"/>
              <w:rPr>
                <w:sz w:val="20"/>
                <w:szCs w:val="20"/>
                <w:color w:val="auto"/>
              </w:rPr>
            </w:pPr>
            <w:r>
              <w:rPr>
                <w:rFonts w:ascii="Arial" w:cs="Arial" w:eastAsia="Arial" w:hAnsi="Arial"/>
                <w:sz w:val="14"/>
                <w:szCs w:val="14"/>
                <w:color w:val="auto"/>
              </w:rPr>
              <w:t>23,115</w:t>
            </w:r>
          </w:p>
        </w:tc>
        <w:tc>
          <w:tcPr>
            <w:tcW w:w="220" w:type="dxa"/>
            <w:vAlign w:val="bottom"/>
            <w:shd w:val="clear" w:color="auto" w:fill="E5FFFF"/>
          </w:tcPr>
          <w:p>
            <w:pPr>
              <w:spacing w:after="0"/>
              <w:rPr>
                <w:sz w:val="14"/>
                <w:szCs w:val="14"/>
                <w:color w:val="auto"/>
              </w:rPr>
            </w:pPr>
          </w:p>
        </w:tc>
        <w:tc>
          <w:tcPr>
            <w:tcW w:w="720" w:type="dxa"/>
            <w:vAlign w:val="bottom"/>
            <w:shd w:val="clear" w:color="auto" w:fill="E5FFFF"/>
          </w:tcPr>
          <w:p>
            <w:pPr>
              <w:spacing w:after="0"/>
              <w:rPr>
                <w:sz w:val="14"/>
                <w:szCs w:val="14"/>
                <w:color w:val="auto"/>
              </w:rPr>
            </w:pPr>
          </w:p>
        </w:tc>
        <w:tc>
          <w:tcPr>
            <w:tcW w:w="1060" w:type="dxa"/>
            <w:vAlign w:val="bottom"/>
            <w:gridSpan w:val="3"/>
            <w:shd w:val="clear" w:color="auto" w:fill="E5FFFF"/>
          </w:tcPr>
          <w:p>
            <w:pPr>
              <w:jc w:val="right"/>
              <w:ind w:right="28"/>
              <w:spacing w:after="0"/>
              <w:rPr>
                <w:sz w:val="20"/>
                <w:szCs w:val="20"/>
                <w:color w:val="auto"/>
              </w:rPr>
            </w:pPr>
            <w:r>
              <w:rPr>
                <w:rFonts w:ascii="Arial" w:cs="Arial" w:eastAsia="Arial" w:hAnsi="Arial"/>
                <w:sz w:val="14"/>
                <w:szCs w:val="14"/>
                <w:color w:val="auto"/>
              </w:rPr>
              <w:t>20,383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80" w:type="dxa"/>
            <w:vAlign w:val="bottom"/>
          </w:tcPr>
          <w:p>
            <w:pPr>
              <w:ind w:left="160"/>
              <w:spacing w:after="0"/>
              <w:rPr>
                <w:sz w:val="20"/>
                <w:szCs w:val="20"/>
                <w:color w:val="auto"/>
              </w:rPr>
            </w:pPr>
            <w:r>
              <w:rPr>
                <w:rFonts w:ascii="Arial" w:cs="Arial" w:eastAsia="Arial" w:hAnsi="Arial"/>
                <w:sz w:val="14"/>
                <w:szCs w:val="14"/>
                <w:color w:val="auto"/>
              </w:rPr>
              <w:t>Net income attributable to Honeywell</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4,809</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4,768</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gridSpan w:val="3"/>
          </w:tcPr>
          <w:p>
            <w:pPr>
              <w:jc w:val="right"/>
              <w:ind w:right="28"/>
              <w:spacing w:after="0"/>
              <w:rPr>
                <w:sz w:val="20"/>
                <w:szCs w:val="20"/>
                <w:color w:val="auto"/>
              </w:rPr>
            </w:pPr>
            <w:r>
              <w:rPr>
                <w:rFonts w:ascii="Arial" w:cs="Arial" w:eastAsia="Arial" w:hAnsi="Arial"/>
                <w:sz w:val="14"/>
                <w:szCs w:val="14"/>
                <w:color w:val="auto"/>
              </w:rPr>
              <w:t>4,239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80" w:type="dxa"/>
            <w:vAlign w:val="bottom"/>
            <w:shd w:val="clear" w:color="auto" w:fill="E5FFFF"/>
          </w:tcPr>
          <w:p>
            <w:pPr>
              <w:ind w:left="160"/>
              <w:spacing w:after="0"/>
              <w:rPr>
                <w:sz w:val="20"/>
                <w:szCs w:val="20"/>
                <w:color w:val="auto"/>
              </w:rPr>
            </w:pPr>
            <w:r>
              <w:rPr>
                <w:rFonts w:ascii="Arial" w:cs="Arial" w:eastAsia="Arial" w:hAnsi="Arial"/>
                <w:sz w:val="14"/>
                <w:szCs w:val="14"/>
                <w:color w:val="auto"/>
              </w:rPr>
              <w:t>Dividends on common stock</w:t>
            </w:r>
          </w:p>
        </w:tc>
        <w:tc>
          <w:tcPr>
            <w:tcW w:w="82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700" w:type="dxa"/>
            <w:vAlign w:val="bottom"/>
            <w:shd w:val="clear" w:color="auto" w:fill="E5FFFF"/>
          </w:tcPr>
          <w:p>
            <w:pPr>
              <w:jc w:val="right"/>
              <w:ind w:right="8"/>
              <w:spacing w:after="0"/>
              <w:rPr>
                <w:sz w:val="20"/>
                <w:szCs w:val="20"/>
                <w:color w:val="auto"/>
              </w:rPr>
            </w:pPr>
            <w:r>
              <w:rPr>
                <w:rFonts w:ascii="Arial" w:cs="Arial" w:eastAsia="Arial" w:hAnsi="Arial"/>
                <w:sz w:val="14"/>
                <w:szCs w:val="14"/>
                <w:color w:val="auto"/>
              </w:rPr>
              <w:t>(1,883)</w:t>
            </w:r>
          </w:p>
        </w:tc>
        <w:tc>
          <w:tcPr>
            <w:tcW w:w="240" w:type="dxa"/>
            <w:vAlign w:val="bottom"/>
            <w:shd w:val="clear" w:color="auto" w:fill="E5FFFF"/>
          </w:tcPr>
          <w:p>
            <w:pPr>
              <w:spacing w:after="0"/>
              <w:rPr>
                <w:sz w:val="14"/>
                <w:szCs w:val="14"/>
                <w:color w:val="auto"/>
              </w:rPr>
            </w:pPr>
          </w:p>
        </w:tc>
        <w:tc>
          <w:tcPr>
            <w:tcW w:w="80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(1,686)</w:t>
            </w:r>
          </w:p>
        </w:tc>
        <w:tc>
          <w:tcPr>
            <w:tcW w:w="220" w:type="dxa"/>
            <w:vAlign w:val="bottom"/>
            <w:shd w:val="clear" w:color="auto" w:fill="E5FFFF"/>
          </w:tcPr>
          <w:p>
            <w:pPr>
              <w:spacing w:after="0"/>
              <w:rPr>
                <w:sz w:val="14"/>
                <w:szCs w:val="14"/>
                <w:color w:val="auto"/>
              </w:rPr>
            </w:pPr>
          </w:p>
        </w:tc>
        <w:tc>
          <w:tcPr>
            <w:tcW w:w="720" w:type="dxa"/>
            <w:vAlign w:val="bottom"/>
            <w:shd w:val="clear" w:color="auto" w:fill="E5FFFF"/>
          </w:tcPr>
          <w:p>
            <w:pPr>
              <w:spacing w:after="0"/>
              <w:rPr>
                <w:sz w:val="14"/>
                <w:szCs w:val="14"/>
                <w:color w:val="auto"/>
              </w:rPr>
            </w:pPr>
          </w:p>
        </w:tc>
        <w:tc>
          <w:tcPr>
            <w:tcW w:w="1060" w:type="dxa"/>
            <w:vAlign w:val="bottom"/>
            <w:gridSpan w:val="3"/>
            <w:shd w:val="clear" w:color="auto" w:fill="E5FFFF"/>
          </w:tcPr>
          <w:p>
            <w:pPr>
              <w:jc w:val="right"/>
              <w:spacing w:after="0"/>
              <w:rPr>
                <w:sz w:val="20"/>
                <w:szCs w:val="20"/>
                <w:color w:val="auto"/>
              </w:rPr>
            </w:pPr>
            <w:r>
              <w:rPr>
                <w:rFonts w:ascii="Arial" w:cs="Arial" w:eastAsia="Arial" w:hAnsi="Arial"/>
                <w:sz w:val="14"/>
                <w:szCs w:val="14"/>
                <w:color w:val="auto"/>
              </w:rPr>
              <w:t>(1,478)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80" w:type="dxa"/>
            <w:vAlign w:val="bottom"/>
          </w:tcPr>
          <w:p>
            <w:pPr>
              <w:ind w:left="160"/>
              <w:spacing w:after="0"/>
              <w:rPr>
                <w:sz w:val="20"/>
                <w:szCs w:val="20"/>
                <w:color w:val="auto"/>
              </w:rPr>
            </w:pPr>
            <w:r>
              <w:rPr>
                <w:rFonts w:ascii="Arial" w:cs="Arial" w:eastAsia="Arial" w:hAnsi="Arial"/>
                <w:sz w:val="14"/>
                <w:szCs w:val="14"/>
                <w:color w:val="auto"/>
              </w:rPr>
              <w:t>AdvanSix spin-off</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(362)</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80" w:type="dxa"/>
            <w:vAlign w:val="bottom"/>
            <w:shd w:val="clear" w:color="auto" w:fill="E5FFFF"/>
          </w:tcPr>
          <w:p>
            <w:pPr>
              <w:ind w:left="160"/>
              <w:spacing w:after="0"/>
              <w:rPr>
                <w:sz w:val="20"/>
                <w:szCs w:val="20"/>
                <w:color w:val="auto"/>
              </w:rPr>
            </w:pPr>
            <w:r>
              <w:rPr>
                <w:rFonts w:ascii="Arial" w:cs="Arial" w:eastAsia="Arial" w:hAnsi="Arial"/>
                <w:sz w:val="14"/>
                <w:szCs w:val="14"/>
                <w:color w:val="auto"/>
              </w:rPr>
              <w:t>Redemption value adjustment</w:t>
            </w:r>
          </w:p>
        </w:tc>
        <w:tc>
          <w:tcPr>
            <w:tcW w:w="820" w:type="dxa"/>
            <w:vAlign w:val="bottom"/>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120" w:type="dxa"/>
            <w:vAlign w:val="bottom"/>
            <w:tcBorders>
              <w:bottom w:val="single" w:sz="8" w:color="auto"/>
            </w:tcBorders>
            <w:shd w:val="clear" w:color="auto" w:fill="E5FFFF"/>
          </w:tcPr>
          <w:p>
            <w:pPr>
              <w:spacing w:after="0"/>
              <w:rPr>
                <w:sz w:val="15"/>
                <w:szCs w:val="15"/>
                <w:color w:val="auto"/>
              </w:rPr>
            </w:pPr>
          </w:p>
        </w:tc>
        <w:tc>
          <w:tcPr>
            <w:tcW w:w="700" w:type="dxa"/>
            <w:vAlign w:val="bottom"/>
            <w:tcBorders>
              <w:bottom w:val="single" w:sz="8" w:color="auto"/>
            </w:tcBorders>
            <w:shd w:val="clear" w:color="auto" w:fill="E5FFFF"/>
          </w:tcPr>
          <w:p>
            <w:pPr>
              <w:jc w:val="right"/>
              <w:ind w:right="8"/>
              <w:spacing w:after="0"/>
              <w:rPr>
                <w:sz w:val="20"/>
                <w:szCs w:val="20"/>
                <w:color w:val="auto"/>
              </w:rPr>
            </w:pPr>
            <w:r>
              <w:rPr>
                <w:rFonts w:ascii="Arial" w:cs="Arial" w:eastAsia="Arial" w:hAnsi="Arial"/>
                <w:sz w:val="14"/>
                <w:szCs w:val="14"/>
                <w:color w:val="auto"/>
              </w:rPr>
              <w:t>(1)</w:t>
            </w:r>
          </w:p>
        </w:tc>
        <w:tc>
          <w:tcPr>
            <w:tcW w:w="240" w:type="dxa"/>
            <w:vAlign w:val="bottom"/>
            <w:shd w:val="clear" w:color="auto" w:fill="E5FFFF"/>
          </w:tcPr>
          <w:p>
            <w:pPr>
              <w:spacing w:after="0"/>
              <w:rPr>
                <w:sz w:val="15"/>
                <w:szCs w:val="15"/>
                <w:color w:val="auto"/>
              </w:rPr>
            </w:pPr>
          </w:p>
        </w:tc>
        <w:tc>
          <w:tcPr>
            <w:tcW w:w="80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20" w:type="dxa"/>
            <w:vAlign w:val="bottom"/>
            <w:tcBorders>
              <w:bottom w:val="single" w:sz="8" w:color="auto"/>
            </w:tcBorders>
            <w:shd w:val="clear" w:color="auto" w:fill="E5FFFF"/>
          </w:tcPr>
          <w:p>
            <w:pPr>
              <w:spacing w:after="0"/>
              <w:rPr>
                <w:sz w:val="15"/>
                <w:szCs w:val="15"/>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4"/>
                <w:szCs w:val="14"/>
                <w:color w:val="auto"/>
              </w:rPr>
              <w:t>(50)</w:t>
            </w:r>
          </w:p>
        </w:tc>
        <w:tc>
          <w:tcPr>
            <w:tcW w:w="220" w:type="dxa"/>
            <w:vAlign w:val="bottom"/>
            <w:shd w:val="clear" w:color="auto" w:fill="E5FFFF"/>
          </w:tcPr>
          <w:p>
            <w:pPr>
              <w:spacing w:after="0"/>
              <w:rPr>
                <w:sz w:val="15"/>
                <w:szCs w:val="15"/>
                <w:color w:val="auto"/>
              </w:rPr>
            </w:pPr>
          </w:p>
        </w:tc>
        <w:tc>
          <w:tcPr>
            <w:tcW w:w="720" w:type="dxa"/>
            <w:vAlign w:val="bottom"/>
            <w:shd w:val="clear" w:color="auto" w:fill="E5FFFF"/>
          </w:tcPr>
          <w:p>
            <w:pPr>
              <w:spacing w:after="0"/>
              <w:rPr>
                <w:sz w:val="15"/>
                <w:szCs w:val="15"/>
                <w:color w:val="auto"/>
              </w:rPr>
            </w:pPr>
          </w:p>
        </w:tc>
        <w:tc>
          <w:tcPr>
            <w:tcW w:w="280" w:type="dxa"/>
            <w:vAlign w:val="bottom"/>
            <w:gridSpan w:val="2"/>
            <w:shd w:val="clear" w:color="auto" w:fill="E5FFFF"/>
          </w:tcPr>
          <w:p>
            <w:pPr>
              <w:spacing w:after="0"/>
              <w:rPr>
                <w:sz w:val="15"/>
                <w:szCs w:val="15"/>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56"/>
        </w:trPr>
        <w:tc>
          <w:tcPr>
            <w:tcW w:w="550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28,710</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28"/>
              <w:spacing w:after="0" w:line="155" w:lineRule="exact"/>
              <w:rPr>
                <w:sz w:val="20"/>
                <w:szCs w:val="20"/>
                <w:color w:val="auto"/>
              </w:rPr>
            </w:pPr>
            <w:r>
              <w:rPr>
                <w:rFonts w:ascii="Arial" w:cs="Arial" w:eastAsia="Arial" w:hAnsi="Arial"/>
                <w:sz w:val="14"/>
                <w:szCs w:val="14"/>
                <w:color w:val="auto"/>
              </w:rPr>
              <w:t>26,147</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60" w:type="dxa"/>
            <w:vAlign w:val="bottom"/>
            <w:gridSpan w:val="3"/>
          </w:tcPr>
          <w:p>
            <w:pPr>
              <w:jc w:val="right"/>
              <w:ind w:right="28"/>
              <w:spacing w:after="0" w:line="155" w:lineRule="exact"/>
              <w:rPr>
                <w:sz w:val="20"/>
                <w:szCs w:val="20"/>
                <w:color w:val="auto"/>
              </w:rPr>
            </w:pPr>
            <w:r>
              <w:rPr>
                <w:rFonts w:ascii="Arial" w:cs="Arial" w:eastAsia="Arial" w:hAnsi="Arial"/>
                <w:sz w:val="14"/>
                <w:szCs w:val="14"/>
                <w:color w:val="auto"/>
              </w:rPr>
              <w:t>23,115</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480" w:type="dxa"/>
            <w:vAlign w:val="bottom"/>
            <w:shd w:val="clear" w:color="auto" w:fill="E5FFFF"/>
          </w:tcPr>
          <w:p>
            <w:pPr>
              <w:spacing w:after="0"/>
              <w:rPr>
                <w:sz w:val="20"/>
                <w:szCs w:val="20"/>
                <w:color w:val="auto"/>
              </w:rPr>
            </w:pPr>
            <w:r>
              <w:rPr>
                <w:rFonts w:ascii="Arial" w:cs="Arial" w:eastAsia="Arial" w:hAnsi="Arial"/>
                <w:sz w:val="14"/>
                <w:szCs w:val="14"/>
                <w:b w:val="1"/>
                <w:bCs w:val="1"/>
                <w:color w:val="auto"/>
              </w:rPr>
              <w:t>Accumulated other comprehensive income (loss)</w:t>
            </w:r>
          </w:p>
        </w:tc>
        <w:tc>
          <w:tcPr>
            <w:tcW w:w="82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70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80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6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720" w:type="dxa"/>
            <w:vAlign w:val="bottom"/>
            <w:shd w:val="clear" w:color="auto" w:fill="E5FFFF"/>
          </w:tcPr>
          <w:p>
            <w:pPr>
              <w:spacing w:after="0"/>
              <w:rPr>
                <w:sz w:val="14"/>
                <w:szCs w:val="14"/>
                <w:color w:val="auto"/>
              </w:rPr>
            </w:pPr>
          </w:p>
        </w:tc>
        <w:tc>
          <w:tcPr>
            <w:tcW w:w="6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78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00" w:type="dxa"/>
            <w:vAlign w:val="bottom"/>
            <w:gridSpan w:val="2"/>
          </w:tcPr>
          <w:p>
            <w:pPr>
              <w:spacing w:after="0"/>
              <w:rPr>
                <w:sz w:val="20"/>
                <w:szCs w:val="20"/>
                <w:color w:val="auto"/>
              </w:rPr>
            </w:pPr>
            <w:r>
              <w:rPr>
                <w:rFonts w:ascii="Arial" w:cs="Arial" w:eastAsia="Arial" w:hAnsi="Arial"/>
                <w:sz w:val="14"/>
                <w:szCs w:val="14"/>
                <w:color w:val="auto"/>
              </w:rPr>
              <w:t>Beginning balance</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(2,535)</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(1,459)</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gridSpan w:val="3"/>
          </w:tcPr>
          <w:p>
            <w:pPr>
              <w:jc w:val="right"/>
              <w:ind w:right="28"/>
              <w:spacing w:after="0"/>
              <w:rPr>
                <w:sz w:val="20"/>
                <w:szCs w:val="20"/>
                <w:color w:val="auto"/>
              </w:rPr>
            </w:pPr>
            <w:r>
              <w:rPr>
                <w:rFonts w:ascii="Arial" w:cs="Arial" w:eastAsia="Arial" w:hAnsi="Arial"/>
                <w:sz w:val="14"/>
                <w:szCs w:val="14"/>
                <w:color w:val="auto"/>
              </w:rPr>
              <w:t>818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80" w:type="dxa"/>
            <w:vAlign w:val="bottom"/>
            <w:shd w:val="clear" w:color="auto" w:fill="E5FFFF"/>
          </w:tcPr>
          <w:p>
            <w:pPr>
              <w:ind w:left="160"/>
              <w:spacing w:after="0"/>
              <w:rPr>
                <w:sz w:val="20"/>
                <w:szCs w:val="20"/>
                <w:color w:val="auto"/>
              </w:rPr>
            </w:pPr>
            <w:r>
              <w:rPr>
                <w:rFonts w:ascii="Arial" w:cs="Arial" w:eastAsia="Arial" w:hAnsi="Arial"/>
                <w:sz w:val="14"/>
                <w:szCs w:val="14"/>
                <w:color w:val="auto"/>
              </w:rPr>
              <w:t>Foreign exchange translation adjustment</w:t>
            </w:r>
          </w:p>
        </w:tc>
        <w:tc>
          <w:tcPr>
            <w:tcW w:w="82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700" w:type="dxa"/>
            <w:vAlign w:val="bottom"/>
            <w:shd w:val="clear" w:color="auto" w:fill="E5FFFF"/>
          </w:tcPr>
          <w:p>
            <w:pPr>
              <w:jc w:val="right"/>
              <w:ind w:right="8"/>
              <w:spacing w:after="0"/>
              <w:rPr>
                <w:sz w:val="20"/>
                <w:szCs w:val="20"/>
                <w:color w:val="auto"/>
              </w:rPr>
            </w:pPr>
            <w:r>
              <w:rPr>
                <w:rFonts w:ascii="Arial" w:cs="Arial" w:eastAsia="Arial" w:hAnsi="Arial"/>
                <w:sz w:val="14"/>
                <w:szCs w:val="14"/>
                <w:color w:val="auto"/>
              </w:rPr>
              <w:t>(52)</w:t>
            </w:r>
          </w:p>
        </w:tc>
        <w:tc>
          <w:tcPr>
            <w:tcW w:w="240" w:type="dxa"/>
            <w:vAlign w:val="bottom"/>
            <w:shd w:val="clear" w:color="auto" w:fill="E5FFFF"/>
          </w:tcPr>
          <w:p>
            <w:pPr>
              <w:spacing w:after="0"/>
              <w:rPr>
                <w:sz w:val="14"/>
                <w:szCs w:val="14"/>
                <w:color w:val="auto"/>
              </w:rPr>
            </w:pPr>
          </w:p>
        </w:tc>
        <w:tc>
          <w:tcPr>
            <w:tcW w:w="80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(1,152)</w:t>
            </w:r>
          </w:p>
        </w:tc>
        <w:tc>
          <w:tcPr>
            <w:tcW w:w="220" w:type="dxa"/>
            <w:vAlign w:val="bottom"/>
            <w:shd w:val="clear" w:color="auto" w:fill="E5FFFF"/>
          </w:tcPr>
          <w:p>
            <w:pPr>
              <w:spacing w:after="0"/>
              <w:rPr>
                <w:sz w:val="14"/>
                <w:szCs w:val="14"/>
                <w:color w:val="auto"/>
              </w:rPr>
            </w:pPr>
          </w:p>
        </w:tc>
        <w:tc>
          <w:tcPr>
            <w:tcW w:w="720" w:type="dxa"/>
            <w:vAlign w:val="bottom"/>
            <w:shd w:val="clear" w:color="auto" w:fill="E5FFFF"/>
          </w:tcPr>
          <w:p>
            <w:pPr>
              <w:spacing w:after="0"/>
              <w:rPr>
                <w:sz w:val="14"/>
                <w:szCs w:val="14"/>
                <w:color w:val="auto"/>
              </w:rPr>
            </w:pPr>
          </w:p>
        </w:tc>
        <w:tc>
          <w:tcPr>
            <w:tcW w:w="1060" w:type="dxa"/>
            <w:vAlign w:val="bottom"/>
            <w:gridSpan w:val="3"/>
            <w:shd w:val="clear" w:color="auto" w:fill="E5FFFF"/>
          </w:tcPr>
          <w:p>
            <w:pPr>
              <w:jc w:val="right"/>
              <w:spacing w:after="0"/>
              <w:rPr>
                <w:sz w:val="20"/>
                <w:szCs w:val="20"/>
                <w:color w:val="auto"/>
              </w:rPr>
            </w:pPr>
            <w:r>
              <w:rPr>
                <w:rFonts w:ascii="Arial" w:cs="Arial" w:eastAsia="Arial" w:hAnsi="Arial"/>
                <w:sz w:val="14"/>
                <w:szCs w:val="14"/>
                <w:color w:val="auto"/>
              </w:rPr>
              <w:t>(1,044)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80" w:type="dxa"/>
            <w:vAlign w:val="bottom"/>
          </w:tcPr>
          <w:p>
            <w:pPr>
              <w:ind w:left="160"/>
              <w:spacing w:after="0"/>
              <w:rPr>
                <w:sz w:val="20"/>
                <w:szCs w:val="20"/>
                <w:color w:val="auto"/>
              </w:rPr>
            </w:pPr>
            <w:r>
              <w:rPr>
                <w:rFonts w:ascii="Arial" w:cs="Arial" w:eastAsia="Arial" w:hAnsi="Arial"/>
                <w:sz w:val="14"/>
                <w:szCs w:val="14"/>
                <w:color w:val="auto"/>
              </w:rPr>
              <w:t>Pensions and other postretirement benefit adjustments</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(235)</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84</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(1,083)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80" w:type="dxa"/>
            <w:vAlign w:val="bottom"/>
            <w:shd w:val="clear" w:color="auto" w:fill="E5FFFF"/>
          </w:tcPr>
          <w:p>
            <w:pPr>
              <w:ind w:left="160"/>
              <w:spacing w:after="0"/>
              <w:rPr>
                <w:sz w:val="20"/>
                <w:szCs w:val="20"/>
                <w:color w:val="auto"/>
              </w:rPr>
            </w:pPr>
            <w:r>
              <w:rPr>
                <w:rFonts w:ascii="Arial" w:cs="Arial" w:eastAsia="Arial" w:hAnsi="Arial"/>
                <w:sz w:val="14"/>
                <w:szCs w:val="14"/>
                <w:color w:val="auto"/>
              </w:rPr>
              <w:t>Changes in fair value of available for sale investments</w:t>
            </w:r>
          </w:p>
        </w:tc>
        <w:tc>
          <w:tcPr>
            <w:tcW w:w="82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70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E5FFFF"/>
          </w:tcPr>
          <w:p>
            <w:pPr>
              <w:spacing w:after="0"/>
              <w:rPr>
                <w:sz w:val="14"/>
                <w:szCs w:val="14"/>
                <w:color w:val="auto"/>
              </w:rPr>
            </w:pPr>
          </w:p>
        </w:tc>
        <w:tc>
          <w:tcPr>
            <w:tcW w:w="80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60" w:type="dxa"/>
            <w:vAlign w:val="bottom"/>
            <w:shd w:val="clear" w:color="auto" w:fill="E5FF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E5FFFF"/>
          </w:tcPr>
          <w:p>
            <w:pPr>
              <w:spacing w:after="0"/>
              <w:rPr>
                <w:sz w:val="14"/>
                <w:szCs w:val="14"/>
                <w:color w:val="auto"/>
              </w:rPr>
            </w:pPr>
          </w:p>
        </w:tc>
        <w:tc>
          <w:tcPr>
            <w:tcW w:w="720" w:type="dxa"/>
            <w:vAlign w:val="bottom"/>
            <w:shd w:val="clear" w:color="auto" w:fill="E5FFFF"/>
          </w:tcPr>
          <w:p>
            <w:pPr>
              <w:spacing w:after="0"/>
              <w:rPr>
                <w:sz w:val="14"/>
                <w:szCs w:val="14"/>
                <w:color w:val="auto"/>
              </w:rPr>
            </w:pPr>
          </w:p>
        </w:tc>
        <w:tc>
          <w:tcPr>
            <w:tcW w:w="1060" w:type="dxa"/>
            <w:vAlign w:val="bottom"/>
            <w:gridSpan w:val="3"/>
            <w:shd w:val="clear" w:color="auto" w:fill="E5FFFF"/>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80" w:type="dxa"/>
            <w:vAlign w:val="bottom"/>
            <w:tcBorders>
              <w:bottom w:val="single" w:sz="8" w:color="E5FFFF"/>
            </w:tcBorders>
          </w:tcPr>
          <w:p>
            <w:pPr>
              <w:ind w:left="160"/>
              <w:spacing w:after="0"/>
              <w:rPr>
                <w:sz w:val="20"/>
                <w:szCs w:val="20"/>
                <w:color w:val="auto"/>
              </w:rPr>
            </w:pPr>
            <w:r>
              <w:rPr>
                <w:rFonts w:ascii="Arial" w:cs="Arial" w:eastAsia="Arial" w:hAnsi="Arial"/>
                <w:sz w:val="14"/>
                <w:szCs w:val="14"/>
                <w:color w:val="auto"/>
              </w:rPr>
              <w:t>Changes in fair value of effective cash flow hedges</w:t>
            </w:r>
          </w:p>
        </w:tc>
        <w:tc>
          <w:tcPr>
            <w:tcW w:w="820" w:type="dxa"/>
            <w:vAlign w:val="bottom"/>
            <w:tcBorders>
              <w:bottom w:val="single" w:sz="8" w:color="E5FFFF"/>
            </w:tcBorders>
          </w:tcPr>
          <w:p>
            <w:pPr>
              <w:spacing w:after="0"/>
              <w:rPr>
                <w:sz w:val="15"/>
                <w:szCs w:val="15"/>
                <w:color w:val="auto"/>
              </w:rPr>
            </w:pPr>
          </w:p>
        </w:tc>
        <w:tc>
          <w:tcPr>
            <w:tcW w:w="240" w:type="dxa"/>
            <w:vAlign w:val="bottom"/>
            <w:tcBorders>
              <w:bottom w:val="single" w:sz="8" w:color="E5FF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w:t>
            </w:r>
          </w:p>
        </w:tc>
        <w:tc>
          <w:tcPr>
            <w:tcW w:w="240" w:type="dxa"/>
            <w:vAlign w:val="bottom"/>
            <w:tcBorders>
              <w:bottom w:val="single" w:sz="8" w:color="E5FFFF"/>
            </w:tcBorders>
          </w:tcPr>
          <w:p>
            <w:pPr>
              <w:spacing w:after="0"/>
              <w:rPr>
                <w:sz w:val="15"/>
                <w:szCs w:val="15"/>
                <w:color w:val="auto"/>
              </w:rPr>
            </w:pPr>
          </w:p>
        </w:tc>
        <w:tc>
          <w:tcPr>
            <w:tcW w:w="800" w:type="dxa"/>
            <w:vAlign w:val="bottom"/>
            <w:tcBorders>
              <w:bottom w:val="single" w:sz="8" w:color="E5FFFF"/>
            </w:tcBorders>
          </w:tcPr>
          <w:p>
            <w:pPr>
              <w:spacing w:after="0"/>
              <w:rPr>
                <w:sz w:val="15"/>
                <w:szCs w:val="15"/>
                <w:color w:val="auto"/>
              </w:rPr>
            </w:pPr>
          </w:p>
        </w:tc>
        <w:tc>
          <w:tcPr>
            <w:tcW w:w="220" w:type="dxa"/>
            <w:vAlign w:val="bottom"/>
            <w:tcBorders>
              <w:bottom w:val="single" w:sz="8" w:color="E5FF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220" w:type="dxa"/>
            <w:vAlign w:val="bottom"/>
            <w:tcBorders>
              <w:bottom w:val="single" w:sz="8" w:color="E5FFFF"/>
            </w:tcBorders>
          </w:tcPr>
          <w:p>
            <w:pPr>
              <w:spacing w:after="0"/>
              <w:rPr>
                <w:sz w:val="15"/>
                <w:szCs w:val="15"/>
                <w:color w:val="auto"/>
              </w:rPr>
            </w:pPr>
          </w:p>
        </w:tc>
        <w:tc>
          <w:tcPr>
            <w:tcW w:w="720" w:type="dxa"/>
            <w:vAlign w:val="bottom"/>
            <w:tcBorders>
              <w:bottom w:val="single" w:sz="8" w:color="E5FFFF"/>
            </w:tcBorders>
          </w:tcPr>
          <w:p>
            <w:pPr>
              <w:spacing w:after="0"/>
              <w:rPr>
                <w:sz w:val="15"/>
                <w:szCs w:val="15"/>
                <w:color w:val="auto"/>
              </w:rPr>
            </w:pPr>
          </w:p>
        </w:tc>
        <w:tc>
          <w:tcPr>
            <w:tcW w:w="280" w:type="dxa"/>
            <w:vAlign w:val="bottom"/>
            <w:tcBorders>
              <w:bottom w:val="single" w:sz="8" w:color="E5FFFF"/>
            </w:tcBorders>
            <w:gridSpan w:val="2"/>
          </w:tcPr>
          <w:p>
            <w:pPr>
              <w:spacing w:after="0"/>
              <w:rPr>
                <w:sz w:val="15"/>
                <w:szCs w:val="15"/>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80" w:type="dxa"/>
            <w:vAlign w:val="bottom"/>
            <w:shd w:val="clear" w:color="auto" w:fill="E5FFFF"/>
          </w:tcPr>
          <w:p>
            <w:pPr>
              <w:spacing w:after="0" w:line="155" w:lineRule="exact"/>
              <w:rPr>
                <w:sz w:val="20"/>
                <w:szCs w:val="20"/>
                <w:color w:val="auto"/>
              </w:rPr>
            </w:pPr>
            <w:r>
              <w:rPr>
                <w:rFonts w:ascii="Arial" w:cs="Arial" w:eastAsia="Arial" w:hAnsi="Arial"/>
                <w:sz w:val="14"/>
                <w:szCs w:val="14"/>
                <w:color w:val="auto"/>
              </w:rPr>
              <w:t>Ending balance</w:t>
            </w:r>
          </w:p>
        </w:tc>
        <w:tc>
          <w:tcPr>
            <w:tcW w:w="820" w:type="dxa"/>
            <w:vAlign w:val="bottom"/>
            <w:shd w:val="clear" w:color="auto" w:fill="E5FFFF"/>
          </w:tcPr>
          <w:p>
            <w:pPr>
              <w:spacing w:after="0"/>
              <w:rPr>
                <w:sz w:val="13"/>
                <w:szCs w:val="13"/>
                <w:color w:val="auto"/>
              </w:rPr>
            </w:pPr>
          </w:p>
        </w:tc>
        <w:tc>
          <w:tcPr>
            <w:tcW w:w="240" w:type="dxa"/>
            <w:vAlign w:val="bottom"/>
            <w:shd w:val="clear" w:color="auto" w:fill="E5FFFF"/>
          </w:tcPr>
          <w:p>
            <w:pPr>
              <w:spacing w:after="0"/>
              <w:rPr>
                <w:sz w:val="13"/>
                <w:szCs w:val="13"/>
                <w:color w:val="auto"/>
              </w:rPr>
            </w:pPr>
          </w:p>
        </w:tc>
        <w:tc>
          <w:tcPr>
            <w:tcW w:w="120" w:type="dxa"/>
            <w:vAlign w:val="bottom"/>
            <w:shd w:val="clear" w:color="auto" w:fill="E5FFFF"/>
          </w:tcPr>
          <w:p>
            <w:pPr>
              <w:spacing w:after="0"/>
              <w:rPr>
                <w:sz w:val="13"/>
                <w:szCs w:val="13"/>
                <w:color w:val="auto"/>
              </w:rPr>
            </w:pPr>
          </w:p>
        </w:tc>
        <w:tc>
          <w:tcPr>
            <w:tcW w:w="700" w:type="dxa"/>
            <w:vAlign w:val="bottom"/>
            <w:shd w:val="clear" w:color="auto" w:fill="E5FFFF"/>
          </w:tcPr>
          <w:p>
            <w:pPr>
              <w:jc w:val="right"/>
              <w:ind w:right="8"/>
              <w:spacing w:after="0" w:line="155" w:lineRule="exact"/>
              <w:rPr>
                <w:sz w:val="20"/>
                <w:szCs w:val="20"/>
                <w:color w:val="auto"/>
              </w:rPr>
            </w:pPr>
            <w:r>
              <w:rPr>
                <w:rFonts w:ascii="Arial" w:cs="Arial" w:eastAsia="Arial" w:hAnsi="Arial"/>
                <w:sz w:val="14"/>
                <w:szCs w:val="14"/>
                <w:color w:val="auto"/>
              </w:rPr>
              <w:t>(2,714)</w:t>
            </w:r>
          </w:p>
        </w:tc>
        <w:tc>
          <w:tcPr>
            <w:tcW w:w="240" w:type="dxa"/>
            <w:vAlign w:val="bottom"/>
            <w:shd w:val="clear" w:color="auto" w:fill="E5FFFF"/>
          </w:tcPr>
          <w:p>
            <w:pPr>
              <w:spacing w:after="0"/>
              <w:rPr>
                <w:sz w:val="13"/>
                <w:szCs w:val="13"/>
                <w:color w:val="auto"/>
              </w:rPr>
            </w:pPr>
          </w:p>
        </w:tc>
        <w:tc>
          <w:tcPr>
            <w:tcW w:w="80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120" w:type="dxa"/>
            <w:vAlign w:val="bottom"/>
            <w:shd w:val="clear" w:color="auto" w:fill="E5FFFF"/>
          </w:tcPr>
          <w:p>
            <w:pPr>
              <w:spacing w:after="0"/>
              <w:rPr>
                <w:sz w:val="13"/>
                <w:szCs w:val="13"/>
                <w:color w:val="auto"/>
              </w:rPr>
            </w:pPr>
          </w:p>
        </w:tc>
        <w:tc>
          <w:tcPr>
            <w:tcW w:w="660" w:type="dxa"/>
            <w:vAlign w:val="bottom"/>
            <w:shd w:val="clear" w:color="auto" w:fill="E5FFFF"/>
          </w:tcPr>
          <w:p>
            <w:pPr>
              <w:jc w:val="right"/>
              <w:spacing w:after="0" w:line="155" w:lineRule="exact"/>
              <w:rPr>
                <w:sz w:val="20"/>
                <w:szCs w:val="20"/>
                <w:color w:val="auto"/>
              </w:rPr>
            </w:pPr>
            <w:r>
              <w:rPr>
                <w:rFonts w:ascii="Arial" w:cs="Arial" w:eastAsia="Arial" w:hAnsi="Arial"/>
                <w:sz w:val="14"/>
                <w:szCs w:val="14"/>
                <w:color w:val="auto"/>
              </w:rPr>
              <w:t>(2,535)</w:t>
            </w:r>
          </w:p>
        </w:tc>
        <w:tc>
          <w:tcPr>
            <w:tcW w:w="220" w:type="dxa"/>
            <w:vAlign w:val="bottom"/>
            <w:shd w:val="clear" w:color="auto" w:fill="E5FFFF"/>
          </w:tcPr>
          <w:p>
            <w:pPr>
              <w:spacing w:after="0"/>
              <w:rPr>
                <w:sz w:val="13"/>
                <w:szCs w:val="13"/>
                <w:color w:val="auto"/>
              </w:rPr>
            </w:pPr>
          </w:p>
        </w:tc>
        <w:tc>
          <w:tcPr>
            <w:tcW w:w="720" w:type="dxa"/>
            <w:vAlign w:val="bottom"/>
            <w:shd w:val="clear" w:color="auto" w:fill="E5FFFF"/>
          </w:tcPr>
          <w:p>
            <w:pPr>
              <w:spacing w:after="0"/>
              <w:rPr>
                <w:sz w:val="13"/>
                <w:szCs w:val="13"/>
                <w:color w:val="auto"/>
              </w:rPr>
            </w:pPr>
          </w:p>
        </w:tc>
        <w:tc>
          <w:tcPr>
            <w:tcW w:w="1060" w:type="dxa"/>
            <w:vAlign w:val="bottom"/>
            <w:gridSpan w:val="3"/>
            <w:shd w:val="clear" w:color="auto" w:fill="E5FFFF"/>
          </w:tcPr>
          <w:p>
            <w:pPr>
              <w:jc w:val="right"/>
              <w:spacing w:after="0" w:line="155" w:lineRule="exact"/>
              <w:rPr>
                <w:sz w:val="20"/>
                <w:szCs w:val="20"/>
                <w:color w:val="auto"/>
              </w:rPr>
            </w:pPr>
            <w:r>
              <w:rPr>
                <w:rFonts w:ascii="Arial" w:cs="Arial" w:eastAsia="Arial" w:hAnsi="Arial"/>
                <w:sz w:val="14"/>
                <w:szCs w:val="14"/>
                <w:color w:val="auto"/>
              </w:rPr>
              <w:t>(1,459)</w:t>
            </w:r>
          </w:p>
        </w:tc>
        <w:tc>
          <w:tcPr>
            <w:tcW w:w="0" w:type="dxa"/>
            <w:vAlign w:val="bottom"/>
          </w:tcPr>
          <w:p>
            <w:pPr>
              <w:spacing w:after="0"/>
              <w:rPr>
                <w:sz w:val="1"/>
                <w:szCs w:val="1"/>
                <w:color w:val="auto"/>
              </w:rPr>
            </w:pPr>
          </w:p>
        </w:tc>
      </w:tr>
      <w:tr>
        <w:trPr>
          <w:trHeight w:val="318"/>
        </w:trPr>
        <w:tc>
          <w:tcPr>
            <w:tcW w:w="5500" w:type="dxa"/>
            <w:vAlign w:val="bottom"/>
            <w:gridSpan w:val="2"/>
          </w:tcPr>
          <w:p>
            <w:pPr>
              <w:spacing w:after="0"/>
              <w:rPr>
                <w:sz w:val="20"/>
                <w:szCs w:val="20"/>
                <w:color w:val="auto"/>
              </w:rPr>
            </w:pPr>
            <w:r>
              <w:rPr>
                <w:rFonts w:ascii="Arial" w:cs="Arial" w:eastAsia="Arial" w:hAnsi="Arial"/>
                <w:sz w:val="14"/>
                <w:szCs w:val="14"/>
                <w:b w:val="1"/>
                <w:bCs w:val="1"/>
                <w:color w:val="auto"/>
              </w:rPr>
              <w:t>Noncontrolling interest</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80" w:type="dxa"/>
            <w:vAlign w:val="bottom"/>
            <w:shd w:val="clear" w:color="auto" w:fill="E5FFFF"/>
          </w:tcPr>
          <w:p>
            <w:pPr>
              <w:spacing w:after="0"/>
              <w:rPr>
                <w:sz w:val="20"/>
                <w:szCs w:val="20"/>
                <w:color w:val="auto"/>
              </w:rPr>
            </w:pPr>
            <w:r>
              <w:rPr>
                <w:rFonts w:ascii="Arial" w:cs="Arial" w:eastAsia="Arial" w:hAnsi="Arial"/>
                <w:sz w:val="14"/>
                <w:szCs w:val="14"/>
                <w:color w:val="auto"/>
              </w:rPr>
              <w:t>Beginning balance</w:t>
            </w:r>
          </w:p>
        </w:tc>
        <w:tc>
          <w:tcPr>
            <w:tcW w:w="82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70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135</w:t>
            </w:r>
          </w:p>
        </w:tc>
        <w:tc>
          <w:tcPr>
            <w:tcW w:w="240" w:type="dxa"/>
            <w:vAlign w:val="bottom"/>
            <w:shd w:val="clear" w:color="auto" w:fill="E5FFFF"/>
          </w:tcPr>
          <w:p>
            <w:pPr>
              <w:spacing w:after="0"/>
              <w:rPr>
                <w:sz w:val="14"/>
                <w:szCs w:val="14"/>
                <w:color w:val="auto"/>
              </w:rPr>
            </w:pPr>
          </w:p>
        </w:tc>
        <w:tc>
          <w:tcPr>
            <w:tcW w:w="80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60" w:type="dxa"/>
            <w:vAlign w:val="bottom"/>
            <w:shd w:val="clear" w:color="auto" w:fill="E5FFFF"/>
          </w:tcPr>
          <w:p>
            <w:pPr>
              <w:jc w:val="right"/>
              <w:ind w:right="28"/>
              <w:spacing w:after="0"/>
              <w:rPr>
                <w:sz w:val="20"/>
                <w:szCs w:val="20"/>
                <w:color w:val="auto"/>
              </w:rPr>
            </w:pPr>
            <w:r>
              <w:rPr>
                <w:rFonts w:ascii="Arial" w:cs="Arial" w:eastAsia="Arial" w:hAnsi="Arial"/>
                <w:sz w:val="14"/>
                <w:szCs w:val="14"/>
                <w:color w:val="auto"/>
              </w:rPr>
              <w:t>127</w:t>
            </w:r>
          </w:p>
        </w:tc>
        <w:tc>
          <w:tcPr>
            <w:tcW w:w="220" w:type="dxa"/>
            <w:vAlign w:val="bottom"/>
            <w:shd w:val="clear" w:color="auto" w:fill="E5FFFF"/>
          </w:tcPr>
          <w:p>
            <w:pPr>
              <w:spacing w:after="0"/>
              <w:rPr>
                <w:sz w:val="14"/>
                <w:szCs w:val="14"/>
                <w:color w:val="auto"/>
              </w:rPr>
            </w:pPr>
          </w:p>
        </w:tc>
        <w:tc>
          <w:tcPr>
            <w:tcW w:w="720" w:type="dxa"/>
            <w:vAlign w:val="bottom"/>
            <w:shd w:val="clear" w:color="auto" w:fill="E5FFFF"/>
          </w:tcPr>
          <w:p>
            <w:pPr>
              <w:spacing w:after="0"/>
              <w:rPr>
                <w:sz w:val="14"/>
                <w:szCs w:val="14"/>
                <w:color w:val="auto"/>
              </w:rPr>
            </w:pPr>
          </w:p>
        </w:tc>
        <w:tc>
          <w:tcPr>
            <w:tcW w:w="1060" w:type="dxa"/>
            <w:vAlign w:val="bottom"/>
            <w:gridSpan w:val="3"/>
            <w:shd w:val="clear" w:color="auto" w:fill="E5FFFF"/>
          </w:tcPr>
          <w:p>
            <w:pPr>
              <w:jc w:val="right"/>
              <w:ind w:right="28"/>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80" w:type="dxa"/>
            <w:vAlign w:val="bottom"/>
          </w:tcPr>
          <w:p>
            <w:pPr>
              <w:ind w:left="160"/>
              <w:spacing w:after="0"/>
              <w:rPr>
                <w:sz w:val="20"/>
                <w:szCs w:val="20"/>
                <w:color w:val="auto"/>
              </w:rPr>
            </w:pPr>
            <w:r>
              <w:rPr>
                <w:rFonts w:ascii="Arial" w:cs="Arial" w:eastAsia="Arial" w:hAnsi="Arial"/>
                <w:sz w:val="14"/>
                <w:szCs w:val="14"/>
                <w:color w:val="auto"/>
              </w:rPr>
              <w:t>Acquisitions</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80" w:type="dxa"/>
            <w:vAlign w:val="bottom"/>
            <w:shd w:val="clear" w:color="auto" w:fill="E5FFFF"/>
          </w:tcPr>
          <w:p>
            <w:pPr>
              <w:ind w:left="160"/>
              <w:spacing w:after="0"/>
              <w:rPr>
                <w:sz w:val="20"/>
                <w:szCs w:val="20"/>
                <w:color w:val="auto"/>
              </w:rPr>
            </w:pPr>
            <w:r>
              <w:rPr>
                <w:rFonts w:ascii="Arial" w:cs="Arial" w:eastAsia="Arial" w:hAnsi="Arial"/>
                <w:sz w:val="14"/>
                <w:szCs w:val="14"/>
                <w:color w:val="auto"/>
              </w:rPr>
              <w:t>Interest sold (bought)</w:t>
            </w:r>
          </w:p>
        </w:tc>
        <w:tc>
          <w:tcPr>
            <w:tcW w:w="82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70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E5FFFF"/>
          </w:tcPr>
          <w:p>
            <w:pPr>
              <w:spacing w:after="0"/>
              <w:rPr>
                <w:sz w:val="14"/>
                <w:szCs w:val="14"/>
                <w:color w:val="auto"/>
              </w:rPr>
            </w:pPr>
          </w:p>
        </w:tc>
        <w:tc>
          <w:tcPr>
            <w:tcW w:w="80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60" w:type="dxa"/>
            <w:vAlign w:val="bottom"/>
            <w:shd w:val="clear" w:color="auto" w:fill="E5FF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E5FFFF"/>
          </w:tcPr>
          <w:p>
            <w:pPr>
              <w:spacing w:after="0"/>
              <w:rPr>
                <w:sz w:val="14"/>
                <w:szCs w:val="14"/>
                <w:color w:val="auto"/>
              </w:rPr>
            </w:pPr>
          </w:p>
        </w:tc>
        <w:tc>
          <w:tcPr>
            <w:tcW w:w="720" w:type="dxa"/>
            <w:vAlign w:val="bottom"/>
            <w:shd w:val="clear" w:color="auto" w:fill="E5FFFF"/>
          </w:tcPr>
          <w:p>
            <w:pPr>
              <w:spacing w:after="0"/>
              <w:rPr>
                <w:sz w:val="14"/>
                <w:szCs w:val="14"/>
                <w:color w:val="auto"/>
              </w:rPr>
            </w:pPr>
          </w:p>
        </w:tc>
        <w:tc>
          <w:tcPr>
            <w:tcW w:w="1060" w:type="dxa"/>
            <w:vAlign w:val="bottom"/>
            <w:gridSpan w:val="3"/>
            <w:shd w:val="clear" w:color="auto" w:fill="E5FF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80" w:type="dxa"/>
            <w:vAlign w:val="bottom"/>
          </w:tcPr>
          <w:p>
            <w:pPr>
              <w:ind w:left="160"/>
              <w:spacing w:after="0"/>
              <w:rPr>
                <w:sz w:val="20"/>
                <w:szCs w:val="20"/>
                <w:color w:val="auto"/>
              </w:rPr>
            </w:pPr>
            <w:r>
              <w:rPr>
                <w:rFonts w:ascii="Arial" w:cs="Arial" w:eastAsia="Arial" w:hAnsi="Arial"/>
                <w:sz w:val="14"/>
                <w:szCs w:val="14"/>
                <w:color w:val="auto"/>
              </w:rPr>
              <w:t>Net income attributable to noncontrolling interest</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gridSpan w:val="3"/>
          </w:tcPr>
          <w:p>
            <w:pPr>
              <w:jc w:val="right"/>
              <w:ind w:right="2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80" w:type="dxa"/>
            <w:vAlign w:val="bottom"/>
            <w:shd w:val="clear" w:color="auto" w:fill="E5FFFF"/>
          </w:tcPr>
          <w:p>
            <w:pPr>
              <w:ind w:left="160"/>
              <w:spacing w:after="0"/>
              <w:rPr>
                <w:sz w:val="20"/>
                <w:szCs w:val="20"/>
                <w:color w:val="auto"/>
              </w:rPr>
            </w:pPr>
            <w:r>
              <w:rPr>
                <w:rFonts w:ascii="Arial" w:cs="Arial" w:eastAsia="Arial" w:hAnsi="Arial"/>
                <w:sz w:val="14"/>
                <w:szCs w:val="14"/>
                <w:color w:val="auto"/>
              </w:rPr>
              <w:t>Foreign exchange translation adjustment</w:t>
            </w:r>
          </w:p>
        </w:tc>
        <w:tc>
          <w:tcPr>
            <w:tcW w:w="82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700" w:type="dxa"/>
            <w:vAlign w:val="bottom"/>
            <w:shd w:val="clear" w:color="auto" w:fill="E5FFFF"/>
          </w:tcPr>
          <w:p>
            <w:pPr>
              <w:jc w:val="right"/>
              <w:ind w:right="8"/>
              <w:spacing w:after="0"/>
              <w:rPr>
                <w:sz w:val="20"/>
                <w:szCs w:val="20"/>
                <w:color w:val="auto"/>
              </w:rPr>
            </w:pPr>
            <w:r>
              <w:rPr>
                <w:rFonts w:ascii="Arial" w:cs="Arial" w:eastAsia="Arial" w:hAnsi="Arial"/>
                <w:sz w:val="14"/>
                <w:szCs w:val="14"/>
                <w:color w:val="auto"/>
              </w:rPr>
              <w:t>(8)</w:t>
            </w:r>
          </w:p>
        </w:tc>
        <w:tc>
          <w:tcPr>
            <w:tcW w:w="240" w:type="dxa"/>
            <w:vAlign w:val="bottom"/>
            <w:shd w:val="clear" w:color="auto" w:fill="E5FFFF"/>
          </w:tcPr>
          <w:p>
            <w:pPr>
              <w:spacing w:after="0"/>
              <w:rPr>
                <w:sz w:val="14"/>
                <w:szCs w:val="14"/>
                <w:color w:val="auto"/>
              </w:rPr>
            </w:pPr>
          </w:p>
        </w:tc>
        <w:tc>
          <w:tcPr>
            <w:tcW w:w="80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(6)</w:t>
            </w:r>
          </w:p>
        </w:tc>
        <w:tc>
          <w:tcPr>
            <w:tcW w:w="220" w:type="dxa"/>
            <w:vAlign w:val="bottom"/>
            <w:shd w:val="clear" w:color="auto" w:fill="E5FFFF"/>
          </w:tcPr>
          <w:p>
            <w:pPr>
              <w:spacing w:after="0"/>
              <w:rPr>
                <w:sz w:val="14"/>
                <w:szCs w:val="14"/>
                <w:color w:val="auto"/>
              </w:rPr>
            </w:pPr>
          </w:p>
        </w:tc>
        <w:tc>
          <w:tcPr>
            <w:tcW w:w="720" w:type="dxa"/>
            <w:vAlign w:val="bottom"/>
            <w:shd w:val="clear" w:color="auto" w:fill="E5FFFF"/>
          </w:tcPr>
          <w:p>
            <w:pPr>
              <w:spacing w:after="0"/>
              <w:rPr>
                <w:sz w:val="14"/>
                <w:szCs w:val="14"/>
                <w:color w:val="auto"/>
              </w:rPr>
            </w:pPr>
          </w:p>
        </w:tc>
        <w:tc>
          <w:tcPr>
            <w:tcW w:w="1060" w:type="dxa"/>
            <w:vAlign w:val="bottom"/>
            <w:gridSpan w:val="3"/>
            <w:shd w:val="clear" w:color="auto" w:fill="E5FF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80" w:type="dxa"/>
            <w:vAlign w:val="bottom"/>
          </w:tcPr>
          <w:p>
            <w:pPr>
              <w:ind w:left="160"/>
              <w:spacing w:after="0"/>
              <w:rPr>
                <w:sz w:val="20"/>
                <w:szCs w:val="20"/>
                <w:color w:val="auto"/>
              </w:rPr>
            </w:pPr>
            <w:r>
              <w:rPr>
                <w:rFonts w:ascii="Arial" w:cs="Arial" w:eastAsia="Arial" w:hAnsi="Arial"/>
                <w:sz w:val="14"/>
                <w:szCs w:val="14"/>
                <w:color w:val="auto"/>
              </w:rPr>
              <w:t>Dividends paid</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80" w:type="dxa"/>
            <w:vAlign w:val="bottom"/>
            <w:shd w:val="clear" w:color="auto" w:fill="E5FFFF"/>
          </w:tcPr>
          <w:p>
            <w:pPr>
              <w:ind w:left="160"/>
              <w:spacing w:after="0"/>
              <w:rPr>
                <w:sz w:val="20"/>
                <w:szCs w:val="20"/>
                <w:color w:val="auto"/>
              </w:rPr>
            </w:pPr>
            <w:r>
              <w:rPr>
                <w:rFonts w:ascii="Arial" w:cs="Arial" w:eastAsia="Arial" w:hAnsi="Arial"/>
                <w:sz w:val="14"/>
                <w:szCs w:val="14"/>
                <w:color w:val="auto"/>
              </w:rPr>
              <w:t>Contributions from noncontrolling interest holders</w:t>
            </w:r>
          </w:p>
        </w:tc>
        <w:tc>
          <w:tcPr>
            <w:tcW w:w="82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70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E5FFFF"/>
          </w:tcPr>
          <w:p>
            <w:pPr>
              <w:spacing w:after="0"/>
              <w:rPr>
                <w:sz w:val="14"/>
                <w:szCs w:val="14"/>
                <w:color w:val="auto"/>
              </w:rPr>
            </w:pPr>
          </w:p>
        </w:tc>
        <w:tc>
          <w:tcPr>
            <w:tcW w:w="80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60" w:type="dxa"/>
            <w:vAlign w:val="bottom"/>
            <w:shd w:val="clear" w:color="auto" w:fill="E5FF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E5FFFF"/>
          </w:tcPr>
          <w:p>
            <w:pPr>
              <w:spacing w:after="0"/>
              <w:rPr>
                <w:sz w:val="14"/>
                <w:szCs w:val="14"/>
                <w:color w:val="auto"/>
              </w:rPr>
            </w:pPr>
          </w:p>
        </w:tc>
        <w:tc>
          <w:tcPr>
            <w:tcW w:w="720" w:type="dxa"/>
            <w:vAlign w:val="bottom"/>
            <w:shd w:val="clear" w:color="auto" w:fill="E5FFFF"/>
          </w:tcPr>
          <w:p>
            <w:pPr>
              <w:spacing w:after="0"/>
              <w:rPr>
                <w:sz w:val="14"/>
                <w:szCs w:val="14"/>
                <w:color w:val="auto"/>
              </w:rPr>
            </w:pPr>
          </w:p>
        </w:tc>
        <w:tc>
          <w:tcPr>
            <w:tcW w:w="1060" w:type="dxa"/>
            <w:vAlign w:val="bottom"/>
            <w:gridSpan w:val="3"/>
            <w:shd w:val="clear" w:color="auto" w:fill="E5FFFF"/>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80" w:type="dxa"/>
            <w:vAlign w:val="bottom"/>
            <w:tcBorders>
              <w:bottom w:val="single" w:sz="8" w:color="E5FFFF"/>
            </w:tcBorders>
          </w:tcPr>
          <w:p>
            <w:pPr>
              <w:ind w:left="160"/>
              <w:spacing w:after="0"/>
              <w:rPr>
                <w:sz w:val="20"/>
                <w:szCs w:val="20"/>
                <w:color w:val="auto"/>
              </w:rPr>
            </w:pPr>
            <w:r>
              <w:rPr>
                <w:rFonts w:ascii="Arial" w:cs="Arial" w:eastAsia="Arial" w:hAnsi="Arial"/>
                <w:sz w:val="14"/>
                <w:szCs w:val="14"/>
                <w:color w:val="auto"/>
              </w:rPr>
              <w:t>Other owner changes</w:t>
            </w:r>
          </w:p>
        </w:tc>
        <w:tc>
          <w:tcPr>
            <w:tcW w:w="820" w:type="dxa"/>
            <w:vAlign w:val="bottom"/>
            <w:tcBorders>
              <w:bottom w:val="single" w:sz="8" w:color="E5FFFF"/>
            </w:tcBorders>
          </w:tcPr>
          <w:p>
            <w:pPr>
              <w:spacing w:after="0"/>
              <w:rPr>
                <w:sz w:val="15"/>
                <w:szCs w:val="15"/>
                <w:color w:val="auto"/>
              </w:rPr>
            </w:pPr>
          </w:p>
        </w:tc>
        <w:tc>
          <w:tcPr>
            <w:tcW w:w="240" w:type="dxa"/>
            <w:vAlign w:val="bottom"/>
            <w:tcBorders>
              <w:bottom w:val="single" w:sz="8" w:color="E5FF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w:t>
            </w:r>
          </w:p>
        </w:tc>
        <w:tc>
          <w:tcPr>
            <w:tcW w:w="240" w:type="dxa"/>
            <w:vAlign w:val="bottom"/>
            <w:tcBorders>
              <w:bottom w:val="single" w:sz="8" w:color="E5FFFF"/>
            </w:tcBorders>
          </w:tcPr>
          <w:p>
            <w:pPr>
              <w:spacing w:after="0"/>
              <w:rPr>
                <w:sz w:val="15"/>
                <w:szCs w:val="15"/>
                <w:color w:val="auto"/>
              </w:rPr>
            </w:pPr>
          </w:p>
        </w:tc>
        <w:tc>
          <w:tcPr>
            <w:tcW w:w="800" w:type="dxa"/>
            <w:vAlign w:val="bottom"/>
            <w:tcBorders>
              <w:bottom w:val="single" w:sz="8" w:color="E5FFFF"/>
            </w:tcBorders>
          </w:tcPr>
          <w:p>
            <w:pPr>
              <w:spacing w:after="0"/>
              <w:rPr>
                <w:sz w:val="15"/>
                <w:szCs w:val="15"/>
                <w:color w:val="auto"/>
              </w:rPr>
            </w:pPr>
          </w:p>
        </w:tc>
        <w:tc>
          <w:tcPr>
            <w:tcW w:w="220" w:type="dxa"/>
            <w:vAlign w:val="bottom"/>
            <w:tcBorders>
              <w:bottom w:val="single" w:sz="8" w:color="E5FF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E5FFFF"/>
            </w:tcBorders>
          </w:tcPr>
          <w:p>
            <w:pPr>
              <w:spacing w:after="0"/>
              <w:rPr>
                <w:sz w:val="15"/>
                <w:szCs w:val="15"/>
                <w:color w:val="auto"/>
              </w:rPr>
            </w:pPr>
          </w:p>
        </w:tc>
        <w:tc>
          <w:tcPr>
            <w:tcW w:w="720" w:type="dxa"/>
            <w:vAlign w:val="bottom"/>
            <w:tcBorders>
              <w:bottom w:val="single" w:sz="8" w:color="E5FFFF"/>
            </w:tcBorders>
          </w:tcPr>
          <w:p>
            <w:pPr>
              <w:spacing w:after="0"/>
              <w:rPr>
                <w:sz w:val="15"/>
                <w:szCs w:val="15"/>
                <w:color w:val="auto"/>
              </w:rPr>
            </w:pPr>
          </w:p>
        </w:tc>
        <w:tc>
          <w:tcPr>
            <w:tcW w:w="280" w:type="dxa"/>
            <w:vAlign w:val="bottom"/>
            <w:tcBorders>
              <w:bottom w:val="single" w:sz="8" w:color="E5FFFF"/>
            </w:tcBorders>
            <w:gridSpan w:val="2"/>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80" w:type="dxa"/>
            <w:vAlign w:val="bottom"/>
            <w:shd w:val="clear" w:color="auto" w:fill="E5FFFF"/>
          </w:tcPr>
          <w:p>
            <w:pPr>
              <w:spacing w:after="0" w:line="155" w:lineRule="exact"/>
              <w:rPr>
                <w:sz w:val="20"/>
                <w:szCs w:val="20"/>
                <w:color w:val="auto"/>
              </w:rPr>
            </w:pPr>
            <w:r>
              <w:rPr>
                <w:rFonts w:ascii="Arial" w:cs="Arial" w:eastAsia="Arial" w:hAnsi="Arial"/>
                <w:sz w:val="14"/>
                <w:szCs w:val="14"/>
                <w:color w:val="auto"/>
              </w:rPr>
              <w:t>Ending balance</w:t>
            </w:r>
          </w:p>
        </w:tc>
        <w:tc>
          <w:tcPr>
            <w:tcW w:w="820" w:type="dxa"/>
            <w:vAlign w:val="bottom"/>
            <w:tcBorders>
              <w:bottom w:val="single" w:sz="8" w:color="auto"/>
            </w:tcBorders>
            <w:shd w:val="clear" w:color="auto" w:fill="E5FFFF"/>
          </w:tcPr>
          <w:p>
            <w:pPr>
              <w:spacing w:after="0"/>
              <w:rPr>
                <w:sz w:val="13"/>
                <w:szCs w:val="13"/>
                <w:color w:val="auto"/>
              </w:rPr>
            </w:pPr>
          </w:p>
        </w:tc>
        <w:tc>
          <w:tcPr>
            <w:tcW w:w="240" w:type="dxa"/>
            <w:vAlign w:val="bottom"/>
            <w:shd w:val="clear" w:color="auto" w:fill="E5FFFF"/>
          </w:tcPr>
          <w:p>
            <w:pPr>
              <w:spacing w:after="0"/>
              <w:rPr>
                <w:sz w:val="13"/>
                <w:szCs w:val="13"/>
                <w:color w:val="auto"/>
              </w:rPr>
            </w:pPr>
          </w:p>
        </w:tc>
        <w:tc>
          <w:tcPr>
            <w:tcW w:w="120" w:type="dxa"/>
            <w:vAlign w:val="bottom"/>
            <w:tcBorders>
              <w:bottom w:val="single" w:sz="8" w:color="auto"/>
            </w:tcBorders>
            <w:shd w:val="clear" w:color="auto" w:fill="E5FFFF"/>
          </w:tcPr>
          <w:p>
            <w:pPr>
              <w:spacing w:after="0"/>
              <w:rPr>
                <w:sz w:val="13"/>
                <w:szCs w:val="13"/>
                <w:color w:val="auto"/>
              </w:rPr>
            </w:pPr>
          </w:p>
        </w:tc>
        <w:tc>
          <w:tcPr>
            <w:tcW w:w="700" w:type="dxa"/>
            <w:vAlign w:val="bottom"/>
            <w:tcBorders>
              <w:bottom w:val="single" w:sz="8" w:color="auto"/>
            </w:tcBorders>
            <w:shd w:val="clear" w:color="auto" w:fill="E5FFFF"/>
          </w:tcPr>
          <w:p>
            <w:pPr>
              <w:jc w:val="right"/>
              <w:ind w:right="48"/>
              <w:spacing w:after="0" w:line="155" w:lineRule="exact"/>
              <w:rPr>
                <w:sz w:val="20"/>
                <w:szCs w:val="20"/>
                <w:color w:val="auto"/>
              </w:rPr>
            </w:pPr>
            <w:r>
              <w:rPr>
                <w:rFonts w:ascii="Arial" w:cs="Arial" w:eastAsia="Arial" w:hAnsi="Arial"/>
                <w:sz w:val="14"/>
                <w:szCs w:val="14"/>
                <w:color w:val="auto"/>
              </w:rPr>
              <w:t>178</w:t>
            </w:r>
          </w:p>
        </w:tc>
        <w:tc>
          <w:tcPr>
            <w:tcW w:w="240" w:type="dxa"/>
            <w:vAlign w:val="bottom"/>
            <w:shd w:val="clear" w:color="auto" w:fill="E5FFFF"/>
          </w:tcPr>
          <w:p>
            <w:pPr>
              <w:spacing w:after="0"/>
              <w:rPr>
                <w:sz w:val="13"/>
                <w:szCs w:val="13"/>
                <w:color w:val="auto"/>
              </w:rPr>
            </w:pPr>
          </w:p>
        </w:tc>
        <w:tc>
          <w:tcPr>
            <w:tcW w:w="800" w:type="dxa"/>
            <w:vAlign w:val="bottom"/>
            <w:tcBorders>
              <w:bottom w:val="single" w:sz="8" w:color="auto"/>
            </w:tcBorders>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120" w:type="dxa"/>
            <w:vAlign w:val="bottom"/>
            <w:tcBorders>
              <w:bottom w:val="single" w:sz="8" w:color="auto"/>
            </w:tcBorders>
            <w:shd w:val="clear" w:color="auto" w:fill="E5FFFF"/>
          </w:tcPr>
          <w:p>
            <w:pPr>
              <w:spacing w:after="0"/>
              <w:rPr>
                <w:sz w:val="13"/>
                <w:szCs w:val="13"/>
                <w:color w:val="auto"/>
              </w:rPr>
            </w:pPr>
          </w:p>
        </w:tc>
        <w:tc>
          <w:tcPr>
            <w:tcW w:w="660" w:type="dxa"/>
            <w:vAlign w:val="bottom"/>
            <w:tcBorders>
              <w:bottom w:val="single" w:sz="8" w:color="auto"/>
            </w:tcBorders>
            <w:shd w:val="clear" w:color="auto" w:fill="E5FFFF"/>
          </w:tcPr>
          <w:p>
            <w:pPr>
              <w:jc w:val="right"/>
              <w:ind w:right="28"/>
              <w:spacing w:after="0" w:line="155" w:lineRule="exact"/>
              <w:rPr>
                <w:sz w:val="20"/>
                <w:szCs w:val="20"/>
                <w:color w:val="auto"/>
              </w:rPr>
            </w:pPr>
            <w:r>
              <w:rPr>
                <w:rFonts w:ascii="Arial" w:cs="Arial" w:eastAsia="Arial" w:hAnsi="Arial"/>
                <w:sz w:val="14"/>
                <w:szCs w:val="14"/>
                <w:color w:val="auto"/>
              </w:rPr>
              <w:t>135</w:t>
            </w:r>
          </w:p>
        </w:tc>
        <w:tc>
          <w:tcPr>
            <w:tcW w:w="220" w:type="dxa"/>
            <w:vAlign w:val="bottom"/>
            <w:shd w:val="clear" w:color="auto" w:fill="E5FFFF"/>
          </w:tcPr>
          <w:p>
            <w:pPr>
              <w:spacing w:after="0"/>
              <w:rPr>
                <w:sz w:val="13"/>
                <w:szCs w:val="13"/>
                <w:color w:val="auto"/>
              </w:rPr>
            </w:pPr>
          </w:p>
        </w:tc>
        <w:tc>
          <w:tcPr>
            <w:tcW w:w="720" w:type="dxa"/>
            <w:vAlign w:val="bottom"/>
            <w:tcBorders>
              <w:bottom w:val="single" w:sz="8" w:color="auto"/>
            </w:tcBorders>
            <w:shd w:val="clear" w:color="auto" w:fill="E5FFFF"/>
          </w:tcPr>
          <w:p>
            <w:pPr>
              <w:spacing w:after="0"/>
              <w:rPr>
                <w:sz w:val="13"/>
                <w:szCs w:val="13"/>
                <w:color w:val="auto"/>
              </w:rPr>
            </w:pPr>
          </w:p>
        </w:tc>
        <w:tc>
          <w:tcPr>
            <w:tcW w:w="60" w:type="dxa"/>
            <w:vAlign w:val="bottom"/>
            <w:tcBorders>
              <w:bottom w:val="single" w:sz="8" w:color="auto"/>
            </w:tcBorders>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780" w:type="dxa"/>
            <w:vAlign w:val="bottom"/>
            <w:tcBorders>
              <w:bottom w:val="single" w:sz="8" w:color="auto"/>
            </w:tcBorders>
            <w:shd w:val="clear" w:color="auto" w:fill="E5FFFF"/>
          </w:tcPr>
          <w:p>
            <w:pPr>
              <w:jc w:val="right"/>
              <w:ind w:right="28"/>
              <w:spacing w:after="0" w:line="155"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345"/>
        </w:trPr>
        <w:tc>
          <w:tcPr>
            <w:tcW w:w="5500" w:type="dxa"/>
            <w:vAlign w:val="bottom"/>
            <w:gridSpan w:val="2"/>
          </w:tcPr>
          <w:p>
            <w:pPr>
              <w:spacing w:after="0"/>
              <w:rPr>
                <w:sz w:val="20"/>
                <w:szCs w:val="20"/>
                <w:color w:val="auto"/>
              </w:rPr>
            </w:pPr>
            <w:r>
              <w:rPr>
                <w:rFonts w:ascii="Arial" w:cs="Arial" w:eastAsia="Arial" w:hAnsi="Arial"/>
                <w:sz w:val="14"/>
                <w:szCs w:val="14"/>
                <w:b w:val="1"/>
                <w:bCs w:val="1"/>
                <w:color w:val="auto"/>
              </w:rPr>
              <w:t>Total shareowners’ equity</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760.8</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19,547</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770.4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18,418</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782.2</w:t>
            </w:r>
          </w:p>
        </w:tc>
        <w:tc>
          <w:tcPr>
            <w:tcW w:w="1060" w:type="dxa"/>
            <w:vAlign w:val="bottom"/>
            <w:gridSpan w:val="3"/>
          </w:tcPr>
          <w:p>
            <w:pPr>
              <w:jc w:val="right"/>
              <w:ind w:right="28"/>
              <w:spacing w:after="0"/>
              <w:rPr>
                <w:sz w:val="20"/>
                <w:szCs w:val="20"/>
                <w:color w:val="auto"/>
              </w:rPr>
            </w:pPr>
            <w:r>
              <w:rPr>
                <w:rFonts w:ascii="Arial" w:cs="Arial" w:eastAsia="Arial" w:hAnsi="Arial"/>
                <w:sz w:val="14"/>
                <w:szCs w:val="14"/>
                <w:color w:val="auto"/>
              </w:rPr>
              <w:t>17,784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Financial Statements are an integral part of this statement.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8" w:name="page39"/>
    <w:bookmarkEnd w:id="38"/>
    <w:p>
      <w:pPr>
        <w:ind w:left="3880"/>
        <w:spacing w:after="0"/>
        <w:rPr>
          <w:sz w:val="20"/>
          <w:szCs w:val="20"/>
          <w:color w:val="auto"/>
        </w:rPr>
      </w:pPr>
      <w:r>
        <w:rPr>
          <w:rFonts w:ascii="Arial" w:cs="Arial" w:eastAsia="Arial" w:hAnsi="Arial"/>
          <w:sz w:val="22"/>
          <w:szCs w:val="22"/>
          <w:b w:val="1"/>
          <w:bCs w:val="1"/>
          <w:color w:val="auto"/>
        </w:rPr>
        <w:t>HONEYWELL INTERNATIONAL INC.</w:t>
      </w:r>
    </w:p>
    <w:p>
      <w:pPr>
        <w:spacing w:after="0" w:line="16"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NOTES TO FINANCIAL STATEMENTS</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b w:val="1"/>
          <w:bCs w:val="1"/>
          <w:i w:val="1"/>
          <w:iCs w:val="1"/>
          <w:color w:val="auto"/>
        </w:rPr>
        <w:t>Accounting Principles</w:t>
      </w:r>
      <w:r>
        <w:rPr>
          <w:rFonts w:ascii="Arial" w:cs="Arial" w:eastAsia="Arial" w:hAnsi="Arial"/>
          <w:sz w:val="18"/>
          <w:szCs w:val="18"/>
          <w:color w:val="auto"/>
        </w:rPr>
        <w:t>—The financial statements and accompanying notes are prepared in accordance with accounting principles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accepted in the United States of America. The following is a description of Honeywell’s significant accounting policies.</w:t>
      </w:r>
    </w:p>
    <w:p>
      <w:pPr>
        <w:spacing w:after="0" w:line="14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b w:val="1"/>
          <w:bCs w:val="1"/>
          <w:i w:val="1"/>
          <w:iCs w:val="1"/>
          <w:color w:val="auto"/>
        </w:rPr>
        <w:t>Principles of Consolidation</w:t>
      </w:r>
      <w:r>
        <w:rPr>
          <w:rFonts w:ascii="Arial" w:cs="Arial" w:eastAsia="Arial" w:hAnsi="Arial"/>
          <w:sz w:val="18"/>
          <w:szCs w:val="18"/>
          <w:color w:val="auto"/>
        </w:rPr>
        <w:t>—The consolidated financial statements include the accounts of Honeywell International Inc. and all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and entities in which a controlling interest is maintained. Our consolidation policy requires equity investments that we exercise significant influence over but do not control the investee and are not the primary beneficiary of the investee’s activities to be accounted for using the equity method. Investments through which we are not able to exercise significant influence over the investee and which we do not have readily determinable fair values are accounted for under the cost method. All intercompany transactions and balances are eliminated in consolidation.</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Redeemable noncontrolling interest is considered to be temporary equity and is therefore reported outside of permanent equity on the Consolidated Balance Sheet at the greater of the initial carrying amount adjusted for the noncontrolling interest’s share of net income (loss) or its redemption value.</w:t>
      </w:r>
    </w:p>
    <w:p>
      <w:pPr>
        <w:spacing w:after="0" w:line="16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b w:val="1"/>
          <w:bCs w:val="1"/>
          <w:i w:val="1"/>
          <w:iCs w:val="1"/>
          <w:color w:val="auto"/>
        </w:rPr>
        <w:t>Property, Plant and Equipment</w:t>
      </w:r>
      <w:r>
        <w:rPr>
          <w:rFonts w:ascii="Arial" w:cs="Arial" w:eastAsia="Arial" w:hAnsi="Arial"/>
          <w:sz w:val="18"/>
          <w:szCs w:val="18"/>
          <w:color w:val="auto"/>
        </w:rPr>
        <w:t>—Property, plant and equipment are recorded at cost, including any asset retirement obligations, 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accumulated depreciation. For financial reporting, the straight-line method of depreciation is used over the estimated useful lives of 10 to 50 years for buildings and improvements and 2 to 16 years for machinery and equipment. Recognition of the fair value of obligations associated with the retirement of tangible long-lived assets is required when there is a legal obligation to incur such costs. Upon initial recognition of a liability, the cost is capitalized as part of the related long-lived asset and depreciated over the corresponding asset’s useful life.</w:t>
      </w:r>
    </w:p>
    <w:p>
      <w:pPr>
        <w:spacing w:after="0" w:line="16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b w:val="1"/>
          <w:bCs w:val="1"/>
          <w:i w:val="1"/>
          <w:iCs w:val="1"/>
          <w:color w:val="auto"/>
        </w:rPr>
        <w:t>Goodwill and Indefinite-Lived Intangible Assets</w:t>
      </w:r>
      <w:r>
        <w:rPr>
          <w:rFonts w:ascii="Arial" w:cs="Arial" w:eastAsia="Arial" w:hAnsi="Arial"/>
          <w:sz w:val="18"/>
          <w:szCs w:val="18"/>
          <w:color w:val="auto"/>
        </w:rPr>
        <w:t>—Goodwill and indefinite-lived intangible assets are subject to impairment testing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annually as of March 31, and whenever events or changes in circumstances indicate that the carrying amount may not be fully recoverable. This testing compares carrying values to fair values and, when appropriate, the carrying value of these assets is reduced to fair value. We completed our annual goodwill impairment test as of March 31, 2016 and determined that there was no impairment as of that date.</w:t>
      </w:r>
    </w:p>
    <w:p>
      <w:pPr>
        <w:spacing w:after="0" w:line="16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b w:val="1"/>
          <w:bCs w:val="1"/>
          <w:i w:val="1"/>
          <w:iCs w:val="1"/>
          <w:color w:val="auto"/>
        </w:rPr>
        <w:t>Other Intangible Assets with Determinable Lives</w:t>
      </w:r>
      <w:r>
        <w:rPr>
          <w:rFonts w:ascii="Arial" w:cs="Arial" w:eastAsia="Arial" w:hAnsi="Arial"/>
          <w:sz w:val="18"/>
          <w:szCs w:val="18"/>
          <w:color w:val="auto"/>
        </w:rPr>
        <w:t>—Other intangible assets with determinable lives consist of customer lists,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patents and trademarks and other intangibles and are amortized over their estimated useful lives, ranging from 2 to 24 years.</w:t>
      </w:r>
    </w:p>
    <w:p>
      <w:pPr>
        <w:spacing w:after="0" w:line="14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b w:val="1"/>
          <w:bCs w:val="1"/>
          <w:i w:val="1"/>
          <w:iCs w:val="1"/>
          <w:color w:val="auto"/>
        </w:rPr>
        <w:t>Sales Recognition</w:t>
      </w:r>
      <w:r>
        <w:rPr>
          <w:rFonts w:ascii="Arial" w:cs="Arial" w:eastAsia="Arial" w:hAnsi="Arial"/>
          <w:sz w:val="18"/>
          <w:szCs w:val="18"/>
          <w:color w:val="auto"/>
        </w:rPr>
        <w:t>—Product and service sales are recognized when persuasive evidence of an arrangement exists, product delivery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occurred or services have been rendered, pricing is fixed or determinable, and collection is reasonably assured. Service sales, principally representing repair, maintenance and engineering activities are recognized over the contractual period or as services are rendered. Sales under long-term contracts are recorded on a percentage-of-completion method measured on the cost-to-cost basis for engineering-type contracts and the units-of-delivery basis for production-type contracts. Provisions for anticipated losses on long-term contracts are recorded in full when such losses become evident. Revenues from contracts with multiple element arrangements are recognized as each element is earned based on the relative fair value of each element provided the delivered elements have value to customers on a standalone basis. Amounts allocated to each element are based on its objectively determined fair value, such as the sales price for the product or service when it is sold separately or competitor prices for similar products or services.</w:t>
      </w:r>
    </w:p>
    <w:p>
      <w:pPr>
        <w:spacing w:after="0" w:line="171"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b w:val="1"/>
          <w:bCs w:val="1"/>
          <w:i w:val="1"/>
          <w:iCs w:val="1"/>
          <w:color w:val="auto"/>
        </w:rPr>
        <w:t>Environmental</w:t>
      </w:r>
      <w:r>
        <w:rPr>
          <w:rFonts w:ascii="Arial" w:cs="Arial" w:eastAsia="Arial" w:hAnsi="Arial"/>
          <w:sz w:val="18"/>
          <w:szCs w:val="18"/>
          <w:color w:val="auto"/>
        </w:rPr>
        <w:t>—We accrue costs related to environmental matters when it is probable that we have incurred a liability related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contaminated site and the amount can be reasonably estimated. For additional information, see Note 19 Commitments and Contingencies.</w:t>
      </w:r>
    </w:p>
    <w:p>
      <w:pPr>
        <w:spacing w:after="0" w:line="14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i w:val="1"/>
          <w:iCs w:val="1"/>
          <w:color w:val="auto"/>
        </w:rPr>
        <w:t>Asbestos Related Contingencies and Insurance Recoveries</w:t>
      </w:r>
      <w:r>
        <w:rPr>
          <w:rFonts w:ascii="Arial" w:cs="Arial" w:eastAsia="Arial" w:hAnsi="Arial"/>
          <w:sz w:val="18"/>
          <w:szCs w:val="18"/>
          <w:color w:val="auto"/>
        </w:rPr>
        <w:t>—We recognize a liability for any asbestos related contingency that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probable of occurrence and reasonably estimable. In connection with the recognition of liabilities for asbestos related matters, we record asbestos related insurance recoveries that are deemed probable. For additional information, see Note 19 Commitments and Contingencies.</w:t>
      </w:r>
    </w:p>
    <w:p>
      <w:pPr>
        <w:spacing w:after="0" w:line="1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i w:val="1"/>
          <w:iCs w:val="1"/>
          <w:color w:val="auto"/>
        </w:rPr>
        <w:t>Aerospace Sales Incentives</w:t>
      </w:r>
      <w:r>
        <w:rPr>
          <w:rFonts w:ascii="Arial" w:cs="Arial" w:eastAsia="Arial" w:hAnsi="Arial"/>
          <w:sz w:val="18"/>
          <w:szCs w:val="18"/>
          <w:color w:val="auto"/>
        </w:rPr>
        <w:t>—We provide sales incentives to commercial aircraft manufacturers and airlines in connection with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selection of our aircraft equipment, predominately wheel and braking system hardware, avionics, and auxiliary power units, for installation on commercial aircraft. These incentives consist of</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 – (CONTINUED)</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free or deeply discounted products, credits for future purchases of product and upfront cash payments. These costs are recognized in the period incurred as cost of products sold or as a reduction to sales, as appropriate.</w:t>
      </w:r>
    </w:p>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i w:val="1"/>
          <w:iCs w:val="1"/>
          <w:color w:val="auto"/>
        </w:rPr>
        <w:t>Research and Development</w:t>
      </w:r>
      <w:r>
        <w:rPr>
          <w:rFonts w:ascii="Arial" w:cs="Arial" w:eastAsia="Arial" w:hAnsi="Arial"/>
          <w:sz w:val="18"/>
          <w:szCs w:val="18"/>
          <w:color w:val="auto"/>
        </w:rPr>
        <w:t>—Research and development costs for company-sponsored research and development projects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expensed as incurred. Such costs are principally included in cost of products sold and were $2,143 million, $1,856 million and $1,892 million in 2016, 2015 and 2014.</w:t>
      </w:r>
    </w:p>
    <w:p>
      <w:pPr>
        <w:spacing w:after="0" w:line="15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b w:val="1"/>
          <w:bCs w:val="1"/>
          <w:i w:val="1"/>
          <w:iCs w:val="1"/>
          <w:color w:val="auto"/>
        </w:rPr>
        <w:t>Stock-Based Compensation Plans</w:t>
      </w:r>
      <w:r>
        <w:rPr>
          <w:rFonts w:ascii="Arial" w:cs="Arial" w:eastAsia="Arial" w:hAnsi="Arial"/>
          <w:sz w:val="18"/>
          <w:szCs w:val="18"/>
          <w:color w:val="auto"/>
        </w:rPr>
        <w:t>—The principal awards issued under our stock-based compensation plans, which are described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 18 Stock-Based Compensation Plans, are non-qualified stock options and restricted stock units. The cost for such awards is measured at the grant date based on the fair value of the award. The value of the portion of the award that is ultimately expected to vest is recognized as expense over the requisite service periods (generally the vesting period of the equity award) and is included in selling, general and administrative expenses. Forfeitures are estimated at the time of grant to recognize expense for those awards that are expected to vest and are based on our historical forfeiture rates.</w:t>
      </w:r>
    </w:p>
    <w:p>
      <w:pPr>
        <w:spacing w:after="0" w:line="16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b w:val="1"/>
          <w:bCs w:val="1"/>
          <w:i w:val="1"/>
          <w:iCs w:val="1"/>
          <w:color w:val="auto"/>
        </w:rPr>
        <w:t>Pension Benefits</w:t>
      </w:r>
      <w:r>
        <w:rPr>
          <w:rFonts w:ascii="Arial" w:cs="Arial" w:eastAsia="Arial" w:hAnsi="Arial"/>
          <w:sz w:val="21"/>
          <w:szCs w:val="21"/>
          <w:color w:val="auto"/>
        </w:rPr>
        <w:t>—</w:t>
      </w:r>
      <w:r>
        <w:rPr>
          <w:rFonts w:ascii="Arial" w:cs="Arial" w:eastAsia="Arial" w:hAnsi="Arial"/>
          <w:sz w:val="18"/>
          <w:szCs w:val="18"/>
          <w:color w:val="auto"/>
        </w:rPr>
        <w:t>We recognize net actuarial gains or losses in excess of 10% of the greater of the fair value of plan assets 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plans’ projected benefit obligation (the corridor) annually in the fourth quarter each year (MTM Adjustment), and, if applicable, in any quarter in which an interim remeasurement is triggered. The remaining components of pension (income) expense, primarily service and interest costs and assumed return on plan assets, are recognized on a quarterly basis (Pension ongoing (income) expense).</w:t>
      </w:r>
    </w:p>
    <w:p>
      <w:pPr>
        <w:spacing w:after="0" w:line="20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b w:val="1"/>
          <w:bCs w:val="1"/>
          <w:i w:val="1"/>
          <w:iCs w:val="1"/>
          <w:color w:val="auto"/>
        </w:rPr>
        <w:t>Foreign Currency Translation</w:t>
      </w:r>
      <w:r>
        <w:rPr>
          <w:rFonts w:ascii="Arial" w:cs="Arial" w:eastAsia="Arial" w:hAnsi="Arial"/>
          <w:sz w:val="18"/>
          <w:szCs w:val="18"/>
          <w:color w:val="auto"/>
        </w:rPr>
        <w:t>— Assets and liabilities of subsidiaries operating outside the United States with a functional currency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than U.S. Dollars are translated into U.S. Dollars using year-end exchange rates. Sales, costs and expenses are translated at the average exchange rates in effect during the year. Foreign currency translation gains and losses are included as a component of accumulated other comprehensive income (loss). For subsidiaries operating in highly inflationary environments, inventories and property, plant and equipment, including related expenses, are remeasured at the exchange rate in effect on the date the assets were acquired, while monetary assets and liabilities are remeasured at year-end exchange rates. Remeasurement adjustments for these subsidiaries are included in earnings.</w:t>
      </w:r>
    </w:p>
    <w:p>
      <w:pPr>
        <w:spacing w:after="0" w:line="16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b w:val="1"/>
          <w:bCs w:val="1"/>
          <w:i w:val="1"/>
          <w:iCs w:val="1"/>
          <w:color w:val="auto"/>
        </w:rPr>
        <w:t>Derivative Financial Instruments</w:t>
      </w:r>
      <w:r>
        <w:rPr>
          <w:rFonts w:ascii="Arial" w:cs="Arial" w:eastAsia="Arial" w:hAnsi="Arial"/>
          <w:sz w:val="18"/>
          <w:szCs w:val="18"/>
          <w:color w:val="auto"/>
        </w:rPr>
        <w:t>— We minimize our risks from interest and foreign currency exchange rate fluctuations through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normal operating and financing activities and, when deemed appropriate through the use of derivative financial instruments. Derivative financial instruments are used to manage risk and are not used for trading or other speculative purposes and we do not use leveraged derivative financial instruments. Derivative financial instruments that qualify for hedge accounting must be designated and effective as a hedge of the identified risk exposure at the inception of the contract. Accordingly, changes in fair value of the derivative contract must be highly correlated with changes in fair value of the underlying hedged item at inception of the hedge and over the life of the hedge contract.</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All derivatives are recorded on the balance sheet as assets or liabilities and measured at fair value. For derivatives designated as hedges of the fair value of assets or liabilities, the changes in fair values of both the derivatives and the hedged items are recorded in current earnings. For derivatives designated as cash flow hedges, the effective portion of the changes in fair value of the derivatives are recorded in accumulated other comprehensive income (loss) and subsequently recognized in earnings when the hedged items impact earnings. Cash flows of such derivative financial instruments are classified consistent with the underlying hedged item.</w:t>
      </w:r>
    </w:p>
    <w:p>
      <w:pPr>
        <w:spacing w:after="0" w:line="167" w:lineRule="exact"/>
        <w:rPr>
          <w:sz w:val="20"/>
          <w:szCs w:val="20"/>
          <w:color w:val="auto"/>
        </w:rPr>
      </w:pPr>
    </w:p>
    <w:p>
      <w:pPr>
        <w:jc w:val="both"/>
        <w:ind w:firstLine="648"/>
        <w:spacing w:after="0"/>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Significant judgment is required in evaluating tax positions. We establish additional reserves for income taxes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despite the belief that tax positions are fully supportable, there remain certain positions that do not meet the minimum recognition threshold. The approach for evaluating certain and uncertain tax positions is defined by the authoritative guidance which determines when a tax position is more likely than not to be sustained upon examination by the applicable taxing authority. In the normal course of business, the Company and its subsidiaries are examined by various federal, state and foreign tax authorities. We regularly assess the potential outcomes of these examinations and any future examinations for the current or prior years in determining the adequacy of our provision for income taxes. We continually assess the likelihood and amount of potential adjustments and adjust the income tax provision, the current tax liability and deferred taxes in the period in which the facts that give rise to a change in estimate become known.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 – (CONTINUED)</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176"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 Cash and cash equivalents include cash on hand and highly liquid investments having an original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of three months or less.</w:t>
      </w:r>
    </w:p>
    <w:p>
      <w:pPr>
        <w:spacing w:after="0" w:line="14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i w:val="1"/>
          <w:iCs w:val="1"/>
          <w:color w:val="auto"/>
        </w:rPr>
        <w:t>Earnings Per Share</w:t>
      </w:r>
      <w:r>
        <w:rPr>
          <w:rFonts w:ascii="Arial" w:cs="Arial" w:eastAsia="Arial" w:hAnsi="Arial"/>
          <w:sz w:val="18"/>
          <w:szCs w:val="18"/>
          <w:color w:val="auto"/>
        </w:rPr>
        <w:t>—Basic earnings per share is based on the weighted average number of common shares outstanding. Diluted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earnings per share is based on the weighted average number of common shares outstanding and all dilutive potential common shares outstanding.</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Reclassifications</w:t>
      </w:r>
      <w:r>
        <w:rPr>
          <w:rFonts w:ascii="Arial" w:cs="Arial" w:eastAsia="Arial" w:hAnsi="Arial"/>
          <w:sz w:val="18"/>
          <w:szCs w:val="18"/>
          <w:color w:val="auto"/>
        </w:rPr>
        <w:t>—Certain prior year amounts have been reclassified to conform to the current year presentation.</w:t>
      </w:r>
    </w:p>
    <w:p>
      <w:pPr>
        <w:spacing w:after="0" w:line="19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i w:val="1"/>
          <w:iCs w:val="1"/>
          <w:color w:val="auto"/>
        </w:rPr>
        <w:t>Recent Accounting Pronouncements</w:t>
      </w:r>
      <w:r>
        <w:rPr>
          <w:rFonts w:ascii="Arial" w:cs="Arial" w:eastAsia="Arial" w:hAnsi="Arial"/>
          <w:sz w:val="18"/>
          <w:szCs w:val="18"/>
          <w:color w:val="auto"/>
        </w:rPr>
        <w:t>—We consider the applicability and impact of all Accounting Standards Updates (ASUs). ASUs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listed below were assessed and determined to be either not applicable or are expected to have minimal impact on our consolidated results of operations, financial position and cash flows (consolidated financial statements).</w:t>
      </w:r>
    </w:p>
    <w:p>
      <w:pPr>
        <w:spacing w:after="0" w:line="17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May 2014, the FASB issued guidance on revenue from contracts with customers that will supersede most current revenue recognition guidance, including industry-specific guidance. The underlying principle is that an entity will recognize revenue to depict the transfer of goods or services to customers at an amount that the entity expects to be entitled to in exchange for those goods or services. The guidance provides a five-step analysis of transactions to determine when and how revenue is recognized. Other major provisions include capitalization of certain contract costs, consideration of time value of money in the transaction price, and allowing estimates of variable consideration to be recognized before contingencies are resolved in certain circumstances. The guidance also requires enhanced disclosures regarding the nature, amount, timing and uncertainty of revenue and cash flows arising from an entity’s contracts with customers. The effective date was deferred for one year to the interim and annual periods beginning on or after December 15, 2017. Early adoption is permitted as of the original effective date – interim and annual periods beginning on or after December 15, 2016. The guidance permits the use of either a retrospective or cumulative effect transition method. We have not yet selected a transition method.</w:t>
      </w:r>
    </w:p>
    <w:p>
      <w:pPr>
        <w:spacing w:after="0" w:line="19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are still finalizing the analysis to quantify the adoption impact of the provisions of the new standard, but we do not currently expect it to have a material impact on our consolidated financial position or results of operations. Based on the evaluation of our current contracts and revenue streams, most will be recorded consistently under both the current and new standard. The FASB has issued, and may issue in the future, interpretive guidance which may cause our evaluation to change. We believe we are following an appropriate timeline to allow for proper recognition, presentation and disclosure upon adoption effective the beginning of fiscal year 2018.</w:t>
      </w:r>
    </w:p>
    <w:p>
      <w:pPr>
        <w:spacing w:after="0" w:line="18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February 2016, the FASB issued guidance on accounting for leases which requires lessees to recognize most leases on their balance sheets for the rights and obligations created by those leases. The guidance requires enhanced disclosures regarding the amount, timing, and uncertainty of cash flows arising from leases that will be effective for interim and annual periods beginning after December 15, 2018. Early adoption is permitted. The guidance requires the use of a modified retrospective approach. We are currently evaluating the impact of the guidance on our consolidated financial position, results of operations, and related notes to financial statements.</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March 2016, the FASB issued amended guidance related to the employee share-based payment accounting. The guidance requires all income tax effect of awards to be recognized in the income statement, which were previously presented as a component of Total shareowners’ equity, on a prospective basis. The guidance also requires presentation of excess tax benefits as an operating activity on the statement of cash flows rather than as a financing activity. We have elected to early adopt the standard in the quarter ended September 30, 2016, which requires adoption effective as of the beginning of the fiscal year. The adoption resulted in a diluted earnings per share benefit of $0.14 and the recognition of excess tax benefits as a reduction in the provision for income taxes of $127 million for the year ended December 31, 2016. Refer to Note 24 Unaudited Quarterly Financial Information for the earnings per share for the first and second quarters of 2016, recast to reflect the impact from adoption. Cash paid by the Company when directly withholding shares for tax-withholding purposes are classified as a financing activity on a retrospective basis.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 – (CONTINUED)</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guidance allows for an accounting policy election to estimate the number of awards that are expected to vest or account for forfeitures when they occur. We elected to maintain the current forfeitures policy and will continue to include an estimate of those forfeitures when recognizing stock compensation expense. Classification of the excess tax benefits in the Consolidated Statement of Cash Flows are presented on a prospective basis as of January 1, 2016.</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August 2016, the FASB issued new guidance intended to reduce diversity in practice in how certain cash receipts and payments are classified in the statement of cash flows, including debt prepayment or extinguishment costs, the settlement of contingent liabilities arising from a business combination, proceeds from insurance settlements, and distributions from certain equity method investees. The guidance is effective for interim and annual periods beginning after December 15, 2017, and early adoption is permitted. The guidance requires application on a retrospective basis. The Company is currently evaluating the impact of this guidance.</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October 2016, the FASB issued an accounting standard update which requires an entity to recognize the income tax consequences of an intra-entity transfer of an asset other than inventory when the transfer occurs. Under current GAAP, recognition of the income tax consequences for asset transfers other than inventory could not be recognized until the asset was sold to a third party. The guidance is intended to reduce diversity in practice related to the tax consequences of certain types of intra-entity asset transfers, particularly those involving intellectual property. The guidance is effective for interim and annual periods beginning after December 15, 2017, and early adoption is permitted. The guidance requires application on a modified retrospective basis. We are currently evaluating the impact of this accounting standard update on our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 and Divestitures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2016 and 2015, we acquired businesses for an aggregate cost (net of cash and debt assumed) of $2,538 million and $5,244</w:t>
      </w:r>
    </w:p>
    <w:p>
      <w:pPr>
        <w:spacing w:after="0"/>
        <w:rPr>
          <w:sz w:val="20"/>
          <w:szCs w:val="20"/>
          <w:color w:val="auto"/>
        </w:rPr>
      </w:pPr>
      <w:r>
        <w:rPr>
          <w:rFonts w:ascii="Arial" w:cs="Arial" w:eastAsia="Arial" w:hAnsi="Arial"/>
          <w:sz w:val="18"/>
          <w:szCs w:val="18"/>
          <w:color w:val="auto"/>
        </w:rPr>
        <w:t>million.</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August 2016, the Company acquired Intelligrated, a leading provider of supply chain and warehouse automation technologies, for an aggregate value, net of cash acquired, of $ 1,488 million. Intelligrated is part of Safety and Productivity Solutions. The preliminary determination of the assets and liabilities acquired with Intelligrated have been included in the Consolidated Balance Sheet as of December 31, 2016, including $1,129 million allocated to goodwill, which is non-deductible for tax purposes.</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April 2016, the Company completed the acquisition of Xtralis International Holdings Limited (Xtralis), a leading global provider of aspiration smoke detection and perimeter security technologies, for an aggregate cost, net of cash acquired and debt assumed, of $515 million. Xtralis is part of Home and Building Technologies.</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February 2016, the Company acquired 100 percent of the issued and outstanding shares of COM DEV International (COM DEV), a leading satellite and space components provider, for an aggregate value, net of cash acquired and debt assumed, of $347 million. COM DEV is part of Aerospace and had reported 2015 fiscal year revenues of $159 million.</w:t>
      </w:r>
    </w:p>
    <w:p>
      <w:pPr>
        <w:spacing w:after="0" w:line="227"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n January 2016, the Company acquired the remaining 30 percent noncontrolling interest in UOP Russell LLC, which develops</w:t>
      </w:r>
      <w:r>
        <w:rPr>
          <w:rFonts w:ascii="Arial" w:cs="Arial" w:eastAsia="Arial" w:hAnsi="Arial"/>
          <w:sz w:val="20"/>
          <w:szCs w:val="20"/>
          <w:color w:val="auto"/>
        </w:rPr>
        <w:t xml:space="preserve"> </w:t>
      </w:r>
      <w:r>
        <w:rPr>
          <w:rFonts w:ascii="Arial" w:cs="Arial" w:eastAsia="Arial" w:hAnsi="Arial"/>
          <w:sz w:val="18"/>
          <w:szCs w:val="18"/>
          <w:color w:val="auto"/>
        </w:rPr>
        <w:t>technology and manufactures modular equipment to process natural gas, for $240 million. UOP Russell LLC is part of Performance Materials and Technologies.</w:t>
      </w:r>
    </w:p>
    <w:p>
      <w:pPr>
        <w:spacing w:after="0" w:line="19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December 2015, the Company completed the acquisition of the Elster Division of Melrose Industries plc (Elster), for an aggregate value, net of cash acquired, of $4,899 million. Elster had 2015 revenues of $1,670 million and has been integrated into Home and Building Technologies and Performance Materials and Technologies. The following table summarizes the final fair value of the acquired Elster assets and liabilities.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 – (CONTINUED)</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194"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6400" w:type="dxa"/>
            <w:vAlign w:val="bottom"/>
            <w:shd w:val="clear" w:color="auto" w:fill="E5FFFF"/>
          </w:tcPr>
          <w:p>
            <w:pPr>
              <w:ind w:left="40"/>
              <w:spacing w:after="0"/>
              <w:rPr>
                <w:sz w:val="20"/>
                <w:szCs w:val="20"/>
                <w:color w:val="auto"/>
              </w:rPr>
            </w:pPr>
            <w:r>
              <w:rPr>
                <w:rFonts w:ascii="Arial" w:cs="Arial" w:eastAsia="Arial" w:hAnsi="Arial"/>
                <w:sz w:val="18"/>
                <w:szCs w:val="18"/>
                <w:color w:val="auto"/>
              </w:rPr>
              <w:t>Current assets</w:t>
            </w:r>
          </w:p>
        </w:tc>
        <w:tc>
          <w:tcPr>
            <w:tcW w:w="15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$519</w:t>
            </w:r>
          </w:p>
        </w:tc>
      </w:tr>
      <w:tr>
        <w:trPr>
          <w:trHeight w:val="203"/>
        </w:trPr>
        <w:tc>
          <w:tcPr>
            <w:tcW w:w="6400" w:type="dxa"/>
            <w:vAlign w:val="bottom"/>
          </w:tcPr>
          <w:p>
            <w:pPr>
              <w:ind w:left="40"/>
              <w:spacing w:after="0" w:line="202" w:lineRule="exact"/>
              <w:rPr>
                <w:sz w:val="20"/>
                <w:szCs w:val="20"/>
                <w:color w:val="auto"/>
              </w:rPr>
            </w:pPr>
            <w:r>
              <w:rPr>
                <w:rFonts w:ascii="Arial" w:cs="Arial" w:eastAsia="Arial" w:hAnsi="Arial"/>
                <w:sz w:val="18"/>
                <w:szCs w:val="18"/>
                <w:color w:val="auto"/>
              </w:rPr>
              <w:t>Intangible assets</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2,163</w:t>
            </w:r>
          </w:p>
        </w:tc>
      </w:tr>
      <w:tr>
        <w:trPr>
          <w:trHeight w:val="203"/>
        </w:trPr>
        <w:tc>
          <w:tcPr>
            <w:tcW w:w="640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color w:val="auto"/>
              </w:rPr>
              <w:t>Other noncurrent assets</w:t>
            </w:r>
          </w:p>
        </w:tc>
        <w:tc>
          <w:tcPr>
            <w:tcW w:w="15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193</w:t>
            </w:r>
          </w:p>
        </w:tc>
      </w:tr>
      <w:tr>
        <w:trPr>
          <w:trHeight w:val="203"/>
        </w:trPr>
        <w:tc>
          <w:tcPr>
            <w:tcW w:w="6400" w:type="dxa"/>
            <w:vAlign w:val="bottom"/>
          </w:tcPr>
          <w:p>
            <w:pPr>
              <w:ind w:left="40"/>
              <w:spacing w:after="0" w:line="202" w:lineRule="exact"/>
              <w:rPr>
                <w:sz w:val="20"/>
                <w:szCs w:val="20"/>
                <w:color w:val="auto"/>
              </w:rPr>
            </w:pPr>
            <w:r>
              <w:rPr>
                <w:rFonts w:ascii="Arial" w:cs="Arial" w:eastAsia="Arial" w:hAnsi="Arial"/>
                <w:sz w:val="18"/>
                <w:szCs w:val="18"/>
                <w:color w:val="auto"/>
              </w:rPr>
              <w:t>Current liabilities</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(566)</w:t>
            </w:r>
          </w:p>
        </w:tc>
      </w:tr>
      <w:tr>
        <w:trPr>
          <w:trHeight w:val="216"/>
        </w:trPr>
        <w:tc>
          <w:tcPr>
            <w:tcW w:w="6400" w:type="dxa"/>
            <w:vAlign w:val="bottom"/>
            <w:shd w:val="clear" w:color="auto" w:fill="E5FFFF"/>
          </w:tcPr>
          <w:p>
            <w:pPr>
              <w:ind w:left="40"/>
              <w:spacing w:after="0"/>
              <w:rPr>
                <w:sz w:val="20"/>
                <w:szCs w:val="20"/>
                <w:color w:val="auto"/>
              </w:rPr>
            </w:pPr>
            <w:r>
              <w:rPr>
                <w:rFonts w:ascii="Arial" w:cs="Arial" w:eastAsia="Arial" w:hAnsi="Arial"/>
                <w:sz w:val="18"/>
                <w:szCs w:val="18"/>
                <w:color w:val="auto"/>
              </w:rPr>
              <w:t>Noncurrent liabilities</w:t>
            </w:r>
          </w:p>
        </w:tc>
        <w:tc>
          <w:tcPr>
            <w:tcW w:w="1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(973)</w:t>
            </w:r>
          </w:p>
        </w:tc>
      </w:tr>
      <w:tr>
        <w:trPr>
          <w:trHeight w:val="196"/>
        </w:trPr>
        <w:tc>
          <w:tcPr>
            <w:tcW w:w="6400" w:type="dxa"/>
            <w:vAlign w:val="bottom"/>
          </w:tcPr>
          <w:p>
            <w:pPr>
              <w:ind w:left="520"/>
              <w:spacing w:after="0" w:line="196" w:lineRule="exact"/>
              <w:rPr>
                <w:sz w:val="20"/>
                <w:szCs w:val="20"/>
                <w:color w:val="auto"/>
              </w:rPr>
            </w:pPr>
            <w:r>
              <w:rPr>
                <w:rFonts w:ascii="Arial" w:cs="Arial" w:eastAsia="Arial" w:hAnsi="Arial"/>
                <w:sz w:val="18"/>
                <w:szCs w:val="18"/>
                <w:color w:val="auto"/>
              </w:rPr>
              <w:t>Net assets acquired</w:t>
            </w: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1,336</w:t>
            </w:r>
          </w:p>
        </w:tc>
      </w:tr>
      <w:tr>
        <w:trPr>
          <w:trHeight w:val="203"/>
        </w:trPr>
        <w:tc>
          <w:tcPr>
            <w:tcW w:w="640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color w:val="auto"/>
              </w:rPr>
              <w:t>Noncontrolling interest</w:t>
            </w:r>
          </w:p>
        </w:tc>
        <w:tc>
          <w:tcPr>
            <w:tcW w:w="15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w:t>
            </w:r>
          </w:p>
        </w:tc>
      </w:tr>
      <w:tr>
        <w:trPr>
          <w:trHeight w:val="216"/>
        </w:trPr>
        <w:tc>
          <w:tcPr>
            <w:tcW w:w="6400" w:type="dxa"/>
            <w:vAlign w:val="bottom"/>
            <w:tcBorders>
              <w:bottom w:val="single" w:sz="8" w:color="E5FFFF"/>
            </w:tcBorders>
          </w:tcPr>
          <w:p>
            <w:pPr>
              <w:ind w:left="40"/>
              <w:spacing w:after="0"/>
              <w:rPr>
                <w:sz w:val="20"/>
                <w:szCs w:val="20"/>
                <w:color w:val="auto"/>
              </w:rPr>
            </w:pPr>
            <w:r>
              <w:rPr>
                <w:rFonts w:ascii="Arial" w:cs="Arial" w:eastAsia="Arial" w:hAnsi="Arial"/>
                <w:sz w:val="18"/>
                <w:szCs w:val="18"/>
                <w:color w:val="auto"/>
              </w:rPr>
              <w:t>Goodwill</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3,565</w:t>
            </w:r>
          </w:p>
        </w:tc>
      </w:tr>
      <w:tr>
        <w:trPr>
          <w:trHeight w:val="210"/>
        </w:trPr>
        <w:tc>
          <w:tcPr>
            <w:tcW w:w="6400" w:type="dxa"/>
            <w:vAlign w:val="bottom"/>
            <w:tcBorders>
              <w:bottom w:val="single" w:sz="8" w:color="E5FFFF"/>
            </w:tcBorders>
            <w:shd w:val="clear" w:color="auto" w:fill="E5FFFF"/>
          </w:tcPr>
          <w:p>
            <w:pPr>
              <w:ind w:left="520"/>
              <w:spacing w:after="0" w:line="197" w:lineRule="exact"/>
              <w:rPr>
                <w:sz w:val="20"/>
                <w:szCs w:val="20"/>
                <w:color w:val="auto"/>
              </w:rPr>
            </w:pPr>
            <w:r>
              <w:rPr>
                <w:rFonts w:ascii="Arial" w:cs="Arial" w:eastAsia="Arial" w:hAnsi="Arial"/>
                <w:sz w:val="18"/>
                <w:szCs w:val="18"/>
                <w:color w:val="auto"/>
              </w:rPr>
              <w:t>Purchase Price</w:t>
            </w:r>
          </w:p>
        </w:tc>
        <w:tc>
          <w:tcPr>
            <w:tcW w:w="1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$4,899</w:t>
            </w:r>
          </w:p>
        </w:tc>
      </w:tr>
      <w:tr>
        <w:trPr>
          <w:trHeight w:val="20"/>
        </w:trPr>
        <w:tc>
          <w:tcPr>
            <w:tcW w:w="64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Elster identifiable intangible assets primarily include customer relationships, trade names and technology that are being amortized over their estimated lives ranging from 1 to 20 years using straight line and accelerated amortization methods. The goodwill is non-deductible for tax purposes.</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As of December 31, 2016, the purchase accounting for Intelligrated, Xtralis and COM DEV is subject to final adjustment, primarily for the valuation of amounts allocated to intangible assets and goodwill, determination of useful lives for definite-lived intangible assets, tax balances and for any pre-acquisition contingencies. Goodwill arising from these acquisitions is non-deductible for tax purposes. The results of operations from date of acquisition through December 31, 2016 are included in the Consolidated Statement of Operations.</w:t>
      </w:r>
    </w:p>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On October 1, 2016, the Company completed the tax-free spin-off of its Resins and Chemicals business, part of Performance Materials and Technologies, into a standalone, publicly-traded company (named AdvanSix Inc. or AdvanSix) to Honeywell shareowners. The assets and liabilities associated with AdvanSix have been removed from the Company’s Consolidated Balance Sheet. The results of operations for AdvanSix are included in the Consolidated Statement of Operations through the effective date of the spin-off.</w:t>
      </w:r>
    </w:p>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Honeywell shareowners of record as of the close of business on September 16, 2016 received one share of AdvanSix common stock for every 25 shares of Honeywell common stock. Immediately prior to the effective date of the spin-off, AdvanSix incurred debt to make a cash distribution of $269 million to the Company. At the same time, AdvanSix also incurred $38 million of borrowings in order to fund its post spin-off working capital.</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Company entered into certain agreements with AdvanSix to effect our legal and structural separation including a transition services agreement with AdvanSix to provide certain administrative and other services for a limited time.</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On September 16, 2016, the Company completed the sale of Honeywell Technology Solutions Inc. for a sale price of $300 million. The Company recognized a pre-tax gain of $176 million, which was recorded in Other (income) expense. The Honeywell Technology Solutions Inc. business was part of Aerospace.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 – (CONTINUED)</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Repositioning and Other Charges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repositioning and other charges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Years Ended December 31,</w:t>
            </w:r>
          </w:p>
        </w:tc>
        <w:tc>
          <w:tcPr>
            <w:tcW w:w="780" w:type="dxa"/>
            <w:vAlign w:val="bottom"/>
            <w:tcBorders>
              <w:bottom w:val="single" w:sz="8" w:color="auto"/>
            </w:tcBorders>
          </w:tcPr>
          <w:p>
            <w:pPr>
              <w:spacing w:after="0"/>
              <w:rPr>
                <w:sz w:val="15"/>
                <w:szCs w:val="15"/>
                <w:color w:val="auto"/>
              </w:rPr>
            </w:pPr>
          </w:p>
        </w:tc>
      </w:tr>
      <w:tr>
        <w:trPr>
          <w:trHeight w:val="196"/>
        </w:trPr>
        <w:tc>
          <w:tcPr>
            <w:tcW w:w="766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E5FF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2014</w:t>
            </w:r>
          </w:p>
        </w:tc>
      </w:tr>
      <w:tr>
        <w:trPr>
          <w:trHeight w:val="196"/>
        </w:trPr>
        <w:tc>
          <w:tcPr>
            <w:tcW w:w="76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Severance</w:t>
            </w:r>
          </w:p>
        </w:tc>
        <w:tc>
          <w:tcPr>
            <w:tcW w:w="240" w:type="dxa"/>
            <w:vAlign w:val="bottom"/>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283</w:t>
            </w:r>
          </w:p>
        </w:tc>
        <w:tc>
          <w:tcPr>
            <w:tcW w:w="1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197</w:t>
            </w: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156</w:t>
            </w: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Asset impairments</w:t>
            </w:r>
          </w:p>
        </w:tc>
        <w:tc>
          <w:tcPr>
            <w:tcW w:w="2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13</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w:t>
            </w:r>
          </w:p>
        </w:tc>
      </w:tr>
      <w:tr>
        <w:trPr>
          <w:trHeight w:val="203"/>
        </w:trPr>
        <w:tc>
          <w:tcPr>
            <w:tcW w:w="76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Exit costs</w:t>
            </w:r>
          </w:p>
        </w:tc>
        <w:tc>
          <w:tcPr>
            <w:tcW w:w="240" w:type="dxa"/>
            <w:vAlign w:val="bottom"/>
            <w:shd w:val="clear" w:color="auto" w:fill="E5FFFF"/>
          </w:tcPr>
          <w:p>
            <w:pPr>
              <w:spacing w:after="0"/>
              <w:rPr>
                <w:sz w:val="17"/>
                <w:szCs w:val="17"/>
                <w:color w:val="auto"/>
              </w:rPr>
            </w:pPr>
          </w:p>
        </w:tc>
        <w:tc>
          <w:tcPr>
            <w:tcW w:w="7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43</w:t>
            </w:r>
          </w:p>
        </w:tc>
        <w:tc>
          <w:tcPr>
            <w:tcW w:w="1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6</w:t>
            </w: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16</w:t>
            </w:r>
          </w:p>
        </w:tc>
      </w:tr>
      <w:tr>
        <w:trPr>
          <w:trHeight w:val="216"/>
        </w:trPr>
        <w:tc>
          <w:tcPr>
            <w:tcW w:w="76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Reserve adjustments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(109)</w:t>
            </w:r>
          </w:p>
        </w:tc>
        <w:tc>
          <w:tcPr>
            <w:tcW w:w="34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34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196"/>
        </w:trPr>
        <w:tc>
          <w:tcPr>
            <w:tcW w:w="7660" w:type="dxa"/>
            <w:vAlign w:val="bottom"/>
            <w:shd w:val="clear" w:color="auto" w:fill="E5FFFF"/>
          </w:tcPr>
          <w:p>
            <w:pPr>
              <w:ind w:left="540"/>
              <w:spacing w:after="0" w:line="196" w:lineRule="exact"/>
              <w:rPr>
                <w:sz w:val="20"/>
                <w:szCs w:val="20"/>
                <w:color w:val="auto"/>
              </w:rPr>
            </w:pPr>
            <w:r>
              <w:rPr>
                <w:rFonts w:ascii="Arial" w:cs="Arial" w:eastAsia="Arial" w:hAnsi="Arial"/>
                <w:sz w:val="18"/>
                <w:szCs w:val="18"/>
                <w:color w:val="auto"/>
              </w:rPr>
              <w:t>Total net repositioning charge</w:t>
            </w:r>
          </w:p>
        </w:tc>
        <w:tc>
          <w:tcPr>
            <w:tcW w:w="240" w:type="dxa"/>
            <w:vAlign w:val="bottom"/>
            <w:tcBorders>
              <w:bottom w:val="single" w:sz="8" w:color="auto"/>
            </w:tcBorders>
            <w:shd w:val="clear" w:color="auto" w:fill="E5FFFF"/>
          </w:tcPr>
          <w:p>
            <w:pPr>
              <w:spacing w:after="0"/>
              <w:rPr>
                <w:sz w:val="17"/>
                <w:szCs w:val="17"/>
                <w:color w:val="auto"/>
              </w:rPr>
            </w:pPr>
          </w:p>
        </w:tc>
        <w:tc>
          <w:tcPr>
            <w:tcW w:w="7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260</w:t>
            </w:r>
          </w:p>
        </w:tc>
        <w:tc>
          <w:tcPr>
            <w:tcW w:w="100" w:type="dxa"/>
            <w:vAlign w:val="bottom"/>
            <w:tcBorders>
              <w:bottom w:val="single" w:sz="8" w:color="auto"/>
            </w:tcBorders>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spacing w:after="0"/>
              <w:rPr>
                <w:sz w:val="17"/>
                <w:szCs w:val="17"/>
                <w:color w:val="auto"/>
              </w:rPr>
            </w:pPr>
          </w:p>
        </w:tc>
        <w:tc>
          <w:tcPr>
            <w:tcW w:w="780" w:type="dxa"/>
            <w:vAlign w:val="bottom"/>
            <w:tcBorders>
              <w:bottom w:val="single" w:sz="8" w:color="auto"/>
            </w:tcBorders>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163</w:t>
            </w:r>
          </w:p>
        </w:tc>
        <w:tc>
          <w:tcPr>
            <w:tcW w:w="340" w:type="dxa"/>
            <w:vAlign w:val="bottom"/>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spacing w:after="0"/>
              <w:rPr>
                <w:sz w:val="17"/>
                <w:szCs w:val="17"/>
                <w:color w:val="auto"/>
              </w:rPr>
            </w:pPr>
          </w:p>
        </w:tc>
        <w:tc>
          <w:tcPr>
            <w:tcW w:w="780" w:type="dxa"/>
            <w:vAlign w:val="bottom"/>
            <w:tcBorders>
              <w:bottom w:val="single" w:sz="8" w:color="auto"/>
            </w:tcBorders>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146</w:t>
            </w:r>
          </w:p>
        </w:tc>
      </w:tr>
      <w:tr>
        <w:trPr>
          <w:trHeight w:val="412"/>
        </w:trPr>
        <w:tc>
          <w:tcPr>
            <w:tcW w:w="7660" w:type="dxa"/>
            <w:vAlign w:val="bottom"/>
          </w:tcPr>
          <w:p>
            <w:pPr>
              <w:spacing w:after="0"/>
              <w:rPr>
                <w:sz w:val="20"/>
                <w:szCs w:val="20"/>
                <w:color w:val="auto"/>
              </w:rPr>
            </w:pPr>
            <w:r>
              <w:rPr>
                <w:rFonts w:ascii="Arial" w:cs="Arial" w:eastAsia="Arial" w:hAnsi="Arial"/>
                <w:sz w:val="18"/>
                <w:szCs w:val="18"/>
                <w:color w:val="auto"/>
              </w:rPr>
              <w:t>Asbestos related litigation charges, net of insurance</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189</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182</w:t>
            </w:r>
          </w:p>
        </w:tc>
      </w:tr>
      <w:tr>
        <w:trPr>
          <w:trHeight w:val="203"/>
        </w:trPr>
        <w:tc>
          <w:tcPr>
            <w:tcW w:w="76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Probable and reasonably estimable environmental liabilities</w:t>
            </w:r>
          </w:p>
        </w:tc>
        <w:tc>
          <w:tcPr>
            <w:tcW w:w="240" w:type="dxa"/>
            <w:vAlign w:val="bottom"/>
            <w:shd w:val="clear" w:color="auto" w:fill="E5FFFF"/>
          </w:tcPr>
          <w:p>
            <w:pPr>
              <w:spacing w:after="0"/>
              <w:rPr>
                <w:sz w:val="17"/>
                <w:szCs w:val="17"/>
                <w:color w:val="auto"/>
              </w:rPr>
            </w:pPr>
          </w:p>
        </w:tc>
        <w:tc>
          <w:tcPr>
            <w:tcW w:w="7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195</w:t>
            </w:r>
          </w:p>
        </w:tc>
        <w:tc>
          <w:tcPr>
            <w:tcW w:w="1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194</w:t>
            </w: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268</w:t>
            </w:r>
          </w:p>
        </w:tc>
      </w:tr>
      <w:tr>
        <w:trPr>
          <w:trHeight w:val="216"/>
        </w:trPr>
        <w:tc>
          <w:tcPr>
            <w:tcW w:w="76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r>
      <w:tr>
        <w:trPr>
          <w:trHeight w:val="210"/>
        </w:trPr>
        <w:tc>
          <w:tcPr>
            <w:tcW w:w="7660" w:type="dxa"/>
            <w:vAlign w:val="bottom"/>
            <w:shd w:val="clear" w:color="auto" w:fill="E5FFFF"/>
          </w:tcPr>
          <w:p>
            <w:pPr>
              <w:ind w:left="540"/>
              <w:spacing w:after="0" w:line="197" w:lineRule="exact"/>
              <w:rPr>
                <w:sz w:val="20"/>
                <w:szCs w:val="20"/>
                <w:color w:val="auto"/>
              </w:rPr>
            </w:pPr>
            <w:r>
              <w:rPr>
                <w:rFonts w:ascii="Arial" w:cs="Arial" w:eastAsia="Arial" w:hAnsi="Arial"/>
                <w:sz w:val="18"/>
                <w:szCs w:val="18"/>
                <w:color w:val="auto"/>
              </w:rPr>
              <w:t>Total net repositioning and other charges</w:t>
            </w:r>
          </w:p>
        </w:tc>
        <w:tc>
          <w:tcPr>
            <w:tcW w:w="24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695</w:t>
            </w:r>
          </w:p>
        </w:tc>
        <w:tc>
          <w:tcPr>
            <w:tcW w:w="660" w:type="dxa"/>
            <w:vAlign w:val="bottom"/>
            <w:gridSpan w:val="3"/>
            <w:shd w:val="clear" w:color="auto" w:fill="E5FF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546</w:t>
            </w:r>
          </w:p>
        </w:tc>
        <w:tc>
          <w:tcPr>
            <w:tcW w:w="340" w:type="dxa"/>
            <w:vAlign w:val="bottom"/>
            <w:shd w:val="clear" w:color="auto" w:fill="E5FFFF"/>
          </w:tcPr>
          <w:p>
            <w:pPr>
              <w:spacing w:after="0"/>
              <w:rPr>
                <w:sz w:val="18"/>
                <w:szCs w:val="18"/>
                <w:color w:val="auto"/>
              </w:rPr>
            </w:pPr>
          </w:p>
        </w:tc>
        <w:tc>
          <w:tcPr>
            <w:tcW w:w="24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598</w:t>
            </w:r>
          </w:p>
        </w:tc>
      </w:tr>
      <w:tr>
        <w:trPr>
          <w:trHeight w:val="20"/>
        </w:trPr>
        <w:tc>
          <w:tcPr>
            <w:tcW w:w="766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pretax distribution of total net repositioning and other charges by income statement classification: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7"/>
          </w:tcPr>
          <w:p>
            <w:pPr>
              <w:jc w:val="center"/>
              <w:ind w:right="25"/>
              <w:spacing w:after="0"/>
              <w:rPr>
                <w:sz w:val="20"/>
                <w:szCs w:val="20"/>
                <w:color w:val="auto"/>
              </w:rPr>
            </w:pPr>
            <w:r>
              <w:rPr>
                <w:rFonts w:ascii="Arial" w:cs="Arial" w:eastAsia="Arial" w:hAnsi="Arial"/>
                <w:sz w:val="14"/>
                <w:szCs w:val="14"/>
                <w:b w:val="1"/>
                <w:bCs w:val="1"/>
                <w:color w:val="auto"/>
              </w:rPr>
              <w:t>Years Ended December 31,</w:t>
            </w:r>
          </w:p>
        </w:tc>
        <w:tc>
          <w:tcPr>
            <w:tcW w:w="760" w:type="dxa"/>
            <w:vAlign w:val="bottom"/>
            <w:tcBorders>
              <w:bottom w:val="single" w:sz="8" w:color="auto"/>
            </w:tcBorders>
          </w:tcPr>
          <w:p>
            <w:pPr>
              <w:spacing w:after="0"/>
              <w:rPr>
                <w:sz w:val="15"/>
                <w:szCs w:val="15"/>
                <w:color w:val="auto"/>
              </w:rPr>
            </w:pPr>
          </w:p>
        </w:tc>
      </w:tr>
      <w:tr>
        <w:trPr>
          <w:trHeight w:val="196"/>
        </w:trPr>
        <w:tc>
          <w:tcPr>
            <w:tcW w:w="5420" w:type="dxa"/>
            <w:vAlign w:val="bottom"/>
            <w:tcBorders>
              <w:bottom w:val="single" w:sz="8" w:color="E5FFFF"/>
            </w:tcBorders>
          </w:tcPr>
          <w:p>
            <w:pPr>
              <w:spacing w:after="0"/>
              <w:rPr>
                <w:sz w:val="17"/>
                <w:szCs w:val="17"/>
                <w:color w:val="auto"/>
              </w:rPr>
            </w:pPr>
          </w:p>
        </w:tc>
        <w:tc>
          <w:tcPr>
            <w:tcW w:w="186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E5FFFF"/>
            </w:tcBorders>
          </w:tcPr>
          <w:p>
            <w:pPr>
              <w:spacing w:after="0"/>
              <w:rPr>
                <w:sz w:val="17"/>
                <w:szCs w:val="17"/>
                <w:color w:val="auto"/>
              </w:rPr>
            </w:pPr>
          </w:p>
        </w:tc>
        <w:tc>
          <w:tcPr>
            <w:tcW w:w="2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2014</w:t>
            </w:r>
          </w:p>
        </w:tc>
      </w:tr>
      <w:tr>
        <w:trPr>
          <w:trHeight w:val="196"/>
        </w:trPr>
        <w:tc>
          <w:tcPr>
            <w:tcW w:w="54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Cost of products and services sold</w:t>
            </w:r>
          </w:p>
        </w:tc>
        <w:tc>
          <w:tcPr>
            <w:tcW w:w="186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522</w:t>
            </w:r>
          </w:p>
        </w:tc>
        <w:tc>
          <w:tcPr>
            <w:tcW w:w="1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483</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525</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63</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73</w:t>
            </w:r>
          </w:p>
        </w:tc>
      </w:tr>
      <w:tr>
        <w:trPr>
          <w:trHeight w:val="203"/>
        </w:trPr>
        <w:tc>
          <w:tcPr>
            <w:tcW w:w="54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Other (income) expense</w:t>
            </w:r>
          </w:p>
        </w:tc>
        <w:tc>
          <w:tcPr>
            <w:tcW w:w="1860" w:type="dxa"/>
            <w:vAlign w:val="bottom"/>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spacing w:after="0"/>
              <w:rPr>
                <w:sz w:val="17"/>
                <w:szCs w:val="17"/>
                <w:color w:val="auto"/>
              </w:rPr>
            </w:pPr>
          </w:p>
        </w:tc>
        <w:tc>
          <w:tcPr>
            <w:tcW w:w="660" w:type="dxa"/>
            <w:vAlign w:val="bottom"/>
            <w:tcBorders>
              <w:bottom w:val="single" w:sz="8" w:color="auto"/>
            </w:tcBorders>
            <w:shd w:val="clear" w:color="auto" w:fill="E5FFFF"/>
          </w:tcPr>
          <w:p>
            <w:pPr>
              <w:jc w:val="right"/>
              <w:spacing w:after="0" w:line="202" w:lineRule="exact"/>
              <w:rPr>
                <w:sz w:val="20"/>
                <w:szCs w:val="20"/>
                <w:color w:val="auto"/>
              </w:rPr>
            </w:pPr>
            <w:r>
              <w:rPr>
                <w:rFonts w:ascii="Arial" w:cs="Arial" w:eastAsia="Arial" w:hAnsi="Arial"/>
                <w:sz w:val="18"/>
                <w:szCs w:val="18"/>
                <w:color w:val="auto"/>
              </w:rPr>
              <w:t>47</w:t>
            </w:r>
          </w:p>
        </w:tc>
        <w:tc>
          <w:tcPr>
            <w:tcW w:w="100" w:type="dxa"/>
            <w:vAlign w:val="bottom"/>
            <w:tcBorders>
              <w:bottom w:val="single" w:sz="8" w:color="auto"/>
            </w:tcBorders>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spacing w:after="0"/>
              <w:rPr>
                <w:sz w:val="17"/>
                <w:szCs w:val="17"/>
                <w:color w:val="auto"/>
              </w:rPr>
            </w:pPr>
          </w:p>
        </w:tc>
        <w:tc>
          <w:tcPr>
            <w:tcW w:w="760" w:type="dxa"/>
            <w:vAlign w:val="bottom"/>
            <w:tcBorders>
              <w:bottom w:val="single" w:sz="8" w:color="auto"/>
            </w:tcBorders>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spacing w:after="0"/>
              <w:rPr>
                <w:sz w:val="17"/>
                <w:szCs w:val="17"/>
                <w:color w:val="auto"/>
              </w:rPr>
            </w:pPr>
          </w:p>
        </w:tc>
        <w:tc>
          <w:tcPr>
            <w:tcW w:w="760" w:type="dxa"/>
            <w:vAlign w:val="bottom"/>
            <w:tcBorders>
              <w:bottom w:val="single" w:sz="8" w:color="auto"/>
            </w:tcBorders>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23"/>
        </w:trPr>
        <w:tc>
          <w:tcPr>
            <w:tcW w:w="5420" w:type="dxa"/>
            <w:vAlign w:val="bottom"/>
          </w:tcPr>
          <w:p>
            <w:pPr>
              <w:spacing w:after="0"/>
              <w:rPr>
                <w:sz w:val="19"/>
                <w:szCs w:val="19"/>
                <w:color w:val="auto"/>
              </w:rPr>
            </w:pPr>
          </w:p>
        </w:tc>
        <w:tc>
          <w:tcPr>
            <w:tcW w:w="20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695</w:t>
            </w:r>
          </w:p>
        </w:tc>
        <w:tc>
          <w:tcPr>
            <w:tcW w:w="6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546</w:t>
            </w:r>
          </w:p>
        </w:tc>
        <w:tc>
          <w:tcPr>
            <w:tcW w:w="54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598</w:t>
            </w:r>
          </w:p>
        </w:tc>
      </w:tr>
      <w:tr>
        <w:trPr>
          <w:trHeight w:val="20"/>
        </w:trPr>
        <w:tc>
          <w:tcPr>
            <w:tcW w:w="728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399"/>
        </w:trPr>
        <w:tc>
          <w:tcPr>
            <w:tcW w:w="9540" w:type="dxa"/>
            <w:vAlign w:val="bottom"/>
            <w:gridSpan w:val="8"/>
          </w:tcPr>
          <w:p>
            <w:pPr>
              <w:jc w:val="right"/>
              <w:ind w:right="353"/>
              <w:spacing w:after="0"/>
              <w:rPr>
                <w:sz w:val="20"/>
                <w:szCs w:val="20"/>
                <w:color w:val="auto"/>
              </w:rPr>
            </w:pPr>
            <w:r>
              <w:rPr>
                <w:rFonts w:ascii="Arial" w:cs="Arial" w:eastAsia="Arial" w:hAnsi="Arial"/>
                <w:sz w:val="18"/>
                <w:szCs w:val="18"/>
                <w:color w:val="auto"/>
              </w:rPr>
              <w:t>The following table summarizes the pretax impact of total net repositioning and other charges by segment:</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05"/>
        </w:trPr>
        <w:tc>
          <w:tcPr>
            <w:tcW w:w="5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7"/>
          </w:tcPr>
          <w:p>
            <w:pPr>
              <w:jc w:val="center"/>
              <w:ind w:right="25"/>
              <w:spacing w:after="0"/>
              <w:rPr>
                <w:sz w:val="20"/>
                <w:szCs w:val="20"/>
                <w:color w:val="auto"/>
              </w:rPr>
            </w:pPr>
            <w:r>
              <w:rPr>
                <w:rFonts w:ascii="Arial" w:cs="Arial" w:eastAsia="Arial" w:hAnsi="Arial"/>
                <w:sz w:val="14"/>
                <w:szCs w:val="14"/>
                <w:b w:val="1"/>
                <w:bCs w:val="1"/>
                <w:color w:val="auto"/>
              </w:rPr>
              <w:t>Years Ended December 31,</w:t>
            </w:r>
          </w:p>
        </w:tc>
        <w:tc>
          <w:tcPr>
            <w:tcW w:w="760" w:type="dxa"/>
            <w:vAlign w:val="bottom"/>
            <w:tcBorders>
              <w:bottom w:val="single" w:sz="8" w:color="auto"/>
            </w:tcBorders>
          </w:tcPr>
          <w:p>
            <w:pPr>
              <w:spacing w:after="0"/>
              <w:rPr>
                <w:sz w:val="24"/>
                <w:szCs w:val="24"/>
                <w:color w:val="auto"/>
              </w:rPr>
            </w:pPr>
          </w:p>
        </w:tc>
      </w:tr>
      <w:tr>
        <w:trPr>
          <w:trHeight w:val="196"/>
        </w:trPr>
        <w:tc>
          <w:tcPr>
            <w:tcW w:w="5420" w:type="dxa"/>
            <w:vAlign w:val="bottom"/>
            <w:tcBorders>
              <w:bottom w:val="single" w:sz="8" w:color="E5FFFF"/>
            </w:tcBorders>
          </w:tcPr>
          <w:p>
            <w:pPr>
              <w:spacing w:after="0"/>
              <w:rPr>
                <w:sz w:val="17"/>
                <w:szCs w:val="17"/>
                <w:color w:val="auto"/>
              </w:rPr>
            </w:pPr>
          </w:p>
        </w:tc>
        <w:tc>
          <w:tcPr>
            <w:tcW w:w="186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E5FFFF"/>
            </w:tcBorders>
          </w:tcPr>
          <w:p>
            <w:pPr>
              <w:spacing w:after="0"/>
              <w:rPr>
                <w:sz w:val="17"/>
                <w:szCs w:val="17"/>
                <w:color w:val="auto"/>
              </w:rPr>
            </w:pPr>
          </w:p>
        </w:tc>
        <w:tc>
          <w:tcPr>
            <w:tcW w:w="2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2014</w:t>
            </w:r>
          </w:p>
        </w:tc>
      </w:tr>
      <w:tr>
        <w:trPr>
          <w:trHeight w:val="196"/>
        </w:trPr>
        <w:tc>
          <w:tcPr>
            <w:tcW w:w="54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Aerospace</w:t>
            </w:r>
          </w:p>
        </w:tc>
        <w:tc>
          <w:tcPr>
            <w:tcW w:w="186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298</w:t>
            </w:r>
          </w:p>
        </w:tc>
        <w:tc>
          <w:tcPr>
            <w:tcW w:w="1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211</w:t>
            </w:r>
          </w:p>
        </w:tc>
        <w:tc>
          <w:tcPr>
            <w:tcW w:w="340" w:type="dxa"/>
            <w:vAlign w:val="bottom"/>
            <w:gridSpan w:val="2"/>
            <w:shd w:val="clear" w:color="auto" w:fill="E5FFFF"/>
          </w:tcPr>
          <w:p>
            <w:pPr>
              <w:spacing w:after="0"/>
              <w:rPr>
                <w:sz w:val="17"/>
                <w:szCs w:val="17"/>
                <w:color w:val="auto"/>
              </w:rPr>
            </w:pPr>
          </w:p>
        </w:tc>
        <w:tc>
          <w:tcPr>
            <w:tcW w:w="200" w:type="dxa"/>
            <w:vAlign w:val="bottom"/>
            <w:shd w:val="clear" w:color="auto" w:fill="E5FF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193</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Home and Building Technologies</w:t>
            </w:r>
          </w:p>
        </w:tc>
        <w:tc>
          <w:tcPr>
            <w:tcW w:w="1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43</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52</w:t>
            </w:r>
          </w:p>
        </w:tc>
      </w:tr>
      <w:tr>
        <w:trPr>
          <w:trHeight w:val="203"/>
        </w:trPr>
        <w:tc>
          <w:tcPr>
            <w:tcW w:w="54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18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6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94</w:t>
            </w:r>
          </w:p>
        </w:tc>
        <w:tc>
          <w:tcPr>
            <w:tcW w:w="1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40</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33</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Safety and Productivity Solutions</w:t>
            </w:r>
          </w:p>
        </w:tc>
        <w:tc>
          <w:tcPr>
            <w:tcW w:w="1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34</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28</w:t>
            </w:r>
          </w:p>
        </w:tc>
      </w:tr>
      <w:tr>
        <w:trPr>
          <w:trHeight w:val="216"/>
        </w:trPr>
        <w:tc>
          <w:tcPr>
            <w:tcW w:w="5420" w:type="dxa"/>
            <w:vAlign w:val="bottom"/>
            <w:shd w:val="clear" w:color="auto" w:fill="E5FFFF"/>
          </w:tcPr>
          <w:p>
            <w:pPr>
              <w:spacing w:after="0"/>
              <w:rPr>
                <w:sz w:val="20"/>
                <w:szCs w:val="20"/>
                <w:color w:val="auto"/>
              </w:rPr>
            </w:pPr>
            <w:r>
              <w:rPr>
                <w:rFonts w:ascii="Arial" w:cs="Arial" w:eastAsia="Arial" w:hAnsi="Arial"/>
                <w:sz w:val="18"/>
                <w:szCs w:val="18"/>
                <w:color w:val="auto"/>
              </w:rPr>
              <w:t>Corporate</w:t>
            </w:r>
          </w:p>
        </w:tc>
        <w:tc>
          <w:tcPr>
            <w:tcW w:w="186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auto"/>
            </w:tcBorders>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76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218</w:t>
            </w:r>
          </w:p>
        </w:tc>
        <w:tc>
          <w:tcPr>
            <w:tcW w:w="3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76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292</w:t>
            </w:r>
          </w:p>
        </w:tc>
      </w:tr>
      <w:tr>
        <w:trPr>
          <w:trHeight w:val="223"/>
        </w:trPr>
        <w:tc>
          <w:tcPr>
            <w:tcW w:w="5420" w:type="dxa"/>
            <w:vAlign w:val="bottom"/>
          </w:tcPr>
          <w:p>
            <w:pPr>
              <w:spacing w:after="0"/>
              <w:rPr>
                <w:sz w:val="19"/>
                <w:szCs w:val="19"/>
                <w:color w:val="auto"/>
              </w:rPr>
            </w:pPr>
          </w:p>
        </w:tc>
        <w:tc>
          <w:tcPr>
            <w:tcW w:w="20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695</w:t>
            </w:r>
          </w:p>
        </w:tc>
        <w:tc>
          <w:tcPr>
            <w:tcW w:w="6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546</w:t>
            </w:r>
          </w:p>
        </w:tc>
        <w:tc>
          <w:tcPr>
            <w:tcW w:w="54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598</w:t>
            </w:r>
          </w:p>
        </w:tc>
      </w:tr>
      <w:tr>
        <w:trPr>
          <w:trHeight w:val="20"/>
        </w:trPr>
        <w:tc>
          <w:tcPr>
            <w:tcW w:w="5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2016, we recognized repositioning charges totaling $369 million including severance costs of $283 million related to workforce reductions of 6,585 manufacturing and administrative positions across our segments. The workforce reductions were primarily related to cost savings actions taken in connection with our productivity and ongoing functional transformation initiatives; the separation of the former Automation and Control Solutions reporting segment into two new reporting segments; factory transitions in each of our reportable operating segments to more cost-effective locations; and achieving acquisition-related synergies. The repositioning charge included asset impairments of $43 million principally related to the write-off of certain intangible assets in connection with the sale of a Performance Materials and Technologies business. The repositioning charge included exit costs of $43 million principally for expenses related to the spin-off of our AdvanSix business and closure obligations associated with factory transitions. Also, $ 109 million of previously established accruals, primarily for severance, were returned to income as a result of higher attrition than anticipated in prior severance programs resulting in lower required severance payments, lower than expected severance costs in certain repositioning actions, and changes in scope of previously announced repositioning actions.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 – (CONTINUED)</w:t>
      </w:r>
    </w:p>
    <w:p>
      <w:pPr>
        <w:spacing w:after="0" w:line="1" w:lineRule="exact"/>
        <w:rPr>
          <w:sz w:val="20"/>
          <w:szCs w:val="20"/>
          <w:color w:val="auto"/>
        </w:rPr>
      </w:pPr>
    </w:p>
    <w:p>
      <w:pPr>
        <w:jc w:val="center"/>
        <w:ind w:left="660"/>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15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2015, we recognized repositioning charges totaling $216 million including severance costs of $197 million related to workforce reductions of 6,405 manufacturing and administrative positions across our segments. The workforce reductions were primarily related to cost savings actions taken in connection with our productivity and ongoing functional transformation initiatives. Also, $53 million of previously established accruals, primarily for severance, were returned to income due principally to higher attrition than anticipated in prior severance programs resulting in lower required severance payments, and changes in scope of previously announced repositioning actions.</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2014, we recognized repositioning charges totaling $184 million including severance costs of $156 million related to workforce reductions of 2,975 manufacturing and administrative positions across our segments. The workforce reductions were primarily related to cost savings actions taken in connection with our productivity and ongoing functional transformation initiatives; factory transitions in Home and Building Technologies, Safety and Productivity Solutions and Aerospace to more cost-effective locations; and site consolidations and organizational realignments of businesses in Home and Building Technologies, Safety and Productivity Solutions and Performance Materials and Technologies. Also, $38 million of previously established accruals, primarily for severance, were returned to income due principally to the change in scope of a previously announced repositioning action and higher attrition than anticipated in prior severance programs resulting in lower required severance payments.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the status of our total repositioning reserves: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b w:val="1"/>
                <w:bCs w:val="1"/>
                <w:color w:val="auto"/>
              </w:rPr>
              <w:t>Severance</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Asset</w:t>
            </w:r>
          </w:p>
        </w:tc>
        <w:tc>
          <w:tcPr>
            <w:tcW w:w="200" w:type="dxa"/>
            <w:vAlign w:val="bottom"/>
          </w:tcPr>
          <w:p>
            <w:pPr>
              <w:spacing w:after="0"/>
              <w:rPr>
                <w:sz w:val="14"/>
                <w:szCs w:val="14"/>
                <w:color w:val="auto"/>
              </w:rPr>
            </w:pP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Exit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5"/>
        </w:trPr>
        <w:tc>
          <w:tcPr>
            <w:tcW w:w="38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212"/>
              <w:spacing w:after="0"/>
              <w:rPr>
                <w:sz w:val="20"/>
                <w:szCs w:val="20"/>
                <w:color w:val="auto"/>
              </w:rPr>
            </w:pPr>
            <w:r>
              <w:rPr>
                <w:rFonts w:ascii="Arial" w:cs="Arial" w:eastAsia="Arial" w:hAnsi="Arial"/>
                <w:sz w:val="14"/>
                <w:szCs w:val="14"/>
                <w:b w:val="1"/>
                <w:bCs w:val="1"/>
                <w:color w:val="auto"/>
              </w:rPr>
              <w:t>Costs</w:t>
            </w:r>
          </w:p>
        </w:tc>
        <w:tc>
          <w:tcPr>
            <w:tcW w:w="340" w:type="dxa"/>
            <w:vAlign w:val="bottom"/>
          </w:tcPr>
          <w:p>
            <w:pPr>
              <w:spacing w:after="0"/>
              <w:rPr>
                <w:sz w:val="15"/>
                <w:szCs w:val="15"/>
                <w:color w:val="auto"/>
              </w:rPr>
            </w:pPr>
          </w:p>
        </w:tc>
        <w:tc>
          <w:tcPr>
            <w:tcW w:w="13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Impairments</w:t>
            </w:r>
          </w:p>
        </w:tc>
        <w:tc>
          <w:tcPr>
            <w:tcW w:w="200" w:type="dxa"/>
            <w:vAlign w:val="bottom"/>
          </w:tcPr>
          <w:p>
            <w:pPr>
              <w:spacing w:after="0"/>
              <w:rPr>
                <w:sz w:val="15"/>
                <w:szCs w:val="15"/>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Costs</w:t>
            </w:r>
          </w:p>
        </w:tc>
        <w:tc>
          <w:tcPr>
            <w:tcW w:w="220" w:type="dxa"/>
            <w:vAlign w:val="bottom"/>
          </w:tcPr>
          <w:p>
            <w:pPr>
              <w:spacing w:after="0"/>
              <w:rPr>
                <w:sz w:val="15"/>
                <w:szCs w:val="15"/>
                <w:color w:val="auto"/>
              </w:rPr>
            </w:pPr>
          </w:p>
        </w:tc>
        <w:tc>
          <w:tcPr>
            <w:tcW w:w="820" w:type="dxa"/>
            <w:vAlign w:val="bottom"/>
          </w:tcPr>
          <w:p>
            <w:pPr>
              <w:jc w:val="right"/>
              <w:ind w:right="271"/>
              <w:spacing w:after="0"/>
              <w:rPr>
                <w:sz w:val="20"/>
                <w:szCs w:val="20"/>
                <w:color w:val="auto"/>
              </w:rPr>
            </w:pPr>
            <w:r>
              <w:rPr>
                <w:rFonts w:ascii="Arial" w:cs="Arial" w:eastAsia="Arial" w:hAnsi="Arial"/>
                <w:sz w:val="14"/>
                <w:szCs w:val="14"/>
                <w:b w:val="1"/>
                <w:bCs w:val="1"/>
                <w:color w:val="auto"/>
              </w:rPr>
              <w:t>Total</w:t>
            </w:r>
          </w:p>
        </w:tc>
      </w:tr>
      <w:tr>
        <w:trPr>
          <w:trHeight w:val="196"/>
        </w:trPr>
        <w:tc>
          <w:tcPr>
            <w:tcW w:w="382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Balance at December 31, 2013</w:t>
            </w:r>
          </w:p>
        </w:tc>
        <w:tc>
          <w:tcPr>
            <w:tcW w:w="13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302</w:t>
            </w:r>
          </w:p>
        </w:tc>
        <w:tc>
          <w:tcPr>
            <w:tcW w:w="34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45</w:t>
            </w:r>
          </w:p>
        </w:tc>
        <w:tc>
          <w:tcPr>
            <w:tcW w:w="34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347</w:t>
            </w:r>
          </w:p>
        </w:tc>
      </w:tr>
      <w:tr>
        <w:trPr>
          <w:trHeight w:val="203"/>
        </w:trPr>
        <w:tc>
          <w:tcPr>
            <w:tcW w:w="3820" w:type="dxa"/>
            <w:vAlign w:val="bottom"/>
          </w:tcPr>
          <w:p>
            <w:pPr>
              <w:ind w:left="180"/>
              <w:spacing w:after="0" w:line="202" w:lineRule="exact"/>
              <w:rPr>
                <w:sz w:val="20"/>
                <w:szCs w:val="20"/>
                <w:color w:val="auto"/>
              </w:rPr>
            </w:pPr>
            <w:r>
              <w:rPr>
                <w:rFonts w:ascii="Arial" w:cs="Arial" w:eastAsia="Arial" w:hAnsi="Arial"/>
                <w:sz w:val="18"/>
                <w:szCs w:val="18"/>
                <w:color w:val="auto"/>
              </w:rPr>
              <w:t>2014 charges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156</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12</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16</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184</w:t>
            </w:r>
          </w:p>
        </w:tc>
      </w:tr>
      <w:tr>
        <w:trPr>
          <w:trHeight w:val="203"/>
        </w:trPr>
        <w:tc>
          <w:tcPr>
            <w:tcW w:w="382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2014 usage - cash</w:t>
            </w:r>
          </w:p>
        </w:tc>
        <w:tc>
          <w:tcPr>
            <w:tcW w:w="13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(135)</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(26)</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(161)</w:t>
            </w:r>
          </w:p>
        </w:tc>
      </w:tr>
      <w:tr>
        <w:trPr>
          <w:trHeight w:val="203"/>
        </w:trPr>
        <w:tc>
          <w:tcPr>
            <w:tcW w:w="3820" w:type="dxa"/>
            <w:vAlign w:val="bottom"/>
          </w:tcPr>
          <w:p>
            <w:pPr>
              <w:ind w:left="180"/>
              <w:spacing w:after="0" w:line="202" w:lineRule="exact"/>
              <w:rPr>
                <w:sz w:val="20"/>
                <w:szCs w:val="20"/>
                <w:color w:val="auto"/>
              </w:rPr>
            </w:pPr>
            <w:r>
              <w:rPr>
                <w:rFonts w:ascii="Arial" w:cs="Arial" w:eastAsia="Arial" w:hAnsi="Arial"/>
                <w:sz w:val="18"/>
                <w:szCs w:val="18"/>
                <w:color w:val="auto"/>
              </w:rPr>
              <w:t>2014 usage - noncash</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r>
      <w:tr>
        <w:trPr>
          <w:trHeight w:val="203"/>
        </w:trPr>
        <w:tc>
          <w:tcPr>
            <w:tcW w:w="382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Adjustments</w:t>
            </w:r>
          </w:p>
        </w:tc>
        <w:tc>
          <w:tcPr>
            <w:tcW w:w="13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(33)</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(38)</w:t>
            </w:r>
          </w:p>
        </w:tc>
      </w:tr>
      <w:tr>
        <w:trPr>
          <w:trHeight w:val="216"/>
        </w:trPr>
        <w:tc>
          <w:tcPr>
            <w:tcW w:w="382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Foreign currency translation</w:t>
            </w:r>
          </w:p>
        </w:tc>
        <w:tc>
          <w:tcPr>
            <w:tcW w:w="1320" w:type="dxa"/>
            <w:vAlign w:val="bottom"/>
            <w:tcBorders>
              <w:bottom w:val="single" w:sz="8" w:color="E5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3820" w:type="dxa"/>
            <w:vAlign w:val="bottom"/>
            <w:shd w:val="clear" w:color="auto" w:fill="E5FFFF"/>
          </w:tcPr>
          <w:p>
            <w:pPr>
              <w:spacing w:after="0"/>
              <w:rPr>
                <w:sz w:val="20"/>
                <w:szCs w:val="20"/>
                <w:color w:val="auto"/>
              </w:rPr>
            </w:pPr>
            <w:r>
              <w:rPr>
                <w:rFonts w:ascii="Arial" w:cs="Arial" w:eastAsia="Arial" w:hAnsi="Arial"/>
                <w:sz w:val="18"/>
                <w:szCs w:val="18"/>
                <w:color w:val="auto"/>
              </w:rPr>
              <w:t>Balance at December 31, 2014</w:t>
            </w:r>
          </w:p>
        </w:tc>
        <w:tc>
          <w:tcPr>
            <w:tcW w:w="132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285</w:t>
            </w:r>
          </w:p>
        </w:tc>
        <w:tc>
          <w:tcPr>
            <w:tcW w:w="34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ind w:right="32"/>
              <w:spacing w:after="0"/>
              <w:rPr>
                <w:sz w:val="20"/>
                <w:szCs w:val="20"/>
                <w:color w:val="auto"/>
              </w:rPr>
            </w:pPr>
            <w:r>
              <w:rPr>
                <w:rFonts w:ascii="Arial" w:cs="Arial" w:eastAsia="Arial" w:hAnsi="Arial"/>
                <w:sz w:val="18"/>
                <w:szCs w:val="18"/>
                <w:color w:val="auto"/>
              </w:rPr>
              <w:t>30</w:t>
            </w:r>
          </w:p>
        </w:tc>
        <w:tc>
          <w:tcPr>
            <w:tcW w:w="34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82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315</w:t>
            </w:r>
          </w:p>
        </w:tc>
      </w:tr>
      <w:tr>
        <w:trPr>
          <w:trHeight w:val="196"/>
        </w:trPr>
        <w:tc>
          <w:tcPr>
            <w:tcW w:w="3820" w:type="dxa"/>
            <w:vAlign w:val="bottom"/>
          </w:tcPr>
          <w:p>
            <w:pPr>
              <w:ind w:left="180"/>
              <w:spacing w:after="0" w:line="196" w:lineRule="exact"/>
              <w:rPr>
                <w:sz w:val="20"/>
                <w:szCs w:val="20"/>
                <w:color w:val="auto"/>
              </w:rPr>
            </w:pPr>
            <w:r>
              <w:rPr>
                <w:rFonts w:ascii="Arial" w:cs="Arial" w:eastAsia="Arial" w:hAnsi="Arial"/>
                <w:sz w:val="18"/>
                <w:szCs w:val="18"/>
                <w:color w:val="auto"/>
              </w:rPr>
              <w:t>2015 charges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2"/>
              <w:spacing w:after="0" w:line="196" w:lineRule="exact"/>
              <w:rPr>
                <w:sz w:val="20"/>
                <w:szCs w:val="20"/>
                <w:color w:val="auto"/>
              </w:rPr>
            </w:pPr>
            <w:r>
              <w:rPr>
                <w:rFonts w:ascii="Arial" w:cs="Arial" w:eastAsia="Arial" w:hAnsi="Arial"/>
                <w:sz w:val="18"/>
                <w:szCs w:val="18"/>
                <w:color w:val="auto"/>
              </w:rPr>
              <w:t>197</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13</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32"/>
              <w:spacing w:after="0" w:line="196" w:lineRule="exact"/>
              <w:rPr>
                <w:sz w:val="20"/>
                <w:szCs w:val="20"/>
                <w:color w:val="auto"/>
              </w:rPr>
            </w:pPr>
            <w:r>
              <w:rPr>
                <w:rFonts w:ascii="Arial" w:cs="Arial" w:eastAsia="Arial" w:hAnsi="Arial"/>
                <w:sz w:val="18"/>
                <w:szCs w:val="18"/>
                <w:color w:val="auto"/>
              </w:rPr>
              <w:t>6</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31"/>
              <w:spacing w:after="0" w:line="196" w:lineRule="exact"/>
              <w:rPr>
                <w:sz w:val="20"/>
                <w:szCs w:val="20"/>
                <w:color w:val="auto"/>
              </w:rPr>
            </w:pPr>
            <w:r>
              <w:rPr>
                <w:rFonts w:ascii="Arial" w:cs="Arial" w:eastAsia="Arial" w:hAnsi="Arial"/>
                <w:sz w:val="18"/>
                <w:szCs w:val="18"/>
                <w:color w:val="auto"/>
              </w:rPr>
              <w:t>216</w:t>
            </w:r>
          </w:p>
        </w:tc>
      </w:tr>
      <w:tr>
        <w:trPr>
          <w:trHeight w:val="203"/>
        </w:trPr>
        <w:tc>
          <w:tcPr>
            <w:tcW w:w="382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2015 usage - cash</w:t>
            </w:r>
          </w:p>
        </w:tc>
        <w:tc>
          <w:tcPr>
            <w:tcW w:w="13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(109)</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(118)</w:t>
            </w:r>
          </w:p>
        </w:tc>
      </w:tr>
      <w:tr>
        <w:trPr>
          <w:trHeight w:val="203"/>
        </w:trPr>
        <w:tc>
          <w:tcPr>
            <w:tcW w:w="3820" w:type="dxa"/>
            <w:vAlign w:val="bottom"/>
          </w:tcPr>
          <w:p>
            <w:pPr>
              <w:ind w:left="180"/>
              <w:spacing w:after="0" w:line="202" w:lineRule="exact"/>
              <w:rPr>
                <w:sz w:val="20"/>
                <w:szCs w:val="20"/>
                <w:color w:val="auto"/>
              </w:rPr>
            </w:pPr>
            <w:r>
              <w:rPr>
                <w:rFonts w:ascii="Arial" w:cs="Arial" w:eastAsia="Arial" w:hAnsi="Arial"/>
                <w:sz w:val="18"/>
                <w:szCs w:val="18"/>
                <w:color w:val="auto"/>
              </w:rPr>
              <w:t>2015 usage - noncash</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r>
      <w:tr>
        <w:trPr>
          <w:trHeight w:val="203"/>
        </w:trPr>
        <w:tc>
          <w:tcPr>
            <w:tcW w:w="382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Acquisitions</w:t>
            </w:r>
          </w:p>
        </w:tc>
        <w:tc>
          <w:tcPr>
            <w:tcW w:w="13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16</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16</w:t>
            </w:r>
          </w:p>
        </w:tc>
      </w:tr>
      <w:tr>
        <w:trPr>
          <w:trHeight w:val="203"/>
        </w:trPr>
        <w:tc>
          <w:tcPr>
            <w:tcW w:w="3820" w:type="dxa"/>
            <w:vAlign w:val="bottom"/>
          </w:tcPr>
          <w:p>
            <w:pPr>
              <w:ind w:left="180"/>
              <w:spacing w:after="0" w:line="202" w:lineRule="exact"/>
              <w:rPr>
                <w:sz w:val="20"/>
                <w:szCs w:val="20"/>
                <w:color w:val="auto"/>
              </w:rPr>
            </w:pPr>
            <w:r>
              <w:rPr>
                <w:rFonts w:ascii="Arial" w:cs="Arial" w:eastAsia="Arial" w:hAnsi="Arial"/>
                <w:sz w:val="18"/>
                <w:szCs w:val="18"/>
                <w:color w:val="auto"/>
              </w:rPr>
              <w:t>Adjustments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r>
      <w:tr>
        <w:trPr>
          <w:trHeight w:val="216"/>
        </w:trPr>
        <w:tc>
          <w:tcPr>
            <w:tcW w:w="38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Foreign currency translation</w:t>
            </w:r>
          </w:p>
        </w:tc>
        <w:tc>
          <w:tcPr>
            <w:tcW w:w="132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(13)</w:t>
            </w:r>
          </w:p>
        </w:tc>
      </w:tr>
      <w:tr>
        <w:trPr>
          <w:trHeight w:val="196"/>
        </w:trPr>
        <w:tc>
          <w:tcPr>
            <w:tcW w:w="3820" w:type="dxa"/>
            <w:vAlign w:val="bottom"/>
            <w:tcBorders>
              <w:bottom w:val="single" w:sz="8" w:color="E5FFFF"/>
            </w:tcBorders>
          </w:tcPr>
          <w:p>
            <w:pPr>
              <w:spacing w:after="0" w:line="196" w:lineRule="exact"/>
              <w:rPr>
                <w:sz w:val="20"/>
                <w:szCs w:val="20"/>
                <w:color w:val="auto"/>
              </w:rPr>
            </w:pPr>
            <w:r>
              <w:rPr>
                <w:rFonts w:ascii="Arial" w:cs="Arial" w:eastAsia="Arial" w:hAnsi="Arial"/>
                <w:sz w:val="18"/>
                <w:szCs w:val="18"/>
                <w:color w:val="auto"/>
              </w:rPr>
              <w:t>Balance at December 31, 2015</w:t>
            </w:r>
          </w:p>
        </w:tc>
        <w:tc>
          <w:tcPr>
            <w:tcW w:w="1320" w:type="dxa"/>
            <w:vAlign w:val="bottom"/>
            <w:tcBorders>
              <w:bottom w:val="single" w:sz="8" w:color="E5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329</w:t>
            </w:r>
          </w:p>
        </w:tc>
        <w:tc>
          <w:tcPr>
            <w:tcW w:w="34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21</w:t>
            </w:r>
          </w:p>
        </w:tc>
        <w:tc>
          <w:tcPr>
            <w:tcW w:w="340" w:type="dxa"/>
            <w:vAlign w:val="bottom"/>
            <w:tcBorders>
              <w:bottom w:val="single" w:sz="8" w:color="E5FF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350</w:t>
            </w:r>
          </w:p>
        </w:tc>
      </w:tr>
      <w:tr>
        <w:trPr>
          <w:trHeight w:val="196"/>
        </w:trPr>
        <w:tc>
          <w:tcPr>
            <w:tcW w:w="3820" w:type="dxa"/>
            <w:vAlign w:val="bottom"/>
            <w:shd w:val="clear" w:color="auto" w:fill="E5FFFF"/>
          </w:tcPr>
          <w:p>
            <w:pPr>
              <w:ind w:left="180"/>
              <w:spacing w:after="0" w:line="196" w:lineRule="exact"/>
              <w:rPr>
                <w:sz w:val="20"/>
                <w:szCs w:val="20"/>
                <w:color w:val="auto"/>
              </w:rPr>
            </w:pPr>
            <w:r>
              <w:rPr>
                <w:rFonts w:ascii="Arial" w:cs="Arial" w:eastAsia="Arial" w:hAnsi="Arial"/>
                <w:sz w:val="18"/>
                <w:szCs w:val="18"/>
                <w:color w:val="auto"/>
              </w:rPr>
              <w:t>2016 charges</w:t>
            </w:r>
          </w:p>
        </w:tc>
        <w:tc>
          <w:tcPr>
            <w:tcW w:w="13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283</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43</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43</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369</w:t>
            </w:r>
          </w:p>
        </w:tc>
      </w:tr>
      <w:tr>
        <w:trPr>
          <w:trHeight w:val="203"/>
        </w:trPr>
        <w:tc>
          <w:tcPr>
            <w:tcW w:w="3820" w:type="dxa"/>
            <w:vAlign w:val="bottom"/>
          </w:tcPr>
          <w:p>
            <w:pPr>
              <w:ind w:left="180"/>
              <w:spacing w:after="0" w:line="202" w:lineRule="exact"/>
              <w:rPr>
                <w:sz w:val="20"/>
                <w:szCs w:val="20"/>
                <w:color w:val="auto"/>
              </w:rPr>
            </w:pPr>
            <w:r>
              <w:rPr>
                <w:rFonts w:ascii="Arial" w:cs="Arial" w:eastAsia="Arial" w:hAnsi="Arial"/>
                <w:sz w:val="18"/>
                <w:szCs w:val="18"/>
                <w:color w:val="auto"/>
              </w:rPr>
              <w:t>2016 usage - cash</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(203)</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(228)</w:t>
            </w:r>
          </w:p>
        </w:tc>
      </w:tr>
      <w:tr>
        <w:trPr>
          <w:trHeight w:val="203"/>
        </w:trPr>
        <w:tc>
          <w:tcPr>
            <w:tcW w:w="382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2016 usage - noncash</w:t>
            </w:r>
          </w:p>
        </w:tc>
        <w:tc>
          <w:tcPr>
            <w:tcW w:w="13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(43)</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(49)</w:t>
            </w:r>
          </w:p>
        </w:tc>
      </w:tr>
      <w:tr>
        <w:trPr>
          <w:trHeight w:val="203"/>
        </w:trPr>
        <w:tc>
          <w:tcPr>
            <w:tcW w:w="3820" w:type="dxa"/>
            <w:vAlign w:val="bottom"/>
          </w:tcPr>
          <w:p>
            <w:pPr>
              <w:ind w:left="180"/>
              <w:spacing w:after="0" w:line="202" w:lineRule="exact"/>
              <w:rPr>
                <w:sz w:val="20"/>
                <w:szCs w:val="20"/>
                <w:color w:val="auto"/>
              </w:rPr>
            </w:pPr>
            <w:r>
              <w:rPr>
                <w:rFonts w:ascii="Arial" w:cs="Arial" w:eastAsia="Arial" w:hAnsi="Arial"/>
                <w:sz w:val="18"/>
                <w:szCs w:val="18"/>
                <w:color w:val="auto"/>
              </w:rPr>
              <w:t>Adjustments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r>
      <w:tr>
        <w:trPr>
          <w:trHeight w:val="216"/>
        </w:trPr>
        <w:tc>
          <w:tcPr>
            <w:tcW w:w="38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Foreign currency translation</w:t>
            </w:r>
          </w:p>
        </w:tc>
        <w:tc>
          <w:tcPr>
            <w:tcW w:w="132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1</w:t>
            </w:r>
          </w:p>
        </w:tc>
        <w:tc>
          <w:tcPr>
            <w:tcW w:w="34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3820" w:type="dxa"/>
            <w:vAlign w:val="bottom"/>
          </w:tcPr>
          <w:p>
            <w:pPr>
              <w:spacing w:after="0" w:line="197" w:lineRule="exact"/>
              <w:rPr>
                <w:sz w:val="20"/>
                <w:szCs w:val="20"/>
                <w:color w:val="auto"/>
              </w:rPr>
            </w:pPr>
            <w:r>
              <w:rPr>
                <w:rFonts w:ascii="Arial" w:cs="Arial" w:eastAsia="Arial" w:hAnsi="Arial"/>
                <w:sz w:val="18"/>
                <w:szCs w:val="18"/>
                <w:color w:val="auto"/>
              </w:rPr>
              <w:t>Balance at December 31, 2016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298</w:t>
            </w:r>
          </w:p>
        </w:tc>
        <w:tc>
          <w:tcPr>
            <w:tcW w:w="54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331</w:t>
            </w:r>
          </w:p>
        </w:tc>
      </w:tr>
      <w:tr>
        <w:trPr>
          <w:trHeight w:val="20"/>
        </w:trPr>
        <w:tc>
          <w:tcPr>
            <w:tcW w:w="3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Certain repositioning projects in each of our reportable operating segments in 2016, 2015 and 2014 included exit or disposal activities, the costs related to which will be recognized in future periods when the actual liability is incurred. Such exit and disposal costs were not significant.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 – (CONTINUED)</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Other (Income) Expense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Equity (income) loss of affiliated companies</w:t>
            </w:r>
          </w:p>
        </w:tc>
        <w:tc>
          <w:tcPr>
            <w:tcW w:w="2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(31)</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(30)</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spacing w:after="0" w:line="202" w:lineRule="exact"/>
              <w:rPr>
                <w:sz w:val="20"/>
                <w:szCs w:val="20"/>
                <w:color w:val="auto"/>
              </w:rPr>
            </w:pPr>
            <w:r>
              <w:rPr>
                <w:rFonts w:ascii="Arial" w:cs="Arial" w:eastAsia="Arial" w:hAnsi="Arial"/>
                <w:sz w:val="18"/>
                <w:szCs w:val="18"/>
                <w:color w:val="auto"/>
              </w:rPr>
              <w:t>Gain on sale of available for sale investments</w:t>
            </w:r>
          </w:p>
        </w:tc>
        <w:tc>
          <w:tcPr>
            <w:tcW w:w="22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(Gain) Loss on sale of non-strategic businesses and assets</w:t>
            </w:r>
          </w:p>
        </w:tc>
        <w:tc>
          <w:tcPr>
            <w:tcW w:w="220" w:type="dxa"/>
            <w:vAlign w:val="bottom"/>
            <w:shd w:val="clear" w:color="auto" w:fill="E5FFFF"/>
          </w:tcPr>
          <w:p>
            <w:pPr>
              <w:spacing w:after="0"/>
              <w:rPr>
                <w:sz w:val="17"/>
                <w:szCs w:val="17"/>
                <w:color w:val="auto"/>
              </w:rPr>
            </w:pPr>
          </w:p>
        </w:tc>
        <w:tc>
          <w:tcPr>
            <w:tcW w:w="7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(178)</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Foreign exchange</w:t>
            </w:r>
          </w:p>
        </w:tc>
        <w:tc>
          <w:tcPr>
            <w:tcW w:w="22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12</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43</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201</w:t>
            </w:r>
          </w:p>
        </w:tc>
        <w:tc>
          <w:tcPr>
            <w:tcW w:w="34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w:t>
            </w:r>
          </w:p>
        </w:tc>
        <w:tc>
          <w:tcPr>
            <w:tcW w:w="34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E5FFFF"/>
            </w:tcBorders>
            <w:shd w:val="clear" w:color="auto" w:fill="E5FFFF"/>
          </w:tcPr>
          <w:p>
            <w:pPr>
              <w:spacing w:after="0"/>
              <w:rPr>
                <w:sz w:val="19"/>
                <w:szCs w:val="19"/>
                <w:color w:val="auto"/>
              </w:rPr>
            </w:pPr>
          </w:p>
        </w:tc>
        <w:tc>
          <w:tcPr>
            <w:tcW w:w="22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(102)</w:t>
            </w:r>
          </w:p>
        </w:tc>
        <w:tc>
          <w:tcPr>
            <w:tcW w:w="340" w:type="dxa"/>
            <w:vAlign w:val="bottom"/>
            <w:tcBorders>
              <w:bottom w:val="single" w:sz="8" w:color="E5FFFF"/>
            </w:tcBorders>
            <w:shd w:val="clear" w:color="auto" w:fill="E5FFFF"/>
          </w:tcPr>
          <w:p>
            <w:pPr>
              <w:spacing w:after="0"/>
              <w:rPr>
                <w:sz w:val="19"/>
                <w:szCs w:val="19"/>
                <w:color w:val="auto"/>
              </w:rPr>
            </w:pPr>
          </w:p>
        </w:tc>
        <w:tc>
          <w:tcPr>
            <w:tcW w:w="22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(68)</w:t>
            </w:r>
          </w:p>
        </w:tc>
        <w:tc>
          <w:tcPr>
            <w:tcW w:w="340" w:type="dxa"/>
            <w:vAlign w:val="bottom"/>
            <w:tcBorders>
              <w:bottom w:val="single" w:sz="8" w:color="E5FFFF"/>
            </w:tcBorders>
            <w:shd w:val="clear" w:color="auto" w:fill="E5FFFF"/>
          </w:tcPr>
          <w:p>
            <w:pPr>
              <w:spacing w:after="0"/>
              <w:rPr>
                <w:sz w:val="19"/>
                <w:szCs w:val="19"/>
                <w:color w:val="auto"/>
              </w:rPr>
            </w:pPr>
          </w:p>
        </w:tc>
        <w:tc>
          <w:tcPr>
            <w:tcW w:w="22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Refer to Note 2 Acquisitions and Divestitures and Note 12 Long-term Debt and Credit Agreements for further details of transactions recognized in 2016 within Other (income) expense.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continuing operations before taxes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jc w:val="center"/>
              <w:ind w:left="334"/>
              <w:spacing w:after="0"/>
              <w:rPr>
                <w:sz w:val="20"/>
                <w:szCs w:val="20"/>
                <w:color w:val="auto"/>
              </w:rPr>
            </w:pPr>
            <w:r>
              <w:rPr>
                <w:rFonts w:ascii="Arial" w:cs="Arial" w:eastAsia="Arial" w:hAnsi="Arial"/>
                <w:sz w:val="14"/>
                <w:szCs w:val="14"/>
                <w:b w:val="1"/>
                <w:bCs w:val="1"/>
                <w:color w:val="auto"/>
              </w:rPr>
              <w:t>Years Ended December 31,</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940" w:type="dxa"/>
            <w:vAlign w:val="bottom"/>
            <w:tcBorders>
              <w:bottom w:val="single" w:sz="8" w:color="E5FFFF"/>
            </w:tcBorders>
          </w:tcPr>
          <w:p>
            <w:pPr>
              <w:spacing w:after="0"/>
              <w:rPr>
                <w:sz w:val="17"/>
                <w:szCs w:val="17"/>
                <w:color w:val="auto"/>
              </w:rPr>
            </w:pPr>
          </w:p>
        </w:tc>
        <w:tc>
          <w:tcPr>
            <w:tcW w:w="2180" w:type="dxa"/>
            <w:vAlign w:val="bottom"/>
            <w:tcBorders>
              <w:bottom w:val="single" w:sz="8" w:color="E5FF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E5FF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2014</w:t>
            </w:r>
          </w:p>
        </w:tc>
        <w:tc>
          <w:tcPr>
            <w:tcW w:w="80" w:type="dxa"/>
            <w:vAlign w:val="bottom"/>
            <w:tcBorders>
              <w:bottom w:val="single" w:sz="8" w:color="auto"/>
            </w:tcBorders>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9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U.S.</w:t>
            </w:r>
          </w:p>
        </w:tc>
        <w:tc>
          <w:tcPr>
            <w:tcW w:w="2180" w:type="dxa"/>
            <w:vAlign w:val="bottom"/>
            <w:shd w:val="clear" w:color="auto" w:fill="E5FFFF"/>
          </w:tcPr>
          <w:p>
            <w:pPr>
              <w:spacing w:after="0"/>
              <w:rPr>
                <w:sz w:val="17"/>
                <w:szCs w:val="17"/>
                <w:color w:val="auto"/>
              </w:rPr>
            </w:pPr>
          </w:p>
        </w:tc>
        <w:tc>
          <w:tcPr>
            <w:tcW w:w="1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2,976</w:t>
            </w:r>
          </w:p>
        </w:tc>
        <w:tc>
          <w:tcPr>
            <w:tcW w:w="260" w:type="dxa"/>
            <w:vAlign w:val="bottom"/>
            <w:shd w:val="clear" w:color="auto" w:fill="E5FFFF"/>
          </w:tcPr>
          <w:p>
            <w:pPr>
              <w:spacing w:after="0"/>
              <w:rPr>
                <w:sz w:val="17"/>
                <w:szCs w:val="17"/>
                <w:color w:val="auto"/>
              </w:rPr>
            </w:pPr>
          </w:p>
        </w:tc>
        <w:tc>
          <w:tcPr>
            <w:tcW w:w="1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3,361</w:t>
            </w:r>
          </w:p>
        </w:tc>
        <w:tc>
          <w:tcPr>
            <w:tcW w:w="28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E5FFFF"/>
          </w:tcPr>
          <w:p>
            <w:pPr>
              <w:jc w:val="right"/>
              <w:ind w:right="80"/>
              <w:spacing w:after="0" w:line="196" w:lineRule="exact"/>
              <w:rPr>
                <w:sz w:val="20"/>
                <w:szCs w:val="20"/>
                <w:color w:val="auto"/>
              </w:rPr>
            </w:pPr>
            <w:r>
              <w:rPr>
                <w:rFonts w:ascii="Arial" w:cs="Arial" w:eastAsia="Arial" w:hAnsi="Arial"/>
                <w:sz w:val="18"/>
                <w:szCs w:val="18"/>
                <w:color w:val="auto"/>
              </w:rPr>
              <w:t>3,340</w:t>
            </w: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Non-U.S.</w:t>
            </w:r>
          </w:p>
        </w:tc>
        <w:tc>
          <w:tcPr>
            <w:tcW w:w="218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w:t>
            </w:r>
          </w:p>
        </w:tc>
        <w:tc>
          <w:tcPr>
            <w:tcW w:w="26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3,225</w:t>
            </w:r>
          </w:p>
        </w:tc>
        <w:tc>
          <w:tcPr>
            <w:tcW w:w="28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2,478</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940" w:type="dxa"/>
            <w:vAlign w:val="bottom"/>
            <w:shd w:val="clear" w:color="auto" w:fill="E5FFFF"/>
          </w:tcPr>
          <w:p>
            <w:pPr>
              <w:spacing w:after="0"/>
              <w:rPr>
                <w:sz w:val="19"/>
                <w:szCs w:val="19"/>
                <w:color w:val="auto"/>
              </w:rPr>
            </w:pPr>
          </w:p>
        </w:tc>
        <w:tc>
          <w:tcPr>
            <w:tcW w:w="23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6,447</w:t>
            </w:r>
          </w:p>
        </w:tc>
        <w:tc>
          <w:tcPr>
            <w:tcW w:w="260" w:type="dxa"/>
            <w:vAlign w:val="bottom"/>
            <w:shd w:val="clear" w:color="auto" w:fill="E5FFFF"/>
          </w:tcPr>
          <w:p>
            <w:pPr>
              <w:spacing w:after="0"/>
              <w:rPr>
                <w:sz w:val="19"/>
                <w:szCs w:val="19"/>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6,586</w:t>
            </w:r>
          </w:p>
        </w:tc>
        <w:tc>
          <w:tcPr>
            <w:tcW w:w="520" w:type="dxa"/>
            <w:vAlign w:val="bottom"/>
            <w:gridSpan w:val="2"/>
            <w:shd w:val="clear" w:color="auto" w:fill="E5FFFF"/>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5,818</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940" w:type="dxa"/>
            <w:vAlign w:val="bottom"/>
            <w:shd w:val="clear" w:color="auto" w:fill="E5FFFF"/>
          </w:tcPr>
          <w:p>
            <w:pPr>
              <w:spacing w:after="0" w:line="20" w:lineRule="exact"/>
              <w:rPr>
                <w:sz w:val="1"/>
                <w:szCs w:val="1"/>
                <w:color w:val="auto"/>
              </w:rPr>
            </w:pPr>
          </w:p>
        </w:tc>
        <w:tc>
          <w:tcPr>
            <w:tcW w:w="2180" w:type="dxa"/>
            <w:vAlign w:val="bottom"/>
            <w:shd w:val="clear" w:color="auto" w:fill="E5FF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E5FF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E5FF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Tax expense (benefit)</w:t>
            </w:r>
          </w:p>
        </w:tc>
        <w:tc>
          <w:tcPr>
            <w:tcW w:w="2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280" w:type="dxa"/>
            <w:vAlign w:val="bottom"/>
            <w:gridSpan w:val="2"/>
            <w:vMerge w:val="continue"/>
          </w:tcPr>
          <w:p>
            <w:pPr>
              <w:spacing w:after="0"/>
              <w:rPr>
                <w:sz w:val="24"/>
                <w:szCs w:val="24"/>
                <w:color w:val="auto"/>
              </w:rPr>
            </w:pPr>
          </w:p>
        </w:tc>
        <w:tc>
          <w:tcPr>
            <w:tcW w:w="2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center"/>
              <w:ind w:left="334"/>
              <w:spacing w:after="0"/>
              <w:rPr>
                <w:sz w:val="20"/>
                <w:szCs w:val="20"/>
                <w:color w:val="auto"/>
              </w:rPr>
            </w:pPr>
            <w:r>
              <w:rPr>
                <w:rFonts w:ascii="Arial" w:cs="Arial" w:eastAsia="Arial" w:hAnsi="Arial"/>
                <w:sz w:val="14"/>
                <w:szCs w:val="14"/>
                <w:b w:val="1"/>
                <w:bCs w:val="1"/>
                <w:color w:val="auto"/>
              </w:rPr>
              <w:t>Years Ended December 31,</w:t>
            </w: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940" w:type="dxa"/>
            <w:vAlign w:val="bottom"/>
            <w:tcBorders>
              <w:bottom w:val="single" w:sz="8" w:color="E5FFFF"/>
            </w:tcBorders>
          </w:tcPr>
          <w:p>
            <w:pPr>
              <w:spacing w:after="0"/>
              <w:rPr>
                <w:sz w:val="17"/>
                <w:szCs w:val="17"/>
                <w:color w:val="auto"/>
              </w:rPr>
            </w:pPr>
          </w:p>
        </w:tc>
        <w:tc>
          <w:tcPr>
            <w:tcW w:w="2180" w:type="dxa"/>
            <w:vAlign w:val="bottom"/>
            <w:tcBorders>
              <w:bottom w:val="single" w:sz="8" w:color="E5FF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E5FF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2014</w:t>
            </w:r>
          </w:p>
        </w:tc>
        <w:tc>
          <w:tcPr>
            <w:tcW w:w="80" w:type="dxa"/>
            <w:vAlign w:val="bottom"/>
            <w:tcBorders>
              <w:bottom w:val="single" w:sz="8" w:color="auto"/>
            </w:tcBorders>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940" w:type="dxa"/>
            <w:vAlign w:val="bottom"/>
            <w:shd w:val="clear" w:color="auto" w:fill="E5FFFF"/>
          </w:tcPr>
          <w:p>
            <w:pPr>
              <w:spacing w:after="0"/>
              <w:rPr>
                <w:sz w:val="20"/>
                <w:szCs w:val="20"/>
                <w:color w:val="auto"/>
              </w:rPr>
            </w:pPr>
            <w:r>
              <w:rPr>
                <w:rFonts w:ascii="Arial" w:cs="Arial" w:eastAsia="Arial" w:hAnsi="Arial"/>
                <w:sz w:val="18"/>
                <w:szCs w:val="18"/>
                <w:color w:val="auto"/>
              </w:rPr>
              <w:t>Tax expense (benefit) consists of</w:t>
            </w:r>
          </w:p>
        </w:tc>
        <w:tc>
          <w:tcPr>
            <w:tcW w:w="2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50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Current:</w:t>
            </w: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940" w:type="dxa"/>
            <w:vAlign w:val="bottom"/>
            <w:shd w:val="clear" w:color="auto" w:fill="E5FFFF"/>
          </w:tcPr>
          <w:p>
            <w:pPr>
              <w:ind w:left="220"/>
              <w:spacing w:after="0" w:line="202" w:lineRule="exact"/>
              <w:rPr>
                <w:sz w:val="20"/>
                <w:szCs w:val="20"/>
                <w:color w:val="auto"/>
              </w:rPr>
            </w:pPr>
            <w:r>
              <w:rPr>
                <w:rFonts w:ascii="Arial" w:cs="Arial" w:eastAsia="Arial" w:hAnsi="Arial"/>
                <w:sz w:val="18"/>
                <w:szCs w:val="18"/>
                <w:color w:val="auto"/>
              </w:rPr>
              <w:t>U.S. Federal</w:t>
            </w:r>
          </w:p>
        </w:tc>
        <w:tc>
          <w:tcPr>
            <w:tcW w:w="234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869</w:t>
            </w:r>
          </w:p>
        </w:tc>
        <w:tc>
          <w:tcPr>
            <w:tcW w:w="260" w:type="dxa"/>
            <w:vAlign w:val="bottom"/>
            <w:shd w:val="clear" w:color="auto" w:fill="E5FFFF"/>
          </w:tcPr>
          <w:p>
            <w:pPr>
              <w:spacing w:after="0"/>
              <w:rPr>
                <w:sz w:val="17"/>
                <w:szCs w:val="17"/>
                <w:color w:val="auto"/>
              </w:rPr>
            </w:pPr>
          </w:p>
        </w:tc>
        <w:tc>
          <w:tcPr>
            <w:tcW w:w="1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786</w:t>
            </w:r>
          </w:p>
        </w:tc>
        <w:tc>
          <w:tcPr>
            <w:tcW w:w="520" w:type="dxa"/>
            <w:vAlign w:val="bottom"/>
            <w:gridSpan w:val="2"/>
            <w:shd w:val="clear" w:color="auto" w:fill="E5FF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746</w:t>
            </w:r>
          </w:p>
        </w:tc>
        <w:tc>
          <w:tcPr>
            <w:tcW w:w="80" w:type="dxa"/>
            <w:vAlign w:val="bottom"/>
            <w:shd w:val="clear" w:color="auto" w:fill="E5FFFF"/>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940" w:type="dxa"/>
            <w:vAlign w:val="bottom"/>
          </w:tcPr>
          <w:p>
            <w:pPr>
              <w:ind w:left="220"/>
              <w:spacing w:after="0" w:line="202" w:lineRule="exact"/>
              <w:rPr>
                <w:sz w:val="20"/>
                <w:szCs w:val="20"/>
                <w:color w:val="auto"/>
              </w:rPr>
            </w:pPr>
            <w:r>
              <w:rPr>
                <w:rFonts w:ascii="Arial" w:cs="Arial" w:eastAsia="Arial" w:hAnsi="Arial"/>
                <w:sz w:val="18"/>
                <w:szCs w:val="18"/>
                <w:color w:val="auto"/>
              </w:rPr>
              <w:t>U.S. State</w:t>
            </w:r>
          </w:p>
        </w:tc>
        <w:tc>
          <w:tcPr>
            <w:tcW w:w="2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97</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78</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39</w:t>
            </w: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40" w:type="dxa"/>
            <w:vAlign w:val="bottom"/>
            <w:shd w:val="clear" w:color="auto" w:fill="E5FFFF"/>
          </w:tcPr>
          <w:p>
            <w:pPr>
              <w:ind w:left="220"/>
              <w:spacing w:after="0"/>
              <w:rPr>
                <w:sz w:val="20"/>
                <w:szCs w:val="20"/>
                <w:color w:val="auto"/>
              </w:rPr>
            </w:pPr>
            <w:r>
              <w:rPr>
                <w:rFonts w:ascii="Arial" w:cs="Arial" w:eastAsia="Arial" w:hAnsi="Arial"/>
                <w:sz w:val="18"/>
                <w:szCs w:val="18"/>
                <w:color w:val="auto"/>
              </w:rPr>
              <w:t>Non-U.S.</w:t>
            </w:r>
          </w:p>
        </w:tc>
        <w:tc>
          <w:tcPr>
            <w:tcW w:w="218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559</w:t>
            </w:r>
          </w:p>
        </w:tc>
        <w:tc>
          <w:tcPr>
            <w:tcW w:w="260" w:type="dxa"/>
            <w:vAlign w:val="bottom"/>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560</w:t>
            </w:r>
          </w:p>
        </w:tc>
        <w:tc>
          <w:tcPr>
            <w:tcW w:w="28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572</w:t>
            </w:r>
          </w:p>
        </w:tc>
        <w:tc>
          <w:tcPr>
            <w:tcW w:w="80" w:type="dxa"/>
            <w:vAlign w:val="bottom"/>
            <w:tcBorders>
              <w:bottom w:val="single" w:sz="8" w:color="auto"/>
            </w:tcBorders>
            <w:shd w:val="clear" w:color="auto" w:fill="E5FFFF"/>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1,525</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1,424</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1,357</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9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Deferred:</w:t>
            </w:r>
          </w:p>
        </w:tc>
        <w:tc>
          <w:tcPr>
            <w:tcW w:w="218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auto"/>
            </w:tcBorders>
            <w:shd w:val="clear" w:color="auto" w:fill="E5FFFF"/>
          </w:tcPr>
          <w:p>
            <w:pPr>
              <w:spacing w:after="0"/>
              <w:rPr>
                <w:sz w:val="18"/>
                <w:szCs w:val="18"/>
                <w:color w:val="auto"/>
              </w:rPr>
            </w:pPr>
          </w:p>
        </w:tc>
        <w:tc>
          <w:tcPr>
            <w:tcW w:w="660" w:type="dxa"/>
            <w:vAlign w:val="bottom"/>
            <w:tcBorders>
              <w:top w:val="single" w:sz="8" w:color="auto"/>
            </w:tcBorders>
            <w:shd w:val="clear" w:color="auto" w:fill="E5FFFF"/>
          </w:tcPr>
          <w:p>
            <w:pPr>
              <w:spacing w:after="0"/>
              <w:rPr>
                <w:sz w:val="18"/>
                <w:szCs w:val="18"/>
                <w:color w:val="auto"/>
              </w:rPr>
            </w:pPr>
          </w:p>
        </w:tc>
        <w:tc>
          <w:tcPr>
            <w:tcW w:w="260" w:type="dxa"/>
            <w:vAlign w:val="bottom"/>
            <w:tcBorders>
              <w:top w:val="single" w:sz="8" w:color="E5FFFF"/>
            </w:tcBorders>
            <w:shd w:val="clear" w:color="auto" w:fill="E5FFFF"/>
          </w:tcPr>
          <w:p>
            <w:pPr>
              <w:spacing w:after="0"/>
              <w:rPr>
                <w:sz w:val="18"/>
                <w:szCs w:val="18"/>
                <w:color w:val="auto"/>
              </w:rPr>
            </w:pPr>
          </w:p>
        </w:tc>
        <w:tc>
          <w:tcPr>
            <w:tcW w:w="180" w:type="dxa"/>
            <w:vAlign w:val="bottom"/>
            <w:tcBorders>
              <w:top w:val="single" w:sz="8" w:color="auto"/>
            </w:tcBorders>
            <w:shd w:val="clear" w:color="auto" w:fill="E5FFFF"/>
          </w:tcPr>
          <w:p>
            <w:pPr>
              <w:spacing w:after="0"/>
              <w:rPr>
                <w:sz w:val="18"/>
                <w:szCs w:val="18"/>
                <w:color w:val="auto"/>
              </w:rPr>
            </w:pPr>
          </w:p>
        </w:tc>
        <w:tc>
          <w:tcPr>
            <w:tcW w:w="640" w:type="dxa"/>
            <w:vAlign w:val="bottom"/>
            <w:tcBorders>
              <w:top w:val="single" w:sz="8" w:color="auto"/>
            </w:tcBorders>
            <w:shd w:val="clear" w:color="auto" w:fill="E5FFFF"/>
          </w:tcPr>
          <w:p>
            <w:pPr>
              <w:spacing w:after="0"/>
              <w:rPr>
                <w:sz w:val="18"/>
                <w:szCs w:val="18"/>
                <w:color w:val="auto"/>
              </w:rPr>
            </w:pPr>
          </w:p>
        </w:tc>
        <w:tc>
          <w:tcPr>
            <w:tcW w:w="280" w:type="dxa"/>
            <w:vAlign w:val="bottom"/>
            <w:tcBorders>
              <w:top w:val="single" w:sz="8" w:color="E5FFFF"/>
            </w:tcBorders>
            <w:shd w:val="clear" w:color="auto" w:fill="E5FFFF"/>
          </w:tcPr>
          <w:p>
            <w:pPr>
              <w:spacing w:after="0"/>
              <w:rPr>
                <w:sz w:val="18"/>
                <w:szCs w:val="18"/>
                <w:color w:val="auto"/>
              </w:rPr>
            </w:pPr>
          </w:p>
        </w:tc>
        <w:tc>
          <w:tcPr>
            <w:tcW w:w="240" w:type="dxa"/>
            <w:vAlign w:val="bottom"/>
            <w:tcBorders>
              <w:top w:val="single" w:sz="8" w:color="auto"/>
            </w:tcBorders>
            <w:shd w:val="clear" w:color="auto" w:fill="E5FFFF"/>
          </w:tcPr>
          <w:p>
            <w:pPr>
              <w:spacing w:after="0"/>
              <w:rPr>
                <w:sz w:val="18"/>
                <w:szCs w:val="18"/>
                <w:color w:val="auto"/>
              </w:rPr>
            </w:pPr>
          </w:p>
        </w:tc>
        <w:tc>
          <w:tcPr>
            <w:tcW w:w="500" w:type="dxa"/>
            <w:vAlign w:val="bottom"/>
            <w:tcBorders>
              <w:top w:val="single" w:sz="8" w:color="auto"/>
            </w:tcBorders>
            <w:shd w:val="clear" w:color="auto" w:fill="E5FFFF"/>
          </w:tcPr>
          <w:p>
            <w:pPr>
              <w:spacing w:after="0"/>
              <w:rPr>
                <w:sz w:val="18"/>
                <w:szCs w:val="18"/>
                <w:color w:val="auto"/>
              </w:rPr>
            </w:pPr>
          </w:p>
        </w:tc>
        <w:tc>
          <w:tcPr>
            <w:tcW w:w="80" w:type="dxa"/>
            <w:vAlign w:val="bottom"/>
            <w:tcBorders>
              <w:top w:val="single" w:sz="8" w:color="auto"/>
            </w:tcBorders>
            <w:shd w:val="clear" w:color="auto" w:fill="E5FFFF"/>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940" w:type="dxa"/>
            <w:vAlign w:val="bottom"/>
          </w:tcPr>
          <w:p>
            <w:pPr>
              <w:ind w:left="220"/>
              <w:spacing w:after="0" w:line="202" w:lineRule="exact"/>
              <w:rPr>
                <w:sz w:val="20"/>
                <w:szCs w:val="20"/>
                <w:color w:val="auto"/>
              </w:rPr>
            </w:pPr>
            <w:r>
              <w:rPr>
                <w:rFonts w:ascii="Arial" w:cs="Arial" w:eastAsia="Arial" w:hAnsi="Arial"/>
                <w:sz w:val="18"/>
                <w:szCs w:val="18"/>
                <w:color w:val="auto"/>
              </w:rPr>
              <w:t>U.S. Federal</w:t>
            </w:r>
          </w:p>
        </w:tc>
        <w:tc>
          <w:tcPr>
            <w:tcW w:w="2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26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196</w:t>
            </w:r>
          </w:p>
        </w:tc>
        <w:tc>
          <w:tcPr>
            <w:tcW w:w="5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940" w:type="dxa"/>
            <w:vAlign w:val="bottom"/>
            <w:shd w:val="clear" w:color="auto" w:fill="E5FFFF"/>
          </w:tcPr>
          <w:p>
            <w:pPr>
              <w:ind w:left="220"/>
              <w:spacing w:after="0" w:line="202" w:lineRule="exact"/>
              <w:rPr>
                <w:sz w:val="20"/>
                <w:szCs w:val="20"/>
                <w:color w:val="auto"/>
              </w:rPr>
            </w:pPr>
            <w:r>
              <w:rPr>
                <w:rFonts w:ascii="Arial" w:cs="Arial" w:eastAsia="Arial" w:hAnsi="Arial"/>
                <w:sz w:val="18"/>
                <w:szCs w:val="18"/>
                <w:color w:val="auto"/>
              </w:rPr>
              <w:t>U.S. State</w:t>
            </w:r>
          </w:p>
        </w:tc>
        <w:tc>
          <w:tcPr>
            <w:tcW w:w="21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6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17</w:t>
            </w:r>
          </w:p>
        </w:tc>
        <w:tc>
          <w:tcPr>
            <w:tcW w:w="2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6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49</w:t>
            </w:r>
          </w:p>
        </w:tc>
        <w:tc>
          <w:tcPr>
            <w:tcW w:w="2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580" w:type="dxa"/>
            <w:vAlign w:val="bottom"/>
            <w:gridSpan w:val="2"/>
            <w:shd w:val="clear" w:color="auto" w:fill="E5FFFF"/>
          </w:tcPr>
          <w:p>
            <w:pPr>
              <w:jc w:val="right"/>
              <w:ind w:right="80"/>
              <w:spacing w:after="0" w:line="202" w:lineRule="exact"/>
              <w:rPr>
                <w:sz w:val="20"/>
                <w:szCs w:val="20"/>
                <w:color w:val="auto"/>
              </w:rPr>
            </w:pPr>
            <w:r>
              <w:rPr>
                <w:rFonts w:ascii="Arial" w:cs="Arial" w:eastAsia="Arial" w:hAnsi="Arial"/>
                <w:sz w:val="18"/>
                <w:szCs w:val="18"/>
                <w:color w:val="auto"/>
              </w:rPr>
              <w:t>63</w:t>
            </w: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40" w:type="dxa"/>
            <w:vAlign w:val="bottom"/>
          </w:tcPr>
          <w:p>
            <w:pPr>
              <w:ind w:left="220"/>
              <w:spacing w:after="0"/>
              <w:rPr>
                <w:sz w:val="20"/>
                <w:szCs w:val="20"/>
                <w:color w:val="auto"/>
              </w:rPr>
            </w:pPr>
            <w:r>
              <w:rPr>
                <w:rFonts w:ascii="Arial" w:cs="Arial" w:eastAsia="Arial" w:hAnsi="Arial"/>
                <w:sz w:val="18"/>
                <w:szCs w:val="18"/>
                <w:color w:val="auto"/>
              </w:rPr>
              <w:t>Non-U.S.</w:t>
            </w: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940" w:type="dxa"/>
            <w:vAlign w:val="bottom"/>
            <w:tcBorders>
              <w:top w:val="single" w:sz="8" w:color="E5FFFF"/>
            </w:tcBorders>
            <w:shd w:val="clear" w:color="auto" w:fill="E5FFFF"/>
          </w:tcPr>
          <w:p>
            <w:pPr>
              <w:spacing w:after="0"/>
              <w:rPr>
                <w:sz w:val="18"/>
                <w:szCs w:val="18"/>
                <w:color w:val="auto"/>
              </w:rPr>
            </w:pPr>
          </w:p>
        </w:tc>
        <w:tc>
          <w:tcPr>
            <w:tcW w:w="218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auto"/>
              <w:bottom w:val="single" w:sz="8" w:color="auto"/>
            </w:tcBorders>
            <w:shd w:val="clear" w:color="auto" w:fill="E5FFFF"/>
          </w:tcPr>
          <w:p>
            <w:pPr>
              <w:spacing w:after="0"/>
              <w:rPr>
                <w:sz w:val="18"/>
                <w:szCs w:val="18"/>
                <w:color w:val="auto"/>
              </w:rPr>
            </w:pPr>
          </w:p>
        </w:tc>
        <w:tc>
          <w:tcPr>
            <w:tcW w:w="6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76</w:t>
            </w:r>
          </w:p>
        </w:tc>
        <w:tc>
          <w:tcPr>
            <w:tcW w:w="260" w:type="dxa"/>
            <w:vAlign w:val="bottom"/>
            <w:tcBorders>
              <w:top w:val="single" w:sz="8" w:color="E5FFFF"/>
            </w:tcBorders>
            <w:shd w:val="clear" w:color="auto" w:fill="E5FFFF"/>
          </w:tcPr>
          <w:p>
            <w:pPr>
              <w:spacing w:after="0"/>
              <w:rPr>
                <w:sz w:val="18"/>
                <w:szCs w:val="18"/>
                <w:color w:val="auto"/>
              </w:rPr>
            </w:pPr>
          </w:p>
        </w:tc>
        <w:tc>
          <w:tcPr>
            <w:tcW w:w="180" w:type="dxa"/>
            <w:vAlign w:val="bottom"/>
            <w:tcBorders>
              <w:top w:val="single" w:sz="8" w:color="auto"/>
              <w:bottom w:val="single" w:sz="8" w:color="auto"/>
            </w:tcBorders>
            <w:shd w:val="clear" w:color="auto" w:fill="E5FFFF"/>
          </w:tcPr>
          <w:p>
            <w:pPr>
              <w:spacing w:after="0"/>
              <w:rPr>
                <w:sz w:val="18"/>
                <w:szCs w:val="18"/>
                <w:color w:val="auto"/>
              </w:rPr>
            </w:pPr>
          </w:p>
        </w:tc>
        <w:tc>
          <w:tcPr>
            <w:tcW w:w="6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315</w:t>
            </w:r>
          </w:p>
        </w:tc>
        <w:tc>
          <w:tcPr>
            <w:tcW w:w="280" w:type="dxa"/>
            <w:vAlign w:val="bottom"/>
            <w:tcBorders>
              <w:top w:val="single" w:sz="8" w:color="E5FFFF"/>
            </w:tcBorders>
            <w:shd w:val="clear" w:color="auto" w:fill="E5FFFF"/>
          </w:tcPr>
          <w:p>
            <w:pPr>
              <w:spacing w:after="0"/>
              <w:rPr>
                <w:sz w:val="18"/>
                <w:szCs w:val="18"/>
                <w:color w:val="auto"/>
              </w:rPr>
            </w:pPr>
          </w:p>
        </w:tc>
        <w:tc>
          <w:tcPr>
            <w:tcW w:w="240" w:type="dxa"/>
            <w:vAlign w:val="bottom"/>
            <w:tcBorders>
              <w:top w:val="single" w:sz="8" w:color="auto"/>
              <w:bottom w:val="single" w:sz="8" w:color="auto"/>
            </w:tcBorders>
            <w:shd w:val="clear" w:color="auto" w:fill="E5FFFF"/>
          </w:tcPr>
          <w:p>
            <w:pPr>
              <w:spacing w:after="0"/>
              <w:rPr>
                <w:sz w:val="18"/>
                <w:szCs w:val="18"/>
                <w:color w:val="auto"/>
              </w:rPr>
            </w:pPr>
          </w:p>
        </w:tc>
        <w:tc>
          <w:tcPr>
            <w:tcW w:w="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132</w:t>
            </w:r>
          </w:p>
        </w:tc>
        <w:tc>
          <w:tcPr>
            <w:tcW w:w="80" w:type="dxa"/>
            <w:vAlign w:val="bottom"/>
            <w:tcBorders>
              <w:top w:val="single" w:sz="8" w:color="E5FFFF"/>
              <w:bottom w:val="single" w:sz="8" w:color="auto"/>
            </w:tcBorders>
            <w:shd w:val="clear" w:color="auto" w:fill="E5FFFF"/>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1,601</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1,739</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1,489</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180" w:type="dxa"/>
            <w:vAlign w:val="bottom"/>
            <w:vMerge w:val="restart"/>
          </w:tcPr>
          <w:p>
            <w:pPr>
              <w:jc w:val="right"/>
              <w:ind w:right="570"/>
              <w:spacing w:after="0"/>
              <w:rPr>
                <w:sz w:val="20"/>
                <w:szCs w:val="20"/>
                <w:color w:val="auto"/>
              </w:rPr>
            </w:pPr>
            <w:r>
              <w:rPr>
                <w:rFonts w:ascii="Arial" w:cs="Arial" w:eastAsia="Arial" w:hAnsi="Arial"/>
                <w:sz w:val="18"/>
                <w:szCs w:val="18"/>
                <w:color w:val="auto"/>
              </w:rPr>
              <w:t>46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0" w:type="dxa"/>
            <w:vAlign w:val="bottom"/>
            <w:tcBorders>
              <w:bottom w:val="single" w:sz="8" w:color="C0C0C0"/>
            </w:tcBorders>
          </w:tcPr>
          <w:p>
            <w:pPr>
              <w:spacing w:after="0"/>
              <w:rPr>
                <w:sz w:val="21"/>
                <w:szCs w:val="21"/>
                <w:color w:val="auto"/>
              </w:rPr>
            </w:pPr>
          </w:p>
        </w:tc>
        <w:tc>
          <w:tcPr>
            <w:tcW w:w="3940" w:type="dxa"/>
            <w:vAlign w:val="bottom"/>
            <w:tcBorders>
              <w:bottom w:val="single" w:sz="8" w:color="C0C0C0"/>
            </w:tcBorders>
          </w:tcPr>
          <w:p>
            <w:pPr>
              <w:spacing w:after="0"/>
              <w:rPr>
                <w:sz w:val="21"/>
                <w:szCs w:val="21"/>
                <w:color w:val="auto"/>
              </w:rPr>
            </w:pPr>
          </w:p>
        </w:tc>
        <w:tc>
          <w:tcPr>
            <w:tcW w:w="218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66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180" w:type="dxa"/>
            <w:vAlign w:val="bottom"/>
            <w:tcBorders>
              <w:bottom w:val="single" w:sz="8" w:color="C0C0C0"/>
            </w:tcBorders>
          </w:tcPr>
          <w:p>
            <w:pPr>
              <w:spacing w:after="0"/>
              <w:rPr>
                <w:sz w:val="21"/>
                <w:szCs w:val="21"/>
                <w:color w:val="auto"/>
              </w:rPr>
            </w:pPr>
          </w:p>
        </w:tc>
        <w:tc>
          <w:tcPr>
            <w:tcW w:w="64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50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196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1"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240" w:lineRule="exact"/>
        <w:rPr>
          <w:sz w:val="20"/>
          <w:szCs w:val="20"/>
          <w:color w:val="auto"/>
        </w:rPr>
      </w:pPr>
    </w:p>
    <w:tbl>
      <w:tblPr>
        <w:tblLayout w:type="fixed"/>
        <w:tblInd w:w="340" w:type="dxa"/>
        <w:tblCellMar>
          <w:top w:w="0" w:type="dxa"/>
          <w:left w:w="0" w:type="dxa"/>
          <w:bottom w:w="0" w:type="dxa"/>
          <w:right w:w="0" w:type="dxa"/>
        </w:tblCellMar>
      </w:tblPr>
      <w:tr>
        <w:trPr>
          <w:trHeight w:val="175"/>
        </w:trPr>
        <w:tc>
          <w:tcPr>
            <w:tcW w:w="7420" w:type="dxa"/>
            <w:vAlign w:val="bottom"/>
          </w:tcPr>
          <w:p>
            <w:pPr>
              <w:spacing w:after="0"/>
              <w:rPr>
                <w:sz w:val="15"/>
                <w:szCs w:val="15"/>
                <w:color w:val="auto"/>
              </w:rPr>
            </w:pPr>
          </w:p>
        </w:tc>
        <w:tc>
          <w:tcPr>
            <w:tcW w:w="270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rPr>
              <w:t>Years Ended December 31,</w:t>
            </w:r>
          </w:p>
        </w:tc>
        <w:tc>
          <w:tcPr>
            <w:tcW w:w="700" w:type="dxa"/>
            <w:vAlign w:val="bottom"/>
            <w:tcBorders>
              <w:bottom w:val="single" w:sz="8" w:color="auto"/>
            </w:tcBorders>
          </w:tcPr>
          <w:p>
            <w:pPr>
              <w:spacing w:after="0"/>
              <w:rPr>
                <w:sz w:val="15"/>
                <w:szCs w:val="15"/>
                <w:color w:val="auto"/>
              </w:rPr>
            </w:pPr>
          </w:p>
        </w:tc>
      </w:tr>
      <w:tr>
        <w:trPr>
          <w:trHeight w:val="196"/>
        </w:trPr>
        <w:tc>
          <w:tcPr>
            <w:tcW w:w="7420" w:type="dxa"/>
            <w:vAlign w:val="bottom"/>
            <w:tcBorders>
              <w:bottom w:val="single" w:sz="8" w:color="E5FFFF"/>
            </w:tcBorders>
          </w:tcPr>
          <w:p>
            <w:pPr>
              <w:spacing w:after="0"/>
              <w:rPr>
                <w:sz w:val="17"/>
                <w:szCs w:val="17"/>
                <w:color w:val="auto"/>
              </w:rPr>
            </w:pPr>
          </w:p>
        </w:tc>
        <w:tc>
          <w:tcPr>
            <w:tcW w:w="9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E5FFFF"/>
            </w:tcBorders>
          </w:tcPr>
          <w:p>
            <w:pPr>
              <w:spacing w:after="0"/>
              <w:rPr>
                <w:sz w:val="17"/>
                <w:szCs w:val="17"/>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E5FF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r>
      <w:tr>
        <w:trPr>
          <w:trHeight w:val="182"/>
        </w:trPr>
        <w:tc>
          <w:tcPr>
            <w:tcW w:w="7420" w:type="dxa"/>
            <w:vAlign w:val="bottom"/>
            <w:shd w:val="clear" w:color="auto" w:fill="E5FFFF"/>
          </w:tcPr>
          <w:p>
            <w:pPr>
              <w:spacing w:after="0" w:line="182" w:lineRule="exact"/>
              <w:rPr>
                <w:sz w:val="20"/>
                <w:szCs w:val="20"/>
                <w:color w:val="auto"/>
              </w:rPr>
            </w:pPr>
            <w:r>
              <w:rPr>
                <w:rFonts w:ascii="Arial" w:cs="Arial" w:eastAsia="Arial" w:hAnsi="Arial"/>
                <w:sz w:val="18"/>
                <w:szCs w:val="18"/>
                <w:color w:val="auto"/>
              </w:rPr>
              <w:t>The U.S. federal statutory income tax rate is reconciled to our effective income tax rate</w:t>
            </w:r>
          </w:p>
        </w:tc>
        <w:tc>
          <w:tcPr>
            <w:tcW w:w="920" w:type="dxa"/>
            <w:vAlign w:val="bottom"/>
            <w:shd w:val="clear" w:color="auto" w:fill="E5FFFF"/>
          </w:tcPr>
          <w:p>
            <w:pPr>
              <w:spacing w:after="0"/>
              <w:rPr>
                <w:sz w:val="15"/>
                <w:szCs w:val="15"/>
                <w:color w:val="auto"/>
              </w:rPr>
            </w:pPr>
          </w:p>
        </w:tc>
        <w:tc>
          <w:tcPr>
            <w:tcW w:w="320" w:type="dxa"/>
            <w:vAlign w:val="bottom"/>
            <w:shd w:val="clear" w:color="auto" w:fill="E5FFFF"/>
          </w:tcPr>
          <w:p>
            <w:pPr>
              <w:spacing w:after="0"/>
              <w:rPr>
                <w:sz w:val="15"/>
                <w:szCs w:val="15"/>
                <w:color w:val="auto"/>
              </w:rPr>
            </w:pPr>
          </w:p>
        </w:tc>
        <w:tc>
          <w:tcPr>
            <w:tcW w:w="920" w:type="dxa"/>
            <w:vAlign w:val="bottom"/>
            <w:shd w:val="clear" w:color="auto" w:fill="E5FFFF"/>
          </w:tcPr>
          <w:p>
            <w:pPr>
              <w:spacing w:after="0"/>
              <w:rPr>
                <w:sz w:val="15"/>
                <w:szCs w:val="15"/>
                <w:color w:val="auto"/>
              </w:rPr>
            </w:pPr>
          </w:p>
        </w:tc>
        <w:tc>
          <w:tcPr>
            <w:tcW w:w="3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700" w:type="dxa"/>
            <w:vAlign w:val="bottom"/>
            <w:shd w:val="clear" w:color="auto" w:fill="E5FFFF"/>
          </w:tcPr>
          <w:p>
            <w:pPr>
              <w:spacing w:after="0"/>
              <w:rPr>
                <w:sz w:val="15"/>
                <w:szCs w:val="15"/>
                <w:color w:val="auto"/>
              </w:rPr>
            </w:pPr>
          </w:p>
        </w:tc>
      </w:tr>
      <w:tr>
        <w:trPr>
          <w:trHeight w:val="203"/>
        </w:trPr>
        <w:tc>
          <w:tcPr>
            <w:tcW w:w="7420" w:type="dxa"/>
            <w:vAlign w:val="bottom"/>
            <w:shd w:val="clear" w:color="auto" w:fill="E5FFFF"/>
          </w:tcPr>
          <w:p>
            <w:pPr>
              <w:spacing w:after="0" w:line="203" w:lineRule="exact"/>
              <w:rPr>
                <w:sz w:val="20"/>
                <w:szCs w:val="20"/>
                <w:color w:val="auto"/>
              </w:rPr>
            </w:pPr>
            <w:r>
              <w:rPr>
                <w:rFonts w:ascii="Arial" w:cs="Arial" w:eastAsia="Arial" w:hAnsi="Arial"/>
                <w:sz w:val="18"/>
                <w:szCs w:val="18"/>
                <w:color w:val="auto"/>
              </w:rPr>
              <w:t>as follows:</w:t>
            </w:r>
          </w:p>
        </w:tc>
        <w:tc>
          <w:tcPr>
            <w:tcW w:w="9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r>
      <w:tr>
        <w:trPr>
          <w:trHeight w:val="203"/>
        </w:trPr>
        <w:tc>
          <w:tcPr>
            <w:tcW w:w="7420" w:type="dxa"/>
            <w:vAlign w:val="bottom"/>
          </w:tcPr>
          <w:p>
            <w:pPr>
              <w:ind w:left="180"/>
              <w:spacing w:after="0" w:line="202" w:lineRule="exact"/>
              <w:rPr>
                <w:sz w:val="20"/>
                <w:szCs w:val="20"/>
                <w:color w:val="auto"/>
              </w:rPr>
            </w:pPr>
            <w:r>
              <w:rPr>
                <w:rFonts w:ascii="Arial" w:cs="Arial" w:eastAsia="Arial" w:hAnsi="Arial"/>
                <w:sz w:val="18"/>
                <w:szCs w:val="18"/>
                <w:color w:val="auto"/>
              </w:rPr>
              <w:t>U.S. federal statutory income tax rate</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35.0%</w:t>
            </w: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35.0%</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35.0%</w:t>
            </w:r>
          </w:p>
        </w:tc>
      </w:tr>
      <w:tr>
        <w:trPr>
          <w:trHeight w:val="243"/>
        </w:trPr>
        <w:tc>
          <w:tcPr>
            <w:tcW w:w="7420" w:type="dxa"/>
            <w:vAlign w:val="bottom"/>
            <w:shd w:val="clear" w:color="auto" w:fill="E5FFFF"/>
          </w:tcPr>
          <w:p>
            <w:pPr>
              <w:ind w:left="180"/>
              <w:spacing w:after="0" w:line="243" w:lineRule="exact"/>
              <w:rPr>
                <w:sz w:val="20"/>
                <w:szCs w:val="20"/>
                <w:color w:val="auto"/>
              </w:rPr>
            </w:pPr>
            <w:r>
              <w:rPr>
                <w:rFonts w:ascii="Arial" w:cs="Arial" w:eastAsia="Arial" w:hAnsi="Arial"/>
                <w:sz w:val="17"/>
                <w:szCs w:val="17"/>
                <w:color w:val="auto"/>
              </w:rPr>
              <w:t>Taxes on non-U.S. earnings below U.S. tax rate</w:t>
            </w:r>
            <w:r>
              <w:rPr>
                <w:rFonts w:ascii="Arial" w:cs="Arial" w:eastAsia="Arial" w:hAnsi="Arial"/>
                <w:sz w:val="28"/>
                <w:szCs w:val="28"/>
                <w:color w:val="auto"/>
                <w:vertAlign w:val="superscript"/>
              </w:rPr>
              <w:t>(1)</w:t>
            </w:r>
          </w:p>
        </w:tc>
        <w:tc>
          <w:tcPr>
            <w:tcW w:w="92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(8.0)</w:t>
            </w:r>
          </w:p>
        </w:tc>
        <w:tc>
          <w:tcPr>
            <w:tcW w:w="320" w:type="dxa"/>
            <w:vAlign w:val="bottom"/>
            <w:shd w:val="clear" w:color="auto" w:fill="E5FFFF"/>
          </w:tcPr>
          <w:p>
            <w:pPr>
              <w:spacing w:after="0"/>
              <w:rPr>
                <w:sz w:val="21"/>
                <w:szCs w:val="21"/>
                <w:color w:val="auto"/>
              </w:rPr>
            </w:pPr>
          </w:p>
        </w:tc>
        <w:tc>
          <w:tcPr>
            <w:tcW w:w="92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(8.0)</w:t>
            </w:r>
          </w:p>
        </w:tc>
        <w:tc>
          <w:tcPr>
            <w:tcW w:w="3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70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(7.0)</w:t>
            </w:r>
          </w:p>
        </w:tc>
      </w:tr>
      <w:tr>
        <w:trPr>
          <w:trHeight w:val="243"/>
        </w:trPr>
        <w:tc>
          <w:tcPr>
            <w:tcW w:w="7420" w:type="dxa"/>
            <w:vAlign w:val="bottom"/>
          </w:tcPr>
          <w:p>
            <w:pPr>
              <w:ind w:left="180"/>
              <w:spacing w:after="0" w:line="243" w:lineRule="exact"/>
              <w:rPr>
                <w:sz w:val="20"/>
                <w:szCs w:val="20"/>
                <w:color w:val="auto"/>
              </w:rPr>
            </w:pPr>
            <w:r>
              <w:rPr>
                <w:rFonts w:ascii="Arial" w:cs="Arial" w:eastAsia="Arial" w:hAnsi="Arial"/>
                <w:sz w:val="17"/>
                <w:szCs w:val="17"/>
                <w:color w:val="auto"/>
              </w:rPr>
              <w:t>U.S. state income taxes</w:t>
            </w:r>
            <w:r>
              <w:rPr>
                <w:rFonts w:ascii="Arial" w:cs="Arial" w:eastAsia="Arial" w:hAnsi="Arial"/>
                <w:sz w:val="28"/>
                <w:szCs w:val="28"/>
                <w:color w:val="auto"/>
                <w:vertAlign w:val="superscript"/>
              </w:rPr>
              <w:t>(1)</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1.2</w:t>
            </w:r>
          </w:p>
        </w:tc>
      </w:tr>
      <w:tr>
        <w:trPr>
          <w:trHeight w:val="203"/>
        </w:trPr>
        <w:tc>
          <w:tcPr>
            <w:tcW w:w="742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Manufacturing incentives</w:t>
            </w:r>
          </w:p>
        </w:tc>
        <w:tc>
          <w:tcPr>
            <w:tcW w:w="92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(0.7)</w:t>
            </w:r>
          </w:p>
        </w:tc>
        <w:tc>
          <w:tcPr>
            <w:tcW w:w="32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(1.5)</w:t>
            </w: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(1.0)</w:t>
            </w:r>
          </w:p>
        </w:tc>
      </w:tr>
      <w:tr>
        <w:trPr>
          <w:trHeight w:val="203"/>
        </w:trPr>
        <w:tc>
          <w:tcPr>
            <w:tcW w:w="7420" w:type="dxa"/>
            <w:vAlign w:val="bottom"/>
          </w:tcPr>
          <w:p>
            <w:pPr>
              <w:ind w:left="180"/>
              <w:spacing w:after="0" w:line="202" w:lineRule="exact"/>
              <w:rPr>
                <w:sz w:val="20"/>
                <w:szCs w:val="20"/>
                <w:color w:val="auto"/>
              </w:rPr>
            </w:pPr>
            <w:r>
              <w:rPr>
                <w:rFonts w:ascii="Arial" w:cs="Arial" w:eastAsia="Arial" w:hAnsi="Arial"/>
                <w:sz w:val="18"/>
                <w:szCs w:val="18"/>
                <w:color w:val="auto"/>
              </w:rPr>
              <w:t>Employee stock ownership plan dividend tax benefit</w:t>
            </w:r>
          </w:p>
        </w:tc>
        <w:tc>
          <w:tcPr>
            <w:tcW w:w="9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(0.5)</w:t>
            </w:r>
          </w:p>
        </w:tc>
        <w:tc>
          <w:tcPr>
            <w:tcW w:w="320" w:type="dxa"/>
            <w:vAlign w:val="bottom"/>
          </w:tcPr>
          <w:p>
            <w:pPr>
              <w:spacing w:after="0"/>
              <w:rPr>
                <w:sz w:val="17"/>
                <w:szCs w:val="17"/>
                <w:color w:val="auto"/>
              </w:rPr>
            </w:pP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(0.4)</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(0.4)</w:t>
            </w:r>
          </w:p>
        </w:tc>
      </w:tr>
      <w:tr>
        <w:trPr>
          <w:trHeight w:val="203"/>
        </w:trPr>
        <w:tc>
          <w:tcPr>
            <w:tcW w:w="742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Tax credits</w:t>
            </w:r>
          </w:p>
        </w:tc>
        <w:tc>
          <w:tcPr>
            <w:tcW w:w="92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(0.7)</w:t>
            </w:r>
          </w:p>
        </w:tc>
        <w:tc>
          <w:tcPr>
            <w:tcW w:w="32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(1.0)</w:t>
            </w: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(1.0)</w:t>
            </w:r>
          </w:p>
        </w:tc>
      </w:tr>
      <w:tr>
        <w:trPr>
          <w:trHeight w:val="203"/>
        </w:trPr>
        <w:tc>
          <w:tcPr>
            <w:tcW w:w="7420" w:type="dxa"/>
            <w:vAlign w:val="bottom"/>
          </w:tcPr>
          <w:p>
            <w:pPr>
              <w:ind w:left="180"/>
              <w:spacing w:after="0" w:line="202" w:lineRule="exact"/>
              <w:rPr>
                <w:sz w:val="20"/>
                <w:szCs w:val="20"/>
                <w:color w:val="auto"/>
              </w:rPr>
            </w:pPr>
            <w:r>
              <w:rPr>
                <w:rFonts w:ascii="Arial" w:cs="Arial" w:eastAsia="Arial" w:hAnsi="Arial"/>
                <w:sz w:val="18"/>
                <w:szCs w:val="18"/>
                <w:color w:val="auto"/>
              </w:rPr>
              <w:t>Reserves for tax contingencies</w:t>
            </w:r>
          </w:p>
        </w:tc>
        <w:tc>
          <w:tcPr>
            <w:tcW w:w="920" w:type="dxa"/>
            <w:vAlign w:val="bottom"/>
          </w:tcPr>
          <w:p>
            <w:pPr>
              <w:jc w:val="right"/>
              <w:ind w:right="73"/>
              <w:spacing w:after="0" w:line="202" w:lineRule="exact"/>
              <w:rPr>
                <w:sz w:val="20"/>
                <w:szCs w:val="20"/>
                <w:color w:val="auto"/>
              </w:rPr>
            </w:pPr>
            <w:r>
              <w:rPr>
                <w:rFonts w:ascii="Arial" w:cs="Arial" w:eastAsia="Arial" w:hAnsi="Arial"/>
                <w:sz w:val="18"/>
                <w:szCs w:val="18"/>
                <w:color w:val="auto"/>
              </w:rPr>
              <w:t>1.2</w:t>
            </w:r>
          </w:p>
        </w:tc>
        <w:tc>
          <w:tcPr>
            <w:tcW w:w="320" w:type="dxa"/>
            <w:vAlign w:val="bottom"/>
          </w:tcPr>
          <w:p>
            <w:pPr>
              <w:spacing w:after="0"/>
              <w:rPr>
                <w:sz w:val="17"/>
                <w:szCs w:val="17"/>
                <w:color w:val="auto"/>
              </w:rPr>
            </w:pPr>
          </w:p>
        </w:tc>
        <w:tc>
          <w:tcPr>
            <w:tcW w:w="9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0.7</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(0.2)</w:t>
            </w:r>
          </w:p>
        </w:tc>
      </w:tr>
      <w:tr>
        <w:trPr>
          <w:trHeight w:val="203"/>
        </w:trPr>
        <w:tc>
          <w:tcPr>
            <w:tcW w:w="742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Employee share-based payments</w:t>
            </w:r>
          </w:p>
        </w:tc>
        <w:tc>
          <w:tcPr>
            <w:tcW w:w="92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(2.0)</w:t>
            </w:r>
          </w:p>
        </w:tc>
        <w:tc>
          <w:tcPr>
            <w:tcW w:w="32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00" w:type="dxa"/>
            <w:vAlign w:val="bottom"/>
            <w:shd w:val="clear" w:color="auto" w:fill="E5FFFF"/>
          </w:tcPr>
          <w:p>
            <w:pPr>
              <w:jc w:val="right"/>
              <w:ind w:right="72"/>
              <w:spacing w:after="0" w:line="202" w:lineRule="exact"/>
              <w:rPr>
                <w:sz w:val="20"/>
                <w:szCs w:val="20"/>
                <w:color w:val="auto"/>
              </w:rPr>
            </w:pPr>
            <w:r>
              <w:rPr>
                <w:rFonts w:ascii="Arial" w:cs="Arial" w:eastAsia="Arial" w:hAnsi="Arial"/>
                <w:sz w:val="18"/>
                <w:szCs w:val="18"/>
                <w:color w:val="auto"/>
              </w:rPr>
              <w:t>-</w:t>
            </w:r>
          </w:p>
        </w:tc>
      </w:tr>
      <w:tr>
        <w:trPr>
          <w:trHeight w:val="203"/>
        </w:trPr>
        <w:tc>
          <w:tcPr>
            <w:tcW w:w="7420" w:type="dxa"/>
            <w:vAlign w:val="bottom"/>
            <w:tcBorders>
              <w:bottom w:val="single" w:sz="8" w:color="E5FFFF"/>
            </w:tcBorders>
          </w:tcPr>
          <w:p>
            <w:pPr>
              <w:ind w:left="180"/>
              <w:spacing w:after="0" w:line="202" w:lineRule="exact"/>
              <w:rPr>
                <w:sz w:val="20"/>
                <w:szCs w:val="20"/>
                <w:color w:val="auto"/>
              </w:rPr>
            </w:pPr>
            <w:r>
              <w:rPr>
                <w:rFonts w:ascii="Arial" w:cs="Arial" w:eastAsia="Arial" w:hAnsi="Arial"/>
                <w:sz w:val="18"/>
                <w:szCs w:val="18"/>
                <w:color w:val="auto"/>
              </w:rPr>
              <w:t>All other items—net</w:t>
            </w:r>
          </w:p>
        </w:tc>
        <w:tc>
          <w:tcPr>
            <w:tcW w:w="92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(0.6)</w:t>
            </w:r>
          </w:p>
        </w:tc>
        <w:tc>
          <w:tcPr>
            <w:tcW w:w="320" w:type="dxa"/>
            <w:vAlign w:val="bottom"/>
            <w:tcBorders>
              <w:bottom w:val="single" w:sz="8" w:color="E5FFFF"/>
            </w:tcBorders>
          </w:tcPr>
          <w:p>
            <w:pPr>
              <w:spacing w:after="0"/>
              <w:rPr>
                <w:sz w:val="17"/>
                <w:szCs w:val="17"/>
                <w:color w:val="auto"/>
              </w:rPr>
            </w:pPr>
          </w:p>
        </w:tc>
        <w:tc>
          <w:tcPr>
            <w:tcW w:w="92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color w:val="auto"/>
              </w:rPr>
              <w:t>0.4</w:t>
            </w:r>
          </w:p>
        </w:tc>
        <w:tc>
          <w:tcPr>
            <w:tcW w:w="320" w:type="dxa"/>
            <w:vAlign w:val="bottom"/>
            <w:tcBorders>
              <w:bottom w:val="single" w:sz="8" w:color="E5FF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(1.0)</w:t>
            </w:r>
          </w:p>
        </w:tc>
      </w:tr>
      <w:tr>
        <w:trPr>
          <w:trHeight w:val="196"/>
        </w:trPr>
        <w:tc>
          <w:tcPr>
            <w:tcW w:w="7420" w:type="dxa"/>
            <w:vAlign w:val="bottom"/>
            <w:tcBorders>
              <w:bottom w:val="single" w:sz="8" w:color="E5FFFF"/>
            </w:tcBorders>
            <w:shd w:val="clear" w:color="auto" w:fill="E5FFFF"/>
          </w:tcPr>
          <w:p>
            <w:pPr>
              <w:spacing w:after="0"/>
              <w:rPr>
                <w:sz w:val="17"/>
                <w:szCs w:val="17"/>
                <w:color w:val="auto"/>
              </w:rPr>
            </w:pPr>
          </w:p>
        </w:tc>
        <w:tc>
          <w:tcPr>
            <w:tcW w:w="9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24.8%</w:t>
            </w:r>
          </w:p>
        </w:tc>
        <w:tc>
          <w:tcPr>
            <w:tcW w:w="320" w:type="dxa"/>
            <w:vAlign w:val="bottom"/>
            <w:tcBorders>
              <w:bottom w:val="single" w:sz="8" w:color="E5FFFF"/>
            </w:tcBorders>
            <w:shd w:val="clear" w:color="auto" w:fill="E5FFFF"/>
          </w:tcPr>
          <w:p>
            <w:pPr>
              <w:spacing w:after="0"/>
              <w:rPr>
                <w:sz w:val="17"/>
                <w:szCs w:val="17"/>
                <w:color w:val="auto"/>
              </w:rPr>
            </w:pPr>
          </w:p>
        </w:tc>
        <w:tc>
          <w:tcPr>
            <w:tcW w:w="9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26.4%</w:t>
            </w:r>
          </w:p>
        </w:tc>
        <w:tc>
          <w:tcPr>
            <w:tcW w:w="32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spacing w:after="0"/>
              <w:rPr>
                <w:sz w:val="17"/>
                <w:szCs w:val="17"/>
                <w:color w:val="auto"/>
              </w:rPr>
            </w:pPr>
          </w:p>
        </w:tc>
        <w:tc>
          <w:tcPr>
            <w:tcW w:w="7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25.6%</w:t>
            </w:r>
          </w:p>
        </w:tc>
      </w:tr>
      <w:tr>
        <w:trPr>
          <w:trHeight w:val="20"/>
        </w:trPr>
        <w:tc>
          <w:tcPr>
            <w:tcW w:w="7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Net of changes in valuation allowance</w:t>
      </w:r>
    </w:p>
    <w:p>
      <w:pPr>
        <w:spacing w:after="0" w:line="19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effective tax rate decreased by 1.6 percentage points in 2016 compared to 2015. The decrease was primarily attributable to excess tax benefits from employee share-based payments arising from adoption of the FASB’s amended guidance related to employee share-based payment accounting, partially offset by increased tax reserves in various jurisdictions and lower tax benefits from manufacturing incentives. The Company’s non-U.S. effective tax rate was 16.7%, a decrease of approximately 2.8 percentage points compared to 2015. The year-over-year decrease in the non-U.S. effective tax rate was primarily driven by higher earnings in lower tax rate jurisdictions and a decrease in the tax impact of restructuring and divestitures. The effective tax rate was lower than the U.S. federal statutory rate of 35% primarily due to overall non-U.S. earnings taxed at lower rates.</w:t>
      </w:r>
    </w:p>
    <w:p>
      <w:pPr>
        <w:spacing w:after="0" w:line="19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effective tax rate increased by 0.8 percentage points in 2015 compared to 2014. The increase was primarily attributable to decreased tax benefits from the resolution of tax audits, partially offset by increased tax benefits from manufacturing incentives, the impact of more income in jurisdictions with lower tax rates and fewer reserves. The Company’s non-U.S. effective tax rate for 2015 was 19.5%, a decrease of approximately 1.8 percentage points compared to 2014. The year-over-year decrease in the non-U.S. effective tax rate was primarily attributable to higher earnings in lower tax rate jurisdictions coupled with lower expense related to reserves in various jurisdictions, partially offset by an increase from the tax impact of restructuring and dispositions. The effective tax rate was lower than the U.S. federal statutory rate of 35% primarily due to overall non-U.S. earnings taxed at lower rates.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 assets (liabilities)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tax effects of temporary differences and tax carryforwards which give rise to future income tax benefits and payables are as</w:t>
      </w:r>
    </w:p>
    <w:p>
      <w:pPr>
        <w:spacing w:after="0"/>
        <w:rPr>
          <w:sz w:val="20"/>
          <w:szCs w:val="20"/>
          <w:color w:val="auto"/>
        </w:rPr>
      </w:pPr>
      <w:r>
        <w:rPr>
          <w:rFonts w:ascii="Arial" w:cs="Arial" w:eastAsia="Arial" w:hAnsi="Arial"/>
          <w:sz w:val="18"/>
          <w:szCs w:val="18"/>
          <w:color w:val="auto"/>
        </w:rPr>
        <w:t>follows: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Deferred tax assets:</w:t>
            </w:r>
          </w:p>
        </w:tc>
        <w:tc>
          <w:tcPr>
            <w:tcW w:w="25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240" w:type="dxa"/>
            <w:vAlign w:val="bottom"/>
            <w:gridSpan w:val="2"/>
            <w:vMerge w:val="continue"/>
          </w:tcPr>
          <w:p>
            <w:pPr>
              <w:spacing w:after="0"/>
              <w:rPr>
                <w:sz w:val="18"/>
                <w:szCs w:val="18"/>
                <w:color w:val="auto"/>
              </w:rPr>
            </w:pP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3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tcBorders>
              <w:top w:val="single" w:sz="8" w:color="E5FFFF"/>
            </w:tcBorders>
            <w:shd w:val="clear" w:color="auto" w:fill="E5FFFF"/>
          </w:tcPr>
          <w:p>
            <w:pPr>
              <w:ind w:left="160"/>
              <w:spacing w:after="0" w:line="196" w:lineRule="exact"/>
              <w:rPr>
                <w:sz w:val="20"/>
                <w:szCs w:val="20"/>
                <w:color w:val="auto"/>
              </w:rPr>
            </w:pPr>
            <w:r>
              <w:rPr>
                <w:rFonts w:ascii="Arial" w:cs="Arial" w:eastAsia="Arial" w:hAnsi="Arial"/>
                <w:sz w:val="18"/>
                <w:szCs w:val="18"/>
                <w:color w:val="auto"/>
              </w:rPr>
              <w:t>Pension</w:t>
            </w:r>
          </w:p>
        </w:tc>
        <w:tc>
          <w:tcPr>
            <w:tcW w:w="258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auto"/>
            </w:tcBorders>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411</w:t>
            </w:r>
          </w:p>
        </w:tc>
        <w:tc>
          <w:tcPr>
            <w:tcW w:w="340" w:type="dxa"/>
            <w:vAlign w:val="bottom"/>
            <w:tcBorders>
              <w:top w:val="single" w:sz="8" w:color="E5FFFF"/>
            </w:tcBorders>
            <w:shd w:val="clear" w:color="auto" w:fill="E5FFFF"/>
          </w:tcPr>
          <w:p>
            <w:pPr>
              <w:spacing w:after="0"/>
              <w:rPr>
                <w:sz w:val="17"/>
                <w:szCs w:val="17"/>
                <w:color w:val="auto"/>
              </w:rPr>
            </w:pPr>
          </w:p>
        </w:tc>
        <w:tc>
          <w:tcPr>
            <w:tcW w:w="340" w:type="dxa"/>
            <w:vAlign w:val="bottom"/>
            <w:tcBorders>
              <w:top w:val="single" w:sz="8" w:color="auto"/>
            </w:tcBorders>
            <w:shd w:val="clear" w:color="auto" w:fill="E5FF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160"/>
              <w:spacing w:after="0" w:line="202" w:lineRule="exact"/>
              <w:rPr>
                <w:sz w:val="20"/>
                <w:szCs w:val="20"/>
                <w:color w:val="auto"/>
              </w:rPr>
            </w:pPr>
            <w:r>
              <w:rPr>
                <w:rFonts w:ascii="Arial" w:cs="Arial" w:eastAsia="Arial" w:hAnsi="Arial"/>
                <w:sz w:val="18"/>
                <w:szCs w:val="18"/>
                <w:color w:val="auto"/>
              </w:rPr>
              <w:t>Postretirement benefits other than pensions</w:t>
            </w:r>
          </w:p>
        </w:tc>
        <w:tc>
          <w:tcPr>
            <w:tcW w:w="2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262</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Asbestos and environmental</w:t>
            </w:r>
          </w:p>
        </w:tc>
        <w:tc>
          <w:tcPr>
            <w:tcW w:w="25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471</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160"/>
              <w:spacing w:after="0" w:line="202" w:lineRule="exact"/>
              <w:rPr>
                <w:sz w:val="20"/>
                <w:szCs w:val="20"/>
                <w:color w:val="auto"/>
              </w:rPr>
            </w:pPr>
            <w:r>
              <w:rPr>
                <w:rFonts w:ascii="Arial" w:cs="Arial" w:eastAsia="Arial" w:hAnsi="Arial"/>
                <w:sz w:val="18"/>
                <w:szCs w:val="18"/>
                <w:color w:val="auto"/>
              </w:rPr>
              <w:t>Employee compensation and benefits</w:t>
            </w:r>
          </w:p>
        </w:tc>
        <w:tc>
          <w:tcPr>
            <w:tcW w:w="2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418</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Other accruals and reserves</w:t>
            </w:r>
          </w:p>
        </w:tc>
        <w:tc>
          <w:tcPr>
            <w:tcW w:w="25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765</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160"/>
              <w:spacing w:after="0" w:line="202" w:lineRule="exact"/>
              <w:rPr>
                <w:sz w:val="20"/>
                <w:szCs w:val="20"/>
                <w:color w:val="auto"/>
              </w:rPr>
            </w:pPr>
            <w:r>
              <w:rPr>
                <w:rFonts w:ascii="Arial" w:cs="Arial" w:eastAsia="Arial" w:hAnsi="Arial"/>
                <w:sz w:val="18"/>
                <w:szCs w:val="18"/>
                <w:color w:val="auto"/>
              </w:rPr>
              <w:t>Net operating and capital losses</w:t>
            </w:r>
          </w:p>
        </w:tc>
        <w:tc>
          <w:tcPr>
            <w:tcW w:w="2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669</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5FFFF"/>
          </w:tcPr>
          <w:p>
            <w:pPr>
              <w:ind w:left="160"/>
              <w:spacing w:after="0"/>
              <w:rPr>
                <w:sz w:val="20"/>
                <w:szCs w:val="20"/>
                <w:color w:val="auto"/>
              </w:rPr>
            </w:pPr>
            <w:r>
              <w:rPr>
                <w:rFonts w:ascii="Arial" w:cs="Arial" w:eastAsia="Arial" w:hAnsi="Arial"/>
                <w:sz w:val="18"/>
                <w:szCs w:val="18"/>
                <w:color w:val="auto"/>
              </w:rPr>
              <w:t>Tax credit carryforwards</w:t>
            </w:r>
          </w:p>
        </w:tc>
        <w:tc>
          <w:tcPr>
            <w:tcW w:w="258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206</w:t>
            </w:r>
          </w:p>
        </w:tc>
        <w:tc>
          <w:tcPr>
            <w:tcW w:w="340" w:type="dxa"/>
            <w:vAlign w:val="bottom"/>
            <w:shd w:val="clear" w:color="auto" w:fill="E5FFFF"/>
          </w:tcPr>
          <w:p>
            <w:pPr>
              <w:spacing w:after="0"/>
              <w:rPr>
                <w:sz w:val="18"/>
                <w:szCs w:val="18"/>
                <w:color w:val="auto"/>
              </w:rPr>
            </w:pPr>
          </w:p>
        </w:tc>
        <w:tc>
          <w:tcPr>
            <w:tcW w:w="34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196"/>
        </w:trPr>
        <w:tc>
          <w:tcPr>
            <w:tcW w:w="6240" w:type="dxa"/>
            <w:vAlign w:val="bottom"/>
            <w:gridSpan w:val="2"/>
          </w:tcPr>
          <w:p>
            <w:pPr>
              <w:spacing w:after="0" w:line="196" w:lineRule="exact"/>
              <w:rPr>
                <w:sz w:val="20"/>
                <w:szCs w:val="20"/>
                <w:color w:val="auto"/>
              </w:rPr>
            </w:pPr>
            <w:r>
              <w:rPr>
                <w:rFonts w:ascii="Arial" w:cs="Arial" w:eastAsia="Arial" w:hAnsi="Arial"/>
                <w:sz w:val="18"/>
                <w:szCs w:val="18"/>
                <w:color w:val="auto"/>
              </w:rPr>
              <w:t>Gross deferred tax assets</w:t>
            </w:r>
          </w:p>
        </w:tc>
        <w:tc>
          <w:tcPr>
            <w:tcW w:w="2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2"/>
              <w:spacing w:after="0" w:line="196" w:lineRule="exact"/>
              <w:rPr>
                <w:sz w:val="20"/>
                <w:szCs w:val="20"/>
                <w:color w:val="auto"/>
              </w:rPr>
            </w:pPr>
            <w:r>
              <w:rPr>
                <w:rFonts w:ascii="Arial" w:cs="Arial" w:eastAsia="Arial" w:hAnsi="Arial"/>
                <w:sz w:val="18"/>
                <w:szCs w:val="18"/>
                <w:color w:val="auto"/>
              </w:rPr>
              <w:t>3,202</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5FFFF"/>
          </w:tcPr>
          <w:p>
            <w:pPr>
              <w:spacing w:after="0"/>
              <w:rPr>
                <w:sz w:val="20"/>
                <w:szCs w:val="20"/>
                <w:color w:val="auto"/>
              </w:rPr>
            </w:pPr>
            <w:r>
              <w:rPr>
                <w:rFonts w:ascii="Arial" w:cs="Arial" w:eastAsia="Arial" w:hAnsi="Arial"/>
                <w:sz w:val="18"/>
                <w:szCs w:val="18"/>
                <w:color w:val="auto"/>
              </w:rPr>
              <w:t>Valuation allowance</w:t>
            </w:r>
          </w:p>
        </w:tc>
        <w:tc>
          <w:tcPr>
            <w:tcW w:w="258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(621)</w:t>
            </w:r>
          </w:p>
        </w:tc>
        <w:tc>
          <w:tcPr>
            <w:tcW w:w="340" w:type="dxa"/>
            <w:vAlign w:val="bottom"/>
            <w:shd w:val="clear" w:color="auto" w:fill="E5FFFF"/>
          </w:tcPr>
          <w:p>
            <w:pPr>
              <w:spacing w:after="0"/>
              <w:rPr>
                <w:sz w:val="18"/>
                <w:szCs w:val="18"/>
                <w:color w:val="auto"/>
              </w:rPr>
            </w:pPr>
          </w:p>
        </w:tc>
        <w:tc>
          <w:tcPr>
            <w:tcW w:w="34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37"/>
        </w:trPr>
        <w:tc>
          <w:tcPr>
            <w:tcW w:w="624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28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2,581</w:t>
            </w:r>
          </w:p>
        </w:tc>
        <w:tc>
          <w:tcPr>
            <w:tcW w:w="6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2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2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Deferred tax liabilities:</w:t>
            </w:r>
          </w:p>
        </w:tc>
        <w:tc>
          <w:tcPr>
            <w:tcW w:w="25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160"/>
              <w:spacing w:after="0" w:line="202" w:lineRule="exact"/>
              <w:rPr>
                <w:sz w:val="20"/>
                <w:szCs w:val="20"/>
                <w:color w:val="auto"/>
              </w:rPr>
            </w:pPr>
            <w:r>
              <w:rPr>
                <w:rFonts w:ascii="Arial" w:cs="Arial" w:eastAsia="Arial" w:hAnsi="Arial"/>
                <w:sz w:val="18"/>
                <w:szCs w:val="18"/>
                <w:color w:val="auto"/>
              </w:rPr>
              <w:t>Property, plant and equipment</w:t>
            </w:r>
          </w:p>
        </w:tc>
        <w:tc>
          <w:tcPr>
            <w:tcW w:w="28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(560)</w:t>
            </w:r>
          </w:p>
        </w:tc>
        <w:tc>
          <w:tcPr>
            <w:tcW w:w="6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Intangibles</w:t>
            </w:r>
          </w:p>
        </w:tc>
        <w:tc>
          <w:tcPr>
            <w:tcW w:w="25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(1,843)</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160"/>
              <w:spacing w:after="0" w:line="202" w:lineRule="exact"/>
              <w:rPr>
                <w:sz w:val="20"/>
                <w:szCs w:val="20"/>
                <w:color w:val="auto"/>
              </w:rPr>
            </w:pPr>
            <w:r>
              <w:rPr>
                <w:rFonts w:ascii="Arial" w:cs="Arial" w:eastAsia="Arial" w:hAnsi="Arial"/>
                <w:sz w:val="18"/>
                <w:szCs w:val="18"/>
                <w:color w:val="auto"/>
              </w:rPr>
              <w:t>Other asset basis differences</w:t>
            </w:r>
          </w:p>
        </w:tc>
        <w:tc>
          <w:tcPr>
            <w:tcW w:w="2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(274)</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5FFFF"/>
          </w:tcPr>
          <w:p>
            <w:pPr>
              <w:ind w:left="160"/>
              <w:spacing w:after="0"/>
              <w:rPr>
                <w:sz w:val="20"/>
                <w:szCs w:val="20"/>
                <w:color w:val="auto"/>
              </w:rPr>
            </w:pPr>
            <w:r>
              <w:rPr>
                <w:rFonts w:ascii="Arial" w:cs="Arial" w:eastAsia="Arial" w:hAnsi="Arial"/>
                <w:sz w:val="18"/>
                <w:szCs w:val="18"/>
                <w:color w:val="auto"/>
              </w:rPr>
              <w:t>Other</w:t>
            </w:r>
          </w:p>
        </w:tc>
        <w:tc>
          <w:tcPr>
            <w:tcW w:w="258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(43)</w:t>
            </w:r>
          </w:p>
        </w:tc>
        <w:tc>
          <w:tcPr>
            <w:tcW w:w="340" w:type="dxa"/>
            <w:vAlign w:val="bottom"/>
            <w:shd w:val="clear" w:color="auto" w:fill="E5FFFF"/>
          </w:tcPr>
          <w:p>
            <w:pPr>
              <w:spacing w:after="0"/>
              <w:rPr>
                <w:sz w:val="18"/>
                <w:szCs w:val="18"/>
                <w:color w:val="auto"/>
              </w:rPr>
            </w:pPr>
          </w:p>
        </w:tc>
        <w:tc>
          <w:tcPr>
            <w:tcW w:w="34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624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vMerge w:val="restart"/>
            <w:shd w:val="clear" w:color="auto" w:fill="E5FFFF"/>
          </w:tcPr>
          <w:p>
            <w:pPr>
              <w:spacing w:after="0"/>
              <w:rPr>
                <w:sz w:val="20"/>
                <w:szCs w:val="20"/>
                <w:color w:val="auto"/>
              </w:rPr>
            </w:pPr>
            <w:r>
              <w:rPr>
                <w:rFonts w:ascii="Arial" w:cs="Arial" w:eastAsia="Arial" w:hAnsi="Arial"/>
                <w:sz w:val="18"/>
                <w:szCs w:val="18"/>
                <w:color w:val="auto"/>
              </w:rPr>
              <w:t>Net deferred tax liability</w:t>
            </w:r>
          </w:p>
        </w:tc>
        <w:tc>
          <w:tcPr>
            <w:tcW w:w="2580" w:type="dxa"/>
            <w:vAlign w:val="bottom"/>
            <w:shd w:val="clear" w:color="auto" w:fill="E5FF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E5FF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vMerge w:val="continue"/>
            <w:shd w:val="clear" w:color="auto" w:fill="E5FFFF"/>
          </w:tcPr>
          <w:p>
            <w:pPr>
              <w:spacing w:after="0"/>
              <w:rPr>
                <w:sz w:val="18"/>
                <w:szCs w:val="18"/>
                <w:color w:val="auto"/>
              </w:rPr>
            </w:pPr>
          </w:p>
        </w:tc>
        <w:tc>
          <w:tcPr>
            <w:tcW w:w="284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(139)</w:t>
            </w:r>
          </w:p>
        </w:tc>
        <w:tc>
          <w:tcPr>
            <w:tcW w:w="680" w:type="dxa"/>
            <w:vAlign w:val="bottom"/>
            <w:gridSpan w:val="2"/>
            <w:shd w:val="clear" w:color="auto" w:fill="E5FF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Borders>
              <w:top w:val="single" w:sz="8" w:color="E5FFFF"/>
            </w:tcBorders>
          </w:tcPr>
          <w:p>
            <w:pPr>
              <w:spacing w:after="0" w:line="20" w:lineRule="exact"/>
              <w:rPr>
                <w:sz w:val="1"/>
                <w:szCs w:val="1"/>
                <w:color w:val="auto"/>
              </w:rPr>
            </w:pPr>
          </w:p>
        </w:tc>
        <w:tc>
          <w:tcPr>
            <w:tcW w:w="258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change in deferred tax balance was primarily attributable to deferred tax liabilities transferred in connection with the AdvanSix spin-off. Our gross deferred tax assets include $ 1,034 million related to non-U.S. operations comprised principally of net operating losses, capital loss and tax credit carryforwards (mainly in Canada, France, Germany, Luxembourg and the United Kingdom) and deductible temporary differences. We maintain a valuation allowance of $619 million against a portion of the non-U.S. gross deferred tax assets. The change in the valuation allowance resulted in an increase of $69 million, increase of $114 million and decrease of $10 million to income tax expense in 2016, 2015 and 2014. In the event we determine that we will not be able to realize our net deferred tax assets in the future, we will reduce such amounts through an increase to income tax expense in the period such determination is made. Conversely, if we determine that we will be able to realize net deferred tax assets in excess of the carrying amounts, we will decrease the recorded valuation allowance through a reduction to income tax expense in the period that such determination is made.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2016, our net operating loss, capital loss and tax credit carryforwards were as follows:</w:t>
      </w:r>
    </w:p>
    <w:p>
      <w:pPr>
        <w:spacing w:after="0" w:line="186"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Net Operating</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3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Expiration</w:t>
            </w:r>
          </w:p>
        </w:tc>
        <w:tc>
          <w:tcPr>
            <w:tcW w:w="10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and Capital Loss</w:t>
            </w:r>
          </w:p>
        </w:tc>
        <w:tc>
          <w:tcPr>
            <w:tcW w:w="140" w:type="dxa"/>
            <w:vAlign w:val="bottom"/>
          </w:tcPr>
          <w:p>
            <w:pPr>
              <w:spacing w:after="0"/>
              <w:rPr>
                <w:sz w:val="14"/>
                <w:szCs w:val="14"/>
                <w:color w:val="auto"/>
              </w:rPr>
            </w:pPr>
          </w:p>
        </w:tc>
        <w:tc>
          <w:tcPr>
            <w:tcW w:w="900" w:type="dxa"/>
            <w:vAlign w:val="bottom"/>
          </w:tcPr>
          <w:p>
            <w:pPr>
              <w:jc w:val="right"/>
              <w:ind w:right="93"/>
              <w:spacing w:after="0"/>
              <w:rPr>
                <w:sz w:val="20"/>
                <w:szCs w:val="20"/>
                <w:color w:val="auto"/>
              </w:rPr>
            </w:pPr>
            <w:r>
              <w:rPr>
                <w:rFonts w:ascii="Arial" w:cs="Arial" w:eastAsia="Arial" w:hAnsi="Arial"/>
                <w:sz w:val="14"/>
                <w:szCs w:val="14"/>
                <w:b w:val="1"/>
                <w:bCs w:val="1"/>
                <w:color w:val="auto"/>
              </w:rPr>
              <w:t>Tax Credit</w:t>
            </w:r>
          </w:p>
        </w:tc>
      </w:tr>
      <w:tr>
        <w:trPr>
          <w:trHeight w:val="175"/>
        </w:trPr>
        <w:tc>
          <w:tcPr>
            <w:tcW w:w="4080" w:type="dxa"/>
            <w:vAlign w:val="bottom"/>
            <w:gridSpan w:val="2"/>
          </w:tcPr>
          <w:p>
            <w:pPr>
              <w:ind w:left="1520"/>
              <w:spacing w:after="0"/>
              <w:rPr>
                <w:sz w:val="20"/>
                <w:szCs w:val="20"/>
                <w:color w:val="auto"/>
              </w:rPr>
            </w:pPr>
            <w:r>
              <w:rPr>
                <w:rFonts w:ascii="Arial" w:cs="Arial" w:eastAsia="Arial" w:hAnsi="Arial"/>
                <w:sz w:val="14"/>
                <w:szCs w:val="14"/>
                <w:b w:val="1"/>
                <w:bCs w:val="1"/>
                <w:color w:val="auto"/>
              </w:rPr>
              <w:t>Jurisdiction</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Period</w:t>
            </w:r>
          </w:p>
        </w:tc>
        <w:tc>
          <w:tcPr>
            <w:tcW w:w="100" w:type="dxa"/>
            <w:vAlign w:val="bottom"/>
          </w:tcPr>
          <w:p>
            <w:pPr>
              <w:spacing w:after="0"/>
              <w:rPr>
                <w:sz w:val="15"/>
                <w:szCs w:val="15"/>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Carryforwards</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Carryforwards</w:t>
            </w:r>
          </w:p>
        </w:tc>
      </w:tr>
      <w:tr>
        <w:trPr>
          <w:trHeight w:val="196"/>
        </w:trPr>
        <w:tc>
          <w:tcPr>
            <w:tcW w:w="384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U.S. Federal</w:t>
            </w:r>
          </w:p>
        </w:tc>
        <w:tc>
          <w:tcPr>
            <w:tcW w:w="240" w:type="dxa"/>
            <w:vAlign w:val="bottom"/>
            <w:tcBorders>
              <w:top w:val="single" w:sz="8" w:color="E5FFFF"/>
            </w:tcBorders>
            <w:shd w:val="clear" w:color="auto" w:fill="E5FFFF"/>
          </w:tcPr>
          <w:p>
            <w:pPr>
              <w:spacing w:after="0"/>
              <w:rPr>
                <w:sz w:val="17"/>
                <w:szCs w:val="17"/>
                <w:color w:val="auto"/>
              </w:rPr>
            </w:pPr>
          </w:p>
        </w:tc>
        <w:tc>
          <w:tcPr>
            <w:tcW w:w="1020" w:type="dxa"/>
            <w:vAlign w:val="bottom"/>
            <w:tcBorders>
              <w:top w:val="single" w:sz="8" w:color="auto"/>
            </w:tcBorders>
            <w:shd w:val="clear" w:color="auto" w:fill="E5FFFF"/>
          </w:tcPr>
          <w:p>
            <w:pPr>
              <w:jc w:val="center"/>
              <w:spacing w:after="0" w:line="196" w:lineRule="exact"/>
              <w:rPr>
                <w:sz w:val="20"/>
                <w:szCs w:val="20"/>
                <w:color w:val="auto"/>
              </w:rPr>
            </w:pPr>
            <w:r>
              <w:rPr>
                <w:rFonts w:ascii="Arial" w:cs="Arial" w:eastAsia="Arial" w:hAnsi="Arial"/>
                <w:sz w:val="18"/>
                <w:szCs w:val="18"/>
                <w:color w:val="auto"/>
                <w:w w:val="99"/>
              </w:rPr>
              <w:t>2036</w:t>
            </w:r>
          </w:p>
        </w:tc>
        <w:tc>
          <w:tcPr>
            <w:tcW w:w="24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25</w:t>
            </w:r>
          </w:p>
        </w:tc>
        <w:tc>
          <w:tcPr>
            <w:tcW w:w="24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3"/>
        </w:trPr>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U.S. State</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9"/>
              </w:rPr>
              <w:t>2036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720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r>
      <w:tr>
        <w:trPr>
          <w:trHeight w:val="203"/>
        </w:trPr>
        <w:tc>
          <w:tcPr>
            <w:tcW w:w="408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Non-U.S.</w:t>
            </w:r>
          </w:p>
        </w:tc>
        <w:tc>
          <w:tcPr>
            <w:tcW w:w="102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9"/>
              </w:rPr>
              <w:t>2035</w:t>
            </w:r>
          </w:p>
        </w:tc>
        <w:tc>
          <w:tcPr>
            <w:tcW w:w="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651</w:t>
            </w:r>
          </w:p>
        </w:tc>
        <w:tc>
          <w:tcPr>
            <w:tcW w:w="2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137</w:t>
            </w:r>
          </w:p>
        </w:tc>
      </w:tr>
      <w:tr>
        <w:trPr>
          <w:trHeight w:val="216"/>
        </w:trPr>
        <w:tc>
          <w:tcPr>
            <w:tcW w:w="4080" w:type="dxa"/>
            <w:vAlign w:val="bottom"/>
            <w:tcBorders>
              <w:bottom w:val="single" w:sz="8" w:color="E5FFFF"/>
            </w:tcBorders>
            <w:gridSpan w:val="2"/>
          </w:tcPr>
          <w:p>
            <w:pPr>
              <w:spacing w:after="0"/>
              <w:rPr>
                <w:sz w:val="20"/>
                <w:szCs w:val="20"/>
                <w:color w:val="auto"/>
              </w:rPr>
            </w:pPr>
            <w:r>
              <w:rPr>
                <w:rFonts w:ascii="Arial" w:cs="Arial" w:eastAsia="Arial" w:hAnsi="Arial"/>
                <w:sz w:val="18"/>
                <w:szCs w:val="18"/>
                <w:color w:val="auto"/>
              </w:rPr>
              <w:t>Non-U.S.</w:t>
            </w:r>
          </w:p>
        </w:tc>
        <w:tc>
          <w:tcPr>
            <w:tcW w:w="1260" w:type="dxa"/>
            <w:vAlign w:val="bottom"/>
            <w:tcBorders>
              <w:bottom w:val="single" w:sz="8" w:color="E5FFFF"/>
            </w:tcBorders>
            <w:gridSpan w:val="2"/>
          </w:tcPr>
          <w:p>
            <w:pPr>
              <w:jc w:val="center"/>
              <w:ind w:right="240"/>
              <w:spacing w:after="0"/>
              <w:rPr>
                <w:sz w:val="20"/>
                <w:szCs w:val="20"/>
                <w:color w:val="auto"/>
              </w:rPr>
            </w:pPr>
            <w:r>
              <w:rPr>
                <w:rFonts w:ascii="Arial" w:cs="Arial" w:eastAsia="Arial" w:hAnsi="Arial"/>
                <w:sz w:val="18"/>
                <w:szCs w:val="18"/>
                <w:color w:val="auto"/>
              </w:rPr>
              <w:t>Indefinite</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w:t>
            </w:r>
          </w:p>
        </w:tc>
        <w:tc>
          <w:tcPr>
            <w:tcW w:w="24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840" w:type="dxa"/>
            <w:vAlign w:val="bottom"/>
            <w:tcBorders>
              <w:bottom w:val="single" w:sz="8" w:color="E5FFFF"/>
            </w:tcBorders>
            <w:shd w:val="clear" w:color="auto" w:fill="E5FFFF"/>
          </w:tcPr>
          <w:p>
            <w:pPr>
              <w:spacing w:after="0"/>
              <w:rPr>
                <w:sz w:val="20"/>
                <w:szCs w:val="20"/>
                <w:color w:val="auto"/>
              </w:rPr>
            </w:pPr>
          </w:p>
        </w:tc>
        <w:tc>
          <w:tcPr>
            <w:tcW w:w="240" w:type="dxa"/>
            <w:vAlign w:val="bottom"/>
            <w:tcBorders>
              <w:bottom w:val="single" w:sz="8" w:color="E5FFFF"/>
            </w:tcBorders>
            <w:shd w:val="clear" w:color="auto" w:fill="E5FFFF"/>
          </w:tcPr>
          <w:p>
            <w:pPr>
              <w:spacing w:after="0"/>
              <w:rPr>
                <w:sz w:val="20"/>
                <w:szCs w:val="20"/>
                <w:color w:val="auto"/>
              </w:rPr>
            </w:pPr>
          </w:p>
        </w:tc>
        <w:tc>
          <w:tcPr>
            <w:tcW w:w="1020" w:type="dxa"/>
            <w:vAlign w:val="bottom"/>
            <w:tcBorders>
              <w:bottom w:val="single" w:sz="8" w:color="E5FFFF"/>
            </w:tcBorders>
            <w:shd w:val="clear" w:color="auto" w:fill="E5FFFF"/>
          </w:tcPr>
          <w:p>
            <w:pPr>
              <w:spacing w:after="0"/>
              <w:rPr>
                <w:sz w:val="20"/>
                <w:szCs w:val="20"/>
                <w:color w:val="auto"/>
              </w:rPr>
            </w:pPr>
          </w:p>
        </w:tc>
        <w:tc>
          <w:tcPr>
            <w:tcW w:w="240" w:type="dxa"/>
            <w:vAlign w:val="bottom"/>
            <w:tcBorders>
              <w:bottom w:val="single" w:sz="8" w:color="E5FFFF"/>
            </w:tcBorders>
            <w:shd w:val="clear" w:color="auto" w:fill="E5FFFF"/>
          </w:tcPr>
          <w:p>
            <w:pPr>
              <w:spacing w:after="0"/>
              <w:rPr>
                <w:sz w:val="20"/>
                <w:szCs w:val="20"/>
                <w:color w:val="auto"/>
              </w:rPr>
            </w:pPr>
          </w:p>
        </w:tc>
        <w:tc>
          <w:tcPr>
            <w:tcW w:w="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3,582</w:t>
            </w:r>
          </w:p>
        </w:tc>
        <w:tc>
          <w:tcPr>
            <w:tcW w:w="240" w:type="dxa"/>
            <w:vAlign w:val="bottom"/>
            <w:tcBorders>
              <w:bottom w:val="single" w:sz="8" w:color="E5FFFF"/>
            </w:tcBorders>
            <w:shd w:val="clear" w:color="auto" w:fill="E5FFFF"/>
          </w:tcPr>
          <w:p>
            <w:pPr>
              <w:spacing w:after="0"/>
              <w:rPr>
                <w:sz w:val="20"/>
                <w:szCs w:val="20"/>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218</w:t>
            </w:r>
          </w:p>
        </w:tc>
      </w:tr>
      <w:tr>
        <w:trPr>
          <w:trHeight w:val="20"/>
        </w:trPr>
        <w:tc>
          <w:tcPr>
            <w:tcW w:w="3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Many jurisdictions impose limitations on the timing and utilization of net operating loss and tax credit carryforwards. In those instances whereby there is an expected permanent limitation on the utilization of the net operating loss or tax credit carryforward the deferred tax asset and amount of the carryforward have been reduced.</w:t>
      </w:r>
    </w:p>
    <w:p>
      <w:pPr>
        <w:spacing w:after="0" w:line="189"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U.S. federal income taxes have not been provided on undistributed earnings of the vast majority of our international subsidiaries as it is our intention to reinvest these earnings into the respective subsidiaries. At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December 31, 2016 Honeywell has not provided for U.S. federal income and non-U.S. withholding taxes on approximately $18.3 billion of such earnings of our non-U.S. operations. It is not practicable to estimate the amount of tax that might be payable if some or all of such earnings were to be repatriated, and the amount of foreign tax credits that would be available to reduce or eliminate the resulting U.S. income tax liability.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2014</w:t>
            </w:r>
          </w:p>
        </w:tc>
      </w:tr>
      <w:tr>
        <w:trPr>
          <w:trHeight w:val="210"/>
        </w:trPr>
        <w:tc>
          <w:tcPr>
            <w:tcW w:w="66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Change in unrecognized tax benefits:</w:t>
            </w:r>
          </w:p>
        </w:tc>
        <w:tc>
          <w:tcPr>
            <w:tcW w:w="920" w:type="dxa"/>
            <w:vAlign w:val="bottom"/>
            <w:tcBorders>
              <w:top w:val="single" w:sz="8" w:color="auto"/>
            </w:tcBorders>
            <w:shd w:val="clear" w:color="auto" w:fill="E5FFFF"/>
          </w:tcPr>
          <w:p>
            <w:pPr>
              <w:spacing w:after="0"/>
              <w:rPr>
                <w:sz w:val="18"/>
                <w:szCs w:val="18"/>
                <w:color w:val="auto"/>
              </w:rPr>
            </w:pPr>
          </w:p>
        </w:tc>
        <w:tc>
          <w:tcPr>
            <w:tcW w:w="480" w:type="dxa"/>
            <w:vAlign w:val="bottom"/>
            <w:tcBorders>
              <w:top w:val="single" w:sz="8" w:color="auto"/>
            </w:tcBorders>
            <w:shd w:val="clear" w:color="auto" w:fill="E5FFFF"/>
          </w:tcPr>
          <w:p>
            <w:pPr>
              <w:spacing w:after="0"/>
              <w:rPr>
                <w:sz w:val="18"/>
                <w:szCs w:val="18"/>
                <w:color w:val="auto"/>
              </w:rPr>
            </w:pPr>
          </w:p>
        </w:tc>
        <w:tc>
          <w:tcPr>
            <w:tcW w:w="340" w:type="dxa"/>
            <w:vAlign w:val="bottom"/>
            <w:tcBorders>
              <w:top w:val="single" w:sz="8" w:color="E5FFFF"/>
            </w:tcBorders>
            <w:shd w:val="clear" w:color="auto" w:fill="E5FFFF"/>
          </w:tcPr>
          <w:p>
            <w:pPr>
              <w:spacing w:after="0"/>
              <w:rPr>
                <w:sz w:val="18"/>
                <w:szCs w:val="18"/>
                <w:color w:val="auto"/>
              </w:rPr>
            </w:pPr>
          </w:p>
        </w:tc>
        <w:tc>
          <w:tcPr>
            <w:tcW w:w="900" w:type="dxa"/>
            <w:vAlign w:val="bottom"/>
            <w:tcBorders>
              <w:top w:val="single" w:sz="8" w:color="auto"/>
            </w:tcBorders>
            <w:shd w:val="clear" w:color="auto" w:fill="E5FFFF"/>
          </w:tcPr>
          <w:p>
            <w:pPr>
              <w:spacing w:after="0"/>
              <w:rPr>
                <w:sz w:val="18"/>
                <w:szCs w:val="18"/>
                <w:color w:val="auto"/>
              </w:rPr>
            </w:pPr>
          </w:p>
        </w:tc>
        <w:tc>
          <w:tcPr>
            <w:tcW w:w="460" w:type="dxa"/>
            <w:vAlign w:val="bottom"/>
            <w:tcBorders>
              <w:top w:val="single" w:sz="8" w:color="auto"/>
            </w:tcBorders>
            <w:shd w:val="clear" w:color="auto" w:fill="E5FFFF"/>
          </w:tcPr>
          <w:p>
            <w:pPr>
              <w:spacing w:after="0"/>
              <w:rPr>
                <w:sz w:val="18"/>
                <w:szCs w:val="18"/>
                <w:color w:val="auto"/>
              </w:rPr>
            </w:pPr>
          </w:p>
        </w:tc>
        <w:tc>
          <w:tcPr>
            <w:tcW w:w="320" w:type="dxa"/>
            <w:vAlign w:val="bottom"/>
            <w:tcBorders>
              <w:top w:val="single" w:sz="8" w:color="E5FFFF"/>
            </w:tcBorders>
            <w:shd w:val="clear" w:color="auto" w:fill="E5FFFF"/>
          </w:tcPr>
          <w:p>
            <w:pPr>
              <w:spacing w:after="0"/>
              <w:rPr>
                <w:sz w:val="18"/>
                <w:szCs w:val="18"/>
                <w:color w:val="auto"/>
              </w:rPr>
            </w:pPr>
          </w:p>
        </w:tc>
        <w:tc>
          <w:tcPr>
            <w:tcW w:w="320" w:type="dxa"/>
            <w:vAlign w:val="bottom"/>
            <w:tcBorders>
              <w:top w:val="single" w:sz="8" w:color="auto"/>
            </w:tcBorders>
            <w:shd w:val="clear" w:color="auto" w:fill="E5FFFF"/>
          </w:tcPr>
          <w:p>
            <w:pPr>
              <w:spacing w:after="0"/>
              <w:rPr>
                <w:sz w:val="18"/>
                <w:szCs w:val="18"/>
                <w:color w:val="auto"/>
              </w:rPr>
            </w:pPr>
          </w:p>
        </w:tc>
        <w:tc>
          <w:tcPr>
            <w:tcW w:w="1040" w:type="dxa"/>
            <w:vAlign w:val="bottom"/>
            <w:tcBorders>
              <w:top w:val="single" w:sz="8" w:color="auto"/>
            </w:tcBorders>
            <w:shd w:val="clear" w:color="auto" w:fill="E5FFFF"/>
          </w:tcPr>
          <w:p>
            <w:pPr>
              <w:spacing w:after="0"/>
              <w:rPr>
                <w:sz w:val="18"/>
                <w:szCs w:val="18"/>
                <w:color w:val="auto"/>
              </w:rPr>
            </w:pPr>
          </w:p>
        </w:tc>
      </w:tr>
      <w:tr>
        <w:trPr>
          <w:trHeight w:val="203"/>
        </w:trPr>
        <w:tc>
          <w:tcPr>
            <w:tcW w:w="6640" w:type="dxa"/>
            <w:vAlign w:val="bottom"/>
          </w:tcPr>
          <w:p>
            <w:pPr>
              <w:ind w:left="180"/>
              <w:spacing w:after="0" w:line="202" w:lineRule="exact"/>
              <w:rPr>
                <w:sz w:val="20"/>
                <w:szCs w:val="20"/>
                <w:color w:val="auto"/>
              </w:rPr>
            </w:pPr>
            <w:r>
              <w:rPr>
                <w:rFonts w:ascii="Arial" w:cs="Arial" w:eastAsia="Arial" w:hAnsi="Arial"/>
                <w:sz w:val="18"/>
                <w:szCs w:val="18"/>
                <w:color w:val="auto"/>
              </w:rPr>
              <w:t>Balance at beginning of year</w:t>
            </w:r>
          </w:p>
        </w:tc>
        <w:tc>
          <w:tcPr>
            <w:tcW w:w="920" w:type="dxa"/>
            <w:vAlign w:val="bottom"/>
          </w:tcPr>
          <w:p>
            <w:pPr>
              <w:jc w:val="right"/>
              <w:ind w:right="736"/>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765</w:t>
            </w:r>
          </w:p>
        </w:tc>
        <w:tc>
          <w:tcPr>
            <w:tcW w:w="124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659</w:t>
            </w:r>
          </w:p>
        </w:tc>
        <w:tc>
          <w:tcPr>
            <w:tcW w:w="6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729</w:t>
            </w:r>
          </w:p>
        </w:tc>
      </w:tr>
      <w:tr>
        <w:trPr>
          <w:trHeight w:val="203"/>
        </w:trPr>
        <w:tc>
          <w:tcPr>
            <w:tcW w:w="664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Gross increases related to current period tax positions</w:t>
            </w:r>
          </w:p>
        </w:tc>
        <w:tc>
          <w:tcPr>
            <w:tcW w:w="920" w:type="dxa"/>
            <w:vAlign w:val="bottom"/>
            <w:shd w:val="clear" w:color="auto" w:fill="E5FFFF"/>
          </w:tcPr>
          <w:p>
            <w:pPr>
              <w:spacing w:after="0"/>
              <w:rPr>
                <w:sz w:val="17"/>
                <w:szCs w:val="17"/>
                <w:color w:val="auto"/>
              </w:rPr>
            </w:pPr>
          </w:p>
        </w:tc>
        <w:tc>
          <w:tcPr>
            <w:tcW w:w="480" w:type="dxa"/>
            <w:vAlign w:val="bottom"/>
            <w:shd w:val="clear" w:color="auto" w:fill="E5FFFF"/>
          </w:tcPr>
          <w:p>
            <w:pPr>
              <w:jc w:val="right"/>
              <w:ind w:right="50"/>
              <w:spacing w:after="0" w:line="202" w:lineRule="exact"/>
              <w:rPr>
                <w:sz w:val="20"/>
                <w:szCs w:val="20"/>
                <w:color w:val="auto"/>
              </w:rPr>
            </w:pPr>
            <w:r>
              <w:rPr>
                <w:rFonts w:ascii="Arial" w:cs="Arial" w:eastAsia="Arial" w:hAnsi="Arial"/>
                <w:sz w:val="18"/>
                <w:szCs w:val="18"/>
                <w:color w:val="auto"/>
              </w:rPr>
              <w:t>96</w:t>
            </w:r>
          </w:p>
        </w:tc>
        <w:tc>
          <w:tcPr>
            <w:tcW w:w="34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46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56</w:t>
            </w:r>
          </w:p>
        </w:tc>
        <w:tc>
          <w:tcPr>
            <w:tcW w:w="3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4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65</w:t>
            </w:r>
          </w:p>
        </w:tc>
      </w:tr>
      <w:tr>
        <w:trPr>
          <w:trHeight w:val="203"/>
        </w:trPr>
        <w:tc>
          <w:tcPr>
            <w:tcW w:w="6640" w:type="dxa"/>
            <w:vAlign w:val="bottom"/>
          </w:tcPr>
          <w:p>
            <w:pPr>
              <w:ind w:left="180"/>
              <w:spacing w:after="0" w:line="202" w:lineRule="exact"/>
              <w:rPr>
                <w:sz w:val="20"/>
                <w:szCs w:val="20"/>
                <w:color w:val="auto"/>
              </w:rPr>
            </w:pPr>
            <w:r>
              <w:rPr>
                <w:rFonts w:ascii="Arial" w:cs="Arial" w:eastAsia="Arial" w:hAnsi="Arial"/>
                <w:sz w:val="18"/>
                <w:szCs w:val="18"/>
                <w:color w:val="auto"/>
              </w:rPr>
              <w:t>Gross increases related to prior periods tax positions</w:t>
            </w:r>
          </w:p>
        </w:tc>
        <w:tc>
          <w:tcPr>
            <w:tcW w:w="920" w:type="dxa"/>
            <w:vAlign w:val="bottom"/>
          </w:tcPr>
          <w:p>
            <w:pPr>
              <w:spacing w:after="0"/>
              <w:rPr>
                <w:sz w:val="17"/>
                <w:szCs w:val="17"/>
                <w:color w:val="auto"/>
              </w:rPr>
            </w:pPr>
          </w:p>
        </w:tc>
        <w:tc>
          <w:tcPr>
            <w:tcW w:w="4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88</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175</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204</w:t>
            </w:r>
          </w:p>
        </w:tc>
      </w:tr>
      <w:tr>
        <w:trPr>
          <w:trHeight w:val="203"/>
        </w:trPr>
        <w:tc>
          <w:tcPr>
            <w:tcW w:w="664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Gross decreases related to prior periods tax positions</w:t>
            </w:r>
          </w:p>
        </w:tc>
        <w:tc>
          <w:tcPr>
            <w:tcW w:w="920" w:type="dxa"/>
            <w:vAlign w:val="bottom"/>
            <w:shd w:val="clear" w:color="auto" w:fill="E5FFFF"/>
          </w:tcPr>
          <w:p>
            <w:pPr>
              <w:spacing w:after="0"/>
              <w:rPr>
                <w:sz w:val="17"/>
                <w:szCs w:val="17"/>
                <w:color w:val="auto"/>
              </w:rPr>
            </w:pPr>
          </w:p>
        </w:tc>
        <w:tc>
          <w:tcPr>
            <w:tcW w:w="4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(33)</w:t>
            </w:r>
          </w:p>
        </w:tc>
        <w:tc>
          <w:tcPr>
            <w:tcW w:w="34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4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(72)</w:t>
            </w:r>
          </w:p>
        </w:tc>
        <w:tc>
          <w:tcPr>
            <w:tcW w:w="3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(277)</w:t>
            </w:r>
          </w:p>
        </w:tc>
      </w:tr>
      <w:tr>
        <w:trPr>
          <w:trHeight w:val="203"/>
        </w:trPr>
        <w:tc>
          <w:tcPr>
            <w:tcW w:w="6640" w:type="dxa"/>
            <w:vAlign w:val="bottom"/>
          </w:tcPr>
          <w:p>
            <w:pPr>
              <w:ind w:left="180"/>
              <w:spacing w:after="0" w:line="202" w:lineRule="exact"/>
              <w:rPr>
                <w:sz w:val="20"/>
                <w:szCs w:val="20"/>
                <w:color w:val="auto"/>
              </w:rPr>
            </w:pPr>
            <w:r>
              <w:rPr>
                <w:rFonts w:ascii="Arial" w:cs="Arial" w:eastAsia="Arial" w:hAnsi="Arial"/>
                <w:sz w:val="18"/>
                <w:szCs w:val="18"/>
                <w:color w:val="auto"/>
              </w:rPr>
              <w:t>Decrease related to resolutions of audits with tax authorities</w:t>
            </w:r>
          </w:p>
        </w:tc>
        <w:tc>
          <w:tcPr>
            <w:tcW w:w="9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r>
      <w:tr>
        <w:trPr>
          <w:trHeight w:val="203"/>
        </w:trPr>
        <w:tc>
          <w:tcPr>
            <w:tcW w:w="664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Expiration of the statute of limitations for the assessment of taxes</w:t>
            </w:r>
          </w:p>
        </w:tc>
        <w:tc>
          <w:tcPr>
            <w:tcW w:w="920" w:type="dxa"/>
            <w:vAlign w:val="bottom"/>
            <w:shd w:val="clear" w:color="auto" w:fill="E5FFFF"/>
          </w:tcPr>
          <w:p>
            <w:pPr>
              <w:spacing w:after="0"/>
              <w:rPr>
                <w:sz w:val="17"/>
                <w:szCs w:val="17"/>
                <w:color w:val="auto"/>
              </w:rPr>
            </w:pPr>
          </w:p>
        </w:tc>
        <w:tc>
          <w:tcPr>
            <w:tcW w:w="4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(10)</w:t>
            </w:r>
          </w:p>
        </w:tc>
        <w:tc>
          <w:tcPr>
            <w:tcW w:w="34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4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(13)</w:t>
            </w:r>
          </w:p>
        </w:tc>
        <w:tc>
          <w:tcPr>
            <w:tcW w:w="3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16"/>
        </w:trPr>
        <w:tc>
          <w:tcPr>
            <w:tcW w:w="664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Foreign currency translation</w:t>
            </w: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40" w:type="dxa"/>
            <w:vAlign w:val="bottom"/>
            <w:tcBorders>
              <w:bottom w:val="single" w:sz="8" w:color="E5FF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32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664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Balance at end of year</w:t>
            </w:r>
          </w:p>
        </w:tc>
        <w:tc>
          <w:tcPr>
            <w:tcW w:w="920" w:type="dxa"/>
            <w:vAlign w:val="bottom"/>
            <w:shd w:val="clear" w:color="auto" w:fill="E5FFFF"/>
          </w:tcPr>
          <w:p>
            <w:pPr>
              <w:jc w:val="right"/>
              <w:ind w:right="73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E5FFFF"/>
          </w:tcPr>
          <w:p>
            <w:pPr>
              <w:jc w:val="right"/>
              <w:ind w:right="50"/>
              <w:spacing w:after="0"/>
              <w:rPr>
                <w:sz w:val="20"/>
                <w:szCs w:val="20"/>
                <w:color w:val="auto"/>
              </w:rPr>
            </w:pPr>
            <w:r>
              <w:rPr>
                <w:rFonts w:ascii="Arial" w:cs="Arial" w:eastAsia="Arial" w:hAnsi="Arial"/>
                <w:sz w:val="18"/>
                <w:szCs w:val="18"/>
                <w:color w:val="auto"/>
              </w:rPr>
              <w:t>877</w:t>
            </w:r>
          </w:p>
        </w:tc>
        <w:tc>
          <w:tcPr>
            <w:tcW w:w="1240" w:type="dxa"/>
            <w:vAlign w:val="bottom"/>
            <w:gridSpan w:val="2"/>
            <w:shd w:val="clear" w:color="auto" w:fill="E5FFFF"/>
          </w:tcPr>
          <w:p>
            <w:pPr>
              <w:jc w:val="right"/>
              <w:ind w:right="800"/>
              <w:spacing w:after="0"/>
              <w:rPr>
                <w:sz w:val="20"/>
                <w:szCs w:val="20"/>
                <w:color w:val="auto"/>
              </w:rPr>
            </w:pPr>
            <w:r>
              <w:rPr>
                <w:rFonts w:ascii="Arial" w:cs="Arial" w:eastAsia="Arial" w:hAnsi="Arial"/>
                <w:sz w:val="18"/>
                <w:szCs w:val="18"/>
                <w:color w:val="auto"/>
              </w:rPr>
              <w:t>$</w:t>
            </w:r>
          </w:p>
        </w:tc>
        <w:tc>
          <w:tcPr>
            <w:tcW w:w="46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rPr>
              <w:t>765</w:t>
            </w:r>
          </w:p>
        </w:tc>
        <w:tc>
          <w:tcPr>
            <w:tcW w:w="6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659</w:t>
            </w:r>
          </w:p>
        </w:tc>
      </w:tr>
      <w:tr>
        <w:trPr>
          <w:trHeight w:val="20"/>
        </w:trPr>
        <w:tc>
          <w:tcPr>
            <w:tcW w:w="6640" w:type="dxa"/>
            <w:vAlign w:val="bottom"/>
            <w:tcBorders>
              <w:top w:val="single" w:sz="8" w:color="E5FF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As of December 31, 2016, 2015, and 2014 there were $877 million, $765 million and $659 million of unrecognized tax benefits that if recognized would be recorded as a component of income tax expense.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tax years that remain subject to examination by major tax jurisdictions as of December 31, 2016:</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440" w:type="dxa"/>
            <w:vAlign w:val="bottom"/>
            <w:gridSpan w:val="3"/>
          </w:tcPr>
          <w:p>
            <w:pPr>
              <w:jc w:val="center"/>
              <w:ind w:right="1942"/>
              <w:spacing w:after="0"/>
              <w:rPr>
                <w:sz w:val="20"/>
                <w:szCs w:val="20"/>
                <w:color w:val="auto"/>
              </w:rPr>
            </w:pPr>
            <w:r>
              <w:rPr>
                <w:rFonts w:ascii="Arial" w:cs="Arial" w:eastAsia="Arial" w:hAnsi="Arial"/>
                <w:sz w:val="14"/>
                <w:szCs w:val="14"/>
                <w:b w:val="1"/>
                <w:bCs w:val="1"/>
                <w:color w:val="auto"/>
              </w:rPr>
              <w:t>Open Tax Years</w:t>
            </w:r>
          </w:p>
        </w:tc>
      </w:tr>
      <w:tr>
        <w:trPr>
          <w:trHeight w:val="189"/>
        </w:trPr>
        <w:tc>
          <w:tcPr>
            <w:tcW w:w="8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5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Based on Originally Filed Returns</w:t>
            </w:r>
          </w:p>
        </w:tc>
      </w:tr>
      <w:tr>
        <w:trPr>
          <w:trHeight w:val="142"/>
        </w:trPr>
        <w:tc>
          <w:tcPr>
            <w:tcW w:w="8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20" w:type="dxa"/>
            <w:vAlign w:val="bottom"/>
          </w:tcPr>
          <w:p>
            <w:pPr>
              <w:jc w:val="center"/>
              <w:ind w:left="154"/>
              <w:spacing w:after="0" w:line="143" w:lineRule="exact"/>
              <w:rPr>
                <w:sz w:val="20"/>
                <w:szCs w:val="20"/>
                <w:color w:val="auto"/>
              </w:rPr>
            </w:pPr>
            <w:r>
              <w:rPr>
                <w:rFonts w:ascii="Arial" w:cs="Arial" w:eastAsia="Arial" w:hAnsi="Arial"/>
                <w:sz w:val="14"/>
                <w:szCs w:val="14"/>
                <w:b w:val="1"/>
                <w:bCs w:val="1"/>
                <w:color w:val="auto"/>
              </w:rPr>
              <w:t>Examination in</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Examination not yet</w:t>
            </w:r>
          </w:p>
        </w:tc>
      </w:tr>
      <w:tr>
        <w:trPr>
          <w:trHeight w:val="162"/>
        </w:trPr>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Jurisdiction</w:t>
            </w:r>
          </w:p>
        </w:tc>
        <w:tc>
          <w:tcPr>
            <w:tcW w:w="2020" w:type="dxa"/>
            <w:vAlign w:val="bottom"/>
          </w:tcPr>
          <w:p>
            <w:pPr>
              <w:jc w:val="center"/>
              <w:ind w:left="154"/>
              <w:spacing w:after="0"/>
              <w:rPr>
                <w:sz w:val="20"/>
                <w:szCs w:val="20"/>
                <w:color w:val="auto"/>
              </w:rPr>
            </w:pPr>
            <w:r>
              <w:rPr>
                <w:rFonts w:ascii="Arial" w:cs="Arial" w:eastAsia="Arial" w:hAnsi="Arial"/>
                <w:sz w:val="14"/>
                <w:szCs w:val="14"/>
                <w:b w:val="1"/>
                <w:bCs w:val="1"/>
                <w:color w:val="auto"/>
              </w:rPr>
              <w:t>progress</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rPr>
              <w:t>initiated</w:t>
            </w:r>
          </w:p>
        </w:tc>
      </w:tr>
      <w:tr>
        <w:trPr>
          <w:trHeight w:val="20"/>
        </w:trPr>
        <w:tc>
          <w:tcPr>
            <w:tcW w:w="820" w:type="dxa"/>
            <w:vAlign w:val="bottom"/>
            <w:tcBorders>
              <w:bottom w:val="single" w:sz="8" w:color="E5FFFF"/>
            </w:tcBorders>
            <w:shd w:val="clear" w:color="auto" w:fill="000000"/>
          </w:tcPr>
          <w:p>
            <w:pPr>
              <w:spacing w:after="0" w:line="20" w:lineRule="exact"/>
              <w:rPr>
                <w:sz w:val="1"/>
                <w:szCs w:val="1"/>
                <w:color w:val="auto"/>
              </w:rPr>
            </w:pPr>
          </w:p>
        </w:tc>
        <w:tc>
          <w:tcPr>
            <w:tcW w:w="5140" w:type="dxa"/>
            <w:vAlign w:val="bottom"/>
            <w:tcBorders>
              <w:bottom w:val="single" w:sz="8" w:color="E5FF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E5FFFF"/>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r>
      <w:tr>
        <w:trPr>
          <w:trHeight w:val="190"/>
        </w:trPr>
        <w:tc>
          <w:tcPr>
            <w:tcW w:w="5960" w:type="dxa"/>
            <w:vAlign w:val="bottom"/>
            <w:gridSpan w:val="2"/>
            <w:shd w:val="clear" w:color="auto" w:fill="E5FFFF"/>
          </w:tcPr>
          <w:p>
            <w:pPr>
              <w:spacing w:after="0" w:line="189" w:lineRule="exact"/>
              <w:rPr>
                <w:sz w:val="20"/>
                <w:szCs w:val="20"/>
                <w:color w:val="auto"/>
              </w:rPr>
            </w:pPr>
            <w:r>
              <w:rPr>
                <w:rFonts w:ascii="Arial" w:cs="Arial" w:eastAsia="Arial" w:hAnsi="Arial"/>
                <w:sz w:val="18"/>
                <w:szCs w:val="18"/>
                <w:color w:val="auto"/>
              </w:rPr>
              <w:t>U.S. Federal</w:t>
            </w:r>
          </w:p>
        </w:tc>
        <w:tc>
          <w:tcPr>
            <w:tcW w:w="2020" w:type="dxa"/>
            <w:vAlign w:val="bottom"/>
            <w:shd w:val="clear" w:color="auto" w:fill="E5FFFF"/>
          </w:tcPr>
          <w:p>
            <w:pPr>
              <w:jc w:val="center"/>
              <w:ind w:left="154"/>
              <w:spacing w:after="0" w:line="189" w:lineRule="exact"/>
              <w:rPr>
                <w:sz w:val="20"/>
                <w:szCs w:val="20"/>
                <w:color w:val="auto"/>
              </w:rPr>
            </w:pPr>
            <w:r>
              <w:rPr>
                <w:rFonts w:ascii="Arial" w:cs="Arial" w:eastAsia="Arial" w:hAnsi="Arial"/>
                <w:sz w:val="18"/>
                <w:szCs w:val="18"/>
                <w:color w:val="auto"/>
                <w:w w:val="99"/>
              </w:rPr>
              <w:t>2010 - 2012, 2014</w:t>
            </w:r>
          </w:p>
        </w:tc>
        <w:tc>
          <w:tcPr>
            <w:tcW w:w="260" w:type="dxa"/>
            <w:vAlign w:val="bottom"/>
            <w:shd w:val="clear" w:color="auto" w:fill="E5FFFF"/>
          </w:tcPr>
          <w:p>
            <w:pPr>
              <w:spacing w:after="0"/>
              <w:rPr>
                <w:sz w:val="16"/>
                <w:szCs w:val="16"/>
                <w:color w:val="auto"/>
              </w:rPr>
            </w:pPr>
          </w:p>
        </w:tc>
        <w:tc>
          <w:tcPr>
            <w:tcW w:w="340" w:type="dxa"/>
            <w:vAlign w:val="bottom"/>
            <w:shd w:val="clear" w:color="auto" w:fill="E5FFFF"/>
          </w:tcPr>
          <w:p>
            <w:pPr>
              <w:spacing w:after="0"/>
              <w:rPr>
                <w:sz w:val="16"/>
                <w:szCs w:val="16"/>
                <w:color w:val="auto"/>
              </w:rPr>
            </w:pPr>
          </w:p>
        </w:tc>
        <w:tc>
          <w:tcPr>
            <w:tcW w:w="2840" w:type="dxa"/>
            <w:vAlign w:val="bottom"/>
            <w:shd w:val="clear" w:color="auto" w:fill="E5FFFF"/>
          </w:tcPr>
          <w:p>
            <w:pPr>
              <w:jc w:val="center"/>
              <w:spacing w:after="0" w:line="189" w:lineRule="exact"/>
              <w:rPr>
                <w:sz w:val="20"/>
                <w:szCs w:val="20"/>
                <w:color w:val="auto"/>
              </w:rPr>
            </w:pPr>
            <w:r>
              <w:rPr>
                <w:rFonts w:ascii="Arial" w:cs="Arial" w:eastAsia="Arial" w:hAnsi="Arial"/>
                <w:sz w:val="18"/>
                <w:szCs w:val="18"/>
                <w:color w:val="auto"/>
                <w:w w:val="99"/>
              </w:rPr>
              <w:t>2013 - 2016</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U.S. State</w:t>
            </w:r>
          </w:p>
        </w:tc>
        <w:tc>
          <w:tcPr>
            <w:tcW w:w="2020" w:type="dxa"/>
            <w:vAlign w:val="bottom"/>
          </w:tcPr>
          <w:p>
            <w:pPr>
              <w:jc w:val="center"/>
              <w:ind w:left="174"/>
              <w:spacing w:after="0"/>
              <w:rPr>
                <w:sz w:val="20"/>
                <w:szCs w:val="20"/>
                <w:color w:val="auto"/>
              </w:rPr>
            </w:pPr>
            <w:r>
              <w:rPr>
                <w:rFonts w:ascii="Arial" w:cs="Arial" w:eastAsia="Arial" w:hAnsi="Arial"/>
                <w:sz w:val="18"/>
                <w:szCs w:val="18"/>
                <w:color w:val="auto"/>
                <w:w w:val="99"/>
              </w:rPr>
              <w:t>2008 - 2014</w:t>
            </w:r>
          </w:p>
        </w:tc>
        <w:tc>
          <w:tcPr>
            <w:tcW w:w="3440" w:type="dxa"/>
            <w:vAlign w:val="bottom"/>
            <w:gridSpan w:val="3"/>
          </w:tcPr>
          <w:p>
            <w:pPr>
              <w:jc w:val="center"/>
              <w:ind w:left="512"/>
              <w:spacing w:after="0"/>
              <w:rPr>
                <w:sz w:val="20"/>
                <w:szCs w:val="20"/>
                <w:color w:val="auto"/>
              </w:rPr>
            </w:pPr>
            <w:r>
              <w:rPr>
                <w:rFonts w:ascii="Arial" w:cs="Arial" w:eastAsia="Arial" w:hAnsi="Arial"/>
                <w:sz w:val="18"/>
                <w:szCs w:val="18"/>
                <w:color w:val="auto"/>
                <w:w w:val="99"/>
              </w:rPr>
              <w:t>2011 - 2016</w:t>
            </w:r>
          </w:p>
        </w:tc>
      </w:tr>
      <w:tr>
        <w:trPr>
          <w:trHeight w:val="216"/>
        </w:trPr>
        <w:tc>
          <w:tcPr>
            <w:tcW w:w="596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Australia</w:t>
            </w:r>
          </w:p>
        </w:tc>
        <w:tc>
          <w:tcPr>
            <w:tcW w:w="2020" w:type="dxa"/>
            <w:vAlign w:val="bottom"/>
            <w:shd w:val="clear" w:color="auto" w:fill="E5FFFF"/>
          </w:tcPr>
          <w:p>
            <w:pPr>
              <w:jc w:val="center"/>
              <w:ind w:left="174"/>
              <w:spacing w:after="0"/>
              <w:rPr>
                <w:sz w:val="20"/>
                <w:szCs w:val="20"/>
                <w:color w:val="auto"/>
              </w:rPr>
            </w:pPr>
            <w:r>
              <w:rPr>
                <w:rFonts w:ascii="Arial" w:cs="Arial" w:eastAsia="Arial" w:hAnsi="Arial"/>
                <w:sz w:val="18"/>
                <w:szCs w:val="18"/>
                <w:color w:val="auto"/>
                <w:w w:val="99"/>
              </w:rPr>
              <w:t>2009 - 2015</w:t>
            </w:r>
          </w:p>
        </w:tc>
        <w:tc>
          <w:tcPr>
            <w:tcW w:w="3440" w:type="dxa"/>
            <w:vAlign w:val="bottom"/>
            <w:gridSpan w:val="3"/>
            <w:shd w:val="clear" w:color="auto" w:fill="E5FFFF"/>
          </w:tcPr>
          <w:p>
            <w:pPr>
              <w:jc w:val="center"/>
              <w:ind w:left="512"/>
              <w:spacing w:after="0"/>
              <w:rPr>
                <w:sz w:val="20"/>
                <w:szCs w:val="20"/>
                <w:color w:val="auto"/>
              </w:rPr>
            </w:pPr>
            <w:r>
              <w:rPr>
                <w:rFonts w:ascii="Arial" w:cs="Arial" w:eastAsia="Arial" w:hAnsi="Arial"/>
                <w:sz w:val="18"/>
                <w:szCs w:val="18"/>
                <w:color w:val="auto"/>
                <w:w w:val="99"/>
              </w:rPr>
              <w:t>2016</w:t>
            </w:r>
          </w:p>
        </w:tc>
      </w:tr>
      <w:tr>
        <w:trPr>
          <w:trHeight w:val="243"/>
        </w:trPr>
        <w:tc>
          <w:tcPr>
            <w:tcW w:w="5960" w:type="dxa"/>
            <w:vAlign w:val="bottom"/>
            <w:gridSpan w:val="2"/>
          </w:tcPr>
          <w:p>
            <w:pPr>
              <w:spacing w:after="0" w:line="243" w:lineRule="exact"/>
              <w:rPr>
                <w:sz w:val="20"/>
                <w:szCs w:val="20"/>
                <w:color w:val="auto"/>
              </w:rPr>
            </w:pPr>
            <w:r>
              <w:rPr>
                <w:rFonts w:ascii="Arial" w:cs="Arial" w:eastAsia="Arial" w:hAnsi="Arial"/>
                <w:sz w:val="17"/>
                <w:szCs w:val="17"/>
                <w:color w:val="auto"/>
              </w:rPr>
              <w:t>Canada</w:t>
            </w:r>
            <w:r>
              <w:rPr>
                <w:rFonts w:ascii="Arial" w:cs="Arial" w:eastAsia="Arial" w:hAnsi="Arial"/>
                <w:sz w:val="28"/>
                <w:szCs w:val="28"/>
                <w:color w:val="auto"/>
                <w:vertAlign w:val="superscript"/>
              </w:rPr>
              <w:t>(1)</w:t>
            </w:r>
          </w:p>
        </w:tc>
        <w:tc>
          <w:tcPr>
            <w:tcW w:w="2020" w:type="dxa"/>
            <w:vAlign w:val="bottom"/>
          </w:tcPr>
          <w:p>
            <w:pPr>
              <w:jc w:val="center"/>
              <w:ind w:left="174"/>
              <w:spacing w:after="0"/>
              <w:rPr>
                <w:sz w:val="20"/>
                <w:szCs w:val="20"/>
                <w:color w:val="auto"/>
              </w:rPr>
            </w:pPr>
            <w:r>
              <w:rPr>
                <w:rFonts w:ascii="Arial" w:cs="Arial" w:eastAsia="Arial" w:hAnsi="Arial"/>
                <w:sz w:val="18"/>
                <w:szCs w:val="18"/>
                <w:color w:val="auto"/>
                <w:w w:val="99"/>
              </w:rPr>
              <w:t>2010 - 2014</w:t>
            </w:r>
          </w:p>
        </w:tc>
        <w:tc>
          <w:tcPr>
            <w:tcW w:w="3440" w:type="dxa"/>
            <w:vAlign w:val="bottom"/>
            <w:gridSpan w:val="3"/>
          </w:tcPr>
          <w:p>
            <w:pPr>
              <w:jc w:val="center"/>
              <w:ind w:left="512"/>
              <w:spacing w:after="0"/>
              <w:rPr>
                <w:sz w:val="20"/>
                <w:szCs w:val="20"/>
                <w:color w:val="auto"/>
              </w:rPr>
            </w:pPr>
            <w:r>
              <w:rPr>
                <w:rFonts w:ascii="Arial" w:cs="Arial" w:eastAsia="Arial" w:hAnsi="Arial"/>
                <w:sz w:val="18"/>
                <w:szCs w:val="18"/>
                <w:color w:val="auto"/>
                <w:w w:val="99"/>
              </w:rPr>
              <w:t>2015 - 2016</w:t>
            </w:r>
          </w:p>
        </w:tc>
      </w:tr>
      <w:tr>
        <w:trPr>
          <w:trHeight w:val="216"/>
        </w:trPr>
        <w:tc>
          <w:tcPr>
            <w:tcW w:w="596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China</w:t>
            </w:r>
          </w:p>
        </w:tc>
        <w:tc>
          <w:tcPr>
            <w:tcW w:w="2020" w:type="dxa"/>
            <w:vAlign w:val="bottom"/>
            <w:shd w:val="clear" w:color="auto" w:fill="E5FFFF"/>
          </w:tcPr>
          <w:p>
            <w:pPr>
              <w:jc w:val="center"/>
              <w:ind w:left="174"/>
              <w:spacing w:after="0"/>
              <w:rPr>
                <w:sz w:val="20"/>
                <w:szCs w:val="20"/>
                <w:color w:val="auto"/>
              </w:rPr>
            </w:pPr>
            <w:r>
              <w:rPr>
                <w:rFonts w:ascii="Arial" w:cs="Arial" w:eastAsia="Arial" w:hAnsi="Arial"/>
                <w:sz w:val="18"/>
                <w:szCs w:val="18"/>
                <w:color w:val="auto"/>
                <w:w w:val="99"/>
              </w:rPr>
              <w:t>2003 - 2014</w:t>
            </w:r>
          </w:p>
        </w:tc>
        <w:tc>
          <w:tcPr>
            <w:tcW w:w="3440" w:type="dxa"/>
            <w:vAlign w:val="bottom"/>
            <w:gridSpan w:val="3"/>
            <w:shd w:val="clear" w:color="auto" w:fill="E5FFFF"/>
          </w:tcPr>
          <w:p>
            <w:pPr>
              <w:jc w:val="center"/>
              <w:ind w:left="512"/>
              <w:spacing w:after="0"/>
              <w:rPr>
                <w:sz w:val="20"/>
                <w:szCs w:val="20"/>
                <w:color w:val="auto"/>
              </w:rPr>
            </w:pPr>
            <w:r>
              <w:rPr>
                <w:rFonts w:ascii="Arial" w:cs="Arial" w:eastAsia="Arial" w:hAnsi="Arial"/>
                <w:sz w:val="18"/>
                <w:szCs w:val="18"/>
                <w:color w:val="auto"/>
                <w:w w:val="99"/>
              </w:rPr>
              <w:t>2015 - 2016</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France</w:t>
            </w:r>
          </w:p>
        </w:tc>
        <w:tc>
          <w:tcPr>
            <w:tcW w:w="2020" w:type="dxa"/>
            <w:vAlign w:val="bottom"/>
          </w:tcPr>
          <w:p>
            <w:pPr>
              <w:jc w:val="center"/>
              <w:ind w:left="174"/>
              <w:spacing w:after="0"/>
              <w:rPr>
                <w:sz w:val="20"/>
                <w:szCs w:val="20"/>
                <w:color w:val="auto"/>
              </w:rPr>
            </w:pPr>
            <w:r>
              <w:rPr>
                <w:rFonts w:ascii="Arial" w:cs="Arial" w:eastAsia="Arial" w:hAnsi="Arial"/>
                <w:sz w:val="18"/>
                <w:szCs w:val="18"/>
                <w:color w:val="auto"/>
                <w:w w:val="99"/>
              </w:rPr>
              <w:t>2012 - 2014</w:t>
            </w:r>
          </w:p>
        </w:tc>
        <w:tc>
          <w:tcPr>
            <w:tcW w:w="3440" w:type="dxa"/>
            <w:vAlign w:val="bottom"/>
            <w:gridSpan w:val="3"/>
          </w:tcPr>
          <w:p>
            <w:pPr>
              <w:jc w:val="center"/>
              <w:ind w:left="492"/>
              <w:spacing w:after="0"/>
              <w:rPr>
                <w:sz w:val="20"/>
                <w:szCs w:val="20"/>
                <w:color w:val="auto"/>
              </w:rPr>
            </w:pPr>
            <w:r>
              <w:rPr>
                <w:rFonts w:ascii="Arial" w:cs="Arial" w:eastAsia="Arial" w:hAnsi="Arial"/>
                <w:sz w:val="18"/>
                <w:szCs w:val="18"/>
                <w:color w:val="auto"/>
                <w:w w:val="99"/>
              </w:rPr>
              <w:t>2005 - 2011, 2015 - 2016</w:t>
            </w:r>
          </w:p>
        </w:tc>
      </w:tr>
      <w:tr>
        <w:trPr>
          <w:trHeight w:val="243"/>
        </w:trPr>
        <w:tc>
          <w:tcPr>
            <w:tcW w:w="5960" w:type="dxa"/>
            <w:vAlign w:val="bottom"/>
            <w:gridSpan w:val="2"/>
            <w:shd w:val="clear" w:color="auto" w:fill="E5FFFF"/>
          </w:tcPr>
          <w:p>
            <w:pPr>
              <w:spacing w:after="0" w:line="243" w:lineRule="exact"/>
              <w:rPr>
                <w:sz w:val="20"/>
                <w:szCs w:val="20"/>
                <w:color w:val="auto"/>
              </w:rPr>
            </w:pPr>
            <w:r>
              <w:rPr>
                <w:rFonts w:ascii="Arial" w:cs="Arial" w:eastAsia="Arial" w:hAnsi="Arial"/>
                <w:sz w:val="17"/>
                <w:szCs w:val="17"/>
                <w:color w:val="auto"/>
              </w:rPr>
              <w:t>Germany</w:t>
            </w:r>
            <w:r>
              <w:rPr>
                <w:rFonts w:ascii="Arial" w:cs="Arial" w:eastAsia="Arial" w:hAnsi="Arial"/>
                <w:sz w:val="28"/>
                <w:szCs w:val="28"/>
                <w:color w:val="auto"/>
                <w:vertAlign w:val="superscript"/>
              </w:rPr>
              <w:t>(1)</w:t>
            </w:r>
          </w:p>
        </w:tc>
        <w:tc>
          <w:tcPr>
            <w:tcW w:w="2020" w:type="dxa"/>
            <w:vAlign w:val="bottom"/>
            <w:shd w:val="clear" w:color="auto" w:fill="E5FFFF"/>
          </w:tcPr>
          <w:p>
            <w:pPr>
              <w:jc w:val="center"/>
              <w:ind w:left="174"/>
              <w:spacing w:after="0"/>
              <w:rPr>
                <w:sz w:val="20"/>
                <w:szCs w:val="20"/>
                <w:color w:val="auto"/>
              </w:rPr>
            </w:pPr>
            <w:r>
              <w:rPr>
                <w:rFonts w:ascii="Arial" w:cs="Arial" w:eastAsia="Arial" w:hAnsi="Arial"/>
                <w:sz w:val="18"/>
                <w:szCs w:val="18"/>
                <w:color w:val="auto"/>
                <w:w w:val="99"/>
              </w:rPr>
              <w:t>2008 - 2012</w:t>
            </w:r>
          </w:p>
        </w:tc>
        <w:tc>
          <w:tcPr>
            <w:tcW w:w="3440" w:type="dxa"/>
            <w:vAlign w:val="bottom"/>
            <w:gridSpan w:val="3"/>
            <w:shd w:val="clear" w:color="auto" w:fill="E5FFFF"/>
          </w:tcPr>
          <w:p>
            <w:pPr>
              <w:jc w:val="center"/>
              <w:ind w:left="512"/>
              <w:spacing w:after="0"/>
              <w:rPr>
                <w:sz w:val="20"/>
                <w:szCs w:val="20"/>
                <w:color w:val="auto"/>
              </w:rPr>
            </w:pPr>
            <w:r>
              <w:rPr>
                <w:rFonts w:ascii="Arial" w:cs="Arial" w:eastAsia="Arial" w:hAnsi="Arial"/>
                <w:sz w:val="18"/>
                <w:szCs w:val="18"/>
                <w:color w:val="auto"/>
                <w:w w:val="99"/>
              </w:rPr>
              <w:t>2013 - 2016</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India</w:t>
            </w:r>
          </w:p>
        </w:tc>
        <w:tc>
          <w:tcPr>
            <w:tcW w:w="2020" w:type="dxa"/>
            <w:vAlign w:val="bottom"/>
          </w:tcPr>
          <w:p>
            <w:pPr>
              <w:jc w:val="center"/>
              <w:ind w:left="174"/>
              <w:spacing w:after="0"/>
              <w:rPr>
                <w:sz w:val="20"/>
                <w:szCs w:val="20"/>
                <w:color w:val="auto"/>
              </w:rPr>
            </w:pPr>
            <w:r>
              <w:rPr>
                <w:rFonts w:ascii="Arial" w:cs="Arial" w:eastAsia="Arial" w:hAnsi="Arial"/>
                <w:sz w:val="18"/>
                <w:szCs w:val="18"/>
                <w:color w:val="auto"/>
                <w:w w:val="99"/>
              </w:rPr>
              <w:t>1999 - 2014</w:t>
            </w:r>
          </w:p>
        </w:tc>
        <w:tc>
          <w:tcPr>
            <w:tcW w:w="3440" w:type="dxa"/>
            <w:vAlign w:val="bottom"/>
            <w:gridSpan w:val="3"/>
          </w:tcPr>
          <w:p>
            <w:pPr>
              <w:jc w:val="center"/>
              <w:ind w:left="512"/>
              <w:spacing w:after="0"/>
              <w:rPr>
                <w:sz w:val="20"/>
                <w:szCs w:val="20"/>
                <w:color w:val="auto"/>
              </w:rPr>
            </w:pPr>
            <w:r>
              <w:rPr>
                <w:rFonts w:ascii="Arial" w:cs="Arial" w:eastAsia="Arial" w:hAnsi="Arial"/>
                <w:sz w:val="18"/>
                <w:szCs w:val="18"/>
                <w:color w:val="auto"/>
                <w:w w:val="99"/>
              </w:rPr>
              <w:t>2015 - 2016</w:t>
            </w:r>
          </w:p>
        </w:tc>
      </w:tr>
      <w:tr>
        <w:trPr>
          <w:trHeight w:val="243"/>
        </w:trPr>
        <w:tc>
          <w:tcPr>
            <w:tcW w:w="5960" w:type="dxa"/>
            <w:vAlign w:val="bottom"/>
            <w:gridSpan w:val="2"/>
            <w:shd w:val="clear" w:color="auto" w:fill="E5FFFF"/>
          </w:tcPr>
          <w:p>
            <w:pPr>
              <w:spacing w:after="0" w:line="243" w:lineRule="exact"/>
              <w:rPr>
                <w:sz w:val="20"/>
                <w:szCs w:val="20"/>
                <w:color w:val="auto"/>
              </w:rPr>
            </w:pPr>
            <w:r>
              <w:rPr>
                <w:rFonts w:ascii="Arial" w:cs="Arial" w:eastAsia="Arial" w:hAnsi="Arial"/>
                <w:sz w:val="17"/>
                <w:szCs w:val="17"/>
                <w:color w:val="auto"/>
              </w:rPr>
              <w:t>Switzerland</w:t>
            </w:r>
            <w:r>
              <w:rPr>
                <w:rFonts w:ascii="Arial" w:cs="Arial" w:eastAsia="Arial" w:hAnsi="Arial"/>
                <w:sz w:val="28"/>
                <w:szCs w:val="28"/>
                <w:color w:val="auto"/>
                <w:vertAlign w:val="superscript"/>
              </w:rPr>
              <w:t>(1)</w:t>
            </w:r>
          </w:p>
        </w:tc>
        <w:tc>
          <w:tcPr>
            <w:tcW w:w="2020" w:type="dxa"/>
            <w:vAlign w:val="bottom"/>
            <w:shd w:val="clear" w:color="auto" w:fill="E5FFFF"/>
          </w:tcPr>
          <w:p>
            <w:pPr>
              <w:jc w:val="center"/>
              <w:ind w:left="174"/>
              <w:spacing w:after="0"/>
              <w:rPr>
                <w:sz w:val="20"/>
                <w:szCs w:val="20"/>
                <w:color w:val="auto"/>
              </w:rPr>
            </w:pPr>
            <w:r>
              <w:rPr>
                <w:rFonts w:ascii="Arial" w:cs="Arial" w:eastAsia="Arial" w:hAnsi="Arial"/>
                <w:sz w:val="18"/>
                <w:szCs w:val="18"/>
                <w:color w:val="auto"/>
                <w:w w:val="99"/>
              </w:rPr>
              <w:t>2013 - 2014</w:t>
            </w:r>
          </w:p>
        </w:tc>
        <w:tc>
          <w:tcPr>
            <w:tcW w:w="3440" w:type="dxa"/>
            <w:vAlign w:val="bottom"/>
            <w:gridSpan w:val="3"/>
            <w:shd w:val="clear" w:color="auto" w:fill="E5FFFF"/>
          </w:tcPr>
          <w:p>
            <w:pPr>
              <w:jc w:val="center"/>
              <w:ind w:left="512"/>
              <w:spacing w:after="0"/>
              <w:rPr>
                <w:sz w:val="20"/>
                <w:szCs w:val="20"/>
                <w:color w:val="auto"/>
              </w:rPr>
            </w:pPr>
            <w:r>
              <w:rPr>
                <w:rFonts w:ascii="Arial" w:cs="Arial" w:eastAsia="Arial" w:hAnsi="Arial"/>
                <w:sz w:val="18"/>
                <w:szCs w:val="18"/>
                <w:color w:val="auto"/>
                <w:w w:val="99"/>
              </w:rPr>
              <w:t>2015 - 2016</w:t>
            </w: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2020" w:type="dxa"/>
            <w:vAlign w:val="bottom"/>
          </w:tcPr>
          <w:p>
            <w:pPr>
              <w:jc w:val="center"/>
              <w:ind w:left="174"/>
              <w:spacing w:after="0"/>
              <w:rPr>
                <w:sz w:val="20"/>
                <w:szCs w:val="20"/>
                <w:color w:val="auto"/>
              </w:rPr>
            </w:pPr>
            <w:r>
              <w:rPr>
                <w:rFonts w:ascii="Arial" w:cs="Arial" w:eastAsia="Arial" w:hAnsi="Arial"/>
                <w:sz w:val="18"/>
                <w:szCs w:val="18"/>
                <w:color w:val="auto"/>
                <w:w w:val="99"/>
              </w:rPr>
              <w:t>2013</w:t>
            </w:r>
          </w:p>
        </w:tc>
        <w:tc>
          <w:tcPr>
            <w:tcW w:w="3440" w:type="dxa"/>
            <w:vAlign w:val="bottom"/>
            <w:gridSpan w:val="3"/>
          </w:tcPr>
          <w:p>
            <w:pPr>
              <w:jc w:val="center"/>
              <w:ind w:left="512"/>
              <w:spacing w:after="0"/>
              <w:rPr>
                <w:sz w:val="20"/>
                <w:szCs w:val="20"/>
                <w:color w:val="auto"/>
              </w:rPr>
            </w:pPr>
            <w:r>
              <w:rPr>
                <w:rFonts w:ascii="Arial" w:cs="Arial" w:eastAsia="Arial" w:hAnsi="Arial"/>
                <w:sz w:val="18"/>
                <w:szCs w:val="18"/>
                <w:color w:val="auto"/>
                <w:w w:val="99"/>
              </w:rPr>
              <w:t>2014 - 2016</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(1) Includes provincial or similar local jurisdictions, as applicable.</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Based on the outcome of these examinations, or as a result of the expiration of statute of limitations for specific jurisdictions, it is reasonably possible that certain unrecognized tax benefits for tax positions taken on previously filed tax returns will materially change from those recorded as liabilities in our financial statements. In addition, the outcome of these examinations may impact the valuation of certain deferred tax assets (such as net operating losses) in future periods.</w:t>
      </w:r>
    </w:p>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Unrecognized tax benefits for examinations in progress were $398 million, $349 million and $403 million, as of December 31, 2016, 2015, and 2014. Estimated interest and penalties related to the underpayment of income taxes are classified as a component of Tax Expense in the Consolidated Statement of Operations and totaled $18 million, $11 million and $24 million for the years ended December 31, 2016, 2015, and 2014. Accrued interest and penalties were $395 million, $336 million and $325 million, as of December 31, 2016, 2015, and 2014.</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22"/>
          <w:szCs w:val="22"/>
          <w:b w:val="1"/>
          <w:bCs w:val="1"/>
          <w:color w:val="auto"/>
        </w:rPr>
        <w:t>HONEYWELL INTERNATIONAL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FINANCIAL STATEMENTS –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Earnings Per Share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details of the earnings per share calculations for the years ended December 31, 2016, 2015 and 2014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Basic</w:t>
            </w:r>
          </w:p>
        </w:tc>
        <w:tc>
          <w:tcPr>
            <w:tcW w:w="1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80" w:type="dxa"/>
            <w:vAlign w:val="bottom"/>
            <w:gridSpan w:val="4"/>
            <w:vMerge w:val="continue"/>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17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0"/>
        </w:trPr>
        <w:tc>
          <w:tcPr>
            <w:tcW w:w="380" w:type="dxa"/>
            <w:vAlign w:val="bottom"/>
            <w:tcBorders>
              <w:bottom w:val="single" w:sz="8" w:color="E5FFFF"/>
            </w:tcBorders>
            <w:shd w:val="clear" w:color="auto" w:fill="000000"/>
          </w:tcPr>
          <w:p>
            <w:pPr>
              <w:spacing w:after="0" w:line="20" w:lineRule="exact"/>
              <w:rPr>
                <w:sz w:val="1"/>
                <w:szCs w:val="1"/>
                <w:color w:val="auto"/>
              </w:rPr>
            </w:pPr>
          </w:p>
        </w:tc>
        <w:tc>
          <w:tcPr>
            <w:tcW w:w="700" w:type="dxa"/>
            <w:vAlign w:val="bottom"/>
            <w:tcBorders>
              <w:bottom w:val="single" w:sz="8" w:color="E5FFFF"/>
            </w:tcBorders>
          </w:tcPr>
          <w:p>
            <w:pPr>
              <w:spacing w:after="0" w:line="20" w:lineRule="exact"/>
              <w:rPr>
                <w:sz w:val="1"/>
                <w:szCs w:val="1"/>
                <w:color w:val="auto"/>
              </w:rPr>
            </w:pPr>
          </w:p>
        </w:tc>
        <w:tc>
          <w:tcPr>
            <w:tcW w:w="200" w:type="dxa"/>
            <w:vAlign w:val="bottom"/>
            <w:tcBorders>
              <w:bottom w:val="single" w:sz="8" w:color="E5FFFF"/>
            </w:tcBorders>
          </w:tcPr>
          <w:p>
            <w:pPr>
              <w:spacing w:after="0" w:line="20" w:lineRule="exact"/>
              <w:rPr>
                <w:sz w:val="1"/>
                <w:szCs w:val="1"/>
                <w:color w:val="auto"/>
              </w:rPr>
            </w:pPr>
          </w:p>
        </w:tc>
        <w:tc>
          <w:tcPr>
            <w:tcW w:w="4600" w:type="dxa"/>
            <w:vAlign w:val="bottom"/>
            <w:tcBorders>
              <w:bottom w:val="single" w:sz="8" w:color="E5FFFF"/>
            </w:tcBorders>
          </w:tcPr>
          <w:p>
            <w:pPr>
              <w:spacing w:after="0" w:line="20" w:lineRule="exact"/>
              <w:rPr>
                <w:sz w:val="1"/>
                <w:szCs w:val="1"/>
                <w:color w:val="auto"/>
              </w:rPr>
            </w:pPr>
          </w:p>
        </w:tc>
        <w:tc>
          <w:tcPr>
            <w:tcW w:w="1200" w:type="dxa"/>
            <w:vAlign w:val="bottom"/>
            <w:tcBorders>
              <w:bottom w:val="single" w:sz="8" w:color="E5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E5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E5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80" w:type="dxa"/>
            <w:vAlign w:val="bottom"/>
            <w:gridSpan w:val="4"/>
            <w:shd w:val="clear" w:color="auto" w:fill="E5FFFF"/>
          </w:tcPr>
          <w:p>
            <w:pPr>
              <w:ind w:left="180"/>
              <w:spacing w:after="0" w:line="189" w:lineRule="exact"/>
              <w:rPr>
                <w:sz w:val="20"/>
                <w:szCs w:val="20"/>
                <w:color w:val="auto"/>
              </w:rPr>
            </w:pPr>
            <w:r>
              <w:rPr>
                <w:rFonts w:ascii="Arial" w:cs="Arial" w:eastAsia="Arial" w:hAnsi="Arial"/>
                <w:sz w:val="18"/>
                <w:szCs w:val="18"/>
                <w:color w:val="auto"/>
              </w:rPr>
              <w:t>Net income attributable to Honeywell</w:t>
            </w:r>
          </w:p>
        </w:tc>
        <w:tc>
          <w:tcPr>
            <w:tcW w:w="1200" w:type="dxa"/>
            <w:vAlign w:val="bottom"/>
            <w:shd w:val="clear" w:color="auto" w:fill="E5FFFF"/>
          </w:tcPr>
          <w:p>
            <w:pPr>
              <w:spacing w:after="0"/>
              <w:rPr>
                <w:sz w:val="16"/>
                <w:szCs w:val="16"/>
                <w:color w:val="auto"/>
              </w:rPr>
            </w:pPr>
          </w:p>
        </w:tc>
        <w:tc>
          <w:tcPr>
            <w:tcW w:w="220" w:type="dxa"/>
            <w:vAlign w:val="bottom"/>
            <w:shd w:val="clear" w:color="auto" w:fill="E5FFFF"/>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E5FFFF"/>
          </w:tcPr>
          <w:p>
            <w:pPr>
              <w:jc w:val="right"/>
              <w:spacing w:after="0" w:line="189" w:lineRule="exact"/>
              <w:rPr>
                <w:sz w:val="20"/>
                <w:szCs w:val="20"/>
                <w:color w:val="auto"/>
              </w:rPr>
            </w:pPr>
            <w:r>
              <w:rPr>
                <w:rFonts w:ascii="Arial" w:cs="Arial" w:eastAsia="Arial" w:hAnsi="Arial"/>
                <w:sz w:val="18"/>
                <w:szCs w:val="18"/>
                <w:color w:val="auto"/>
              </w:rPr>
              <w:t>4,809</w:t>
            </w:r>
          </w:p>
        </w:tc>
        <w:tc>
          <w:tcPr>
            <w:tcW w:w="80" w:type="dxa"/>
            <w:vAlign w:val="bottom"/>
            <w:shd w:val="clear" w:color="auto" w:fill="E5FFFF"/>
          </w:tcPr>
          <w:p>
            <w:pPr>
              <w:spacing w:after="0"/>
              <w:rPr>
                <w:sz w:val="16"/>
                <w:szCs w:val="16"/>
                <w:color w:val="auto"/>
              </w:rPr>
            </w:pPr>
          </w:p>
        </w:tc>
        <w:tc>
          <w:tcPr>
            <w:tcW w:w="340" w:type="dxa"/>
            <w:vAlign w:val="bottom"/>
            <w:shd w:val="clear" w:color="auto" w:fill="E5FFFF"/>
          </w:tcPr>
          <w:p>
            <w:pPr>
              <w:spacing w:after="0"/>
              <w:rPr>
                <w:sz w:val="16"/>
                <w:szCs w:val="16"/>
                <w:color w:val="auto"/>
              </w:rPr>
            </w:pPr>
          </w:p>
        </w:tc>
        <w:tc>
          <w:tcPr>
            <w:tcW w:w="220" w:type="dxa"/>
            <w:vAlign w:val="bottom"/>
            <w:shd w:val="clear" w:color="auto" w:fill="E5FFFF"/>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E5FFFF"/>
          </w:tcPr>
          <w:p>
            <w:pPr>
              <w:jc w:val="right"/>
              <w:ind w:right="34"/>
              <w:spacing w:after="0" w:line="189" w:lineRule="exact"/>
              <w:rPr>
                <w:sz w:val="20"/>
                <w:szCs w:val="20"/>
                <w:color w:val="auto"/>
              </w:rPr>
            </w:pPr>
            <w:r>
              <w:rPr>
                <w:rFonts w:ascii="Arial" w:cs="Arial" w:eastAsia="Arial" w:hAnsi="Arial"/>
                <w:sz w:val="18"/>
                <w:szCs w:val="18"/>
                <w:color w:val="auto"/>
              </w:rPr>
              <w:t>4,768</w:t>
            </w:r>
          </w:p>
        </w:tc>
        <w:tc>
          <w:tcPr>
            <w:tcW w:w="340" w:type="dxa"/>
            <w:vAlign w:val="bottom"/>
            <w:shd w:val="clear" w:color="auto" w:fill="E5FFFF"/>
          </w:tcPr>
          <w:p>
            <w:pPr>
              <w:spacing w:after="0"/>
              <w:rPr>
                <w:sz w:val="16"/>
                <w:szCs w:val="16"/>
                <w:color w:val="auto"/>
              </w:rPr>
            </w:pPr>
          </w:p>
        </w:tc>
        <w:tc>
          <w:tcPr>
            <w:tcW w:w="240" w:type="dxa"/>
            <w:vAlign w:val="bottom"/>
            <w:shd w:val="clear" w:color="auto" w:fill="E5FFFF"/>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E5FFFF"/>
          </w:tcPr>
          <w:p>
            <w:pPr>
              <w:jc w:val="right"/>
              <w:ind w:right="34"/>
              <w:spacing w:after="0" w:line="189" w:lineRule="exact"/>
              <w:rPr>
                <w:sz w:val="20"/>
                <w:szCs w:val="20"/>
                <w:color w:val="auto"/>
              </w:rPr>
            </w:pPr>
            <w:r>
              <w:rPr>
                <w:rFonts w:ascii="Arial" w:cs="Arial" w:eastAsia="Arial" w:hAnsi="Arial"/>
                <w:sz w:val="18"/>
                <w:szCs w:val="18"/>
                <w:color w:val="auto"/>
              </w:rPr>
              <w:t>4,239</w:t>
            </w:r>
          </w:p>
        </w:tc>
        <w:tc>
          <w:tcPr>
            <w:tcW w:w="0" w:type="dxa"/>
            <w:vAlign w:val="bottom"/>
          </w:tcPr>
          <w:p>
            <w:pPr>
              <w:spacing w:after="0"/>
              <w:rPr>
                <w:sz w:val="1"/>
                <w:szCs w:val="1"/>
                <w:color w:val="auto"/>
              </w:rPr>
            </w:pPr>
          </w:p>
        </w:tc>
      </w:tr>
      <w:tr>
        <w:trPr>
          <w:trHeight w:val="432"/>
        </w:trPr>
        <w:tc>
          <w:tcPr>
            <w:tcW w:w="5880" w:type="dxa"/>
            <w:vAlign w:val="bottom"/>
            <w:gridSpan w:val="4"/>
          </w:tcPr>
          <w:p>
            <w:pPr>
              <w:ind w:left="180"/>
              <w:spacing w:after="0"/>
              <w:rPr>
                <w:sz w:val="20"/>
                <w:szCs w:val="20"/>
                <w:color w:val="auto"/>
              </w:rPr>
            </w:pPr>
            <w:r>
              <w:rPr>
                <w:rFonts w:ascii="Arial" w:cs="Arial" w:eastAsia="Arial" w:hAnsi="Arial"/>
                <w:sz w:val="18"/>
                <w:szCs w:val="18"/>
                <w:color w:val="auto"/>
              </w:rPr>
              <w:t>Weighted average shares outstanding</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764.3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779.8</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784.4</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gridSpan w:val="4"/>
            <w:shd w:val="clear" w:color="auto" w:fill="E5FFFF"/>
          </w:tcPr>
          <w:p>
            <w:pPr>
              <w:ind w:left="180"/>
              <w:spacing w:after="0" w:line="202" w:lineRule="exact"/>
              <w:rPr>
                <w:sz w:val="20"/>
                <w:szCs w:val="20"/>
                <w:color w:val="auto"/>
              </w:rPr>
            </w:pPr>
            <w:r>
              <w:rPr>
                <w:rFonts w:ascii="Arial" w:cs="Arial" w:eastAsia="Arial" w:hAnsi="Arial"/>
                <w:sz w:val="18"/>
                <w:szCs w:val="18"/>
                <w:color w:val="auto"/>
              </w:rPr>
              <w:t>Earnings per share of common stock</w:t>
            </w:r>
          </w:p>
        </w:tc>
        <w:tc>
          <w:tcPr>
            <w:tcW w:w="1420" w:type="dxa"/>
            <w:vAlign w:val="bottom"/>
            <w:gridSpan w:val="2"/>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6.29</w:t>
            </w:r>
          </w:p>
        </w:tc>
        <w:tc>
          <w:tcPr>
            <w:tcW w:w="640" w:type="dxa"/>
            <w:vAlign w:val="bottom"/>
            <w:gridSpan w:val="3"/>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6.11</w:t>
            </w:r>
          </w:p>
        </w:tc>
        <w:tc>
          <w:tcPr>
            <w:tcW w:w="580" w:type="dxa"/>
            <w:vAlign w:val="bottom"/>
            <w:gridSpan w:val="2"/>
            <w:shd w:val="clear" w:color="auto" w:fill="E5FF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378"/>
        </w:trPr>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Assuming Dilution</w:t>
            </w:r>
          </w:p>
        </w:tc>
        <w:tc>
          <w:tcPr>
            <w:tcW w:w="4600" w:type="dxa"/>
            <w:vAlign w:val="bottom"/>
            <w:vMerge w:val="restart"/>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280" w:type="dxa"/>
            <w:vAlign w:val="bottom"/>
            <w:tcBorders>
              <w:bottom w:val="single" w:sz="8" w:color="auto"/>
            </w:tcBorders>
            <w:gridSpan w:val="3"/>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17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0"/>
        </w:trPr>
        <w:tc>
          <w:tcPr>
            <w:tcW w:w="5880" w:type="dxa"/>
            <w:vAlign w:val="bottom"/>
            <w:tcBorders>
              <w:top w:val="single" w:sz="8" w:color="E5FFFF"/>
            </w:tcBorders>
            <w:gridSpan w:val="4"/>
            <w:shd w:val="clear" w:color="auto" w:fill="E5FFFF"/>
          </w:tcPr>
          <w:p>
            <w:pPr>
              <w:ind w:left="180"/>
              <w:spacing w:after="0" w:line="189" w:lineRule="exact"/>
              <w:rPr>
                <w:sz w:val="20"/>
                <w:szCs w:val="20"/>
                <w:color w:val="auto"/>
              </w:rPr>
            </w:pPr>
            <w:r>
              <w:rPr>
                <w:rFonts w:ascii="Arial" w:cs="Arial" w:eastAsia="Arial" w:hAnsi="Arial"/>
                <w:sz w:val="18"/>
                <w:szCs w:val="18"/>
                <w:color w:val="auto"/>
              </w:rPr>
              <w:t>Net income attributable to Honeywell</w:t>
            </w:r>
          </w:p>
        </w:tc>
        <w:tc>
          <w:tcPr>
            <w:tcW w:w="1200" w:type="dxa"/>
            <w:vAlign w:val="bottom"/>
            <w:tcBorders>
              <w:top w:val="single" w:sz="8" w:color="E5FFFF"/>
            </w:tcBorders>
            <w:shd w:val="clear" w:color="auto" w:fill="E5FFFF"/>
          </w:tcPr>
          <w:p>
            <w:pPr>
              <w:spacing w:after="0"/>
              <w:rPr>
                <w:sz w:val="16"/>
                <w:szCs w:val="16"/>
                <w:color w:val="auto"/>
              </w:rPr>
            </w:pPr>
          </w:p>
        </w:tc>
        <w:tc>
          <w:tcPr>
            <w:tcW w:w="220" w:type="dxa"/>
            <w:vAlign w:val="bottom"/>
            <w:tcBorders>
              <w:top w:val="single" w:sz="8" w:color="auto"/>
            </w:tcBorders>
            <w:shd w:val="clear" w:color="auto" w:fill="E5FFFF"/>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E5FFFF"/>
          </w:tcPr>
          <w:p>
            <w:pPr>
              <w:jc w:val="right"/>
              <w:spacing w:after="0" w:line="189" w:lineRule="exact"/>
              <w:rPr>
                <w:sz w:val="20"/>
                <w:szCs w:val="20"/>
                <w:color w:val="auto"/>
              </w:rPr>
            </w:pPr>
            <w:r>
              <w:rPr>
                <w:rFonts w:ascii="Arial" w:cs="Arial" w:eastAsia="Arial" w:hAnsi="Arial"/>
                <w:sz w:val="18"/>
                <w:szCs w:val="18"/>
                <w:color w:val="auto"/>
              </w:rPr>
              <w:t>4,809</w:t>
            </w:r>
          </w:p>
        </w:tc>
        <w:tc>
          <w:tcPr>
            <w:tcW w:w="80" w:type="dxa"/>
            <w:vAlign w:val="bottom"/>
            <w:tcBorders>
              <w:top w:val="single" w:sz="8" w:color="auto"/>
            </w:tcBorders>
            <w:shd w:val="clear" w:color="auto" w:fill="E5FFFF"/>
          </w:tcPr>
          <w:p>
            <w:pPr>
              <w:spacing w:after="0"/>
              <w:rPr>
                <w:sz w:val="16"/>
                <w:szCs w:val="16"/>
                <w:color w:val="auto"/>
              </w:rPr>
            </w:pPr>
          </w:p>
        </w:tc>
        <w:tc>
          <w:tcPr>
            <w:tcW w:w="340" w:type="dxa"/>
            <w:vAlign w:val="bottom"/>
            <w:tcBorders>
              <w:top w:val="single" w:sz="8" w:color="E5FFFF"/>
            </w:tcBorders>
            <w:shd w:val="clear" w:color="auto" w:fill="E5FFFF"/>
          </w:tcPr>
          <w:p>
            <w:pPr>
              <w:spacing w:after="0"/>
              <w:rPr>
                <w:sz w:val="16"/>
                <w:szCs w:val="16"/>
                <w:color w:val="auto"/>
              </w:rPr>
            </w:pPr>
          </w:p>
        </w:tc>
        <w:tc>
          <w:tcPr>
            <w:tcW w:w="220" w:type="dxa"/>
            <w:vAlign w:val="bottom"/>
            <w:tcBorders>
              <w:top w:val="single" w:sz="8" w:color="auto"/>
            </w:tcBorders>
            <w:shd w:val="clear" w:color="auto" w:fill="E5FFFF"/>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E5FFFF"/>
          </w:tcPr>
          <w:p>
            <w:pPr>
              <w:jc w:val="right"/>
              <w:ind w:right="34"/>
              <w:spacing w:after="0" w:line="189" w:lineRule="exact"/>
              <w:rPr>
                <w:sz w:val="20"/>
                <w:szCs w:val="20"/>
                <w:color w:val="auto"/>
              </w:rPr>
            </w:pPr>
            <w:r>
              <w:rPr>
                <w:rFonts w:ascii="Arial" w:cs="Arial" w:eastAsia="Arial" w:hAnsi="Arial"/>
                <w:sz w:val="18"/>
                <w:szCs w:val="18"/>
                <w:color w:val="auto"/>
              </w:rPr>
              <w:t>4,768</w:t>
            </w:r>
          </w:p>
        </w:tc>
        <w:tc>
          <w:tcPr>
            <w:tcW w:w="340" w:type="dxa"/>
            <w:vAlign w:val="bottom"/>
            <w:tcBorders>
              <w:top w:val="single" w:sz="8" w:color="E5FFFF"/>
            </w:tcBorders>
            <w:shd w:val="clear" w:color="auto" w:fill="E5FFFF"/>
          </w:tcPr>
          <w:p>
            <w:pPr>
              <w:spacing w:after="0"/>
              <w:rPr>
                <w:sz w:val="16"/>
                <w:szCs w:val="16"/>
                <w:color w:val="auto"/>
              </w:rPr>
            </w:pPr>
          </w:p>
        </w:tc>
        <w:tc>
          <w:tcPr>
            <w:tcW w:w="240" w:type="dxa"/>
            <w:vAlign w:val="bottom"/>
            <w:tcBorders>
              <w:top w:val="single" w:sz="8" w:color="auto"/>
            </w:tcBorders>
            <w:shd w:val="clear" w:color="auto" w:fill="E5FFFF"/>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E5FFFF"/>
          </w:tcPr>
          <w:p>
            <w:pPr>
              <w:jc w:val="right"/>
              <w:ind w:right="34"/>
              <w:spacing w:after="0" w:line="189" w:lineRule="exact"/>
              <w:rPr>
                <w:sz w:val="20"/>
                <w:szCs w:val="20"/>
                <w:color w:val="auto"/>
              </w:rPr>
            </w:pPr>
            <w:r>
              <w:rPr>
                <w:rFonts w:ascii="Arial" w:cs="Arial" w:eastAsia="Arial" w:hAnsi="Arial"/>
                <w:sz w:val="18"/>
                <w:szCs w:val="18"/>
                <w:color w:val="auto"/>
              </w:rPr>
              <w:t>4,239</w:t>
            </w:r>
          </w:p>
        </w:tc>
        <w:tc>
          <w:tcPr>
            <w:tcW w:w="0" w:type="dxa"/>
            <w:vAlign w:val="bottom"/>
          </w:tcPr>
          <w:p>
            <w:pPr>
              <w:spacing w:after="0"/>
              <w:rPr>
                <w:sz w:val="1"/>
                <w:szCs w:val="1"/>
                <w:color w:val="auto"/>
              </w:rPr>
            </w:pPr>
          </w:p>
        </w:tc>
      </w:tr>
      <w:tr>
        <w:trPr>
          <w:trHeight w:val="432"/>
        </w:trPr>
        <w:tc>
          <w:tcPr>
            <w:tcW w:w="5880" w:type="dxa"/>
            <w:vAlign w:val="bottom"/>
            <w:gridSpan w:val="4"/>
          </w:tcPr>
          <w:p>
            <w:pPr>
              <w:spacing w:after="0"/>
              <w:rPr>
                <w:sz w:val="20"/>
                <w:szCs w:val="20"/>
                <w:color w:val="auto"/>
              </w:rPr>
            </w:pPr>
            <w:r>
              <w:rPr>
                <w:rFonts w:ascii="Arial" w:cs="Arial" w:eastAsia="Arial" w:hAnsi="Arial"/>
                <w:sz w:val="14"/>
                <w:szCs w:val="14"/>
                <w:b w:val="1"/>
                <w:bCs w:val="1"/>
                <w:color w:val="auto"/>
              </w:rPr>
              <w:t>Average Shares</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80" w:type="dxa"/>
            <w:vAlign w:val="bottom"/>
            <w:gridSpan w:val="4"/>
            <w:shd w:val="clear" w:color="auto" w:fill="E5FFFF"/>
          </w:tcPr>
          <w:p>
            <w:pPr>
              <w:ind w:left="180"/>
              <w:spacing w:after="0" w:line="196" w:lineRule="exact"/>
              <w:rPr>
                <w:sz w:val="20"/>
                <w:szCs w:val="20"/>
                <w:color w:val="auto"/>
              </w:rPr>
            </w:pPr>
            <w:r>
              <w:rPr>
                <w:rFonts w:ascii="Arial" w:cs="Arial" w:eastAsia="Arial" w:hAnsi="Arial"/>
                <w:sz w:val="18"/>
                <w:szCs w:val="18"/>
                <w:color w:val="auto"/>
              </w:rPr>
              <w:t>Weighted average shares outstanding</w:t>
            </w:r>
          </w:p>
        </w:tc>
        <w:tc>
          <w:tcPr>
            <w:tcW w:w="12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764.3</w:t>
            </w:r>
          </w:p>
        </w:tc>
        <w:tc>
          <w:tcPr>
            <w:tcW w:w="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779.8</w:t>
            </w: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784.4</w:t>
            </w:r>
          </w:p>
        </w:tc>
        <w:tc>
          <w:tcPr>
            <w:tcW w:w="0" w:type="dxa"/>
            <w:vAlign w:val="bottom"/>
          </w:tcPr>
          <w:p>
            <w:pPr>
              <w:spacing w:after="0"/>
              <w:rPr>
                <w:sz w:val="1"/>
                <w:szCs w:val="1"/>
                <w:color w:val="auto"/>
              </w:rPr>
            </w:pPr>
          </w:p>
        </w:tc>
      </w:tr>
      <w:tr>
        <w:trPr>
          <w:trHeight w:val="216"/>
        </w:trPr>
        <w:tc>
          <w:tcPr>
            <w:tcW w:w="5880" w:type="dxa"/>
            <w:vAlign w:val="bottom"/>
            <w:tcBorders>
              <w:bottom w:val="single" w:sz="8" w:color="E5FFFF"/>
            </w:tcBorders>
            <w:gridSpan w:val="4"/>
          </w:tcPr>
          <w:p>
            <w:pPr>
              <w:ind w:left="180"/>
              <w:spacing w:after="0"/>
              <w:rPr>
                <w:sz w:val="20"/>
                <w:szCs w:val="20"/>
                <w:color w:val="auto"/>
              </w:rPr>
            </w:pPr>
            <w:r>
              <w:rPr>
                <w:rFonts w:ascii="Arial" w:cs="Arial" w:eastAsia="Arial" w:hAnsi="Arial"/>
                <w:sz w:val="18"/>
                <w:szCs w:val="18"/>
                <w:color w:val="auto"/>
              </w:rPr>
              <w:t>Dilutive securities issuable - stock plans</w:t>
            </w:r>
          </w:p>
        </w:tc>
        <w:tc>
          <w:tcPr>
            <w:tcW w:w="120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9.5</w:t>
            </w:r>
          </w:p>
        </w:tc>
        <w:tc>
          <w:tcPr>
            <w:tcW w:w="34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0"/>
        </w:trPr>
        <w:tc>
          <w:tcPr>
            <w:tcW w:w="5880" w:type="dxa"/>
            <w:vAlign w:val="bottom"/>
            <w:tcBorders>
              <w:bottom w:val="single" w:sz="8" w:color="E5FFFF"/>
            </w:tcBorders>
            <w:gridSpan w:val="4"/>
            <w:shd w:val="clear" w:color="auto" w:fill="E5FFFF"/>
          </w:tcPr>
          <w:p>
            <w:pPr>
              <w:ind w:left="180"/>
              <w:spacing w:after="0" w:line="197" w:lineRule="exact"/>
              <w:rPr>
                <w:sz w:val="20"/>
                <w:szCs w:val="20"/>
                <w:color w:val="auto"/>
              </w:rPr>
            </w:pPr>
            <w:r>
              <w:rPr>
                <w:rFonts w:ascii="Arial" w:cs="Arial" w:eastAsia="Arial" w:hAnsi="Arial"/>
                <w:sz w:val="18"/>
                <w:szCs w:val="18"/>
                <w:color w:val="auto"/>
              </w:rPr>
              <w:t>Total weighted average diluted shares outstanding</w:t>
            </w:r>
          </w:p>
        </w:tc>
        <w:tc>
          <w:tcPr>
            <w:tcW w:w="1200" w:type="dxa"/>
            <w:vAlign w:val="bottom"/>
            <w:tcBorders>
              <w:bottom w:val="single" w:sz="8" w:color="E5FFFF"/>
            </w:tcBorders>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775.3</w:t>
            </w:r>
          </w:p>
        </w:tc>
        <w:tc>
          <w:tcPr>
            <w:tcW w:w="80" w:type="dxa"/>
            <w:vAlign w:val="bottom"/>
            <w:tcBorders>
              <w:bottom w:val="single" w:sz="8" w:color="auto"/>
            </w:tcBorders>
            <w:shd w:val="clear" w:color="auto" w:fill="E5FFFF"/>
          </w:tcPr>
          <w:p>
            <w:pPr>
              <w:spacing w:after="0"/>
              <w:rPr>
                <w:sz w:val="18"/>
                <w:szCs w:val="18"/>
                <w:color w:val="auto"/>
              </w:rPr>
            </w:pPr>
          </w:p>
        </w:tc>
        <w:tc>
          <w:tcPr>
            <w:tcW w:w="340" w:type="dxa"/>
            <w:vAlign w:val="bottom"/>
            <w:tcBorders>
              <w:bottom w:val="single" w:sz="8" w:color="E5FFFF"/>
            </w:tcBorders>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800" w:type="dxa"/>
            <w:vAlign w:val="bottom"/>
            <w:tcBorders>
              <w:bottom w:val="single" w:sz="8" w:color="auto"/>
            </w:tcBorders>
            <w:shd w:val="clear" w:color="auto" w:fill="E5FFFF"/>
          </w:tcPr>
          <w:p>
            <w:pPr>
              <w:jc w:val="right"/>
              <w:ind w:right="34"/>
              <w:spacing w:after="0"/>
              <w:rPr>
                <w:sz w:val="20"/>
                <w:szCs w:val="20"/>
                <w:color w:val="auto"/>
              </w:rPr>
            </w:pPr>
            <w:r>
              <w:rPr>
                <w:rFonts w:ascii="Arial" w:cs="Arial" w:eastAsia="Arial" w:hAnsi="Arial"/>
                <w:sz w:val="18"/>
                <w:szCs w:val="18"/>
                <w:color w:val="auto"/>
              </w:rPr>
              <w:t>789.3</w:t>
            </w:r>
          </w:p>
        </w:tc>
        <w:tc>
          <w:tcPr>
            <w:tcW w:w="340" w:type="dxa"/>
            <w:vAlign w:val="bottom"/>
            <w:tcBorders>
              <w:bottom w:val="single" w:sz="8" w:color="E5FFFF"/>
            </w:tcBorders>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20" w:type="dxa"/>
            <w:vAlign w:val="bottom"/>
            <w:tcBorders>
              <w:bottom w:val="single" w:sz="8" w:color="auto"/>
            </w:tcBorders>
            <w:shd w:val="clear" w:color="auto" w:fill="E5FFFF"/>
          </w:tcPr>
          <w:p>
            <w:pPr>
              <w:jc w:val="right"/>
              <w:ind w:right="34"/>
              <w:spacing w:after="0"/>
              <w:rPr>
                <w:sz w:val="20"/>
                <w:szCs w:val="20"/>
                <w:color w:val="auto"/>
              </w:rPr>
            </w:pPr>
            <w:r>
              <w:rPr>
                <w:rFonts w:ascii="Arial" w:cs="Arial" w:eastAsia="Arial" w:hAnsi="Arial"/>
                <w:sz w:val="18"/>
                <w:szCs w:val="18"/>
                <w:color w:val="auto"/>
              </w:rPr>
              <w:t>795.2</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80" w:type="dxa"/>
            <w:vAlign w:val="bottom"/>
            <w:gridSpan w:val="4"/>
          </w:tcPr>
          <w:p>
            <w:pPr>
              <w:ind w:left="180"/>
              <w:spacing w:after="0"/>
              <w:rPr>
                <w:sz w:val="20"/>
                <w:szCs w:val="20"/>
                <w:color w:val="auto"/>
              </w:rPr>
            </w:pPr>
            <w:r>
              <w:rPr>
                <w:rFonts w:ascii="Arial" w:cs="Arial" w:eastAsia="Arial" w:hAnsi="Arial"/>
                <w:sz w:val="18"/>
                <w:szCs w:val="18"/>
                <w:color w:val="auto"/>
              </w:rPr>
              <w:t>Earnings per share of common stock - assuming dilution</w:t>
            </w:r>
          </w:p>
        </w:tc>
        <w:tc>
          <w:tcPr>
            <w:tcW w:w="1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6.20</w:t>
            </w:r>
          </w:p>
        </w:tc>
        <w:tc>
          <w:tcPr>
            <w:tcW w:w="6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6.04</w:t>
            </w:r>
          </w:p>
        </w:tc>
        <w:tc>
          <w:tcPr>
            <w:tcW w:w="5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diluted earnings per share calculations exclude the effect of stock options when the options’ assumed proceeds exceed the average market price of the common shares during the period. In 2016, 2015, and 2014 the weighted number of stock options excluded from the computations were 7.5 million, 7.1 million, and 4.7 million. These stock options were outstanding at the end of each of the respective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Accounts, Notes and Other Receivables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74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5"/>
                <w:szCs w:val="15"/>
                <w:color w:val="auto"/>
              </w:rPr>
            </w:pPr>
          </w:p>
        </w:tc>
      </w:tr>
      <w:tr>
        <w:trPr>
          <w:trHeight w:val="169"/>
        </w:trPr>
        <w:tc>
          <w:tcPr>
            <w:tcW w:w="7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r>
      <w:tr>
        <w:trPr>
          <w:trHeight w:val="210"/>
        </w:trPr>
        <w:tc>
          <w:tcPr>
            <w:tcW w:w="7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3"/>
        </w:trPr>
        <w:tc>
          <w:tcPr>
            <w:tcW w:w="748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color w:val="auto"/>
              </w:rPr>
              <w:t>Trade</w:t>
            </w:r>
          </w:p>
        </w:tc>
        <w:tc>
          <w:tcPr>
            <w:tcW w:w="280" w:type="dxa"/>
            <w:vAlign w:val="bottom"/>
            <w:shd w:val="clear" w:color="auto" w:fill="E5FF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E5FFFF"/>
          </w:tcPr>
          <w:p>
            <w:pPr>
              <w:jc w:val="right"/>
              <w:ind w:right="35"/>
              <w:spacing w:after="0" w:line="202" w:lineRule="exact"/>
              <w:rPr>
                <w:sz w:val="20"/>
                <w:szCs w:val="20"/>
                <w:color w:val="auto"/>
              </w:rPr>
            </w:pPr>
            <w:r>
              <w:rPr>
                <w:rFonts w:ascii="Arial" w:cs="Arial" w:eastAsia="Arial" w:hAnsi="Arial"/>
                <w:sz w:val="18"/>
                <w:szCs w:val="18"/>
                <w:color w:val="auto"/>
              </w:rPr>
              <w:t>8,449</w:t>
            </w:r>
          </w:p>
        </w:tc>
        <w:tc>
          <w:tcPr>
            <w:tcW w:w="700" w:type="dxa"/>
            <w:vAlign w:val="bottom"/>
            <w:gridSpan w:val="2"/>
            <w:shd w:val="clear" w:color="auto" w:fill="E5FF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53"/>
              <w:spacing w:after="0" w:line="202" w:lineRule="exact"/>
              <w:rPr>
                <w:sz w:val="20"/>
                <w:szCs w:val="20"/>
                <w:color w:val="auto"/>
              </w:rPr>
            </w:pPr>
            <w:r>
              <w:rPr>
                <w:rFonts w:ascii="Arial" w:cs="Arial" w:eastAsia="Arial" w:hAnsi="Arial"/>
                <w:sz w:val="18"/>
                <w:szCs w:val="18"/>
                <w:color w:val="auto"/>
              </w:rPr>
              <w:t>7,901</w:t>
            </w:r>
          </w:p>
        </w:tc>
      </w:tr>
      <w:tr>
        <w:trPr>
          <w:trHeight w:val="216"/>
        </w:trPr>
        <w:tc>
          <w:tcPr>
            <w:tcW w:w="7480" w:type="dxa"/>
            <w:vAlign w:val="bottom"/>
            <w:tcBorders>
              <w:bottom w:val="single" w:sz="8" w:color="E5FFFF"/>
            </w:tcBorders>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674</w:t>
            </w:r>
          </w:p>
        </w:tc>
        <w:tc>
          <w:tcPr>
            <w:tcW w:w="280" w:type="dxa"/>
            <w:vAlign w:val="bottom"/>
            <w:tcBorders>
              <w:bottom w:val="single" w:sz="8" w:color="E5FF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436</w:t>
            </w:r>
          </w:p>
        </w:tc>
      </w:tr>
      <w:tr>
        <w:trPr>
          <w:trHeight w:val="196"/>
        </w:trPr>
        <w:tc>
          <w:tcPr>
            <w:tcW w:w="74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940" w:type="dxa"/>
            <w:vAlign w:val="bottom"/>
            <w:shd w:val="clear" w:color="auto" w:fill="E5FFFF"/>
          </w:tcPr>
          <w:p>
            <w:pPr>
              <w:jc w:val="right"/>
              <w:ind w:right="35"/>
              <w:spacing w:after="0" w:line="196" w:lineRule="exact"/>
              <w:rPr>
                <w:sz w:val="20"/>
                <w:szCs w:val="20"/>
                <w:color w:val="auto"/>
              </w:rPr>
            </w:pPr>
            <w:r>
              <w:rPr>
                <w:rFonts w:ascii="Arial" w:cs="Arial" w:eastAsia="Arial" w:hAnsi="Arial"/>
                <w:sz w:val="18"/>
                <w:szCs w:val="18"/>
                <w:color w:val="auto"/>
              </w:rPr>
              <w:t>9,123</w:t>
            </w:r>
          </w:p>
        </w:tc>
        <w:tc>
          <w:tcPr>
            <w:tcW w:w="28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53"/>
              <w:spacing w:after="0" w:line="196" w:lineRule="exact"/>
              <w:rPr>
                <w:sz w:val="20"/>
                <w:szCs w:val="20"/>
                <w:color w:val="auto"/>
              </w:rPr>
            </w:pPr>
            <w:r>
              <w:rPr>
                <w:rFonts w:ascii="Arial" w:cs="Arial" w:eastAsia="Arial" w:hAnsi="Arial"/>
                <w:sz w:val="18"/>
                <w:szCs w:val="18"/>
                <w:color w:val="auto"/>
              </w:rPr>
              <w:t>8,337</w:t>
            </w:r>
          </w:p>
        </w:tc>
      </w:tr>
      <w:tr>
        <w:trPr>
          <w:trHeight w:val="216"/>
        </w:trPr>
        <w:tc>
          <w:tcPr>
            <w:tcW w:w="7480" w:type="dxa"/>
            <w:vAlign w:val="bottom"/>
            <w:tcBorders>
              <w:bottom w:val="single" w:sz="8" w:color="E5FFFF"/>
            </w:tcBorders>
          </w:tcPr>
          <w:p>
            <w:pPr>
              <w:ind w:left="40"/>
              <w:spacing w:after="0"/>
              <w:rPr>
                <w:sz w:val="20"/>
                <w:szCs w:val="20"/>
                <w:color w:val="auto"/>
              </w:rPr>
            </w:pPr>
            <w:r>
              <w:rPr>
                <w:rFonts w:ascii="Arial" w:cs="Arial" w:eastAsia="Arial" w:hAnsi="Arial"/>
                <w:sz w:val="18"/>
                <w:szCs w:val="18"/>
                <w:color w:val="auto"/>
              </w:rPr>
              <w:t>Less - Allowance for doubtful accounts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280" w:type="dxa"/>
            <w:vAlign w:val="bottom"/>
            <w:tcBorders>
              <w:bottom w:val="single" w:sz="8" w:color="E5FF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r>
      <w:tr>
        <w:trPr>
          <w:trHeight w:val="223"/>
        </w:trPr>
        <w:tc>
          <w:tcPr>
            <w:tcW w:w="7480" w:type="dxa"/>
            <w:vAlign w:val="bottom"/>
            <w:shd w:val="clear" w:color="auto" w:fill="E5FFFF"/>
          </w:tcPr>
          <w:p>
            <w:pPr>
              <w:spacing w:after="0"/>
              <w:rPr>
                <w:sz w:val="19"/>
                <w:szCs w:val="19"/>
                <w:color w:val="auto"/>
              </w:rPr>
            </w:pPr>
          </w:p>
        </w:tc>
        <w:tc>
          <w:tcPr>
            <w:tcW w:w="280" w:type="dxa"/>
            <w:vAlign w:val="bottom"/>
            <w:shd w:val="clear" w:color="auto" w:fill="E5FF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5FFFF"/>
          </w:tcPr>
          <w:p>
            <w:pPr>
              <w:jc w:val="right"/>
              <w:ind w:right="35"/>
              <w:spacing w:after="0"/>
              <w:rPr>
                <w:sz w:val="20"/>
                <w:szCs w:val="20"/>
                <w:color w:val="auto"/>
              </w:rPr>
            </w:pPr>
            <w:r>
              <w:rPr>
                <w:rFonts w:ascii="Arial" w:cs="Arial" w:eastAsia="Arial" w:hAnsi="Arial"/>
                <w:sz w:val="18"/>
                <w:szCs w:val="18"/>
                <w:color w:val="auto"/>
              </w:rPr>
              <w:t>8,818</w:t>
            </w:r>
          </w:p>
        </w:tc>
        <w:tc>
          <w:tcPr>
            <w:tcW w:w="70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53"/>
              <w:spacing w:after="0"/>
              <w:rPr>
                <w:sz w:val="20"/>
                <w:szCs w:val="20"/>
                <w:color w:val="auto"/>
              </w:rPr>
            </w:pPr>
            <w:r>
              <w:rPr>
                <w:rFonts w:ascii="Arial" w:cs="Arial" w:eastAsia="Arial" w:hAnsi="Arial"/>
                <w:sz w:val="18"/>
                <w:szCs w:val="18"/>
                <w:color w:val="auto"/>
              </w:rPr>
              <w:t>8,075</w:t>
            </w:r>
          </w:p>
        </w:tc>
      </w:tr>
      <w:tr>
        <w:trPr>
          <w:trHeight w:val="20"/>
        </w:trPr>
        <w:tc>
          <w:tcPr>
            <w:tcW w:w="748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40" w:firstLine="648"/>
        <w:spacing w:after="0" w:line="246" w:lineRule="auto"/>
        <w:rPr>
          <w:sz w:val="20"/>
          <w:szCs w:val="20"/>
          <w:color w:val="auto"/>
        </w:rPr>
      </w:pPr>
      <w:r>
        <w:rPr>
          <w:rFonts w:ascii="Arial" w:cs="Arial" w:eastAsia="Arial" w:hAnsi="Arial"/>
          <w:sz w:val="18"/>
          <w:szCs w:val="18"/>
          <w:color w:val="auto"/>
        </w:rPr>
        <w:t>Trade Receivables includes $1,626 million and $1,590 million of unbilled balances under long-term contracts as of December 31, 2016 and December 31, 2015. These amounts are billed in accordance with the terms of customer contracts to which they relate.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Inventories</w:t>
      </w: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52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r>
      <w:tr>
        <w:trPr>
          <w:trHeight w:val="196"/>
        </w:trPr>
        <w:tc>
          <w:tcPr>
            <w:tcW w:w="5280" w:type="dxa"/>
            <w:vAlign w:val="bottom"/>
            <w:tcBorders>
              <w:bottom w:val="single" w:sz="8" w:color="E5FFFF"/>
            </w:tcBorders>
          </w:tcPr>
          <w:p>
            <w:pPr>
              <w:spacing w:after="0"/>
              <w:rPr>
                <w:sz w:val="17"/>
                <w:szCs w:val="17"/>
                <w:color w:val="auto"/>
              </w:rPr>
            </w:pPr>
          </w:p>
        </w:tc>
        <w:tc>
          <w:tcPr>
            <w:tcW w:w="298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E5FF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r>
      <w:tr>
        <w:trPr>
          <w:trHeight w:val="210"/>
        </w:trPr>
        <w:tc>
          <w:tcPr>
            <w:tcW w:w="5280" w:type="dxa"/>
            <w:vAlign w:val="bottom"/>
            <w:shd w:val="clear" w:color="auto" w:fill="E5FFFF"/>
          </w:tcPr>
          <w:p>
            <w:pPr>
              <w:spacing w:after="0"/>
              <w:rPr>
                <w:sz w:val="20"/>
                <w:szCs w:val="20"/>
                <w:color w:val="auto"/>
              </w:rPr>
            </w:pPr>
            <w:r>
              <w:rPr>
                <w:rFonts w:ascii="Arial" w:cs="Arial" w:eastAsia="Arial" w:hAnsi="Arial"/>
                <w:sz w:val="18"/>
                <w:szCs w:val="18"/>
                <w:color w:val="auto"/>
              </w:rPr>
              <w:t>Raw materials</w:t>
            </w:r>
          </w:p>
        </w:tc>
        <w:tc>
          <w:tcPr>
            <w:tcW w:w="322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34"/>
              <w:spacing w:after="0"/>
              <w:rPr>
                <w:sz w:val="20"/>
                <w:szCs w:val="20"/>
                <w:color w:val="auto"/>
              </w:rPr>
            </w:pPr>
            <w:r>
              <w:rPr>
                <w:rFonts w:ascii="Arial" w:cs="Arial" w:eastAsia="Arial" w:hAnsi="Arial"/>
                <w:sz w:val="18"/>
                <w:szCs w:val="18"/>
                <w:color w:val="auto"/>
              </w:rPr>
              <w:t>1,104</w:t>
            </w:r>
          </w:p>
        </w:tc>
        <w:tc>
          <w:tcPr>
            <w:tcW w:w="300" w:type="dxa"/>
            <w:vAlign w:val="bottom"/>
            <w:shd w:val="clear" w:color="auto" w:fill="E5FFFF"/>
          </w:tcPr>
          <w:p>
            <w:pPr>
              <w:spacing w:after="0"/>
              <w:rPr>
                <w:sz w:val="18"/>
                <w:szCs w:val="18"/>
                <w:color w:val="auto"/>
              </w:rPr>
            </w:pPr>
          </w:p>
        </w:tc>
        <w:tc>
          <w:tcPr>
            <w:tcW w:w="340" w:type="dxa"/>
            <w:vAlign w:val="bottom"/>
            <w:shd w:val="clear" w:color="auto" w:fill="E5FFFF"/>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1,120</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Work in process</w:t>
            </w:r>
          </w:p>
        </w:tc>
        <w:tc>
          <w:tcPr>
            <w:tcW w:w="2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775</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826</w:t>
            </w:r>
          </w:p>
        </w:tc>
      </w:tr>
      <w:tr>
        <w:trPr>
          <w:trHeight w:val="216"/>
        </w:trPr>
        <w:tc>
          <w:tcPr>
            <w:tcW w:w="5280" w:type="dxa"/>
            <w:vAlign w:val="bottom"/>
            <w:shd w:val="clear" w:color="auto" w:fill="E5FFFF"/>
          </w:tcPr>
          <w:p>
            <w:pPr>
              <w:spacing w:after="0"/>
              <w:rPr>
                <w:sz w:val="20"/>
                <w:szCs w:val="20"/>
                <w:color w:val="auto"/>
              </w:rPr>
            </w:pPr>
            <w:r>
              <w:rPr>
                <w:rFonts w:ascii="Arial" w:cs="Arial" w:eastAsia="Arial" w:hAnsi="Arial"/>
                <w:sz w:val="18"/>
                <w:szCs w:val="18"/>
                <w:color w:val="auto"/>
              </w:rPr>
              <w:t>Finished products</w:t>
            </w:r>
          </w:p>
        </w:tc>
        <w:tc>
          <w:tcPr>
            <w:tcW w:w="298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34"/>
              <w:spacing w:after="0"/>
              <w:rPr>
                <w:sz w:val="20"/>
                <w:szCs w:val="20"/>
                <w:color w:val="auto"/>
              </w:rPr>
            </w:pPr>
            <w:r>
              <w:rPr>
                <w:rFonts w:ascii="Arial" w:cs="Arial" w:eastAsia="Arial" w:hAnsi="Arial"/>
                <w:sz w:val="18"/>
                <w:szCs w:val="18"/>
                <w:color w:val="auto"/>
              </w:rPr>
              <w:t>2,552</w:t>
            </w:r>
          </w:p>
        </w:tc>
        <w:tc>
          <w:tcPr>
            <w:tcW w:w="300" w:type="dxa"/>
            <w:vAlign w:val="bottom"/>
            <w:shd w:val="clear" w:color="auto" w:fill="E5FFFF"/>
          </w:tcPr>
          <w:p>
            <w:pPr>
              <w:spacing w:after="0"/>
              <w:rPr>
                <w:sz w:val="18"/>
                <w:szCs w:val="18"/>
                <w:color w:val="auto"/>
              </w:rPr>
            </w:pPr>
          </w:p>
        </w:tc>
        <w:tc>
          <w:tcPr>
            <w:tcW w:w="34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2,590</w:t>
            </w:r>
          </w:p>
        </w:tc>
      </w:tr>
      <w:tr>
        <w:trPr>
          <w:trHeight w:val="196"/>
        </w:trPr>
        <w:tc>
          <w:tcPr>
            <w:tcW w:w="52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4"/>
              <w:spacing w:after="0" w:line="196" w:lineRule="exact"/>
              <w:rPr>
                <w:sz w:val="20"/>
                <w:szCs w:val="20"/>
                <w:color w:val="auto"/>
              </w:rPr>
            </w:pPr>
            <w:r>
              <w:rPr>
                <w:rFonts w:ascii="Arial" w:cs="Arial" w:eastAsia="Arial" w:hAnsi="Arial"/>
                <w:sz w:val="18"/>
                <w:szCs w:val="18"/>
                <w:color w:val="auto"/>
              </w:rPr>
              <w:t>4,431</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ind w:right="13"/>
              <w:spacing w:after="0" w:line="196" w:lineRule="exact"/>
              <w:rPr>
                <w:sz w:val="20"/>
                <w:szCs w:val="20"/>
                <w:color w:val="auto"/>
              </w:rPr>
            </w:pPr>
            <w:r>
              <w:rPr>
                <w:rFonts w:ascii="Arial" w:cs="Arial" w:eastAsia="Arial" w:hAnsi="Arial"/>
                <w:sz w:val="18"/>
                <w:szCs w:val="18"/>
                <w:color w:val="auto"/>
              </w:rPr>
              <w:t>4,536</w:t>
            </w:r>
          </w:p>
        </w:tc>
      </w:tr>
      <w:tr>
        <w:trPr>
          <w:trHeight w:val="203"/>
        </w:trPr>
        <w:tc>
          <w:tcPr>
            <w:tcW w:w="52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Reduction to LIFO cost basis</w:t>
            </w:r>
          </w:p>
        </w:tc>
        <w:tc>
          <w:tcPr>
            <w:tcW w:w="2980" w:type="dxa"/>
            <w:vAlign w:val="bottom"/>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spacing w:after="0" w:line="202" w:lineRule="exact"/>
              <w:rPr>
                <w:sz w:val="20"/>
                <w:szCs w:val="20"/>
                <w:color w:val="auto"/>
              </w:rPr>
            </w:pPr>
            <w:r>
              <w:rPr>
                <w:rFonts w:ascii="Arial" w:cs="Arial" w:eastAsia="Arial" w:hAnsi="Arial"/>
                <w:sz w:val="18"/>
                <w:szCs w:val="18"/>
                <w:color w:val="auto"/>
              </w:rPr>
              <w:t>(65)</w:t>
            </w:r>
          </w:p>
        </w:tc>
        <w:tc>
          <w:tcPr>
            <w:tcW w:w="300" w:type="dxa"/>
            <w:vAlign w:val="bottom"/>
            <w:shd w:val="clear" w:color="auto" w:fill="E5FFFF"/>
          </w:tcPr>
          <w:p>
            <w:pPr>
              <w:spacing w:after="0"/>
              <w:rPr>
                <w:sz w:val="17"/>
                <w:szCs w:val="17"/>
                <w:color w:val="auto"/>
              </w:rPr>
            </w:pPr>
          </w:p>
        </w:tc>
        <w:tc>
          <w:tcPr>
            <w:tcW w:w="340" w:type="dxa"/>
            <w:vAlign w:val="bottom"/>
            <w:tcBorders>
              <w:bottom w:val="single" w:sz="8" w:color="auto"/>
            </w:tcBorders>
            <w:shd w:val="clear" w:color="auto" w:fill="E5FFFF"/>
          </w:tcPr>
          <w:p>
            <w:pPr>
              <w:spacing w:after="0"/>
              <w:rPr>
                <w:sz w:val="17"/>
                <w:szCs w:val="17"/>
                <w:color w:val="auto"/>
              </w:rPr>
            </w:pPr>
          </w:p>
        </w:tc>
        <w:tc>
          <w:tcPr>
            <w:tcW w:w="720" w:type="dxa"/>
            <w:vAlign w:val="bottom"/>
            <w:tcBorders>
              <w:bottom w:val="single" w:sz="8" w:color="auto"/>
            </w:tcBorders>
            <w:shd w:val="clear" w:color="auto" w:fill="E5FFFF"/>
          </w:tcPr>
          <w:p>
            <w:pPr>
              <w:jc w:val="right"/>
              <w:spacing w:after="0" w:line="202" w:lineRule="exact"/>
              <w:rPr>
                <w:sz w:val="20"/>
                <w:szCs w:val="20"/>
                <w:color w:val="auto"/>
              </w:rPr>
            </w:pPr>
            <w:r>
              <w:rPr>
                <w:rFonts w:ascii="Arial" w:cs="Arial" w:eastAsia="Arial" w:hAnsi="Arial"/>
                <w:sz w:val="18"/>
                <w:szCs w:val="18"/>
                <w:color w:val="auto"/>
              </w:rPr>
              <w:t>(116)</w:t>
            </w:r>
          </w:p>
        </w:tc>
      </w:tr>
      <w:tr>
        <w:trPr>
          <w:trHeight w:val="237"/>
        </w:trPr>
        <w:tc>
          <w:tcPr>
            <w:tcW w:w="5280" w:type="dxa"/>
            <w:vAlign w:val="bottom"/>
          </w:tcPr>
          <w:p>
            <w:pPr>
              <w:spacing w:after="0"/>
              <w:rPr>
                <w:sz w:val="20"/>
                <w:szCs w:val="20"/>
                <w:color w:val="auto"/>
              </w:rPr>
            </w:pPr>
          </w:p>
        </w:tc>
        <w:tc>
          <w:tcPr>
            <w:tcW w:w="3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4,366</w:t>
            </w:r>
          </w:p>
        </w:tc>
        <w:tc>
          <w:tcPr>
            <w:tcW w:w="3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4,420</w:t>
            </w:r>
          </w:p>
        </w:tc>
      </w:tr>
      <w:tr>
        <w:trPr>
          <w:trHeight w:val="20"/>
        </w:trPr>
        <w:tc>
          <w:tcPr>
            <w:tcW w:w="52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Inventories valued at LIFO amounted to $ 296 million and $ 399 million at December 31, 2016 and 2015. Had such LIFO inventories been valued at current costs, their carrying values would have been approximately $65 million and $116 million higher at December 31, 2016 and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Property, Plant and Equipment - Net</w:t>
      </w: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54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r>
      <w:tr>
        <w:trPr>
          <w:trHeight w:val="196"/>
        </w:trPr>
        <w:tc>
          <w:tcPr>
            <w:tcW w:w="5440" w:type="dxa"/>
            <w:vAlign w:val="bottom"/>
            <w:tcBorders>
              <w:bottom w:val="single" w:sz="8" w:color="E5FFFF"/>
            </w:tcBorders>
          </w:tcPr>
          <w:p>
            <w:pPr>
              <w:spacing w:after="0"/>
              <w:rPr>
                <w:sz w:val="17"/>
                <w:szCs w:val="17"/>
                <w:color w:val="auto"/>
              </w:rPr>
            </w:pPr>
          </w:p>
        </w:tc>
        <w:tc>
          <w:tcPr>
            <w:tcW w:w="282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E5FF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r>
      <w:tr>
        <w:trPr>
          <w:trHeight w:val="210"/>
        </w:trPr>
        <w:tc>
          <w:tcPr>
            <w:tcW w:w="5440" w:type="dxa"/>
            <w:vAlign w:val="bottom"/>
            <w:shd w:val="clear" w:color="auto" w:fill="E5FFFF"/>
          </w:tcPr>
          <w:p>
            <w:pPr>
              <w:spacing w:after="0"/>
              <w:rPr>
                <w:sz w:val="20"/>
                <w:szCs w:val="20"/>
                <w:color w:val="auto"/>
              </w:rPr>
            </w:pPr>
            <w:r>
              <w:rPr>
                <w:rFonts w:ascii="Arial" w:cs="Arial" w:eastAsia="Arial" w:hAnsi="Arial"/>
                <w:sz w:val="18"/>
                <w:szCs w:val="18"/>
                <w:color w:val="auto"/>
              </w:rPr>
              <w:t>Land and improvements</w:t>
            </w:r>
          </w:p>
        </w:tc>
        <w:tc>
          <w:tcPr>
            <w:tcW w:w="306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34"/>
              <w:spacing w:after="0"/>
              <w:rPr>
                <w:sz w:val="20"/>
                <w:szCs w:val="20"/>
                <w:color w:val="auto"/>
              </w:rPr>
            </w:pPr>
            <w:r>
              <w:rPr>
                <w:rFonts w:ascii="Arial" w:cs="Arial" w:eastAsia="Arial" w:hAnsi="Arial"/>
                <w:sz w:val="18"/>
                <w:szCs w:val="18"/>
                <w:color w:val="auto"/>
              </w:rPr>
              <w:t>363</w:t>
            </w:r>
          </w:p>
        </w:tc>
        <w:tc>
          <w:tcPr>
            <w:tcW w:w="64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367</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Machinery and equipment</w:t>
            </w: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9,956</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10,505</w:t>
            </w:r>
          </w:p>
        </w:tc>
      </w:tr>
      <w:tr>
        <w:trPr>
          <w:trHeight w:val="203"/>
        </w:trPr>
        <w:tc>
          <w:tcPr>
            <w:tcW w:w="54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Buildings and improvements</w:t>
            </w:r>
          </w:p>
        </w:tc>
        <w:tc>
          <w:tcPr>
            <w:tcW w:w="28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3,248</w:t>
            </w:r>
          </w:p>
        </w:tc>
        <w:tc>
          <w:tcPr>
            <w:tcW w:w="3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3,188</w:t>
            </w:r>
          </w:p>
        </w:tc>
      </w:tr>
      <w:tr>
        <w:trPr>
          <w:trHeight w:val="216"/>
        </w:trPr>
        <w:tc>
          <w:tcPr>
            <w:tcW w:w="54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Construction in progress</w:t>
            </w:r>
          </w:p>
        </w:tc>
        <w:tc>
          <w:tcPr>
            <w:tcW w:w="282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940</w:t>
            </w:r>
          </w:p>
        </w:tc>
        <w:tc>
          <w:tcPr>
            <w:tcW w:w="300" w:type="dxa"/>
            <w:vAlign w:val="bottom"/>
            <w:tcBorders>
              <w:bottom w:val="single" w:sz="8" w:color="E5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848</w:t>
            </w:r>
          </w:p>
        </w:tc>
      </w:tr>
      <w:tr>
        <w:trPr>
          <w:trHeight w:val="196"/>
        </w:trPr>
        <w:tc>
          <w:tcPr>
            <w:tcW w:w="5440" w:type="dxa"/>
            <w:vAlign w:val="bottom"/>
            <w:shd w:val="clear" w:color="auto" w:fill="E5FFFF"/>
          </w:tcPr>
          <w:p>
            <w:pPr>
              <w:spacing w:after="0"/>
              <w:rPr>
                <w:sz w:val="17"/>
                <w:szCs w:val="17"/>
                <w:color w:val="auto"/>
              </w:rPr>
            </w:pPr>
          </w:p>
        </w:tc>
        <w:tc>
          <w:tcPr>
            <w:tcW w:w="28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14,507</w:t>
            </w:r>
          </w:p>
        </w:tc>
        <w:tc>
          <w:tcPr>
            <w:tcW w:w="3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14,908</w:t>
            </w:r>
          </w:p>
        </w:tc>
      </w:tr>
      <w:tr>
        <w:trPr>
          <w:trHeight w:val="203"/>
        </w:trPr>
        <w:tc>
          <w:tcPr>
            <w:tcW w:w="5440" w:type="dxa"/>
            <w:vAlign w:val="bottom"/>
            <w:tcBorders>
              <w:bottom w:val="single" w:sz="8" w:color="E5FFFF"/>
            </w:tcBorders>
          </w:tcPr>
          <w:p>
            <w:pPr>
              <w:spacing w:after="0" w:line="202" w:lineRule="exact"/>
              <w:rPr>
                <w:sz w:val="20"/>
                <w:szCs w:val="20"/>
                <w:color w:val="auto"/>
              </w:rPr>
            </w:pPr>
            <w:r>
              <w:rPr>
                <w:rFonts w:ascii="Arial" w:cs="Arial" w:eastAsia="Arial" w:hAnsi="Arial"/>
                <w:sz w:val="18"/>
                <w:szCs w:val="18"/>
                <w:color w:val="auto"/>
              </w:rPr>
              <w:t>Less—Accumulated depreciation</w:t>
            </w:r>
          </w:p>
        </w:tc>
        <w:tc>
          <w:tcPr>
            <w:tcW w:w="282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(8,714)</w:t>
            </w:r>
          </w:p>
        </w:tc>
        <w:tc>
          <w:tcPr>
            <w:tcW w:w="300" w:type="dxa"/>
            <w:vAlign w:val="bottom"/>
            <w:tcBorders>
              <w:bottom w:val="single" w:sz="8" w:color="E5FF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(9,119)</w:t>
            </w:r>
          </w:p>
        </w:tc>
      </w:tr>
      <w:tr>
        <w:trPr>
          <w:trHeight w:val="237"/>
        </w:trPr>
        <w:tc>
          <w:tcPr>
            <w:tcW w:w="5440" w:type="dxa"/>
            <w:vAlign w:val="bottom"/>
            <w:shd w:val="clear" w:color="auto" w:fill="E5FFFF"/>
          </w:tcPr>
          <w:p>
            <w:pPr>
              <w:spacing w:after="0"/>
              <w:rPr>
                <w:sz w:val="20"/>
                <w:szCs w:val="20"/>
                <w:color w:val="auto"/>
              </w:rPr>
            </w:pPr>
          </w:p>
        </w:tc>
        <w:tc>
          <w:tcPr>
            <w:tcW w:w="306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34"/>
              <w:spacing w:after="0"/>
              <w:rPr>
                <w:sz w:val="20"/>
                <w:szCs w:val="20"/>
                <w:color w:val="auto"/>
              </w:rPr>
            </w:pPr>
            <w:r>
              <w:rPr>
                <w:rFonts w:ascii="Arial" w:cs="Arial" w:eastAsia="Arial" w:hAnsi="Arial"/>
                <w:sz w:val="18"/>
                <w:szCs w:val="18"/>
                <w:color w:val="auto"/>
              </w:rPr>
              <w:t>5,793</w:t>
            </w:r>
          </w:p>
        </w:tc>
        <w:tc>
          <w:tcPr>
            <w:tcW w:w="64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5,789</w:t>
            </w:r>
          </w:p>
        </w:tc>
      </w:tr>
      <w:tr>
        <w:trPr>
          <w:trHeight w:val="20"/>
        </w:trPr>
        <w:tc>
          <w:tcPr>
            <w:tcW w:w="5440" w:type="dxa"/>
            <w:vAlign w:val="bottom"/>
            <w:tcBorders>
              <w:top w:val="single" w:sz="8" w:color="E5FFFF"/>
            </w:tcBorders>
          </w:tcPr>
          <w:p>
            <w:pPr>
              <w:spacing w:after="0" w:line="20" w:lineRule="exact"/>
              <w:rPr>
                <w:sz w:val="1"/>
                <w:szCs w:val="1"/>
                <w:color w:val="auto"/>
              </w:rPr>
            </w:pPr>
          </w:p>
        </w:tc>
        <w:tc>
          <w:tcPr>
            <w:tcW w:w="282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$726 million, $672 million and $667 million in 2016, 2015 and 2014.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Goodwill and Other Intangible Assets - Net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the carrying amount of goodwill for the years ended December 31, 2016 and 2015 by segment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37"/>
              <w:spacing w:after="0"/>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060" w:type="dxa"/>
            <w:vAlign w:val="bottom"/>
          </w:tcPr>
          <w:p>
            <w:pPr>
              <w:jc w:val="right"/>
              <w:ind w:right="55"/>
              <w:spacing w:after="0"/>
              <w:rPr>
                <w:sz w:val="20"/>
                <w:szCs w:val="20"/>
                <w:color w:val="auto"/>
              </w:rPr>
            </w:pPr>
            <w:r>
              <w:rPr>
                <w:rFonts w:ascii="Arial" w:cs="Arial" w:eastAsia="Arial" w:hAnsi="Arial"/>
                <w:sz w:val="14"/>
                <w:szCs w:val="14"/>
                <w:b w:val="1"/>
                <w:bCs w:val="1"/>
                <w:color w:val="auto"/>
              </w:rPr>
              <w:t>Acquisitions/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37"/>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4"/>
                <w:szCs w:val="14"/>
                <w:color w:val="auto"/>
              </w:rPr>
            </w:pPr>
          </w:p>
        </w:tc>
        <w:tc>
          <w:tcPr>
            <w:tcW w:w="21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5160" w:type="dxa"/>
            <w:vAlign w:val="bottom"/>
            <w:tcBorders>
              <w:bottom w:val="single" w:sz="8" w:color="E5FF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E5FF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Divestitures</w:t>
            </w:r>
          </w:p>
        </w:tc>
        <w:tc>
          <w:tcPr>
            <w:tcW w:w="240" w:type="dxa"/>
            <w:vAlign w:val="bottom"/>
            <w:tcBorders>
              <w:bottom w:val="single" w:sz="8" w:color="E5FF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Adjustment</w:t>
            </w:r>
          </w:p>
        </w:tc>
        <w:tc>
          <w:tcPr>
            <w:tcW w:w="22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1020" w:type="dxa"/>
            <w:vAlign w:val="bottom"/>
            <w:tcBorders>
              <w:bottom w:val="single" w:sz="8" w:color="E5FFFF"/>
            </w:tcBorders>
          </w:tcPr>
          <w:p>
            <w:pPr>
              <w:spacing w:after="0"/>
              <w:rPr>
                <w:sz w:val="15"/>
                <w:szCs w:val="15"/>
                <w:color w:val="auto"/>
              </w:rPr>
            </w:pPr>
          </w:p>
        </w:tc>
      </w:tr>
      <w:tr>
        <w:trPr>
          <w:trHeight w:val="196"/>
        </w:trPr>
        <w:tc>
          <w:tcPr>
            <w:tcW w:w="51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Aerospace</w:t>
            </w:r>
          </w:p>
        </w:tc>
        <w:tc>
          <w:tcPr>
            <w:tcW w:w="1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2,296</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ind w:right="35"/>
              <w:spacing w:after="0" w:line="196" w:lineRule="exact"/>
              <w:rPr>
                <w:sz w:val="20"/>
                <w:szCs w:val="20"/>
                <w:color w:val="auto"/>
              </w:rPr>
            </w:pPr>
            <w:r>
              <w:rPr>
                <w:rFonts w:ascii="Arial" w:cs="Arial" w:eastAsia="Arial" w:hAnsi="Arial"/>
                <w:sz w:val="18"/>
                <w:szCs w:val="18"/>
                <w:color w:val="auto"/>
              </w:rPr>
              <w:t>169</w:t>
            </w:r>
          </w:p>
        </w:tc>
        <w:tc>
          <w:tcPr>
            <w:tcW w:w="240" w:type="dxa"/>
            <w:vAlign w:val="bottom"/>
            <w:shd w:val="clear" w:color="auto" w:fill="E5FFFF"/>
          </w:tcPr>
          <w:p>
            <w:pPr>
              <w:spacing w:after="0"/>
              <w:rPr>
                <w:sz w:val="17"/>
                <w:szCs w:val="17"/>
                <w:color w:val="auto"/>
              </w:rPr>
            </w:pPr>
          </w:p>
        </w:tc>
        <w:tc>
          <w:tcPr>
            <w:tcW w:w="1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(24)</w:t>
            </w:r>
          </w:p>
        </w:tc>
        <w:tc>
          <w:tcPr>
            <w:tcW w:w="22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2,441</w:t>
            </w:r>
          </w:p>
        </w:tc>
        <w:tc>
          <w:tcPr>
            <w:tcW w:w="1020" w:type="dxa"/>
            <w:vAlign w:val="bottom"/>
            <w:shd w:val="clear" w:color="auto" w:fill="E5FFFF"/>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Home and Building Technologies</w:t>
            </w:r>
          </w:p>
        </w:tc>
        <w:tc>
          <w:tcPr>
            <w:tcW w:w="100" w:type="dxa"/>
            <w:vAlign w:val="bottom"/>
          </w:tcPr>
          <w:p>
            <w:pPr>
              <w:spacing w:after="0"/>
              <w:rPr>
                <w:sz w:val="17"/>
                <w:szCs w:val="17"/>
                <w:color w:val="auto"/>
              </w:rPr>
            </w:pPr>
          </w:p>
        </w:tc>
        <w:tc>
          <w:tcPr>
            <w:tcW w:w="10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6,438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820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(156)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7,102</w:t>
            </w:r>
          </w:p>
        </w:tc>
        <w:tc>
          <w:tcPr>
            <w:tcW w:w="1020" w:type="dxa"/>
            <w:vAlign w:val="bottom"/>
          </w:tcPr>
          <w:p>
            <w:pPr>
              <w:spacing w:after="0"/>
              <w:rPr>
                <w:sz w:val="17"/>
                <w:szCs w:val="17"/>
                <w:color w:val="auto"/>
              </w:rPr>
            </w:pPr>
          </w:p>
        </w:tc>
      </w:tr>
      <w:tr>
        <w:trPr>
          <w:trHeight w:val="203"/>
        </w:trPr>
        <w:tc>
          <w:tcPr>
            <w:tcW w:w="51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1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3,771</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(110)</w:t>
            </w:r>
          </w:p>
        </w:tc>
        <w:tc>
          <w:tcPr>
            <w:tcW w:w="2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(32)</w:t>
            </w:r>
          </w:p>
        </w:tc>
        <w:tc>
          <w:tcPr>
            <w:tcW w:w="2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3,629</w:t>
            </w:r>
          </w:p>
        </w:tc>
        <w:tc>
          <w:tcPr>
            <w:tcW w:w="1020" w:type="dxa"/>
            <w:vAlign w:val="bottom"/>
            <w:shd w:val="clear" w:color="auto" w:fill="E5FFFF"/>
          </w:tcPr>
          <w:p>
            <w:pPr>
              <w:spacing w:after="0"/>
              <w:rPr>
                <w:sz w:val="17"/>
                <w:szCs w:val="17"/>
                <w:color w:val="auto"/>
              </w:rPr>
            </w:pPr>
          </w:p>
        </w:tc>
      </w:tr>
      <w:tr>
        <w:trPr>
          <w:trHeight w:val="216"/>
        </w:trPr>
        <w:tc>
          <w:tcPr>
            <w:tcW w:w="51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Safety and Productivity Solutions</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3,390</w:t>
            </w:r>
          </w:p>
        </w:tc>
        <w:tc>
          <w:tcPr>
            <w:tcW w:w="220" w:type="dxa"/>
            <w:vAlign w:val="bottom"/>
            <w:tcBorders>
              <w:bottom w:val="single" w:sz="8" w:color="E5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1,182</w:t>
            </w:r>
          </w:p>
        </w:tc>
        <w:tc>
          <w:tcPr>
            <w:tcW w:w="240" w:type="dxa"/>
            <w:vAlign w:val="bottom"/>
            <w:tcBorders>
              <w:bottom w:val="single" w:sz="8" w:color="E5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4,535</w:t>
            </w:r>
          </w:p>
        </w:tc>
        <w:tc>
          <w:tcPr>
            <w:tcW w:w="1020" w:type="dxa"/>
            <w:vAlign w:val="bottom"/>
            <w:tcBorders>
              <w:bottom w:val="single" w:sz="8" w:color="E5FFFF"/>
            </w:tcBorders>
          </w:tcPr>
          <w:p>
            <w:pPr>
              <w:spacing w:after="0"/>
              <w:rPr>
                <w:sz w:val="18"/>
                <w:szCs w:val="18"/>
                <w:color w:val="auto"/>
              </w:rPr>
            </w:pPr>
          </w:p>
        </w:tc>
      </w:tr>
      <w:tr>
        <w:trPr>
          <w:trHeight w:val="196"/>
        </w:trPr>
        <w:tc>
          <w:tcPr>
            <w:tcW w:w="516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15,895</w:t>
            </w:r>
          </w:p>
        </w:tc>
        <w:tc>
          <w:tcPr>
            <w:tcW w:w="22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E5FFFF"/>
          </w:tcPr>
          <w:p>
            <w:pPr>
              <w:jc w:val="right"/>
              <w:ind w:right="35"/>
              <w:spacing w:after="0" w:line="196" w:lineRule="exact"/>
              <w:rPr>
                <w:sz w:val="20"/>
                <w:szCs w:val="20"/>
                <w:color w:val="auto"/>
              </w:rPr>
            </w:pPr>
            <w:r>
              <w:rPr>
                <w:rFonts w:ascii="Arial" w:cs="Arial" w:eastAsia="Arial" w:hAnsi="Arial"/>
                <w:sz w:val="18"/>
                <w:szCs w:val="18"/>
                <w:color w:val="auto"/>
              </w:rPr>
              <w:t>2,061</w:t>
            </w:r>
          </w:p>
        </w:tc>
        <w:tc>
          <w:tcPr>
            <w:tcW w:w="240" w:type="dxa"/>
            <w:vAlign w:val="bottom"/>
            <w:tcBorders>
              <w:bottom w:val="single" w:sz="8" w:color="E5FFFF"/>
            </w:tcBorders>
            <w:shd w:val="clear" w:color="auto" w:fill="E5FFFF"/>
          </w:tcPr>
          <w:p>
            <w:pPr>
              <w:spacing w:after="0"/>
              <w:rPr>
                <w:sz w:val="17"/>
                <w:szCs w:val="17"/>
                <w:color w:val="auto"/>
              </w:rPr>
            </w:pPr>
          </w:p>
        </w:tc>
        <w:tc>
          <w:tcPr>
            <w:tcW w:w="1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(249)</w:t>
            </w:r>
          </w:p>
        </w:tc>
        <w:tc>
          <w:tcPr>
            <w:tcW w:w="220" w:type="dxa"/>
            <w:vAlign w:val="bottom"/>
            <w:tcBorders>
              <w:bottom w:val="single" w:sz="8" w:color="E5FFFF"/>
            </w:tcBorders>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17,707</w:t>
            </w:r>
          </w:p>
        </w:tc>
        <w:tc>
          <w:tcPr>
            <w:tcW w:w="1020" w:type="dxa"/>
            <w:vAlign w:val="bottom"/>
            <w:tcBorders>
              <w:bottom w:val="single" w:sz="8" w:color="E5FFFF"/>
            </w:tcBorders>
            <w:shd w:val="clear" w:color="auto" w:fill="E5FFFF"/>
          </w:tcPr>
          <w:p>
            <w:pPr>
              <w:spacing w:after="0"/>
              <w:rPr>
                <w:sz w:val="17"/>
                <w:szCs w:val="17"/>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86"/>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center"/>
              <w:ind w:right="74"/>
              <w:spacing w:after="0"/>
              <w:rPr>
                <w:sz w:val="20"/>
                <w:szCs w:val="20"/>
                <w:color w:val="auto"/>
              </w:rPr>
            </w:pPr>
            <w:r>
              <w:rPr>
                <w:rFonts w:ascii="Arial" w:cs="Arial" w:eastAsia="Arial" w:hAnsi="Arial"/>
                <w:sz w:val="18"/>
                <w:szCs w:val="18"/>
                <w:color w:val="auto"/>
                <w:w w:val="89"/>
              </w:rPr>
              <w:t>51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516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06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06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100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880" w:type="dxa"/>
            <w:vAlign w:val="bottom"/>
            <w:tcBorders>
              <w:bottom w:val="single" w:sz="8" w:color="C0C0C0"/>
            </w:tcBorders>
          </w:tcPr>
          <w:p>
            <w:pPr>
              <w:spacing w:after="0"/>
              <w:rPr>
                <w:sz w:val="21"/>
                <w:szCs w:val="21"/>
                <w:color w:val="auto"/>
              </w:rPr>
            </w:pPr>
          </w:p>
        </w:tc>
        <w:tc>
          <w:tcPr>
            <w:tcW w:w="102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6600190</wp:posOffset>
            </wp:positionH>
            <wp:positionV relativeFrom="paragraph">
              <wp:posOffset>-1431290</wp:posOffset>
            </wp:positionV>
            <wp:extent cx="651510" cy="4457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1510" cy="445770"/>
                    </a:xfrm>
                    <a:prstGeom prst="rect">
                      <a:avLst/>
                    </a:prstGeom>
                    <a:noFill/>
                  </pic:spPr>
                </pic:pic>
              </a:graphicData>
            </a:graphic>
          </wp:anchor>
        </w:drawing>
        <w:drawing>
          <wp:anchor simplePos="0" relativeHeight="251657728" behindDoc="1" locked="0" layoutInCell="0" allowOverlap="1">
            <wp:simplePos x="0" y="0"/>
            <wp:positionH relativeFrom="column">
              <wp:posOffset>6600190</wp:posOffset>
            </wp:positionH>
            <wp:positionV relativeFrom="paragraph">
              <wp:posOffset>-857250</wp:posOffset>
            </wp:positionV>
            <wp:extent cx="651510"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1510" cy="128905"/>
                    </a:xfrm>
                    <a:prstGeom prst="rect">
                      <a:avLst/>
                    </a:prstGeom>
                    <a:noFill/>
                  </pic:spPr>
                </pic:pic>
              </a:graphicData>
            </a:graphic>
          </wp:anchor>
        </w:drawing>
        <w:drawing>
          <wp:anchor simplePos="0" relativeHeight="251657728" behindDoc="1" locked="0" layoutInCell="0" allowOverlap="1">
            <wp:simplePos x="0" y="0"/>
            <wp:positionH relativeFrom="column">
              <wp:posOffset>6600190</wp:posOffset>
            </wp:positionH>
            <wp:positionV relativeFrom="paragraph">
              <wp:posOffset>-591185</wp:posOffset>
            </wp:positionV>
            <wp:extent cx="65151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1510" cy="14605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intangible assets are comprised of:</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2016</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2015</w:t>
            </w: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42"/>
        </w:trPr>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15"/>
              <w:spacing w:after="0" w:line="143" w:lineRule="exact"/>
              <w:rPr>
                <w:sz w:val="20"/>
                <w:szCs w:val="20"/>
                <w:color w:val="auto"/>
              </w:rPr>
            </w:pPr>
            <w:r>
              <w:rPr>
                <w:rFonts w:ascii="Arial" w:cs="Arial" w:eastAsia="Arial" w:hAnsi="Arial"/>
                <w:sz w:val="14"/>
                <w:szCs w:val="14"/>
                <w:b w:val="1"/>
                <w:bCs w:val="1"/>
                <w:color w:val="auto"/>
                <w:w w:val="98"/>
              </w:rPr>
              <w:t>Gross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95"/>
              <w:spacing w:after="0" w:line="143" w:lineRule="exact"/>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5"/>
              <w:spacing w:after="0" w:line="143" w:lineRule="exact"/>
              <w:rPr>
                <w:sz w:val="20"/>
                <w:szCs w:val="20"/>
                <w:color w:val="auto"/>
              </w:rPr>
            </w:pPr>
            <w:r>
              <w:rPr>
                <w:rFonts w:ascii="Arial" w:cs="Arial" w:eastAsia="Arial" w:hAnsi="Arial"/>
                <w:sz w:val="14"/>
                <w:szCs w:val="14"/>
                <w:b w:val="1"/>
                <w:bCs w:val="1"/>
                <w:color w:val="auto"/>
                <w:w w:val="98"/>
              </w:rPr>
              <w:t>Gross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5"/>
              <w:spacing w:after="0" w:line="143" w:lineRule="exact"/>
              <w:rPr>
                <w:sz w:val="20"/>
                <w:szCs w:val="20"/>
                <w:color w:val="auto"/>
              </w:rPr>
            </w:pPr>
            <w:r>
              <w:rPr>
                <w:rFonts w:ascii="Arial" w:cs="Arial" w:eastAsia="Arial" w:hAnsi="Arial"/>
                <w:sz w:val="14"/>
                <w:szCs w:val="14"/>
                <w:b w:val="1"/>
                <w:bCs w:val="1"/>
                <w:color w:val="auto"/>
              </w:rPr>
              <w:t>Net</w:t>
            </w:r>
          </w:p>
        </w:tc>
      </w:tr>
      <w:tr>
        <w:trPr>
          <w:trHeight w:val="162"/>
        </w:trPr>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115"/>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135"/>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95"/>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95"/>
              <w:spacing w:after="0"/>
              <w:rPr>
                <w:sz w:val="20"/>
                <w:szCs w:val="20"/>
                <w:color w:val="auto"/>
              </w:rPr>
            </w:pPr>
            <w:r>
              <w:rPr>
                <w:rFonts w:ascii="Arial" w:cs="Arial" w:eastAsia="Arial" w:hAnsi="Arial"/>
                <w:sz w:val="14"/>
                <w:szCs w:val="14"/>
                <w:b w:val="1"/>
                <w:bCs w:val="1"/>
                <w:color w:val="auto"/>
              </w:rPr>
              <w:t>Carrying</w:t>
            </w:r>
          </w:p>
        </w:tc>
      </w:tr>
      <w:tr>
        <w:trPr>
          <w:trHeight w:val="175"/>
        </w:trPr>
        <w:tc>
          <w:tcPr>
            <w:tcW w:w="3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ind w:right="115"/>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center"/>
              <w:ind w:right="95"/>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95"/>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95"/>
              <w:spacing w:after="0"/>
              <w:rPr>
                <w:sz w:val="20"/>
                <w:szCs w:val="20"/>
                <w:color w:val="auto"/>
              </w:rPr>
            </w:pPr>
            <w:r>
              <w:rPr>
                <w:rFonts w:ascii="Arial" w:cs="Arial" w:eastAsia="Arial" w:hAnsi="Arial"/>
                <w:sz w:val="14"/>
                <w:szCs w:val="14"/>
                <w:b w:val="1"/>
                <w:bCs w:val="1"/>
                <w:color w:val="auto"/>
              </w:rPr>
              <w:t>Amount</w:t>
            </w:r>
          </w:p>
        </w:tc>
      </w:tr>
      <w:tr>
        <w:trPr>
          <w:trHeight w:val="196"/>
        </w:trPr>
        <w:tc>
          <w:tcPr>
            <w:tcW w:w="3440" w:type="dxa"/>
            <w:vAlign w:val="bottom"/>
            <w:tcBorders>
              <w:top w:val="single" w:sz="8" w:color="E5FFFF"/>
            </w:tcBorders>
            <w:shd w:val="clear" w:color="auto" w:fill="E5FFFF"/>
          </w:tcPr>
          <w:p>
            <w:pPr>
              <w:ind w:left="40"/>
              <w:spacing w:after="0" w:line="196" w:lineRule="exact"/>
              <w:rPr>
                <w:sz w:val="20"/>
                <w:szCs w:val="20"/>
                <w:color w:val="auto"/>
              </w:rPr>
            </w:pPr>
            <w:r>
              <w:rPr>
                <w:rFonts w:ascii="Arial" w:cs="Arial" w:eastAsia="Arial" w:hAnsi="Arial"/>
                <w:sz w:val="18"/>
                <w:szCs w:val="18"/>
                <w:color w:val="auto"/>
              </w:rPr>
              <w:t>Determinable life intangibles:</w:t>
            </w:r>
          </w:p>
        </w:tc>
        <w:tc>
          <w:tcPr>
            <w:tcW w:w="200" w:type="dxa"/>
            <w:vAlign w:val="bottom"/>
            <w:tcBorders>
              <w:top w:val="single" w:sz="8" w:color="auto"/>
            </w:tcBorders>
            <w:shd w:val="clear" w:color="auto" w:fill="E5FFFF"/>
          </w:tcPr>
          <w:p>
            <w:pPr>
              <w:spacing w:after="0"/>
              <w:rPr>
                <w:sz w:val="17"/>
                <w:szCs w:val="17"/>
                <w:color w:val="auto"/>
              </w:rPr>
            </w:pPr>
          </w:p>
        </w:tc>
        <w:tc>
          <w:tcPr>
            <w:tcW w:w="96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rPr>
                <w:sz w:val="17"/>
                <w:szCs w:val="17"/>
                <w:color w:val="auto"/>
              </w:rPr>
            </w:pPr>
          </w:p>
        </w:tc>
        <w:tc>
          <w:tcPr>
            <w:tcW w:w="1060" w:type="dxa"/>
            <w:vAlign w:val="bottom"/>
            <w:tcBorders>
              <w:top w:val="single" w:sz="8" w:color="auto"/>
            </w:tcBorders>
            <w:shd w:val="clear" w:color="auto" w:fill="E5FFFF"/>
          </w:tcPr>
          <w:p>
            <w:pPr>
              <w:spacing w:after="0"/>
              <w:rPr>
                <w:sz w:val="17"/>
                <w:szCs w:val="17"/>
                <w:color w:val="auto"/>
              </w:rPr>
            </w:pPr>
          </w:p>
        </w:tc>
        <w:tc>
          <w:tcPr>
            <w:tcW w:w="14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auto"/>
            </w:tcBorders>
            <w:shd w:val="clear" w:color="auto" w:fill="E5FFFF"/>
          </w:tcPr>
          <w:p>
            <w:pPr>
              <w:spacing w:after="0"/>
              <w:rPr>
                <w:sz w:val="17"/>
                <w:szCs w:val="17"/>
                <w:color w:val="auto"/>
              </w:rPr>
            </w:pPr>
          </w:p>
        </w:tc>
        <w:tc>
          <w:tcPr>
            <w:tcW w:w="980" w:type="dxa"/>
            <w:vAlign w:val="bottom"/>
            <w:tcBorders>
              <w:top w:val="single" w:sz="8" w:color="auto"/>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auto"/>
            </w:tcBorders>
            <w:shd w:val="clear" w:color="auto" w:fill="E5FFFF"/>
          </w:tcPr>
          <w:p>
            <w:pPr>
              <w:spacing w:after="0"/>
              <w:rPr>
                <w:sz w:val="17"/>
                <w:szCs w:val="17"/>
                <w:color w:val="auto"/>
              </w:rPr>
            </w:pPr>
          </w:p>
        </w:tc>
        <w:tc>
          <w:tcPr>
            <w:tcW w:w="94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auto"/>
            </w:tcBorders>
            <w:shd w:val="clear" w:color="auto" w:fill="E5FFFF"/>
          </w:tcPr>
          <w:p>
            <w:pPr>
              <w:spacing w:after="0"/>
              <w:rPr>
                <w:sz w:val="17"/>
                <w:szCs w:val="17"/>
                <w:color w:val="auto"/>
              </w:rPr>
            </w:pPr>
          </w:p>
        </w:tc>
        <w:tc>
          <w:tcPr>
            <w:tcW w:w="1020" w:type="dxa"/>
            <w:vAlign w:val="bottom"/>
            <w:tcBorders>
              <w:top w:val="single" w:sz="8" w:color="auto"/>
            </w:tcBorders>
            <w:shd w:val="clear" w:color="auto" w:fill="E5FFFF"/>
          </w:tcPr>
          <w:p>
            <w:pPr>
              <w:spacing w:after="0"/>
              <w:rPr>
                <w:sz w:val="17"/>
                <w:szCs w:val="17"/>
                <w:color w:val="auto"/>
              </w:rPr>
            </w:pPr>
          </w:p>
        </w:tc>
        <w:tc>
          <w:tcPr>
            <w:tcW w:w="16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auto"/>
            </w:tcBorders>
            <w:shd w:val="clear" w:color="auto" w:fill="E5FFFF"/>
          </w:tcPr>
          <w:p>
            <w:pPr>
              <w:spacing w:after="0"/>
              <w:rPr>
                <w:sz w:val="17"/>
                <w:szCs w:val="17"/>
                <w:color w:val="auto"/>
              </w:rPr>
            </w:pPr>
          </w:p>
        </w:tc>
        <w:tc>
          <w:tcPr>
            <w:tcW w:w="940" w:type="dxa"/>
            <w:vAlign w:val="bottom"/>
            <w:tcBorders>
              <w:top w:val="single" w:sz="8" w:color="auto"/>
            </w:tcBorders>
            <w:shd w:val="clear" w:color="auto" w:fill="E5FFFF"/>
          </w:tcPr>
          <w:p>
            <w:pPr>
              <w:spacing w:after="0"/>
              <w:rPr>
                <w:sz w:val="17"/>
                <w:szCs w:val="17"/>
                <w:color w:val="auto"/>
              </w:rPr>
            </w:pPr>
          </w:p>
        </w:tc>
      </w:tr>
      <w:tr>
        <w:trPr>
          <w:trHeight w:val="203"/>
        </w:trPr>
        <w:tc>
          <w:tcPr>
            <w:tcW w:w="3440" w:type="dxa"/>
            <w:vAlign w:val="bottom"/>
          </w:tcPr>
          <w:p>
            <w:pPr>
              <w:ind w:left="180"/>
              <w:spacing w:after="0" w:line="202" w:lineRule="exact"/>
              <w:rPr>
                <w:sz w:val="20"/>
                <w:szCs w:val="20"/>
                <w:color w:val="auto"/>
              </w:rPr>
            </w:pPr>
            <w:r>
              <w:rPr>
                <w:rFonts w:ascii="Arial" w:cs="Arial" w:eastAsia="Arial" w:hAnsi="Arial"/>
                <w:sz w:val="18"/>
                <w:szCs w:val="18"/>
                <w:color w:val="auto"/>
              </w:rPr>
              <w:t>Patents and technology</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1,841</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(1,141)</w:t>
            </w:r>
          </w:p>
        </w:tc>
        <w:tc>
          <w:tcPr>
            <w:tcW w:w="140" w:type="dxa"/>
            <w:vAlign w:val="bottom"/>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700</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1,688</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(1,061)</w:t>
            </w:r>
          </w:p>
        </w:tc>
        <w:tc>
          <w:tcPr>
            <w:tcW w:w="16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627</w:t>
            </w:r>
          </w:p>
        </w:tc>
      </w:tr>
      <w:tr>
        <w:trPr>
          <w:trHeight w:val="203"/>
        </w:trPr>
        <w:tc>
          <w:tcPr>
            <w:tcW w:w="344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Customer relationships</w:t>
            </w:r>
          </w:p>
        </w:tc>
        <w:tc>
          <w:tcPr>
            <w:tcW w:w="200" w:type="dxa"/>
            <w:vAlign w:val="bottom"/>
            <w:shd w:val="clear" w:color="auto" w:fill="E5FFFF"/>
          </w:tcPr>
          <w:p>
            <w:pPr>
              <w:spacing w:after="0"/>
              <w:rPr>
                <w:sz w:val="17"/>
                <w:szCs w:val="17"/>
                <w:color w:val="auto"/>
              </w:rPr>
            </w:pPr>
          </w:p>
        </w:tc>
        <w:tc>
          <w:tcPr>
            <w:tcW w:w="960" w:type="dxa"/>
            <w:vAlign w:val="bottom"/>
            <w:shd w:val="clear" w:color="auto" w:fill="E5FFFF"/>
          </w:tcPr>
          <w:p>
            <w:pPr>
              <w:jc w:val="right"/>
              <w:ind w:right="35"/>
              <w:spacing w:after="0" w:line="202" w:lineRule="exact"/>
              <w:rPr>
                <w:sz w:val="20"/>
                <w:szCs w:val="20"/>
                <w:color w:val="auto"/>
              </w:rPr>
            </w:pPr>
            <w:r>
              <w:rPr>
                <w:rFonts w:ascii="Arial" w:cs="Arial" w:eastAsia="Arial" w:hAnsi="Arial"/>
                <w:sz w:val="18"/>
                <w:szCs w:val="18"/>
                <w:color w:val="auto"/>
              </w:rPr>
              <w:t>3,816</w:t>
            </w: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(1,098)</w:t>
            </w: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980" w:type="dxa"/>
            <w:vAlign w:val="bottom"/>
            <w:shd w:val="clear" w:color="auto" w:fill="E5FFFF"/>
          </w:tcPr>
          <w:p>
            <w:pPr>
              <w:jc w:val="right"/>
              <w:ind w:right="35"/>
              <w:spacing w:after="0" w:line="202" w:lineRule="exact"/>
              <w:rPr>
                <w:sz w:val="20"/>
                <w:szCs w:val="20"/>
                <w:color w:val="auto"/>
              </w:rPr>
            </w:pPr>
            <w:r>
              <w:rPr>
                <w:rFonts w:ascii="Arial" w:cs="Arial" w:eastAsia="Arial" w:hAnsi="Arial"/>
                <w:sz w:val="18"/>
                <w:szCs w:val="18"/>
                <w:color w:val="auto"/>
              </w:rPr>
              <w:t>2,718</w:t>
            </w:r>
          </w:p>
        </w:tc>
        <w:tc>
          <w:tcPr>
            <w:tcW w:w="2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940" w:type="dxa"/>
            <w:vAlign w:val="bottom"/>
            <w:shd w:val="clear" w:color="auto" w:fill="E5FFFF"/>
          </w:tcPr>
          <w:p>
            <w:pPr>
              <w:jc w:val="right"/>
              <w:ind w:right="15"/>
              <w:spacing w:after="0" w:line="202" w:lineRule="exact"/>
              <w:rPr>
                <w:sz w:val="20"/>
                <w:szCs w:val="20"/>
                <w:color w:val="auto"/>
              </w:rPr>
            </w:pPr>
            <w:r>
              <w:rPr>
                <w:rFonts w:ascii="Arial" w:cs="Arial" w:eastAsia="Arial" w:hAnsi="Arial"/>
                <w:sz w:val="18"/>
                <w:szCs w:val="18"/>
                <w:color w:val="auto"/>
              </w:rPr>
              <w:t>3,558</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(942)</w:t>
            </w:r>
          </w:p>
        </w:tc>
        <w:tc>
          <w:tcPr>
            <w:tcW w:w="16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940" w:type="dxa"/>
            <w:vAlign w:val="bottom"/>
            <w:shd w:val="clear" w:color="auto" w:fill="E5FFFF"/>
          </w:tcPr>
          <w:p>
            <w:pPr>
              <w:jc w:val="right"/>
              <w:ind w:right="15"/>
              <w:spacing w:after="0" w:line="202" w:lineRule="exact"/>
              <w:rPr>
                <w:sz w:val="20"/>
                <w:szCs w:val="20"/>
                <w:color w:val="auto"/>
              </w:rPr>
            </w:pPr>
            <w:r>
              <w:rPr>
                <w:rFonts w:ascii="Arial" w:cs="Arial" w:eastAsia="Arial" w:hAnsi="Arial"/>
                <w:sz w:val="18"/>
                <w:szCs w:val="18"/>
                <w:color w:val="auto"/>
              </w:rPr>
              <w:t>2,616</w:t>
            </w:r>
          </w:p>
        </w:tc>
      </w:tr>
      <w:tr>
        <w:trPr>
          <w:trHeight w:val="203"/>
        </w:trPr>
        <w:tc>
          <w:tcPr>
            <w:tcW w:w="3440" w:type="dxa"/>
            <w:vAlign w:val="bottom"/>
          </w:tcPr>
          <w:p>
            <w:pPr>
              <w:ind w:left="180"/>
              <w:spacing w:after="0" w:line="202" w:lineRule="exact"/>
              <w:rPr>
                <w:sz w:val="20"/>
                <w:szCs w:val="20"/>
                <w:color w:val="auto"/>
              </w:rPr>
            </w:pPr>
            <w:r>
              <w:rPr>
                <w:rFonts w:ascii="Arial" w:cs="Arial" w:eastAsia="Arial" w:hAnsi="Arial"/>
                <w:sz w:val="18"/>
                <w:szCs w:val="18"/>
                <w:color w:val="auto"/>
              </w:rPr>
              <w:t>Trademarks</w:t>
            </w:r>
          </w:p>
        </w:tc>
        <w:tc>
          <w:tcPr>
            <w:tcW w:w="200" w:type="dxa"/>
            <w:vAlign w:val="bottom"/>
          </w:tcPr>
          <w:p>
            <w:pPr>
              <w:spacing w:after="0"/>
              <w:rPr>
                <w:sz w:val="17"/>
                <w:szCs w:val="17"/>
                <w:color w:val="auto"/>
              </w:rPr>
            </w:pPr>
          </w:p>
        </w:tc>
        <w:tc>
          <w:tcPr>
            <w:tcW w:w="9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284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(156)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128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230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99</w:t>
            </w:r>
          </w:p>
        </w:tc>
      </w:tr>
      <w:tr>
        <w:trPr>
          <w:trHeight w:val="216"/>
        </w:trPr>
        <w:tc>
          <w:tcPr>
            <w:tcW w:w="3440" w:type="dxa"/>
            <w:vAlign w:val="bottom"/>
            <w:shd w:val="clear" w:color="auto" w:fill="E5FF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E5FFFF"/>
          </w:tcPr>
          <w:p>
            <w:pPr>
              <w:spacing w:after="0"/>
              <w:rPr>
                <w:sz w:val="18"/>
                <w:szCs w:val="18"/>
                <w:color w:val="auto"/>
              </w:rPr>
            </w:pPr>
          </w:p>
        </w:tc>
        <w:tc>
          <w:tcPr>
            <w:tcW w:w="960" w:type="dxa"/>
            <w:vAlign w:val="bottom"/>
            <w:tcBorders>
              <w:bottom w:val="single" w:sz="8" w:color="auto"/>
            </w:tcBorders>
            <w:shd w:val="clear" w:color="auto" w:fill="E5FFFF"/>
          </w:tcPr>
          <w:p>
            <w:pPr>
              <w:jc w:val="right"/>
              <w:ind w:right="35"/>
              <w:spacing w:after="0"/>
              <w:rPr>
                <w:sz w:val="20"/>
                <w:szCs w:val="20"/>
                <w:color w:val="auto"/>
              </w:rPr>
            </w:pPr>
            <w:r>
              <w:rPr>
                <w:rFonts w:ascii="Arial" w:cs="Arial" w:eastAsia="Arial" w:hAnsi="Arial"/>
                <w:sz w:val="18"/>
                <w:szCs w:val="18"/>
                <w:color w:val="auto"/>
              </w:rPr>
              <w:t>359</w:t>
            </w:r>
          </w:p>
        </w:tc>
        <w:tc>
          <w:tcPr>
            <w:tcW w:w="22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10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(284)</w:t>
            </w:r>
          </w:p>
        </w:tc>
        <w:tc>
          <w:tcPr>
            <w:tcW w:w="1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980" w:type="dxa"/>
            <w:vAlign w:val="bottom"/>
            <w:tcBorders>
              <w:bottom w:val="single" w:sz="8" w:color="auto"/>
            </w:tcBorders>
            <w:shd w:val="clear" w:color="auto" w:fill="E5FFFF"/>
          </w:tcPr>
          <w:p>
            <w:pPr>
              <w:jc w:val="right"/>
              <w:ind w:right="35"/>
              <w:spacing w:after="0"/>
              <w:rPr>
                <w:sz w:val="20"/>
                <w:szCs w:val="20"/>
                <w:color w:val="auto"/>
              </w:rPr>
            </w:pPr>
            <w:r>
              <w:rPr>
                <w:rFonts w:ascii="Arial" w:cs="Arial" w:eastAsia="Arial" w:hAnsi="Arial"/>
                <w:sz w:val="18"/>
                <w:szCs w:val="18"/>
                <w:color w:val="auto"/>
              </w:rPr>
              <w:t>75</w:t>
            </w:r>
          </w:p>
        </w:tc>
        <w:tc>
          <w:tcPr>
            <w:tcW w:w="240" w:type="dxa"/>
            <w:vAlign w:val="bottom"/>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940" w:type="dxa"/>
            <w:vAlign w:val="bottom"/>
            <w:tcBorders>
              <w:bottom w:val="single" w:sz="8" w:color="auto"/>
            </w:tcBorders>
            <w:shd w:val="clear" w:color="auto" w:fill="E5FFFF"/>
          </w:tcPr>
          <w:p>
            <w:pPr>
              <w:jc w:val="right"/>
              <w:ind w:right="15"/>
              <w:spacing w:after="0"/>
              <w:rPr>
                <w:sz w:val="20"/>
                <w:szCs w:val="20"/>
                <w:color w:val="auto"/>
              </w:rPr>
            </w:pPr>
            <w:r>
              <w:rPr>
                <w:rFonts w:ascii="Arial" w:cs="Arial" w:eastAsia="Arial" w:hAnsi="Arial"/>
                <w:sz w:val="18"/>
                <w:szCs w:val="18"/>
                <w:color w:val="auto"/>
              </w:rPr>
              <w:t>323</w:t>
            </w:r>
          </w:p>
        </w:tc>
        <w:tc>
          <w:tcPr>
            <w:tcW w:w="220" w:type="dxa"/>
            <w:vAlign w:val="bottom"/>
            <w:shd w:val="clear" w:color="auto" w:fill="E5FFFF"/>
          </w:tcPr>
          <w:p>
            <w:pPr>
              <w:spacing w:after="0"/>
              <w:rPr>
                <w:sz w:val="18"/>
                <w:szCs w:val="18"/>
                <w:color w:val="auto"/>
              </w:rPr>
            </w:pPr>
          </w:p>
        </w:tc>
        <w:tc>
          <w:tcPr>
            <w:tcW w:w="100" w:type="dxa"/>
            <w:vAlign w:val="bottom"/>
            <w:tcBorders>
              <w:bottom w:val="single" w:sz="8" w:color="auto"/>
            </w:tcBorders>
            <w:shd w:val="clear" w:color="auto" w:fill="E5FFFF"/>
          </w:tcPr>
          <w:p>
            <w:pPr>
              <w:spacing w:after="0"/>
              <w:rPr>
                <w:sz w:val="18"/>
                <w:szCs w:val="18"/>
                <w:color w:val="auto"/>
              </w:rPr>
            </w:pPr>
          </w:p>
        </w:tc>
        <w:tc>
          <w:tcPr>
            <w:tcW w:w="10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940" w:type="dxa"/>
            <w:vAlign w:val="bottom"/>
            <w:tcBorders>
              <w:bottom w:val="single" w:sz="8" w:color="auto"/>
            </w:tcBorders>
            <w:shd w:val="clear" w:color="auto" w:fill="E5FFFF"/>
          </w:tcPr>
          <w:p>
            <w:pPr>
              <w:jc w:val="right"/>
              <w:ind w:right="15"/>
              <w:spacing w:after="0"/>
              <w:rPr>
                <w:sz w:val="20"/>
                <w:szCs w:val="20"/>
                <w:color w:val="auto"/>
              </w:rPr>
            </w:pPr>
            <w:r>
              <w:rPr>
                <w:rFonts w:ascii="Arial" w:cs="Arial" w:eastAsia="Arial" w:hAnsi="Arial"/>
                <w:sz w:val="18"/>
                <w:szCs w:val="18"/>
                <w:color w:val="auto"/>
              </w:rPr>
              <w:t>59</w:t>
            </w:r>
          </w:p>
        </w:tc>
      </w:tr>
      <w:tr>
        <w:trPr>
          <w:trHeight w:val="196"/>
        </w:trPr>
        <w:tc>
          <w:tcPr>
            <w:tcW w:w="344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6,300</w:t>
            </w:r>
          </w:p>
        </w:tc>
        <w:tc>
          <w:tcPr>
            <w:tcW w:w="220" w:type="dxa"/>
            <w:vAlign w:val="bottom"/>
            <w:tcBorders>
              <w:bottom w:val="single" w:sz="8" w:color="E5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(2,679)</w:t>
            </w:r>
          </w:p>
        </w:tc>
        <w:tc>
          <w:tcPr>
            <w:tcW w:w="14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3,621</w:t>
            </w:r>
          </w:p>
        </w:tc>
        <w:tc>
          <w:tcPr>
            <w:tcW w:w="240" w:type="dxa"/>
            <w:vAlign w:val="bottom"/>
            <w:tcBorders>
              <w:bottom w:val="single" w:sz="8" w:color="E5FF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
              <w:spacing w:after="0" w:line="196" w:lineRule="exact"/>
              <w:rPr>
                <w:sz w:val="20"/>
                <w:szCs w:val="20"/>
                <w:color w:val="auto"/>
              </w:rPr>
            </w:pPr>
            <w:r>
              <w:rPr>
                <w:rFonts w:ascii="Arial" w:cs="Arial" w:eastAsia="Arial" w:hAnsi="Arial"/>
                <w:sz w:val="18"/>
                <w:szCs w:val="18"/>
                <w:color w:val="auto"/>
              </w:rPr>
              <w:t>5,799</w:t>
            </w:r>
          </w:p>
        </w:tc>
        <w:tc>
          <w:tcPr>
            <w:tcW w:w="220" w:type="dxa"/>
            <w:vAlign w:val="bottom"/>
            <w:tcBorders>
              <w:bottom w:val="single" w:sz="8" w:color="E5FF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(2,398)</w:t>
            </w:r>
          </w:p>
        </w:tc>
        <w:tc>
          <w:tcPr>
            <w:tcW w:w="160" w:type="dxa"/>
            <w:vAlign w:val="bottom"/>
            <w:tcBorders>
              <w:bottom w:val="single" w:sz="8" w:color="E5FFFF"/>
            </w:tcBorders>
          </w:tcPr>
          <w:p>
            <w:pPr>
              <w:spacing w:after="0"/>
              <w:rPr>
                <w:sz w:val="17"/>
                <w:szCs w:val="17"/>
                <w:color w:val="auto"/>
              </w:rPr>
            </w:pPr>
          </w:p>
        </w:tc>
        <w:tc>
          <w:tcPr>
            <w:tcW w:w="60" w:type="dxa"/>
            <w:vAlign w:val="bottom"/>
            <w:tcBorders>
              <w:bottom w:val="single" w:sz="8" w:color="E5FF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
              <w:spacing w:after="0" w:line="196" w:lineRule="exact"/>
              <w:rPr>
                <w:sz w:val="20"/>
                <w:szCs w:val="20"/>
                <w:color w:val="auto"/>
              </w:rPr>
            </w:pPr>
            <w:r>
              <w:rPr>
                <w:rFonts w:ascii="Arial" w:cs="Arial" w:eastAsia="Arial" w:hAnsi="Arial"/>
                <w:sz w:val="18"/>
                <w:szCs w:val="18"/>
                <w:color w:val="auto"/>
              </w:rPr>
              <w:t>3,401</w:t>
            </w:r>
          </w:p>
        </w:tc>
      </w:tr>
      <w:tr>
        <w:trPr>
          <w:trHeight w:val="196"/>
        </w:trPr>
        <w:tc>
          <w:tcPr>
            <w:tcW w:w="3440" w:type="dxa"/>
            <w:vAlign w:val="bottom"/>
            <w:shd w:val="clear" w:color="auto" w:fill="E5FFFF"/>
          </w:tcPr>
          <w:p>
            <w:pPr>
              <w:ind w:left="40"/>
              <w:spacing w:after="0" w:line="196" w:lineRule="exact"/>
              <w:rPr>
                <w:sz w:val="20"/>
                <w:szCs w:val="20"/>
                <w:color w:val="auto"/>
              </w:rPr>
            </w:pPr>
            <w:r>
              <w:rPr>
                <w:rFonts w:ascii="Arial" w:cs="Arial" w:eastAsia="Arial" w:hAnsi="Arial"/>
                <w:sz w:val="18"/>
                <w:szCs w:val="18"/>
                <w:color w:val="auto"/>
              </w:rPr>
              <w:t>Indefinite life intangibles:</w:t>
            </w:r>
          </w:p>
        </w:tc>
        <w:tc>
          <w:tcPr>
            <w:tcW w:w="20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r>
      <w:tr>
        <w:trPr>
          <w:trHeight w:val="216"/>
        </w:trPr>
        <w:tc>
          <w:tcPr>
            <w:tcW w:w="3440" w:type="dxa"/>
            <w:vAlign w:val="bottom"/>
            <w:tcBorders>
              <w:bottom w:val="single" w:sz="8" w:color="E5FFFF"/>
            </w:tcBorders>
          </w:tcPr>
          <w:p>
            <w:pPr>
              <w:ind w:left="240"/>
              <w:spacing w:after="0"/>
              <w:rPr>
                <w:sz w:val="20"/>
                <w:szCs w:val="20"/>
                <w:color w:val="auto"/>
              </w:rPr>
            </w:pPr>
            <w:r>
              <w:rPr>
                <w:rFonts w:ascii="Arial" w:cs="Arial" w:eastAsia="Arial" w:hAnsi="Arial"/>
                <w:sz w:val="18"/>
                <w:szCs w:val="18"/>
                <w:color w:val="auto"/>
              </w:rPr>
              <w:t>Trademarks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1,013</w:t>
            </w:r>
          </w:p>
        </w:tc>
        <w:tc>
          <w:tcPr>
            <w:tcW w:w="220" w:type="dxa"/>
            <w:vAlign w:val="bottom"/>
            <w:tcBorders>
              <w:bottom w:val="single" w:sz="8" w:color="E5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1,013</w:t>
            </w:r>
          </w:p>
        </w:tc>
        <w:tc>
          <w:tcPr>
            <w:tcW w:w="24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1,176</w:t>
            </w:r>
          </w:p>
        </w:tc>
        <w:tc>
          <w:tcPr>
            <w:tcW w:w="220" w:type="dxa"/>
            <w:vAlign w:val="bottom"/>
            <w:tcBorders>
              <w:bottom w:val="single" w:sz="8" w:color="E5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5FFFF"/>
            </w:tcBorders>
          </w:tcPr>
          <w:p>
            <w:pPr>
              <w:spacing w:after="0"/>
              <w:rPr>
                <w:sz w:val="18"/>
                <w:szCs w:val="18"/>
                <w:color w:val="auto"/>
              </w:rPr>
            </w:pPr>
          </w:p>
        </w:tc>
        <w:tc>
          <w:tcPr>
            <w:tcW w:w="6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1,176</w:t>
            </w:r>
          </w:p>
        </w:tc>
      </w:tr>
      <w:tr>
        <w:trPr>
          <w:trHeight w:val="196"/>
        </w:trPr>
        <w:tc>
          <w:tcPr>
            <w:tcW w:w="3440" w:type="dxa"/>
            <w:vAlign w:val="bottom"/>
            <w:tcBorders>
              <w:bottom w:val="single" w:sz="8" w:color="E5FFFF"/>
            </w:tcBorders>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E5FFFF"/>
          </w:tcPr>
          <w:p>
            <w:pPr>
              <w:jc w:val="right"/>
              <w:ind w:right="35"/>
              <w:spacing w:after="0" w:line="196" w:lineRule="exact"/>
              <w:rPr>
                <w:sz w:val="20"/>
                <w:szCs w:val="20"/>
                <w:color w:val="auto"/>
              </w:rPr>
            </w:pPr>
            <w:r>
              <w:rPr>
                <w:rFonts w:ascii="Arial" w:cs="Arial" w:eastAsia="Arial" w:hAnsi="Arial"/>
                <w:sz w:val="18"/>
                <w:szCs w:val="18"/>
                <w:color w:val="auto"/>
              </w:rPr>
              <w:t>7,313</w:t>
            </w:r>
          </w:p>
        </w:tc>
        <w:tc>
          <w:tcPr>
            <w:tcW w:w="220" w:type="dxa"/>
            <w:vAlign w:val="bottom"/>
            <w:tcBorders>
              <w:bottom w:val="single" w:sz="8" w:color="E5FFFF"/>
            </w:tcBorders>
            <w:shd w:val="clear" w:color="auto" w:fill="E5FFFF"/>
          </w:tcPr>
          <w:p>
            <w:pPr>
              <w:spacing w:after="0"/>
              <w:rPr>
                <w:sz w:val="17"/>
                <w:szCs w:val="17"/>
                <w:color w:val="auto"/>
              </w:rPr>
            </w:pPr>
          </w:p>
        </w:tc>
        <w:tc>
          <w:tcPr>
            <w:tcW w:w="1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(2,679)</w:t>
            </w:r>
          </w:p>
        </w:tc>
        <w:tc>
          <w:tcPr>
            <w:tcW w:w="140" w:type="dxa"/>
            <w:vAlign w:val="bottom"/>
            <w:tcBorders>
              <w:bottom w:val="single" w:sz="8" w:color="E5FFFF"/>
            </w:tcBorders>
            <w:shd w:val="clear" w:color="auto" w:fill="E5FFFF"/>
          </w:tcPr>
          <w:p>
            <w:pPr>
              <w:spacing w:after="0"/>
              <w:rPr>
                <w:sz w:val="17"/>
                <w:szCs w:val="17"/>
                <w:color w:val="auto"/>
              </w:rPr>
            </w:pPr>
          </w:p>
        </w:tc>
        <w:tc>
          <w:tcPr>
            <w:tcW w:w="80" w:type="dxa"/>
            <w:vAlign w:val="bottom"/>
            <w:tcBorders>
              <w:bottom w:val="single" w:sz="8" w:color="E5FFFF"/>
            </w:tcBorders>
            <w:shd w:val="clear" w:color="auto" w:fill="E5FFFF"/>
          </w:tcPr>
          <w:p>
            <w:pPr>
              <w:spacing w:after="0"/>
              <w:rPr>
                <w:sz w:val="17"/>
                <w:szCs w:val="17"/>
                <w:color w:val="auto"/>
              </w:rPr>
            </w:pPr>
          </w:p>
        </w:tc>
        <w:tc>
          <w:tcPr>
            <w:tcW w:w="18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E5FFFF"/>
          </w:tcPr>
          <w:p>
            <w:pPr>
              <w:jc w:val="right"/>
              <w:ind w:right="35"/>
              <w:spacing w:after="0" w:line="196" w:lineRule="exact"/>
              <w:rPr>
                <w:sz w:val="20"/>
                <w:szCs w:val="20"/>
                <w:color w:val="auto"/>
              </w:rPr>
            </w:pPr>
            <w:r>
              <w:rPr>
                <w:rFonts w:ascii="Arial" w:cs="Arial" w:eastAsia="Arial" w:hAnsi="Arial"/>
                <w:sz w:val="18"/>
                <w:szCs w:val="18"/>
                <w:color w:val="auto"/>
              </w:rPr>
              <w:t>4,634</w:t>
            </w:r>
          </w:p>
        </w:tc>
        <w:tc>
          <w:tcPr>
            <w:tcW w:w="240" w:type="dxa"/>
            <w:vAlign w:val="bottom"/>
            <w:tcBorders>
              <w:bottom w:val="single" w:sz="8" w:color="E5FFFF"/>
            </w:tcBorders>
            <w:shd w:val="clear" w:color="auto" w:fill="E5FFFF"/>
          </w:tcPr>
          <w:p>
            <w:pPr>
              <w:spacing w:after="0"/>
              <w:rPr>
                <w:sz w:val="17"/>
                <w:szCs w:val="17"/>
                <w:color w:val="auto"/>
              </w:rPr>
            </w:pPr>
          </w:p>
        </w:tc>
        <w:tc>
          <w:tcPr>
            <w:tcW w:w="18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E5FFFF"/>
          </w:tcPr>
          <w:p>
            <w:pPr>
              <w:jc w:val="right"/>
              <w:ind w:right="15"/>
              <w:spacing w:after="0" w:line="196" w:lineRule="exact"/>
              <w:rPr>
                <w:sz w:val="20"/>
                <w:szCs w:val="20"/>
                <w:color w:val="auto"/>
              </w:rPr>
            </w:pPr>
            <w:r>
              <w:rPr>
                <w:rFonts w:ascii="Arial" w:cs="Arial" w:eastAsia="Arial" w:hAnsi="Arial"/>
                <w:sz w:val="18"/>
                <w:szCs w:val="18"/>
                <w:color w:val="auto"/>
              </w:rPr>
              <w:t>6,975</w:t>
            </w:r>
          </w:p>
        </w:tc>
        <w:tc>
          <w:tcPr>
            <w:tcW w:w="22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(2,398)</w:t>
            </w:r>
          </w:p>
        </w:tc>
        <w:tc>
          <w:tcPr>
            <w:tcW w:w="160" w:type="dxa"/>
            <w:vAlign w:val="bottom"/>
            <w:tcBorders>
              <w:bottom w:val="single" w:sz="8" w:color="E5FFFF"/>
            </w:tcBorders>
            <w:shd w:val="clear" w:color="auto" w:fill="E5FFFF"/>
          </w:tcPr>
          <w:p>
            <w:pPr>
              <w:spacing w:after="0"/>
              <w:rPr>
                <w:sz w:val="17"/>
                <w:szCs w:val="17"/>
                <w:color w:val="auto"/>
              </w:rPr>
            </w:pPr>
          </w:p>
        </w:tc>
        <w:tc>
          <w:tcPr>
            <w:tcW w:w="60" w:type="dxa"/>
            <w:vAlign w:val="bottom"/>
            <w:tcBorders>
              <w:bottom w:val="single" w:sz="8" w:color="E5FFFF"/>
            </w:tcBorders>
            <w:shd w:val="clear" w:color="auto" w:fill="E5FFFF"/>
          </w:tcPr>
          <w:p>
            <w:pPr>
              <w:spacing w:after="0"/>
              <w:rPr>
                <w:sz w:val="17"/>
                <w:szCs w:val="17"/>
                <w:color w:val="auto"/>
              </w:rPr>
            </w:pPr>
          </w:p>
        </w:tc>
        <w:tc>
          <w:tcPr>
            <w:tcW w:w="18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E5FFFF"/>
          </w:tcPr>
          <w:p>
            <w:pPr>
              <w:jc w:val="right"/>
              <w:ind w:right="15"/>
              <w:spacing w:after="0" w:line="196" w:lineRule="exact"/>
              <w:rPr>
                <w:sz w:val="20"/>
                <w:szCs w:val="20"/>
                <w:color w:val="auto"/>
              </w:rPr>
            </w:pPr>
            <w:r>
              <w:rPr>
                <w:rFonts w:ascii="Arial" w:cs="Arial" w:eastAsia="Arial" w:hAnsi="Arial"/>
                <w:sz w:val="18"/>
                <w:szCs w:val="18"/>
                <w:color w:val="auto"/>
              </w:rPr>
              <w:t>4,577</w:t>
            </w:r>
          </w:p>
        </w:tc>
      </w:tr>
      <w:tr>
        <w:trPr>
          <w:trHeight w:val="20"/>
        </w:trPr>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Intangible assets amortization expense was $304 million, $211 million, and $ 257 million in 2016, 2015, 2014. Estimated intangible asset amortization expense for each of the next five years approximates $394 million in 2017, $400 million in 2018, $396 million in 2019, $353 million in 2020, and $300 million in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Accrued Liabilities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520" w:type="dxa"/>
            <w:vAlign w:val="bottom"/>
            <w:tcBorders>
              <w:bottom w:val="single" w:sz="8" w:color="E5FFFF"/>
            </w:tcBorders>
          </w:tcPr>
          <w:p>
            <w:pPr>
              <w:spacing w:after="0"/>
              <w:rPr>
                <w:sz w:val="17"/>
                <w:szCs w:val="17"/>
                <w:color w:val="auto"/>
              </w:rPr>
            </w:pPr>
          </w:p>
        </w:tc>
        <w:tc>
          <w:tcPr>
            <w:tcW w:w="2820" w:type="dxa"/>
            <w:vAlign w:val="bottom"/>
            <w:tcBorders>
              <w:bottom w:val="single" w:sz="8" w:color="E5FF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E5FF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4520" w:type="dxa"/>
            <w:vAlign w:val="bottom"/>
            <w:shd w:val="clear" w:color="auto" w:fill="E5FFFF"/>
          </w:tcPr>
          <w:p>
            <w:pPr>
              <w:spacing w:after="0"/>
              <w:rPr>
                <w:sz w:val="20"/>
                <w:szCs w:val="20"/>
                <w:color w:val="auto"/>
              </w:rPr>
            </w:pPr>
            <w:r>
              <w:rPr>
                <w:rFonts w:ascii="Arial" w:cs="Arial" w:eastAsia="Arial" w:hAnsi="Arial"/>
                <w:sz w:val="18"/>
                <w:szCs w:val="18"/>
                <w:color w:val="auto"/>
              </w:rPr>
              <w:t>Customer advances and deferred income</w:t>
            </w:r>
          </w:p>
        </w:tc>
        <w:tc>
          <w:tcPr>
            <w:tcW w:w="310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2,151</w:t>
            </w:r>
          </w:p>
        </w:tc>
        <w:tc>
          <w:tcPr>
            <w:tcW w:w="64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1,863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4520" w:type="dxa"/>
            <w:vAlign w:val="bottom"/>
          </w:tcPr>
          <w:p>
            <w:pPr>
              <w:spacing w:after="0" w:line="202" w:lineRule="exact"/>
              <w:rPr>
                <w:sz w:val="20"/>
                <w:szCs w:val="20"/>
                <w:color w:val="auto"/>
              </w:rPr>
            </w:pPr>
            <w:r>
              <w:rPr>
                <w:rFonts w:ascii="Arial" w:cs="Arial" w:eastAsia="Arial" w:hAnsi="Arial"/>
                <w:sz w:val="18"/>
                <w:szCs w:val="18"/>
                <w:color w:val="auto"/>
              </w:rPr>
              <w:t>Compensation, benefit and other employee related</w:t>
            </w:r>
          </w:p>
        </w:tc>
        <w:tc>
          <w:tcPr>
            <w:tcW w:w="2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1,489</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1,460</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45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Asbestos related liabilities</w:t>
            </w:r>
          </w:p>
        </w:tc>
        <w:tc>
          <w:tcPr>
            <w:tcW w:w="28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546</w:t>
            </w:r>
          </w:p>
        </w:tc>
        <w:tc>
          <w:tcPr>
            <w:tcW w:w="20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292</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4520" w:type="dxa"/>
            <w:vAlign w:val="bottom"/>
          </w:tcPr>
          <w:p>
            <w:pPr>
              <w:spacing w:after="0" w:line="202" w:lineRule="exact"/>
              <w:rPr>
                <w:sz w:val="20"/>
                <w:szCs w:val="20"/>
                <w:color w:val="auto"/>
              </w:rPr>
            </w:pPr>
            <w:r>
              <w:rPr>
                <w:rFonts w:ascii="Arial" w:cs="Arial" w:eastAsia="Arial" w:hAnsi="Arial"/>
                <w:sz w:val="18"/>
                <w:szCs w:val="18"/>
                <w:color w:val="auto"/>
              </w:rPr>
              <w:t>Repositioning</w:t>
            </w:r>
          </w:p>
        </w:tc>
        <w:tc>
          <w:tcPr>
            <w:tcW w:w="2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322</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335</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45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Product warranties and performance guarantees</w:t>
            </w:r>
          </w:p>
        </w:tc>
        <w:tc>
          <w:tcPr>
            <w:tcW w:w="28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351</w:t>
            </w:r>
          </w:p>
        </w:tc>
        <w:tc>
          <w:tcPr>
            <w:tcW w:w="20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355</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4520" w:type="dxa"/>
            <w:vAlign w:val="bottom"/>
          </w:tcPr>
          <w:p>
            <w:pPr>
              <w:spacing w:after="0" w:line="202" w:lineRule="exact"/>
              <w:rPr>
                <w:sz w:val="20"/>
                <w:szCs w:val="20"/>
                <w:color w:val="auto"/>
              </w:rPr>
            </w:pPr>
            <w:r>
              <w:rPr>
                <w:rFonts w:ascii="Arial" w:cs="Arial" w:eastAsia="Arial" w:hAnsi="Arial"/>
                <w:sz w:val="18"/>
                <w:szCs w:val="18"/>
                <w:color w:val="auto"/>
              </w:rPr>
              <w:t>Environmental costs</w:t>
            </w:r>
          </w:p>
        </w:tc>
        <w:tc>
          <w:tcPr>
            <w:tcW w:w="2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252</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253</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45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Income taxes</w:t>
            </w:r>
          </w:p>
        </w:tc>
        <w:tc>
          <w:tcPr>
            <w:tcW w:w="28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430</w:t>
            </w:r>
          </w:p>
        </w:tc>
        <w:tc>
          <w:tcPr>
            <w:tcW w:w="20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201</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4520" w:type="dxa"/>
            <w:vAlign w:val="bottom"/>
          </w:tcPr>
          <w:p>
            <w:pPr>
              <w:spacing w:after="0" w:line="202" w:lineRule="exact"/>
              <w:rPr>
                <w:sz w:val="20"/>
                <w:szCs w:val="20"/>
                <w:color w:val="auto"/>
              </w:rPr>
            </w:pPr>
            <w:r>
              <w:rPr>
                <w:rFonts w:ascii="Arial" w:cs="Arial" w:eastAsia="Arial" w:hAnsi="Arial"/>
                <w:sz w:val="18"/>
                <w:szCs w:val="18"/>
                <w:color w:val="auto"/>
              </w:rPr>
              <w:t>Accrued interest</w:t>
            </w:r>
          </w:p>
        </w:tc>
        <w:tc>
          <w:tcPr>
            <w:tcW w:w="2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97</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97</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45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Other taxes</w:t>
            </w:r>
          </w:p>
        </w:tc>
        <w:tc>
          <w:tcPr>
            <w:tcW w:w="28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290</w:t>
            </w:r>
          </w:p>
        </w:tc>
        <w:tc>
          <w:tcPr>
            <w:tcW w:w="20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266</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4520" w:type="dxa"/>
            <w:vAlign w:val="bottom"/>
          </w:tcPr>
          <w:p>
            <w:pPr>
              <w:spacing w:after="0" w:line="202" w:lineRule="exact"/>
              <w:rPr>
                <w:sz w:val="20"/>
                <w:szCs w:val="20"/>
                <w:color w:val="auto"/>
              </w:rPr>
            </w:pPr>
            <w:r>
              <w:rPr>
                <w:rFonts w:ascii="Arial" w:cs="Arial" w:eastAsia="Arial" w:hAnsi="Arial"/>
                <w:sz w:val="18"/>
                <w:szCs w:val="18"/>
                <w:color w:val="auto"/>
              </w:rPr>
              <w:t>Insurance</w:t>
            </w:r>
          </w:p>
        </w:tc>
        <w:tc>
          <w:tcPr>
            <w:tcW w:w="2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172</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205</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520" w:type="dxa"/>
            <w:vAlign w:val="bottom"/>
            <w:shd w:val="clear" w:color="auto" w:fill="E5FFFF"/>
          </w:tcPr>
          <w:p>
            <w:pPr>
              <w:spacing w:after="0"/>
              <w:rPr>
                <w:sz w:val="20"/>
                <w:szCs w:val="20"/>
                <w:color w:val="auto"/>
              </w:rPr>
            </w:pPr>
            <w:r>
              <w:rPr>
                <w:rFonts w:ascii="Arial" w:cs="Arial" w:eastAsia="Arial" w:hAnsi="Arial"/>
                <w:sz w:val="18"/>
                <w:szCs w:val="18"/>
                <w:color w:val="auto"/>
              </w:rPr>
              <w:t>Other (primarily operating expenses)</w:t>
            </w:r>
          </w:p>
        </w:tc>
        <w:tc>
          <w:tcPr>
            <w:tcW w:w="2820" w:type="dxa"/>
            <w:vAlign w:val="bottom"/>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spacing w:after="0"/>
              <w:rPr>
                <w:sz w:val="18"/>
                <w:szCs w:val="18"/>
                <w:color w:val="auto"/>
              </w:rPr>
            </w:pPr>
          </w:p>
        </w:tc>
        <w:tc>
          <w:tcPr>
            <w:tcW w:w="102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948</w:t>
            </w:r>
          </w:p>
        </w:tc>
        <w:tc>
          <w:tcPr>
            <w:tcW w:w="200" w:type="dxa"/>
            <w:vAlign w:val="bottom"/>
            <w:shd w:val="clear" w:color="auto" w:fill="E5FFFF"/>
          </w:tcPr>
          <w:p>
            <w:pPr>
              <w:spacing w:after="0"/>
              <w:rPr>
                <w:sz w:val="18"/>
                <w:szCs w:val="18"/>
                <w:color w:val="auto"/>
              </w:rPr>
            </w:pPr>
          </w:p>
        </w:tc>
        <w:tc>
          <w:tcPr>
            <w:tcW w:w="44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950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7,048</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6,277</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20" w:type="dxa"/>
            <w:vAlign w:val="bottom"/>
            <w:vMerge w:val="restart"/>
          </w:tcPr>
          <w:p>
            <w:pPr>
              <w:jc w:val="right"/>
              <w:ind w:right="2090"/>
              <w:spacing w:after="0"/>
              <w:rPr>
                <w:sz w:val="20"/>
                <w:szCs w:val="20"/>
                <w:color w:val="auto"/>
              </w:rPr>
            </w:pPr>
            <w:r>
              <w:rPr>
                <w:rFonts w:ascii="Arial" w:cs="Arial" w:eastAsia="Arial" w:hAnsi="Arial"/>
                <w:sz w:val="18"/>
                <w:szCs w:val="18"/>
                <w:color w:val="auto"/>
              </w:rPr>
              <w:t>52</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 w:type="dxa"/>
            <w:vAlign w:val="bottom"/>
            <w:tcBorders>
              <w:bottom w:val="single" w:sz="8" w:color="C0C0C0"/>
            </w:tcBorders>
          </w:tcPr>
          <w:p>
            <w:pPr>
              <w:spacing w:after="0"/>
              <w:rPr>
                <w:sz w:val="21"/>
                <w:szCs w:val="21"/>
                <w:color w:val="auto"/>
              </w:rPr>
            </w:pPr>
          </w:p>
        </w:tc>
        <w:tc>
          <w:tcPr>
            <w:tcW w:w="4520" w:type="dxa"/>
            <w:vAlign w:val="bottom"/>
            <w:tcBorders>
              <w:bottom w:val="single" w:sz="8" w:color="C0C0C0"/>
            </w:tcBorders>
          </w:tcPr>
          <w:p>
            <w:pPr>
              <w:spacing w:after="0"/>
              <w:rPr>
                <w:sz w:val="21"/>
                <w:szCs w:val="21"/>
                <w:color w:val="auto"/>
              </w:rPr>
            </w:pPr>
          </w:p>
        </w:tc>
        <w:tc>
          <w:tcPr>
            <w:tcW w:w="282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1020" w:type="dxa"/>
            <w:vAlign w:val="bottom"/>
            <w:tcBorders>
              <w:bottom w:val="single" w:sz="8" w:color="C0C0C0"/>
            </w:tcBorders>
          </w:tcPr>
          <w:p>
            <w:pPr>
              <w:spacing w:after="0"/>
              <w:rPr>
                <w:sz w:val="21"/>
                <w:szCs w:val="21"/>
                <w:color w:val="auto"/>
              </w:rPr>
            </w:pPr>
          </w:p>
        </w:tc>
        <w:tc>
          <w:tcPr>
            <w:tcW w:w="20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880" w:type="dxa"/>
            <w:vAlign w:val="bottom"/>
            <w:tcBorders>
              <w:bottom w:val="single" w:sz="8" w:color="C0C0C0"/>
            </w:tcBorders>
          </w:tcPr>
          <w:p>
            <w:pPr>
              <w:spacing w:after="0"/>
              <w:rPr>
                <w:sz w:val="21"/>
                <w:szCs w:val="21"/>
                <w:color w:val="auto"/>
              </w:rPr>
            </w:pPr>
          </w:p>
        </w:tc>
        <w:tc>
          <w:tcPr>
            <w:tcW w:w="62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HONEYWELL INTERNATIONAL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1" w:lineRule="exact"/>
        <w:rPr>
          <w:sz w:val="20"/>
          <w:szCs w:val="20"/>
          <w:color w:val="auto"/>
        </w:rPr>
      </w:pPr>
    </w:p>
    <w:p>
      <w:pPr>
        <w:ind w:left="4120"/>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Long-term Debt and Credit Agreements</w:t>
      </w:r>
    </w:p>
    <w:p>
      <w:pPr>
        <w:spacing w:after="0" w:line="262" w:lineRule="exact"/>
        <w:rPr>
          <w:sz w:val="20"/>
          <w:szCs w:val="20"/>
          <w:color w:val="auto"/>
        </w:rPr>
      </w:pPr>
    </w:p>
    <w:tbl>
      <w:tblPr>
        <w:tblLayout w:type="fixed"/>
        <w:tblInd w:w="6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7"/>
                <w:szCs w:val="17"/>
                <w:color w:val="auto"/>
              </w:rPr>
            </w:pPr>
          </w:p>
        </w:tc>
        <w:tc>
          <w:tcPr>
            <w:tcW w:w="128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2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5.40% notes due 2016</w:t>
            </w:r>
          </w:p>
        </w:tc>
        <w:tc>
          <w:tcPr>
            <w:tcW w:w="44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auto"/>
            </w:tcBorders>
            <w:gridSpan w:val="2"/>
            <w:shd w:val="clear" w:color="auto" w:fill="E5FFFF"/>
          </w:tcPr>
          <w:p>
            <w:pPr>
              <w:jc w:val="right"/>
              <w:ind w:right="85"/>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480" w:type="dxa"/>
            <w:vAlign w:val="bottom"/>
            <w:tcBorders>
              <w:top w:val="single" w:sz="8" w:color="auto"/>
            </w:tcBorders>
            <w:shd w:val="clear" w:color="auto" w:fill="E5FF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spacing w:after="0" w:line="202" w:lineRule="exact"/>
              <w:rPr>
                <w:sz w:val="20"/>
                <w:szCs w:val="20"/>
                <w:color w:val="auto"/>
              </w:rPr>
            </w:pPr>
            <w:r>
              <w:rPr>
                <w:rFonts w:ascii="Arial" w:cs="Arial" w:eastAsia="Arial" w:hAnsi="Arial"/>
                <w:sz w:val="18"/>
                <w:szCs w:val="18"/>
                <w:color w:val="auto"/>
              </w:rPr>
              <w:t>5.30% notes due 2017</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Floating rate Euro notes due 2018</w:t>
            </w:r>
          </w:p>
        </w:tc>
        <w:tc>
          <w:tcPr>
            <w:tcW w:w="4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1,054</w:t>
            </w: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5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spacing w:after="0" w:line="202" w:lineRule="exact"/>
              <w:rPr>
                <w:sz w:val="20"/>
                <w:szCs w:val="20"/>
                <w:color w:val="auto"/>
              </w:rPr>
            </w:pPr>
            <w:r>
              <w:rPr>
                <w:rFonts w:ascii="Arial" w:cs="Arial" w:eastAsia="Arial" w:hAnsi="Arial"/>
                <w:sz w:val="18"/>
                <w:szCs w:val="18"/>
                <w:color w:val="auto"/>
              </w:rPr>
              <w:t>5.30% notes due 2018</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5.00% notes due 2019</w:t>
            </w:r>
          </w:p>
        </w:tc>
        <w:tc>
          <w:tcPr>
            <w:tcW w:w="4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5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spacing w:after="0" w:line="202" w:lineRule="exact"/>
              <w:rPr>
                <w:sz w:val="20"/>
                <w:szCs w:val="20"/>
                <w:color w:val="auto"/>
              </w:rPr>
            </w:pPr>
            <w:r>
              <w:rPr>
                <w:rFonts w:ascii="Arial" w:cs="Arial" w:eastAsia="Arial" w:hAnsi="Arial"/>
                <w:sz w:val="18"/>
                <w:szCs w:val="18"/>
                <w:color w:val="auto"/>
              </w:rPr>
              <w:t>1.40% notes due 2019</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1,250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Floating rate notes due 2019</w:t>
            </w:r>
          </w:p>
        </w:tc>
        <w:tc>
          <w:tcPr>
            <w:tcW w:w="4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250</w:t>
            </w: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5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spacing w:after="0" w:line="202" w:lineRule="exact"/>
              <w:rPr>
                <w:sz w:val="20"/>
                <w:szCs w:val="20"/>
                <w:color w:val="auto"/>
              </w:rPr>
            </w:pPr>
            <w:r>
              <w:rPr>
                <w:rFonts w:ascii="Arial" w:cs="Arial" w:eastAsia="Arial" w:hAnsi="Arial"/>
                <w:sz w:val="18"/>
                <w:szCs w:val="18"/>
                <w:color w:val="auto"/>
              </w:rPr>
              <w:t>0.65% Euro notes due 2020</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1,054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4.25% notes due 2021</w:t>
            </w:r>
          </w:p>
        </w:tc>
        <w:tc>
          <w:tcPr>
            <w:tcW w:w="4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800</w:t>
            </w: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5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spacing w:after="0" w:line="202" w:lineRule="exact"/>
              <w:rPr>
                <w:sz w:val="20"/>
                <w:szCs w:val="20"/>
                <w:color w:val="auto"/>
              </w:rPr>
            </w:pPr>
            <w:r>
              <w:rPr>
                <w:rFonts w:ascii="Arial" w:cs="Arial" w:eastAsia="Arial" w:hAnsi="Arial"/>
                <w:sz w:val="18"/>
                <w:szCs w:val="18"/>
                <w:color w:val="auto"/>
              </w:rPr>
              <w:t>1.85% notes due 2021</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1,500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1.30% Euro notes due 2023</w:t>
            </w:r>
          </w:p>
        </w:tc>
        <w:tc>
          <w:tcPr>
            <w:tcW w:w="4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1,317</w:t>
            </w: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5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spacing w:after="0" w:line="202" w:lineRule="exact"/>
              <w:rPr>
                <w:sz w:val="20"/>
                <w:szCs w:val="20"/>
                <w:color w:val="auto"/>
              </w:rPr>
            </w:pPr>
            <w:r>
              <w:rPr>
                <w:rFonts w:ascii="Arial" w:cs="Arial" w:eastAsia="Arial" w:hAnsi="Arial"/>
                <w:sz w:val="18"/>
                <w:szCs w:val="18"/>
                <w:color w:val="auto"/>
              </w:rPr>
              <w:t>3.35% notes due 2023</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2.50% notes due 2026</w:t>
            </w:r>
          </w:p>
        </w:tc>
        <w:tc>
          <w:tcPr>
            <w:tcW w:w="4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1,500</w:t>
            </w: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5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spacing w:after="0" w:line="202" w:lineRule="exact"/>
              <w:rPr>
                <w:sz w:val="20"/>
                <w:szCs w:val="20"/>
                <w:color w:val="auto"/>
              </w:rPr>
            </w:pPr>
            <w:r>
              <w:rPr>
                <w:rFonts w:ascii="Arial" w:cs="Arial" w:eastAsia="Arial" w:hAnsi="Arial"/>
                <w:sz w:val="18"/>
                <w:szCs w:val="18"/>
                <w:color w:val="auto"/>
              </w:rPr>
              <w:t>2.25% Euro notes due 2028</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790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5.70% notes due 2036</w:t>
            </w:r>
          </w:p>
        </w:tc>
        <w:tc>
          <w:tcPr>
            <w:tcW w:w="4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550</w:t>
            </w: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5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spacing w:after="0" w:line="202" w:lineRule="exact"/>
              <w:rPr>
                <w:sz w:val="20"/>
                <w:szCs w:val="20"/>
                <w:color w:val="auto"/>
              </w:rPr>
            </w:pPr>
            <w:r>
              <w:rPr>
                <w:rFonts w:ascii="Arial" w:cs="Arial" w:eastAsia="Arial" w:hAnsi="Arial"/>
                <w:sz w:val="18"/>
                <w:szCs w:val="18"/>
                <w:color w:val="auto"/>
              </w:rPr>
              <w:t>5.70% notes due 2037</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5.375% notes due 2041</w:t>
            </w:r>
          </w:p>
        </w:tc>
        <w:tc>
          <w:tcPr>
            <w:tcW w:w="4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600</w:t>
            </w: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5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spacing w:after="0" w:line="202" w:lineRule="exact"/>
              <w:rPr>
                <w:sz w:val="20"/>
                <w:szCs w:val="20"/>
                <w:color w:val="auto"/>
              </w:rPr>
            </w:pPr>
            <w:r>
              <w:rPr>
                <w:rFonts w:ascii="Arial" w:cs="Arial" w:eastAsia="Arial" w:hAnsi="Arial"/>
                <w:sz w:val="18"/>
                <w:szCs w:val="18"/>
                <w:color w:val="auto"/>
              </w:rPr>
              <w:t>Industrial development bond obligations, floating rate maturing at various dates through 2037</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6.625% debentures due 2028</w:t>
            </w:r>
          </w:p>
        </w:tc>
        <w:tc>
          <w:tcPr>
            <w:tcW w:w="4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216</w:t>
            </w: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5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spacing w:after="0" w:line="202" w:lineRule="exact"/>
              <w:rPr>
                <w:sz w:val="20"/>
                <w:szCs w:val="20"/>
                <w:color w:val="auto"/>
              </w:rPr>
            </w:pPr>
            <w:r>
              <w:rPr>
                <w:rFonts w:ascii="Arial" w:cs="Arial" w:eastAsia="Arial" w:hAnsi="Arial"/>
                <w:sz w:val="18"/>
                <w:szCs w:val="18"/>
                <w:color w:val="auto"/>
              </w:rPr>
              <w:t>9.065% debentures due 2033</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2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Other (including capitalized leases and debt issuance costs),</w:t>
            </w:r>
          </w:p>
        </w:tc>
        <w:tc>
          <w:tcPr>
            <w:tcW w:w="4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5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0.7%-8.2% maturing at various dates through 2023</w:t>
            </w:r>
          </w:p>
        </w:tc>
        <w:tc>
          <w:tcPr>
            <w:tcW w:w="440" w:type="dxa"/>
            <w:vAlign w:val="bottom"/>
            <w:shd w:val="clear" w:color="auto" w:fill="E5FFFF"/>
          </w:tcPr>
          <w:p>
            <w:pPr>
              <w:spacing w:after="0"/>
              <w:rPr>
                <w:sz w:val="18"/>
                <w:szCs w:val="18"/>
                <w:color w:val="auto"/>
              </w:rPr>
            </w:pPr>
          </w:p>
        </w:tc>
        <w:tc>
          <w:tcPr>
            <w:tcW w:w="60" w:type="dxa"/>
            <w:vAlign w:val="bottom"/>
            <w:tcBorders>
              <w:bottom w:val="single" w:sz="8" w:color="auto"/>
            </w:tcBorders>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ind w:right="33"/>
              <w:spacing w:after="0"/>
              <w:rPr>
                <w:sz w:val="20"/>
                <w:szCs w:val="20"/>
                <w:color w:val="auto"/>
              </w:rPr>
            </w:pPr>
            <w:r>
              <w:rPr>
                <w:rFonts w:ascii="Arial" w:cs="Arial" w:eastAsia="Arial" w:hAnsi="Arial"/>
                <w:sz w:val="18"/>
                <w:szCs w:val="18"/>
                <w:color w:val="auto"/>
              </w:rPr>
              <w:t>547</w:t>
            </w:r>
          </w:p>
        </w:tc>
        <w:tc>
          <w:tcPr>
            <w:tcW w:w="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480" w:type="dxa"/>
            <w:vAlign w:val="bottom"/>
            <w:tcBorders>
              <w:bottom w:val="single" w:sz="8" w:color="auto"/>
            </w:tcBorders>
            <w:shd w:val="clear" w:color="auto" w:fill="E5FFFF"/>
          </w:tcPr>
          <w:p>
            <w:pPr>
              <w:spacing w:after="0"/>
              <w:rPr>
                <w:sz w:val="18"/>
                <w:szCs w:val="18"/>
                <w:color w:val="auto"/>
              </w:rPr>
            </w:pPr>
          </w:p>
        </w:tc>
        <w:tc>
          <w:tcPr>
            <w:tcW w:w="58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33"/>
              <w:spacing w:after="0" w:line="196" w:lineRule="exact"/>
              <w:rPr>
                <w:sz w:val="20"/>
                <w:szCs w:val="20"/>
                <w:color w:val="auto"/>
              </w:rPr>
            </w:pPr>
            <w:r>
              <w:rPr>
                <w:rFonts w:ascii="Arial" w:cs="Arial" w:eastAsia="Arial" w:hAnsi="Arial"/>
                <w:sz w:val="18"/>
                <w:szCs w:val="18"/>
                <w:color w:val="auto"/>
              </w:rPr>
              <w:t>12,409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E5FFFF"/>
          </w:tcPr>
          <w:p>
            <w:pPr>
              <w:spacing w:after="0"/>
              <w:rPr>
                <w:sz w:val="20"/>
                <w:szCs w:val="20"/>
                <w:color w:val="auto"/>
              </w:rPr>
            </w:pPr>
            <w:r>
              <w:rPr>
                <w:rFonts w:ascii="Arial" w:cs="Arial" w:eastAsia="Arial" w:hAnsi="Arial"/>
                <w:sz w:val="18"/>
                <w:szCs w:val="18"/>
                <w:color w:val="auto"/>
              </w:rPr>
              <w:t>Less: current portion</w:t>
            </w:r>
          </w:p>
        </w:tc>
        <w:tc>
          <w:tcPr>
            <w:tcW w:w="440" w:type="dxa"/>
            <w:vAlign w:val="bottom"/>
            <w:shd w:val="clear" w:color="auto" w:fill="E5FFFF"/>
          </w:tcPr>
          <w:p>
            <w:pPr>
              <w:spacing w:after="0"/>
              <w:rPr>
                <w:sz w:val="18"/>
                <w:szCs w:val="18"/>
                <w:color w:val="auto"/>
              </w:rPr>
            </w:pPr>
          </w:p>
        </w:tc>
        <w:tc>
          <w:tcPr>
            <w:tcW w:w="60" w:type="dxa"/>
            <w:vAlign w:val="bottom"/>
            <w:tcBorders>
              <w:bottom w:val="single" w:sz="8" w:color="auto"/>
            </w:tcBorders>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(227)</w:t>
            </w:r>
          </w:p>
        </w:tc>
        <w:tc>
          <w:tcPr>
            <w:tcW w:w="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480" w:type="dxa"/>
            <w:vAlign w:val="bottom"/>
            <w:tcBorders>
              <w:bottom w:val="single" w:sz="8" w:color="auto"/>
            </w:tcBorders>
            <w:shd w:val="clear" w:color="auto" w:fill="E5FFFF"/>
          </w:tcPr>
          <w:p>
            <w:pPr>
              <w:spacing w:after="0"/>
              <w:rPr>
                <w:sz w:val="18"/>
                <w:szCs w:val="18"/>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70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12,182</w:t>
            </w:r>
          </w:p>
        </w:tc>
        <w:tc>
          <w:tcPr>
            <w:tcW w:w="80" w:type="dxa"/>
            <w:vAlign w:val="bottom"/>
          </w:tcPr>
          <w:p>
            <w:pPr>
              <w:spacing w:after="0"/>
              <w:rPr>
                <w:sz w:val="20"/>
                <w:szCs w:val="20"/>
                <w:color w:val="auto"/>
              </w:rPr>
            </w:pPr>
          </w:p>
        </w:tc>
        <w:tc>
          <w:tcPr>
            <w:tcW w:w="7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5,554</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ind w:left="20"/>
              <w:spacing w:after="0"/>
              <w:rPr>
                <w:sz w:val="20"/>
                <w:szCs w:val="20"/>
                <w:color w:val="auto"/>
              </w:rPr>
            </w:pPr>
            <w:r>
              <w:rPr>
                <w:rFonts w:ascii="Arial" w:cs="Arial" w:eastAsia="Arial" w:hAnsi="Arial"/>
                <w:sz w:val="18"/>
                <w:szCs w:val="18"/>
                <w:color w:val="auto"/>
              </w:rPr>
              <w:t>The schedule of principal payments on long-term debt is as follows:</w:t>
            </w:r>
          </w:p>
        </w:tc>
        <w:tc>
          <w:tcPr>
            <w:tcW w:w="4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84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4"/>
          </w:tcPr>
          <w:p>
            <w:pPr>
              <w:jc w:val="center"/>
              <w:ind w:right="17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E5FFFF"/>
            </w:tcBorders>
          </w:tcPr>
          <w:p>
            <w:pPr>
              <w:spacing w:after="0"/>
              <w:rPr>
                <w:sz w:val="15"/>
                <w:szCs w:val="15"/>
                <w:color w:val="auto"/>
              </w:rPr>
            </w:pPr>
          </w:p>
        </w:tc>
        <w:tc>
          <w:tcPr>
            <w:tcW w:w="7820" w:type="dxa"/>
            <w:vAlign w:val="bottom"/>
            <w:tcBorders>
              <w:bottom w:val="single" w:sz="8" w:color="E5FFFF"/>
            </w:tcBorders>
          </w:tcPr>
          <w:p>
            <w:pPr>
              <w:spacing w:after="0"/>
              <w:rPr>
                <w:sz w:val="15"/>
                <w:szCs w:val="15"/>
                <w:color w:val="auto"/>
              </w:rPr>
            </w:pPr>
          </w:p>
        </w:tc>
        <w:tc>
          <w:tcPr>
            <w:tcW w:w="440" w:type="dxa"/>
            <w:vAlign w:val="bottom"/>
            <w:tcBorders>
              <w:bottom w:val="single" w:sz="8" w:color="E5FFFF"/>
            </w:tcBorders>
          </w:tcPr>
          <w:p>
            <w:pPr>
              <w:spacing w:after="0"/>
              <w:rPr>
                <w:sz w:val="15"/>
                <w:szCs w:val="15"/>
                <w:color w:val="auto"/>
              </w:rPr>
            </w:pPr>
          </w:p>
        </w:tc>
        <w:tc>
          <w:tcPr>
            <w:tcW w:w="6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840" w:type="dxa"/>
            <w:vAlign w:val="bottom"/>
            <w:gridSpan w:val="2"/>
            <w:shd w:val="clear" w:color="auto" w:fill="E5FFFF"/>
          </w:tcPr>
          <w:p>
            <w:pPr>
              <w:ind w:left="40"/>
              <w:spacing w:after="0" w:line="196" w:lineRule="exact"/>
              <w:rPr>
                <w:sz w:val="20"/>
                <w:szCs w:val="20"/>
                <w:color w:val="auto"/>
              </w:rPr>
            </w:pPr>
            <w:r>
              <w:rPr>
                <w:rFonts w:ascii="Arial" w:cs="Arial" w:eastAsia="Arial" w:hAnsi="Arial"/>
                <w:sz w:val="18"/>
                <w:szCs w:val="18"/>
                <w:color w:val="auto"/>
              </w:rPr>
              <w:t>2017</w:t>
            </w:r>
          </w:p>
        </w:tc>
        <w:tc>
          <w:tcPr>
            <w:tcW w:w="500" w:type="dxa"/>
            <w:vAlign w:val="bottom"/>
            <w:gridSpan w:val="2"/>
            <w:shd w:val="clear" w:color="auto" w:fill="E5FFFF"/>
          </w:tcPr>
          <w:p>
            <w:pPr>
              <w:spacing w:after="0"/>
              <w:rPr>
                <w:sz w:val="17"/>
                <w:szCs w:val="17"/>
                <w:color w:val="auto"/>
              </w:rPr>
            </w:pPr>
          </w:p>
        </w:tc>
        <w:tc>
          <w:tcPr>
            <w:tcW w:w="200" w:type="dxa"/>
            <w:vAlign w:val="bottom"/>
            <w:shd w:val="clear" w:color="auto" w:fill="E5FF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700" w:type="dxa"/>
            <w:vAlign w:val="bottom"/>
            <w:gridSpan w:val="2"/>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227</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2018</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1,122</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gridSpan w:val="2"/>
            <w:shd w:val="clear" w:color="auto" w:fill="E5FFFF"/>
          </w:tcPr>
          <w:p>
            <w:pPr>
              <w:ind w:left="40"/>
              <w:spacing w:after="0" w:line="202" w:lineRule="exact"/>
              <w:rPr>
                <w:sz w:val="20"/>
                <w:szCs w:val="20"/>
                <w:color w:val="auto"/>
              </w:rPr>
            </w:pPr>
            <w:r>
              <w:rPr>
                <w:rFonts w:ascii="Arial" w:cs="Arial" w:eastAsia="Arial" w:hAnsi="Arial"/>
                <w:sz w:val="18"/>
                <w:szCs w:val="18"/>
                <w:color w:val="auto"/>
              </w:rPr>
              <w:t>2019</w:t>
            </w:r>
          </w:p>
        </w:tc>
        <w:tc>
          <w:tcPr>
            <w:tcW w:w="4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700" w:type="dxa"/>
            <w:vAlign w:val="bottom"/>
            <w:gridSpan w:val="2"/>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1,550</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2020</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1,299</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gridSpan w:val="2"/>
            <w:shd w:val="clear" w:color="auto" w:fill="E5FFFF"/>
          </w:tcPr>
          <w:p>
            <w:pPr>
              <w:ind w:left="40"/>
              <w:spacing w:after="0" w:line="202" w:lineRule="exact"/>
              <w:rPr>
                <w:sz w:val="20"/>
                <w:szCs w:val="20"/>
                <w:color w:val="auto"/>
              </w:rPr>
            </w:pPr>
            <w:r>
              <w:rPr>
                <w:rFonts w:ascii="Arial" w:cs="Arial" w:eastAsia="Arial" w:hAnsi="Arial"/>
                <w:sz w:val="18"/>
                <w:szCs w:val="18"/>
                <w:color w:val="auto"/>
              </w:rPr>
              <w:t>2021</w:t>
            </w:r>
          </w:p>
        </w:tc>
        <w:tc>
          <w:tcPr>
            <w:tcW w:w="4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700" w:type="dxa"/>
            <w:vAlign w:val="bottom"/>
            <w:gridSpan w:val="2"/>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2,312</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E5FFFF"/>
            </w:tcBorders>
          </w:tcPr>
          <w:p>
            <w:pPr>
              <w:spacing w:after="0"/>
              <w:rPr>
                <w:sz w:val="18"/>
                <w:szCs w:val="18"/>
                <w:color w:val="auto"/>
              </w:rPr>
            </w:pPr>
          </w:p>
        </w:tc>
        <w:tc>
          <w:tcPr>
            <w:tcW w:w="7820" w:type="dxa"/>
            <w:vAlign w:val="bottom"/>
            <w:tcBorders>
              <w:bottom w:val="single" w:sz="8" w:color="E5FFFF"/>
            </w:tcBorders>
          </w:tcPr>
          <w:p>
            <w:pPr>
              <w:ind w:left="2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E5FFFF"/>
            </w:tcBorders>
          </w:tcPr>
          <w:p>
            <w:pPr>
              <w:spacing w:after="0"/>
              <w:rPr>
                <w:sz w:val="18"/>
                <w:szCs w:val="18"/>
                <w:color w:val="auto"/>
              </w:rPr>
            </w:pPr>
          </w:p>
        </w:tc>
        <w:tc>
          <w:tcPr>
            <w:tcW w:w="6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5,899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E5FFFF"/>
          </w:tcPr>
          <w:p>
            <w:pPr>
              <w:spacing w:after="0"/>
              <w:rPr>
                <w:sz w:val="17"/>
                <w:szCs w:val="17"/>
                <w:color w:val="auto"/>
              </w:rPr>
            </w:pPr>
          </w:p>
        </w:tc>
        <w:tc>
          <w:tcPr>
            <w:tcW w:w="782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700" w:type="dxa"/>
            <w:vAlign w:val="bottom"/>
            <w:gridSpan w:val="2"/>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12,409</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E5FFFF"/>
            </w:tcBorders>
          </w:tcPr>
          <w:p>
            <w:pPr>
              <w:spacing w:after="0"/>
              <w:rPr>
                <w:sz w:val="18"/>
                <w:szCs w:val="18"/>
                <w:color w:val="auto"/>
              </w:rPr>
            </w:pPr>
          </w:p>
        </w:tc>
        <w:tc>
          <w:tcPr>
            <w:tcW w:w="7820" w:type="dxa"/>
            <w:vAlign w:val="bottom"/>
            <w:tcBorders>
              <w:bottom w:val="single" w:sz="8" w:color="E5FFFF"/>
            </w:tcBorders>
          </w:tcPr>
          <w:p>
            <w:pPr>
              <w:ind w:left="20"/>
              <w:spacing w:after="0"/>
              <w:rPr>
                <w:sz w:val="20"/>
                <w:szCs w:val="20"/>
                <w:color w:val="auto"/>
              </w:rPr>
            </w:pPr>
            <w:r>
              <w:rPr>
                <w:rFonts w:ascii="Arial" w:cs="Arial" w:eastAsia="Arial" w:hAnsi="Arial"/>
                <w:sz w:val="18"/>
                <w:szCs w:val="18"/>
                <w:color w:val="auto"/>
              </w:rPr>
              <w:t>Less-current portion</w:t>
            </w:r>
          </w:p>
        </w:tc>
        <w:tc>
          <w:tcPr>
            <w:tcW w:w="440" w:type="dxa"/>
            <w:vAlign w:val="bottom"/>
            <w:tcBorders>
              <w:bottom w:val="single" w:sz="8" w:color="E5FFFF"/>
            </w:tcBorders>
          </w:tcPr>
          <w:p>
            <w:pPr>
              <w:spacing w:after="0"/>
              <w:rPr>
                <w:sz w:val="18"/>
                <w:szCs w:val="18"/>
                <w:color w:val="auto"/>
              </w:rPr>
            </w:pPr>
          </w:p>
        </w:tc>
        <w:tc>
          <w:tcPr>
            <w:tcW w:w="6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E5FFFF"/>
          </w:tcPr>
          <w:p>
            <w:pPr>
              <w:spacing w:after="0"/>
              <w:rPr>
                <w:sz w:val="20"/>
                <w:szCs w:val="20"/>
                <w:color w:val="auto"/>
              </w:rPr>
            </w:pPr>
          </w:p>
        </w:tc>
        <w:tc>
          <w:tcPr>
            <w:tcW w:w="7820" w:type="dxa"/>
            <w:vAlign w:val="bottom"/>
            <w:shd w:val="clear" w:color="auto" w:fill="E5FFFF"/>
          </w:tcPr>
          <w:p>
            <w:pPr>
              <w:spacing w:after="0"/>
              <w:rPr>
                <w:sz w:val="20"/>
                <w:szCs w:val="20"/>
                <w:color w:val="auto"/>
              </w:rPr>
            </w:pPr>
          </w:p>
        </w:tc>
        <w:tc>
          <w:tcPr>
            <w:tcW w:w="700" w:type="dxa"/>
            <w:vAlign w:val="bottom"/>
            <w:gridSpan w:val="3"/>
            <w:shd w:val="clear" w:color="auto" w:fill="E5FFFF"/>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700" w:type="dxa"/>
            <w:vAlign w:val="bottom"/>
            <w:gridSpan w:val="2"/>
            <w:shd w:val="clear" w:color="auto" w:fill="E5FFFF"/>
          </w:tcPr>
          <w:p>
            <w:pPr>
              <w:jc w:val="right"/>
              <w:ind w:right="10"/>
              <w:spacing w:after="0"/>
              <w:rPr>
                <w:sz w:val="20"/>
                <w:szCs w:val="20"/>
                <w:color w:val="auto"/>
              </w:rPr>
            </w:pPr>
            <w:r>
              <w:rPr>
                <w:rFonts w:ascii="Arial" w:cs="Arial" w:eastAsia="Arial" w:hAnsi="Arial"/>
                <w:sz w:val="18"/>
                <w:szCs w:val="18"/>
                <w:color w:val="auto"/>
              </w:rPr>
              <w:t>12,182</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E5FFFF"/>
            </w:tcBorders>
          </w:tcPr>
          <w:p>
            <w:pPr>
              <w:spacing w:after="0" w:line="20" w:lineRule="exact"/>
              <w:rPr>
                <w:sz w:val="1"/>
                <w:szCs w:val="1"/>
                <w:color w:val="auto"/>
              </w:rPr>
            </w:pPr>
          </w:p>
        </w:tc>
        <w:tc>
          <w:tcPr>
            <w:tcW w:w="7820" w:type="dxa"/>
            <w:vAlign w:val="bottom"/>
            <w:tcBorders>
              <w:top w:val="single" w:sz="8" w:color="E5FFFF"/>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6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February 2016, the Company issued €1,000 million Floating Rate Senior Notes due 2018, €1,000 million 0.65% Senior Notes due 2020, €1,250 million 1.30% Senior Notes due 2023 and €750 million 2.25% Senior Notes due 2028 (collectively, the “Euro Notes”). The Euro Notes are senior unsecured and unsubordinated obligations of Honeywell and rank equally with all of Honeywell’s existing and future senior unsecured debt 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15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senior to all of Honeywell’s subordinated debt. The offering resulted in gross proceeds of $4,438 million, offset by $23 million in discount and closing costs related to the offering.</w:t>
      </w:r>
    </w:p>
    <w:p>
      <w:pPr>
        <w:spacing w:after="0" w:line="18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October 2016, the Company issued $1,250 million 1.40% Senior Notes due 2019, $250 million Floating Rate Senior Notes due 2019, $1,500 million 1.85% Senior Notes due 2021 and $1,500 million 2.50% Senior Notes due 2026 (collectively, the “Notes”). The Notes are senior unsecured and unsubordinated obligations of Honeywell and rank equally with all of Honeywell’s existing and future senior unsecured debt and senior to all of Honeywell’s subordinated debt. The offering resulted in gross proceeds of $4,500 million, offset by $27 million in discount and closing costs related to the offering.</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the fourth quarter of 2016, the Company repurchased the entire outstanding principal amount of its $400 million 5.30 % Senior Notes due 2017, $900 million 5.30% Senior Notes due 2018 and $900 million 5.00% Senior Notes due 2019. The cost related to the early redemption, including the “make whole premium”, was $126 million which was recorded in Other (income) expense.</w:t>
      </w:r>
    </w:p>
    <w:p>
      <w:pPr>
        <w:spacing w:after="0" w:line="18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On April 29, 2016, the Company entered into Amendment No. 2 (Amendment) to the Amended and Restated $4 billion Credit Agreement dated as of July 10, 2015, as amended by the certain Amendment No. 1 dated as of September 30, 2015 (as so amended, the “Credit Agreement”), with a syndicate of banks. The Credit Agreement is maintained for general corporate purposes. Commitments under the Credit Agreement can be increased pursuant to the terms of the Credit Agreement to an aggregate amount not to exceed $4.5 billion. The Amendment, among other things, extends the Credit Agreement’s termination date from July 10, 2020 to July 10, 2021.</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On April 29, 2016, the Company entered into a $1.5 billion 364-Day Credit Agreement (364-Day Credit Agreement) with a syndicate of banks. The 364-Day Credit Agreement is maintained for general corporate purposes.</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On April 29, 2016, the Company terminated all commitments under the $3 billion credit agreement dated as of September 30, 2015, among the Company, the lenders party thereto and Citibank, N.A., as administrative agent. A full description of the Credit Agreement and the 364-Day Credit Agreement can be found in the Company’s Current Report on Form 8-K, dated April 29, 2016.</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On August 5, 2016, the Company entered into a $ 1.5 billion 364-Day Credit Agreement (Second 364-Day Credit Agreement) with a syndicate of banks. The Second 364-Day Credit Agreement is maintained for general corporate purposes. A full description of the Second 364-day Credit Agreement can be found in the Company’s Current Report on Form 8-K, dated August 5, 2016.</w:t>
      </w:r>
    </w:p>
    <w:p>
      <w:pPr>
        <w:spacing w:after="0" w:line="189"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On December 23, 2016, the Company terminated all commitments under the Second 364-day credit agreement dated as of August 5, 2016, among the Company, the lenders party thereto and JPMorgan Chase Bank, N.A., as administrative agent.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borrowings under any of the credit agreements previously described.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Lease Commitments</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Future minimum lease payments under operating leases having initial or remaining noncancellable lease terms in excess of one year are as follows: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54" w:name="page55"/>
    <w:bookmarkEnd w:id="54"/>
    <w:tbl>
      <w:tblPr>
        <w:tblLayout w:type="fixed"/>
        <w:tblInd w:w="230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4480" w:type="dxa"/>
            <w:vAlign w:val="bottom"/>
            <w:gridSpan w:val="2"/>
          </w:tcPr>
          <w:p>
            <w:pPr>
              <w:jc w:val="center"/>
              <w:ind w:left="294"/>
              <w:spacing w:after="0"/>
              <w:rPr>
                <w:sz w:val="20"/>
                <w:szCs w:val="20"/>
                <w:color w:val="auto"/>
              </w:rPr>
            </w:pPr>
            <w:r>
              <w:rPr>
                <w:rFonts w:ascii="Arial" w:cs="Arial" w:eastAsia="Arial" w:hAnsi="Arial"/>
                <w:sz w:val="18"/>
                <w:szCs w:val="18"/>
                <w:b w:val="1"/>
                <w:bCs w:val="1"/>
                <w:color w:val="auto"/>
                <w:w w:val="99"/>
              </w:rPr>
              <w:t>HONEYWELL INTERNATIONAL INC.</w:t>
            </w:r>
          </w:p>
        </w:tc>
        <w:tc>
          <w:tcPr>
            <w:tcW w:w="1380" w:type="dxa"/>
            <w:vAlign w:val="bottom"/>
          </w:tcPr>
          <w:p>
            <w:pPr>
              <w:spacing w:after="0"/>
              <w:rPr>
                <w:sz w:val="17"/>
                <w:szCs w:val="17"/>
                <w:color w:val="auto"/>
              </w:rPr>
            </w:pPr>
          </w:p>
        </w:tc>
      </w:tr>
      <w:tr>
        <w:trPr>
          <w:trHeight w:val="212"/>
        </w:trPr>
        <w:tc>
          <w:tcPr>
            <w:tcW w:w="980" w:type="dxa"/>
            <w:vAlign w:val="bottom"/>
          </w:tcPr>
          <w:p>
            <w:pPr>
              <w:spacing w:after="0"/>
              <w:rPr>
                <w:sz w:val="18"/>
                <w:szCs w:val="18"/>
                <w:color w:val="auto"/>
              </w:rPr>
            </w:pPr>
          </w:p>
        </w:tc>
        <w:tc>
          <w:tcPr>
            <w:tcW w:w="5860" w:type="dxa"/>
            <w:vAlign w:val="bottom"/>
            <w:gridSpan w:val="3"/>
          </w:tcPr>
          <w:p>
            <w:pPr>
              <w:jc w:val="center"/>
              <w:ind w:right="914"/>
              <w:spacing w:after="0"/>
              <w:rPr>
                <w:sz w:val="20"/>
                <w:szCs w:val="20"/>
                <w:color w:val="auto"/>
              </w:rPr>
            </w:pPr>
            <w:r>
              <w:rPr>
                <w:rFonts w:ascii="Arial" w:cs="Arial" w:eastAsia="Arial" w:hAnsi="Arial"/>
                <w:sz w:val="18"/>
                <w:szCs w:val="18"/>
                <w:b w:val="1"/>
                <w:bCs w:val="1"/>
                <w:color w:val="auto"/>
                <w:w w:val="99"/>
              </w:rPr>
              <w:t>NOTES TO FINANCIAL STATEMENTS – (CONTINUED)</w:t>
            </w:r>
          </w:p>
        </w:tc>
      </w:tr>
      <w:tr>
        <w:trPr>
          <w:trHeight w:val="190"/>
        </w:trPr>
        <w:tc>
          <w:tcPr>
            <w:tcW w:w="980" w:type="dxa"/>
            <w:vAlign w:val="bottom"/>
          </w:tcPr>
          <w:p>
            <w:pPr>
              <w:spacing w:after="0"/>
              <w:rPr>
                <w:sz w:val="16"/>
                <w:szCs w:val="16"/>
                <w:color w:val="auto"/>
              </w:rPr>
            </w:pPr>
          </w:p>
        </w:tc>
        <w:tc>
          <w:tcPr>
            <w:tcW w:w="4480" w:type="dxa"/>
            <w:vAlign w:val="bottom"/>
            <w:gridSpan w:val="2"/>
          </w:tcPr>
          <w:p>
            <w:pPr>
              <w:jc w:val="center"/>
              <w:ind w:left="314"/>
              <w:spacing w:after="0"/>
              <w:rPr>
                <w:sz w:val="20"/>
                <w:szCs w:val="20"/>
                <w:color w:val="auto"/>
              </w:rPr>
            </w:pPr>
            <w:r>
              <w:rPr>
                <w:rFonts w:ascii="Arial" w:cs="Arial" w:eastAsia="Arial" w:hAnsi="Arial"/>
                <w:sz w:val="14"/>
                <w:szCs w:val="14"/>
                <w:b w:val="1"/>
                <w:bCs w:val="1"/>
                <w:color w:val="auto"/>
              </w:rPr>
              <w:t>(Dollars in millions, except per share amounts)</w:t>
            </w:r>
          </w:p>
        </w:tc>
        <w:tc>
          <w:tcPr>
            <w:tcW w:w="1380" w:type="dxa"/>
            <w:vAlign w:val="bottom"/>
          </w:tcPr>
          <w:p>
            <w:pPr>
              <w:spacing w:after="0"/>
              <w:rPr>
                <w:sz w:val="16"/>
                <w:szCs w:val="16"/>
                <w:color w:val="auto"/>
              </w:rPr>
            </w:pPr>
          </w:p>
        </w:tc>
      </w:tr>
      <w:tr>
        <w:trPr>
          <w:trHeight w:val="296"/>
        </w:trPr>
        <w:tc>
          <w:tcPr>
            <w:tcW w:w="9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jc w:val="right"/>
              <w:ind w:right="114"/>
              <w:spacing w:after="0"/>
              <w:rPr>
                <w:sz w:val="20"/>
                <w:szCs w:val="20"/>
                <w:color w:val="auto"/>
              </w:rPr>
            </w:pPr>
            <w:r>
              <w:rPr>
                <w:rFonts w:ascii="Arial" w:cs="Arial" w:eastAsia="Arial" w:hAnsi="Arial"/>
                <w:sz w:val="14"/>
                <w:szCs w:val="14"/>
                <w:b w:val="1"/>
                <w:bCs w:val="1"/>
                <w:color w:val="auto"/>
              </w:rPr>
              <w:t>At December 31,</w:t>
            </w:r>
          </w:p>
        </w:tc>
      </w:tr>
      <w:tr>
        <w:trPr>
          <w:trHeight w:val="175"/>
        </w:trPr>
        <w:tc>
          <w:tcPr>
            <w:tcW w:w="980" w:type="dxa"/>
            <w:vAlign w:val="bottom"/>
            <w:tcBorders>
              <w:bottom w:val="single" w:sz="8" w:color="E5FFFF"/>
            </w:tcBorders>
          </w:tcPr>
          <w:p>
            <w:pPr>
              <w:spacing w:after="0"/>
              <w:rPr>
                <w:sz w:val="15"/>
                <w:szCs w:val="15"/>
                <w:color w:val="auto"/>
              </w:rPr>
            </w:pPr>
          </w:p>
        </w:tc>
        <w:tc>
          <w:tcPr>
            <w:tcW w:w="4320" w:type="dxa"/>
            <w:vAlign w:val="bottom"/>
            <w:tcBorders>
              <w:bottom w:val="single" w:sz="8" w:color="E5FF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r>
      <w:tr>
        <w:trPr>
          <w:trHeight w:val="196"/>
        </w:trPr>
        <w:tc>
          <w:tcPr>
            <w:tcW w:w="9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2017</w:t>
            </w:r>
          </w:p>
        </w:tc>
        <w:tc>
          <w:tcPr>
            <w:tcW w:w="4320" w:type="dxa"/>
            <w:vAlign w:val="bottom"/>
            <w:shd w:val="clear" w:color="auto" w:fill="E5FFFF"/>
          </w:tcPr>
          <w:p>
            <w:pPr>
              <w:spacing w:after="0"/>
              <w:rPr>
                <w:sz w:val="17"/>
                <w:szCs w:val="17"/>
                <w:color w:val="auto"/>
              </w:rPr>
            </w:pPr>
          </w:p>
        </w:tc>
        <w:tc>
          <w:tcPr>
            <w:tcW w:w="1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289</w:t>
            </w:r>
          </w:p>
        </w:tc>
      </w:tr>
      <w:tr>
        <w:trPr>
          <w:trHeight w:val="203"/>
        </w:trPr>
        <w:tc>
          <w:tcPr>
            <w:tcW w:w="980" w:type="dxa"/>
            <w:vAlign w:val="bottom"/>
          </w:tcPr>
          <w:p>
            <w:pPr>
              <w:spacing w:after="0" w:line="202" w:lineRule="exact"/>
              <w:rPr>
                <w:sz w:val="20"/>
                <w:szCs w:val="20"/>
                <w:color w:val="auto"/>
              </w:rPr>
            </w:pPr>
            <w:r>
              <w:rPr>
                <w:rFonts w:ascii="Arial" w:cs="Arial" w:eastAsia="Arial" w:hAnsi="Arial"/>
                <w:sz w:val="18"/>
                <w:szCs w:val="18"/>
                <w:color w:val="auto"/>
              </w:rPr>
              <w:t>2018</w:t>
            </w:r>
          </w:p>
        </w:tc>
        <w:tc>
          <w:tcPr>
            <w:tcW w:w="4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216</w:t>
            </w:r>
          </w:p>
        </w:tc>
      </w:tr>
      <w:tr>
        <w:trPr>
          <w:trHeight w:val="203"/>
        </w:trPr>
        <w:tc>
          <w:tcPr>
            <w:tcW w:w="9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2019</w:t>
            </w:r>
          </w:p>
        </w:tc>
        <w:tc>
          <w:tcPr>
            <w:tcW w:w="4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158</w:t>
            </w:r>
          </w:p>
        </w:tc>
      </w:tr>
      <w:tr>
        <w:trPr>
          <w:trHeight w:val="203"/>
        </w:trPr>
        <w:tc>
          <w:tcPr>
            <w:tcW w:w="98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4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110</w:t>
            </w:r>
          </w:p>
        </w:tc>
      </w:tr>
      <w:tr>
        <w:trPr>
          <w:trHeight w:val="203"/>
        </w:trPr>
        <w:tc>
          <w:tcPr>
            <w:tcW w:w="9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2021</w:t>
            </w:r>
          </w:p>
        </w:tc>
        <w:tc>
          <w:tcPr>
            <w:tcW w:w="4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94</w:t>
            </w:r>
          </w:p>
        </w:tc>
      </w:tr>
      <w:tr>
        <w:trPr>
          <w:trHeight w:val="216"/>
        </w:trPr>
        <w:tc>
          <w:tcPr>
            <w:tcW w:w="98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Thereafter</w:t>
            </w:r>
          </w:p>
        </w:tc>
        <w:tc>
          <w:tcPr>
            <w:tcW w:w="43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r>
      <w:tr>
        <w:trPr>
          <w:trHeight w:val="237"/>
        </w:trPr>
        <w:tc>
          <w:tcPr>
            <w:tcW w:w="980" w:type="dxa"/>
            <w:vAlign w:val="bottom"/>
            <w:shd w:val="clear" w:color="auto" w:fill="E5FFFF"/>
          </w:tcPr>
          <w:p>
            <w:pPr>
              <w:spacing w:after="0"/>
              <w:rPr>
                <w:sz w:val="20"/>
                <w:szCs w:val="20"/>
                <w:color w:val="auto"/>
              </w:rPr>
            </w:pPr>
          </w:p>
        </w:tc>
        <w:tc>
          <w:tcPr>
            <w:tcW w:w="44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1,123</w:t>
            </w:r>
          </w:p>
        </w:tc>
      </w:tr>
      <w:tr>
        <w:trPr>
          <w:trHeight w:val="20"/>
        </w:trPr>
        <w:tc>
          <w:tcPr>
            <w:tcW w:w="980" w:type="dxa"/>
            <w:vAlign w:val="bottom"/>
            <w:tcBorders>
              <w:top w:val="single" w:sz="8" w:color="E5FFFF"/>
            </w:tcBorders>
          </w:tcPr>
          <w:p>
            <w:pPr>
              <w:spacing w:after="0" w:line="20" w:lineRule="exact"/>
              <w:rPr>
                <w:sz w:val="1"/>
                <w:szCs w:val="1"/>
                <w:color w:val="auto"/>
              </w:rPr>
            </w:pPr>
          </w:p>
        </w:tc>
        <w:tc>
          <w:tcPr>
            <w:tcW w:w="432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 expense was $387 million, $390 million and $420 million in 2016, 2015 and 2014.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Financial Instruments and Fair Value Measures</w:t>
      </w:r>
    </w:p>
    <w:p>
      <w:pPr>
        <w:spacing w:after="0" w:line="19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b w:val="1"/>
          <w:bCs w:val="1"/>
          <w:i w:val="1"/>
          <w:iCs w:val="1"/>
          <w:color w:val="auto"/>
        </w:rPr>
        <w:t>Credit and Market Risk—</w:t>
      </w:r>
      <w:r>
        <w:rPr>
          <w:rFonts w:ascii="Arial" w:cs="Arial" w:eastAsia="Arial" w:hAnsi="Arial"/>
          <w:sz w:val="18"/>
          <w:szCs w:val="18"/>
          <w:color w:val="auto"/>
        </w:rPr>
        <w:t>Financial instruments, including derivatives, expose us to counterparty credit risk for nonperformance and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risk related to changes in interest and currency exchange rates. We manage our exposure to counterparty credit risk through specific minimum credit standards, diversification of counterparties, and procedures to monitor concentrations of credit risk. Our counterparties in derivative transactions are substantial investment and commercial banks with significant experience using such derivative instruments. We monitor the impact of market risk on the fair value and cash flows of our derivative and other financial instruments considering reasonably possible changes in interest rates and currency exchange rates and restrict the use of derivative financial instruments to hedging activities.</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continually monitor the creditworthiness of our customers to which we grant credit terms in the normal course of business. The terms and conditions of our credit sales are designed to mitigate or eliminate concentrations of credit risk with any single customer. Our sales are not materially dependent on a single customer or a small group of customers.</w:t>
      </w:r>
    </w:p>
    <w:p>
      <w:pPr>
        <w:spacing w:after="0" w:line="16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b w:val="1"/>
          <w:bCs w:val="1"/>
          <w:i w:val="1"/>
          <w:iCs w:val="1"/>
          <w:color w:val="auto"/>
        </w:rPr>
        <w:t>Foreign Currency Risk Management—</w:t>
      </w:r>
      <w:r>
        <w:rPr>
          <w:rFonts w:ascii="Arial" w:cs="Arial" w:eastAsia="Arial" w:hAnsi="Arial"/>
          <w:sz w:val="18"/>
          <w:szCs w:val="18"/>
          <w:color w:val="auto"/>
        </w:rPr>
        <w:t>We conduct our business on a multinational basis in a wide variety of foreign currencies.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exposure to market risk for changes in foreign currency exchange rates arises from international financing activities between subsidiaries, foreign currency denominated monetary assets and liabilities and transactions arising from international trade. Our primary objective is to preserve the U.S. Dollar value of foreign currency denominated cash flows and earnings. We attempt to hedge currency exposures with natural offsets to the fullest extent possible and, once these opportunities have been exhausted, through foreign currency exchange forward and option contracts (foreign currency exchange contracts) with third parties.</w:t>
      </w:r>
    </w:p>
    <w:p>
      <w:pPr>
        <w:spacing w:after="0" w:line="18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We hedge monetary assets and liabilities denominated in non-functional currencies. Prior to conversion into U.S. dollars, these assets and liabilities are remeasured at spot exchange rates in effect on the balance sheet date. The effects of changes in spot rates are recognized in earnings and included in other (income) expense. We partially hedge forecasted sales and purchases, which occur in the next twelve months and are denominated in non-functional currencies, with foreign currency exchange contracts. Changes in the forecasted non-functional currency cash flows due to movements in exchange rates are substantially offset by changes in the fair value of the foreign currency exchange contracts designated as hedges. Market value gains and losses on these contracts are recognized in earnings when the hedged transaction is recognized. Open foreign currency exchange contracts mature in the next twelve months. At December 31, 2016 and 2015, we had contracts with notional amounts of $9,554 million and $10,538 million to exchange foreign currencies, principally the U.S. Dollar, Euro, British Pound, Canadian Dollar, Chinese Renminbi, Indian Rupee, Mexican Peso, Singapore Dollar, U.A.E. Dirham and Swiss Franc.</w:t>
      </w:r>
    </w:p>
    <w:p>
      <w:pPr>
        <w:spacing w:after="0" w:line="19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have also designated foreign currency debt as hedges against portions of our net investment in foreign operations during the year ended December 31, 2016. Gains or losses on the effective portion of the foreign currency debt designated as a net investment hedge are recorded in the same manner as foreign currency translation adjustments. The Company did not have ineffectiveness related to net investment hedges during the year ended December 31, 2016.</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13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b w:val="1"/>
          <w:bCs w:val="1"/>
          <w:i w:val="1"/>
          <w:iCs w:val="1"/>
          <w:color w:val="auto"/>
        </w:rPr>
        <w:t>Interest Rate Risk Management—</w:t>
      </w:r>
      <w:r>
        <w:rPr>
          <w:rFonts w:ascii="Arial" w:cs="Arial" w:eastAsia="Arial" w:hAnsi="Arial"/>
          <w:sz w:val="18"/>
          <w:szCs w:val="18"/>
          <w:color w:val="auto"/>
        </w:rPr>
        <w:t>We use a combination of financial instruments, including long-term, medium-term and short-term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financing, variable-rate commercial paper, and interest rate swaps to manage the interest rate mix of our total debt portfolio and related overall cost of borrowing. At December 31, 2016 and 2015, interest rate swap agreements designated as fair value hedges effectively changed $1,850 million and $1,100 million of fixed rate debt at rates of 3.39% and 4.00% to LIBOR based floating rate debt. Our interest rate swaps mature at various dates through 2026.</w:t>
      </w:r>
    </w:p>
    <w:p>
      <w:pPr>
        <w:spacing w:after="0" w:line="163"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b w:val="1"/>
          <w:bCs w:val="1"/>
          <w:i w:val="1"/>
          <w:iCs w:val="1"/>
          <w:color w:val="auto"/>
        </w:rPr>
        <w:t>Fair Value of Financial Instruments</w:t>
      </w:r>
      <w:r>
        <w:rPr>
          <w:rFonts w:ascii="Arial" w:cs="Arial" w:eastAsia="Arial" w:hAnsi="Arial"/>
          <w:sz w:val="18"/>
          <w:szCs w:val="18"/>
          <w:b w:val="1"/>
          <w:bCs w:val="1"/>
          <w:color w:val="auto"/>
        </w:rPr>
        <w:t>—</w:t>
      </w:r>
      <w:r>
        <w:rPr>
          <w:rFonts w:ascii="Arial" w:cs="Arial" w:eastAsia="Arial" w:hAnsi="Arial"/>
          <w:sz w:val="18"/>
          <w:szCs w:val="18"/>
          <w:color w:val="auto"/>
        </w:rPr>
        <w:t>The FASB’s accounting guidance defines fair value as the price that would be received to sell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asset or paid to transfer a liability in an orderly transaction between market participants at the measurement date (exit price).</w:t>
      </w:r>
    </w:p>
    <w:p>
      <w:pPr>
        <w:spacing w:after="0" w:line="16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Financial and nonfinancial assets and liabilities are classified in their entirety based on the lowest level of input that is significant to the fair value measurement. The following table sets forth the Company’s financial assets and liabilities that were accounted for at fair value on a recurring basis as of December 31, 2016 and 2015:</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22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ind w:right="53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300" w:type="dxa"/>
            <w:vAlign w:val="bottom"/>
            <w:tcBorders>
              <w:top w:val="single" w:sz="8" w:color="E5FFFF"/>
            </w:tcBorders>
            <w:shd w:val="clear" w:color="auto" w:fill="E5FFFF"/>
          </w:tcPr>
          <w:p>
            <w:pPr>
              <w:spacing w:after="0"/>
              <w:rPr>
                <w:sz w:val="17"/>
                <w:szCs w:val="17"/>
                <w:color w:val="auto"/>
              </w:rPr>
            </w:pPr>
          </w:p>
        </w:tc>
        <w:tc>
          <w:tcPr>
            <w:tcW w:w="980" w:type="dxa"/>
            <w:vAlign w:val="bottom"/>
            <w:tcBorders>
              <w:top w:val="single" w:sz="8" w:color="auto"/>
            </w:tcBorders>
            <w:shd w:val="clear" w:color="auto" w:fill="E5FFFF"/>
          </w:tcPr>
          <w:p>
            <w:pPr>
              <w:spacing w:after="0"/>
              <w:rPr>
                <w:sz w:val="17"/>
                <w:szCs w:val="17"/>
                <w:color w:val="auto"/>
              </w:rPr>
            </w:pPr>
          </w:p>
        </w:tc>
        <w:tc>
          <w:tcPr>
            <w:tcW w:w="580" w:type="dxa"/>
            <w:vAlign w:val="bottom"/>
            <w:tcBorders>
              <w:top w:val="single" w:sz="8" w:color="auto"/>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460" w:type="dxa"/>
            <w:vAlign w:val="bottom"/>
            <w:tcBorders>
              <w:top w:val="single" w:sz="8" w:color="auto"/>
            </w:tcBorders>
            <w:shd w:val="clear" w:color="auto" w:fill="E5FFFF"/>
          </w:tcPr>
          <w:p>
            <w:pPr>
              <w:spacing w:after="0"/>
              <w:rPr>
                <w:sz w:val="17"/>
                <w:szCs w:val="17"/>
                <w:color w:val="auto"/>
              </w:rPr>
            </w:pPr>
          </w:p>
        </w:tc>
        <w:tc>
          <w:tcPr>
            <w:tcW w:w="1080" w:type="dxa"/>
            <w:vAlign w:val="bottom"/>
            <w:tcBorders>
              <w:top w:val="single" w:sz="8" w:color="auto"/>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ind w:left="160"/>
              <w:spacing w:after="0" w:line="202" w:lineRule="exact"/>
              <w:rPr>
                <w:sz w:val="20"/>
                <w:szCs w:val="20"/>
                <w:color w:val="auto"/>
              </w:rPr>
            </w:pPr>
            <w:r>
              <w:rPr>
                <w:rFonts w:ascii="Arial" w:cs="Arial" w:eastAsia="Arial" w:hAnsi="Arial"/>
                <w:sz w:val="18"/>
                <w:szCs w:val="18"/>
                <w:color w:val="auto"/>
              </w:rPr>
              <w:t>Foreign currency exchange contracts</w:t>
            </w:r>
          </w:p>
        </w:tc>
        <w:tc>
          <w:tcPr>
            <w:tcW w:w="228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152</w:t>
            </w:r>
          </w:p>
        </w:tc>
        <w:tc>
          <w:tcPr>
            <w:tcW w:w="7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Available for sale investments</w:t>
            </w:r>
          </w:p>
        </w:tc>
        <w:tc>
          <w:tcPr>
            <w:tcW w:w="130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5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1,670</w:t>
            </w:r>
          </w:p>
        </w:tc>
        <w:tc>
          <w:tcPr>
            <w:tcW w:w="28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Interest rate swap agreements</w:t>
            </w: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4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30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5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10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ind w:left="160"/>
              <w:spacing w:after="0" w:line="202" w:lineRule="exact"/>
              <w:rPr>
                <w:sz w:val="20"/>
                <w:szCs w:val="20"/>
                <w:color w:val="auto"/>
              </w:rPr>
            </w:pPr>
            <w:r>
              <w:rPr>
                <w:rFonts w:ascii="Arial" w:cs="Arial" w:eastAsia="Arial" w:hAnsi="Arial"/>
                <w:sz w:val="18"/>
                <w:szCs w:val="18"/>
                <w:color w:val="auto"/>
              </w:rPr>
              <w:t>Foreign currency exchange contracts</w:t>
            </w:r>
          </w:p>
        </w:tc>
        <w:tc>
          <w:tcPr>
            <w:tcW w:w="228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7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Interest rate swap agreements</w:t>
            </w:r>
          </w:p>
        </w:tc>
        <w:tc>
          <w:tcPr>
            <w:tcW w:w="130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5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48</w:t>
            </w:r>
          </w:p>
        </w:tc>
        <w:tc>
          <w:tcPr>
            <w:tcW w:w="28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foreign currency exchange contracts and interest rate swap agreements are valued using broker quotations, or market transactions in either the listed or over-the-counter markets. As such, these derivative instruments are classified within level 2. The Company also holds investments in commercial paper, certificates of deposits, and time deposits that are designated as available for sale and are valued using published prices based off observable market data. As such, these investments are classified within level 2.</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carrying value of cash and cash equivalents, trade accounts and notes receivables, payables, commercial paper and short-term borrowings contained in the Consolidated Balance Sheet approximates fair value. The following table sets forth the Company’s financial assets and liabilities that were not carried at fair value: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4"/>
                <w:szCs w:val="14"/>
                <w:b w:val="1"/>
                <w:bCs w:val="1"/>
                <w:color w:val="auto"/>
              </w:rPr>
              <w:t>December 31, 2016</w:t>
            </w: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4"/>
                <w:szCs w:val="14"/>
                <w:b w:val="1"/>
                <w:bCs w:val="1"/>
                <w:color w:val="auto"/>
              </w:rPr>
              <w:t>December 31, 2015</w:t>
            </w:r>
          </w:p>
        </w:tc>
      </w:tr>
      <w:tr>
        <w:trPr>
          <w:trHeight w:val="142"/>
        </w:trPr>
        <w:tc>
          <w:tcPr>
            <w:tcW w:w="4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ind w:right="201"/>
              <w:spacing w:after="0" w:line="143" w:lineRule="exact"/>
              <w:rPr>
                <w:sz w:val="20"/>
                <w:szCs w:val="20"/>
                <w:color w:val="auto"/>
              </w:rPr>
            </w:pPr>
            <w:r>
              <w:rPr>
                <w:rFonts w:ascii="Arial" w:cs="Arial" w:eastAsia="Arial" w:hAnsi="Arial"/>
                <w:sz w:val="14"/>
                <w:szCs w:val="14"/>
                <w:b w:val="1"/>
                <w:bCs w:val="1"/>
                <w:color w:val="auto"/>
              </w:rPr>
              <w:t>Carrying</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359"/>
              <w:spacing w:after="0" w:line="143"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181"/>
              <w:spacing w:after="0" w:line="143"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39"/>
              <w:spacing w:after="0" w:line="143" w:lineRule="exact"/>
              <w:rPr>
                <w:sz w:val="20"/>
                <w:szCs w:val="20"/>
                <w:color w:val="auto"/>
              </w:rPr>
            </w:pPr>
            <w:r>
              <w:rPr>
                <w:rFonts w:ascii="Arial" w:cs="Arial" w:eastAsia="Arial" w:hAnsi="Arial"/>
                <w:sz w:val="14"/>
                <w:szCs w:val="14"/>
                <w:b w:val="1"/>
                <w:bCs w:val="1"/>
                <w:color w:val="auto"/>
              </w:rPr>
              <w:t>Fair</w:t>
            </w:r>
          </w:p>
        </w:tc>
      </w:tr>
      <w:tr>
        <w:trPr>
          <w:trHeight w:val="175"/>
        </w:trPr>
        <w:tc>
          <w:tcPr>
            <w:tcW w:w="4820" w:type="dxa"/>
            <w:vAlign w:val="bottom"/>
            <w:tcBorders>
              <w:bottom w:val="single" w:sz="8" w:color="E5FFFF"/>
            </w:tcBorders>
          </w:tcPr>
          <w:p>
            <w:pPr>
              <w:spacing w:after="0"/>
              <w:rPr>
                <w:sz w:val="15"/>
                <w:szCs w:val="15"/>
                <w:color w:val="auto"/>
              </w:rPr>
            </w:pPr>
          </w:p>
        </w:tc>
        <w:tc>
          <w:tcPr>
            <w:tcW w:w="102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Value</w:t>
            </w:r>
          </w:p>
        </w:tc>
        <w:tc>
          <w:tcPr>
            <w:tcW w:w="36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E5FF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Value</w:t>
            </w:r>
          </w:p>
        </w:tc>
      </w:tr>
      <w:tr>
        <w:trPr>
          <w:trHeight w:val="196"/>
        </w:trPr>
        <w:tc>
          <w:tcPr>
            <w:tcW w:w="4820" w:type="dxa"/>
            <w:vAlign w:val="bottom"/>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r>
      <w:tr>
        <w:trPr>
          <w:trHeight w:val="203"/>
        </w:trPr>
        <w:tc>
          <w:tcPr>
            <w:tcW w:w="4820" w:type="dxa"/>
            <w:vAlign w:val="bottom"/>
          </w:tcPr>
          <w:p>
            <w:pPr>
              <w:ind w:left="180"/>
              <w:spacing w:after="0" w:line="202" w:lineRule="exact"/>
              <w:rPr>
                <w:sz w:val="20"/>
                <w:szCs w:val="20"/>
                <w:color w:val="auto"/>
              </w:rPr>
            </w:pPr>
            <w:r>
              <w:rPr>
                <w:rFonts w:ascii="Arial" w:cs="Arial" w:eastAsia="Arial" w:hAnsi="Arial"/>
                <w:sz w:val="18"/>
                <w:szCs w:val="18"/>
                <w:color w:val="auto"/>
              </w:rPr>
              <w:t>Long-term receivables</w:t>
            </w: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41"/>
              <w:spacing w:after="0" w:line="202" w:lineRule="exact"/>
              <w:rPr>
                <w:sz w:val="20"/>
                <w:szCs w:val="20"/>
                <w:color w:val="auto"/>
              </w:rPr>
            </w:pPr>
            <w:r>
              <w:rPr>
                <w:rFonts w:ascii="Arial" w:cs="Arial" w:eastAsia="Arial" w:hAnsi="Arial"/>
                <w:sz w:val="18"/>
                <w:szCs w:val="18"/>
                <w:color w:val="auto"/>
              </w:rPr>
              <w:t>280</w:t>
            </w: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9"/>
              <w:spacing w:after="0" w:line="202" w:lineRule="exact"/>
              <w:rPr>
                <w:sz w:val="20"/>
                <w:szCs w:val="20"/>
                <w:color w:val="auto"/>
              </w:rPr>
            </w:pPr>
            <w:r>
              <w:rPr>
                <w:rFonts w:ascii="Arial" w:cs="Arial" w:eastAsia="Arial" w:hAnsi="Arial"/>
                <w:sz w:val="18"/>
                <w:szCs w:val="18"/>
                <w:color w:val="auto"/>
              </w:rPr>
              <w:t>273</w:t>
            </w:r>
          </w:p>
        </w:tc>
        <w:tc>
          <w:tcPr>
            <w:tcW w:w="5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21"/>
              <w:spacing w:after="0" w:line="202" w:lineRule="exact"/>
              <w:rPr>
                <w:sz w:val="20"/>
                <w:szCs w:val="20"/>
                <w:color w:val="auto"/>
              </w:rPr>
            </w:pPr>
            <w:r>
              <w:rPr>
                <w:rFonts w:ascii="Arial" w:cs="Arial" w:eastAsia="Arial" w:hAnsi="Arial"/>
                <w:sz w:val="18"/>
                <w:szCs w:val="18"/>
                <w:color w:val="auto"/>
              </w:rPr>
              <w:t>292</w:t>
            </w:r>
          </w:p>
        </w:tc>
        <w:tc>
          <w:tcPr>
            <w:tcW w:w="5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9"/>
              <w:spacing w:after="0" w:line="202" w:lineRule="exact"/>
              <w:rPr>
                <w:sz w:val="20"/>
                <w:szCs w:val="20"/>
                <w:color w:val="auto"/>
              </w:rPr>
            </w:pPr>
            <w:r>
              <w:rPr>
                <w:rFonts w:ascii="Arial" w:cs="Arial" w:eastAsia="Arial" w:hAnsi="Arial"/>
                <w:sz w:val="18"/>
                <w:szCs w:val="18"/>
                <w:color w:val="auto"/>
              </w:rPr>
              <w:t>283</w:t>
            </w:r>
          </w:p>
        </w:tc>
      </w:tr>
      <w:tr>
        <w:trPr>
          <w:trHeight w:val="203"/>
        </w:trPr>
        <w:tc>
          <w:tcPr>
            <w:tcW w:w="482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0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r>
      <w:tr>
        <w:trPr>
          <w:trHeight w:val="217"/>
        </w:trPr>
        <w:tc>
          <w:tcPr>
            <w:tcW w:w="4820" w:type="dxa"/>
            <w:vAlign w:val="bottom"/>
          </w:tcPr>
          <w:p>
            <w:pPr>
              <w:ind w:left="180"/>
              <w:spacing w:after="0"/>
              <w:rPr>
                <w:sz w:val="20"/>
                <w:szCs w:val="20"/>
                <w:color w:val="auto"/>
              </w:rPr>
            </w:pPr>
            <w:r>
              <w:rPr>
                <w:rFonts w:ascii="Arial" w:cs="Arial" w:eastAsia="Arial" w:hAnsi="Arial"/>
                <w:sz w:val="18"/>
                <w:szCs w:val="18"/>
                <w:color w:val="auto"/>
              </w:rPr>
              <w:t>Long-term debt and related current maturities</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41"/>
              <w:spacing w:after="0"/>
              <w:rPr>
                <w:sz w:val="20"/>
                <w:szCs w:val="20"/>
                <w:color w:val="auto"/>
              </w:rPr>
            </w:pPr>
            <w:r>
              <w:rPr>
                <w:rFonts w:ascii="Arial" w:cs="Arial" w:eastAsia="Arial" w:hAnsi="Arial"/>
                <w:sz w:val="18"/>
                <w:szCs w:val="18"/>
                <w:color w:val="auto"/>
              </w:rPr>
              <w:t>12,409</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
              <w:spacing w:after="0"/>
              <w:rPr>
                <w:sz w:val="20"/>
                <w:szCs w:val="20"/>
                <w:color w:val="auto"/>
              </w:rPr>
            </w:pPr>
            <w:r>
              <w:rPr>
                <w:rFonts w:ascii="Arial" w:cs="Arial" w:eastAsia="Arial" w:hAnsi="Arial"/>
                <w:sz w:val="18"/>
                <w:szCs w:val="18"/>
                <w:color w:val="auto"/>
              </w:rPr>
              <w:t>13,008</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
              <w:spacing w:after="0"/>
              <w:rPr>
                <w:sz w:val="20"/>
                <w:szCs w:val="20"/>
                <w:color w:val="auto"/>
              </w:rPr>
            </w:pPr>
            <w:r>
              <w:rPr>
                <w:rFonts w:ascii="Arial" w:cs="Arial" w:eastAsia="Arial" w:hAnsi="Arial"/>
                <w:sz w:val="18"/>
                <w:szCs w:val="18"/>
                <w:color w:val="auto"/>
              </w:rPr>
              <w:t>6,131</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6,721</w:t>
            </w:r>
          </w:p>
        </w:tc>
      </w:tr>
    </w:tbl>
    <w:p>
      <w:pPr>
        <w:spacing w:after="0" w:line="18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Company determined the fair value of the long-term receivables by discounting based upon the terms of the receivable and counterparty details including credit quality. As such, the fair value of these receivables is considered level 2. The Company determined the fair value of the long-term debt and related current maturities utilizing transactions in the listed markets for identical or similar liabilities. As such, the fair value of the long-term debt and related current maturities is considered level 2 as well.</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Interest rate swap agreements are designated as hedge relationships with gains or losses on the derivative recognized in interest and other financial charges offsetting the gains and losses on the underlying debt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being hedged. Losses on interest rate swap agreements recognized in earnings were $71 million and $2 million in the years ended December 31, 2016 and 2015. Gains on interest rate swap agreements recognized in earnings were $38 million in the year ended December 31, 2014. Gains and losses are fully offset by losses and gains on the underlying debt being hedged.</w:t>
      </w:r>
    </w:p>
    <w:p>
      <w:pPr>
        <w:spacing w:after="0" w:line="18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also economically hedge our exposure to changes in foreign exchange rates principally with forward contracts. These contracts are marked-to-market with the resulting gains and losses recognized in earnings offsetting the gains and losses on the non-functional currency denominated monetary assets and liabilities being hedged. We recognized $232 million of income in other (income) expense in the year ended December 31, 2016. We recognize $86 million and $181 million of expense in other (income) expense in the years ended December 31, 2015 and 2014. See Note 4 Other (Income) Expense for further details of the net impact of these economic foreign currency hedges.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Other Liabilities</w:t>
      </w:r>
    </w:p>
    <w:p>
      <w:pPr>
        <w:spacing w:after="0" w:line="208"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Years Ended</w:t>
      </w:r>
    </w:p>
    <w:p>
      <w:pPr>
        <w:spacing w:after="0" w:line="19"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-1905</wp:posOffset>
            </wp:positionV>
            <wp:extent cx="19037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17" w:lineRule="exact"/>
        <w:rPr>
          <w:sz w:val="20"/>
          <w:szCs w:val="20"/>
          <w:color w:val="auto"/>
        </w:rPr>
      </w:pPr>
    </w:p>
    <w:tbl>
      <w:tblPr>
        <w:tblLayout w:type="fixed"/>
        <w:tblInd w:w="700" w:type="dxa"/>
        <w:tblCellMar>
          <w:top w:w="0" w:type="dxa"/>
          <w:left w:w="0" w:type="dxa"/>
          <w:bottom w:w="0" w:type="dxa"/>
          <w:right w:w="0" w:type="dxa"/>
        </w:tblCellMar>
      </w:tblPr>
      <w:tr>
        <w:trPr>
          <w:trHeight w:val="175"/>
        </w:trPr>
        <w:tc>
          <w:tcPr>
            <w:tcW w:w="7720" w:type="dxa"/>
            <w:vAlign w:val="bottom"/>
            <w:tcBorders>
              <w:bottom w:val="single" w:sz="8" w:color="E5FF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E5FFFF"/>
            </w:tcBorders>
          </w:tcPr>
          <w:p>
            <w:pPr>
              <w:spacing w:after="0"/>
              <w:rPr>
                <w:sz w:val="15"/>
                <w:szCs w:val="15"/>
                <w:color w:val="auto"/>
              </w:rPr>
            </w:pPr>
          </w:p>
        </w:tc>
        <w:tc>
          <w:tcPr>
            <w:tcW w:w="20" w:type="dxa"/>
            <w:vAlign w:val="bottom"/>
            <w:tcBorders>
              <w:bottom w:val="single" w:sz="8" w:color="E5FF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r>
      <w:tr>
        <w:trPr>
          <w:trHeight w:val="196"/>
        </w:trPr>
        <w:tc>
          <w:tcPr>
            <w:tcW w:w="77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Pension and other employee related</w:t>
            </w: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2,084</w:t>
            </w: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00" w:type="dxa"/>
            <w:vAlign w:val="bottom"/>
            <w:shd w:val="clear" w:color="auto" w:fill="E5FF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2,461</w:t>
            </w: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Income taxes</w:t>
            </w:r>
          </w:p>
        </w:tc>
        <w:tc>
          <w:tcPr>
            <w:tcW w:w="320" w:type="dxa"/>
            <w:vAlign w:val="bottom"/>
          </w:tcPr>
          <w:p>
            <w:pPr>
              <w:spacing w:after="0"/>
              <w:rPr>
                <w:sz w:val="17"/>
                <w:szCs w:val="17"/>
                <w:color w:val="auto"/>
              </w:rPr>
            </w:pPr>
          </w:p>
        </w:tc>
        <w:tc>
          <w:tcPr>
            <w:tcW w:w="11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1,041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1,009</w:t>
            </w:r>
          </w:p>
        </w:tc>
      </w:tr>
      <w:tr>
        <w:trPr>
          <w:trHeight w:val="203"/>
        </w:trPr>
        <w:tc>
          <w:tcPr>
            <w:tcW w:w="77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Environmental</w:t>
            </w:r>
          </w:p>
        </w:tc>
        <w:tc>
          <w:tcPr>
            <w:tcW w:w="320" w:type="dxa"/>
            <w:vAlign w:val="bottom"/>
            <w:shd w:val="clear" w:color="auto" w:fill="E5FFFF"/>
          </w:tcPr>
          <w:p>
            <w:pPr>
              <w:spacing w:after="0"/>
              <w:rPr>
                <w:sz w:val="17"/>
                <w:szCs w:val="17"/>
                <w:color w:val="auto"/>
              </w:rPr>
            </w:pPr>
          </w:p>
        </w:tc>
        <w:tc>
          <w:tcPr>
            <w:tcW w:w="11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259</w:t>
            </w: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265</w:t>
            </w: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Insurance</w:t>
            </w:r>
          </w:p>
        </w:tc>
        <w:tc>
          <w:tcPr>
            <w:tcW w:w="320" w:type="dxa"/>
            <w:vAlign w:val="bottom"/>
          </w:tcPr>
          <w:p>
            <w:pPr>
              <w:spacing w:after="0"/>
              <w:rPr>
                <w:sz w:val="17"/>
                <w:szCs w:val="17"/>
                <w:color w:val="auto"/>
              </w:rPr>
            </w:pPr>
          </w:p>
        </w:tc>
        <w:tc>
          <w:tcPr>
            <w:tcW w:w="11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253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257</w:t>
            </w:r>
          </w:p>
        </w:tc>
      </w:tr>
      <w:tr>
        <w:trPr>
          <w:trHeight w:val="203"/>
        </w:trPr>
        <w:tc>
          <w:tcPr>
            <w:tcW w:w="77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Asset retirement obligations</w:t>
            </w:r>
          </w:p>
        </w:tc>
        <w:tc>
          <w:tcPr>
            <w:tcW w:w="320" w:type="dxa"/>
            <w:vAlign w:val="bottom"/>
            <w:shd w:val="clear" w:color="auto" w:fill="E5FFFF"/>
          </w:tcPr>
          <w:p>
            <w:pPr>
              <w:spacing w:after="0"/>
              <w:rPr>
                <w:sz w:val="17"/>
                <w:szCs w:val="17"/>
                <w:color w:val="auto"/>
              </w:rPr>
            </w:pPr>
          </w:p>
        </w:tc>
        <w:tc>
          <w:tcPr>
            <w:tcW w:w="11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63</w:t>
            </w: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65</w:t>
            </w: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Deferred income</w:t>
            </w:r>
          </w:p>
        </w:tc>
        <w:tc>
          <w:tcPr>
            <w:tcW w:w="320" w:type="dxa"/>
            <w:vAlign w:val="bottom"/>
          </w:tcPr>
          <w:p>
            <w:pPr>
              <w:spacing w:after="0"/>
              <w:rPr>
                <w:sz w:val="17"/>
                <w:szCs w:val="17"/>
                <w:color w:val="auto"/>
              </w:rPr>
            </w:pPr>
          </w:p>
        </w:tc>
        <w:tc>
          <w:tcPr>
            <w:tcW w:w="11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99</w:t>
            </w:r>
          </w:p>
        </w:tc>
      </w:tr>
      <w:tr>
        <w:trPr>
          <w:trHeight w:val="216"/>
        </w:trPr>
        <w:tc>
          <w:tcPr>
            <w:tcW w:w="7720" w:type="dxa"/>
            <w:vAlign w:val="bottom"/>
            <w:shd w:val="clear" w:color="auto" w:fill="E5FFFF"/>
          </w:tcPr>
          <w:p>
            <w:pPr>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E5FFFF"/>
          </w:tcPr>
          <w:p>
            <w:pPr>
              <w:spacing w:after="0"/>
              <w:rPr>
                <w:sz w:val="18"/>
                <w:szCs w:val="18"/>
                <w:color w:val="auto"/>
              </w:rPr>
            </w:pPr>
          </w:p>
        </w:tc>
        <w:tc>
          <w:tcPr>
            <w:tcW w:w="110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329</w:t>
            </w:r>
          </w:p>
        </w:tc>
        <w:tc>
          <w:tcPr>
            <w:tcW w:w="2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106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192</w:t>
            </w:r>
          </w:p>
        </w:tc>
      </w:tr>
      <w:tr>
        <w:trPr>
          <w:trHeight w:val="237"/>
        </w:trPr>
        <w:tc>
          <w:tcPr>
            <w:tcW w:w="77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4,110</w:t>
            </w:r>
          </w:p>
        </w:tc>
        <w:tc>
          <w:tcPr>
            <w:tcW w:w="200" w:type="dxa"/>
            <w:vAlign w:val="bottom"/>
          </w:tcPr>
          <w:p>
            <w:pPr>
              <w:spacing w:after="0"/>
              <w:rPr>
                <w:sz w:val="20"/>
                <w:szCs w:val="20"/>
                <w:color w:val="auto"/>
              </w:rPr>
            </w:pPr>
          </w:p>
        </w:tc>
        <w:tc>
          <w:tcPr>
            <w:tcW w:w="320" w:type="dxa"/>
            <w:vAlign w:val="bottom"/>
            <w:tcBorders>
              <w:bottom w:val="single" w:sz="8" w:color="auto"/>
            </w:tcBorders>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4,348</w:t>
            </w: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Capital Stock</w:t>
      </w:r>
    </w:p>
    <w:p>
      <w:pPr>
        <w:spacing w:after="0" w:line="22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are authorized to issue up to 2,000,000,000 shares of common stock, with a par value of $1. Common shareowners are entitled to receive such dividends as may be declared by the Board of Directors, are entitled to one vote per share, and are entitled, in the event of liquidation, to share ratably in all the assets of Honeywell which are available for distribution to the common shareowners. Common shareowners do not have preemptive or conversion rights. Shares of common stock issued and outstanding or held in the treasury are not liable to further calls or assessments. There are no restrictions on us relative to dividends or the repurchase or redemption of common stock.</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April 2016, the Board of Directors authorized the repurchase of up to $5 billion of Honeywell common stock and approximately $4.1 billion remained available as of December 31, 2016. Under the Company’s previous share repurchase plan announced in December 2013 the Board of Directors authorized the repurchase of up to $5 billion of Honeywell common stock and $2.2 billion remained available as of December 31, 2015.</w:t>
      </w:r>
    </w:p>
    <w:p>
      <w:pPr>
        <w:spacing w:after="0" w:line="188"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We purchased approximately 19.3 million and 18.8 million shares of our common stock in 2016 and 2015, for $2,079 million and $1,884 million.</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We are authorized to issue up to 40,000,000 shares of preferred stock, without par value, and can determine the number of shares of each series, and the rights, preferences and limitations of each series. At December 31, 2016, there was no preferred stock outstanding.</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20"/>
          <w:szCs w:val="20"/>
          <w:b w:val="1"/>
          <w:bCs w:val="1"/>
          <w:color w:val="auto"/>
        </w:rPr>
        <w:t>HONEYWELL INTERNATIONAL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 – (CONTINUED)</w:t>
      </w:r>
    </w:p>
    <w:p>
      <w:pPr>
        <w:ind w:left="4120"/>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Accumulated Other Comprehensive Income (Loss)</w:t>
      </w:r>
    </w:p>
    <w:p>
      <w:pPr>
        <w:spacing w:after="0" w:line="220"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The changes in accumulated other comprehensive income (loss) are provided in the tables below. Comprehensive income (loss) attributable to noncontrolling interest consists predominantly of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368935" cy="24441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8935" cy="244411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Pretax</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gridSpan w:val="3"/>
          </w:tcPr>
          <w:p>
            <w:pPr>
              <w:spacing w:after="0"/>
              <w:rPr>
                <w:sz w:val="20"/>
                <w:szCs w:val="20"/>
                <w:color w:val="auto"/>
              </w:rPr>
            </w:pPr>
            <w:r>
              <w:rPr>
                <w:rFonts w:ascii="Arial" w:cs="Arial" w:eastAsia="Arial" w:hAnsi="Arial"/>
                <w:sz w:val="14"/>
                <w:szCs w:val="14"/>
                <w:b w:val="1"/>
                <w:bCs w:val="1"/>
                <w:color w:val="auto"/>
              </w:rPr>
              <w:t>Tax</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After Tax</w:t>
            </w:r>
          </w:p>
        </w:tc>
        <w:tc>
          <w:tcPr>
            <w:tcW w:w="0" w:type="dxa"/>
            <w:vAlign w:val="bottom"/>
          </w:tcPr>
          <w:p>
            <w:pPr>
              <w:spacing w:after="0"/>
              <w:rPr>
                <w:sz w:val="1"/>
                <w:szCs w:val="1"/>
                <w:color w:val="auto"/>
              </w:rPr>
            </w:pPr>
          </w:p>
        </w:tc>
      </w:tr>
      <w:tr>
        <w:trPr>
          <w:trHeight w:val="216"/>
        </w:trPr>
        <w:tc>
          <w:tcPr>
            <w:tcW w:w="6500" w:type="dxa"/>
            <w:vAlign w:val="bottom"/>
            <w:shd w:val="clear" w:color="auto" w:fill="E5FFFF"/>
          </w:tcPr>
          <w:p>
            <w:pPr>
              <w:ind w:left="580"/>
              <w:spacing w:after="0"/>
              <w:rPr>
                <w:sz w:val="20"/>
                <w:szCs w:val="20"/>
                <w:color w:val="auto"/>
              </w:rPr>
            </w:pPr>
            <w:r>
              <w:rPr>
                <w:rFonts w:ascii="Arial" w:cs="Arial" w:eastAsia="Arial" w:hAnsi="Arial"/>
                <w:sz w:val="18"/>
                <w:szCs w:val="18"/>
                <w:b w:val="1"/>
                <w:bCs w:val="1"/>
                <w:color w:val="auto"/>
              </w:rPr>
              <w:t>Year Ended December 31, 2016</w:t>
            </w:r>
          </w:p>
        </w:tc>
        <w:tc>
          <w:tcPr>
            <w:tcW w:w="1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440" w:type="dxa"/>
            <w:vAlign w:val="bottom"/>
            <w:tcBorders>
              <w:top w:val="single" w:sz="8" w:color="auto"/>
            </w:tcBorders>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2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auto"/>
            </w:tcBorders>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5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80" w:type="dxa"/>
            <w:vAlign w:val="bottom"/>
            <w:tcBorders>
              <w:top w:val="single" w:sz="8" w:color="auto"/>
            </w:tcBorders>
            <w:shd w:val="clear" w:color="auto" w:fill="E5FFFF"/>
          </w:tcPr>
          <w:p>
            <w:pPr>
              <w:spacing w:after="0"/>
              <w:rPr>
                <w:sz w:val="18"/>
                <w:szCs w:val="18"/>
                <w:color w:val="auto"/>
              </w:rPr>
            </w:pPr>
          </w:p>
        </w:tc>
        <w:tc>
          <w:tcPr>
            <w:tcW w:w="540" w:type="dxa"/>
            <w:vAlign w:val="bottom"/>
            <w:tcBorders>
              <w:top w:val="single" w:sz="8" w:color="auto"/>
            </w:tcBorders>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640"/>
              <w:spacing w:after="0"/>
              <w:rPr>
                <w:sz w:val="20"/>
                <w:szCs w:val="20"/>
                <w:color w:val="auto"/>
              </w:rPr>
            </w:pPr>
            <w:r>
              <w:rPr>
                <w:rFonts w:ascii="Arial" w:cs="Arial" w:eastAsia="Arial" w:hAnsi="Arial"/>
                <w:sz w:val="18"/>
                <w:szCs w:val="18"/>
                <w:color w:val="auto"/>
              </w:rPr>
              <w:t>Foreign exchange translation adjustment</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(52)</w:t>
            </w:r>
          </w:p>
        </w:tc>
        <w:tc>
          <w:tcPr>
            <w:tcW w:w="540" w:type="dxa"/>
            <w:vAlign w:val="bottom"/>
            <w:gridSpan w:val="3"/>
          </w:tcPr>
          <w:p>
            <w:pPr>
              <w:jc w:val="center"/>
              <w:ind w:left="15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6"/>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6500" w:type="dxa"/>
            <w:vAlign w:val="bottom"/>
            <w:shd w:val="clear" w:color="auto" w:fill="E5FFFF"/>
          </w:tcPr>
          <w:p>
            <w:pPr>
              <w:ind w:left="640"/>
              <w:spacing w:after="0"/>
              <w:rPr>
                <w:sz w:val="20"/>
                <w:szCs w:val="20"/>
                <w:color w:val="auto"/>
              </w:rPr>
            </w:pPr>
            <w:r>
              <w:rPr>
                <w:rFonts w:ascii="Arial" w:cs="Arial" w:eastAsia="Arial" w:hAnsi="Arial"/>
                <w:sz w:val="18"/>
                <w:szCs w:val="18"/>
                <w:color w:val="auto"/>
              </w:rPr>
              <w:t>Pensions and other postretirement benefit adjustments</w:t>
            </w:r>
          </w:p>
        </w:tc>
        <w:tc>
          <w:tcPr>
            <w:tcW w:w="1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100" w:type="dxa"/>
            <w:vAlign w:val="bottom"/>
            <w:gridSpan w:val="4"/>
            <w:shd w:val="clear" w:color="auto" w:fill="E5FFFF"/>
          </w:tcPr>
          <w:p>
            <w:pPr>
              <w:jc w:val="right"/>
              <w:ind w:right="60"/>
              <w:spacing w:after="0"/>
              <w:rPr>
                <w:sz w:val="20"/>
                <w:szCs w:val="20"/>
                <w:color w:val="auto"/>
              </w:rPr>
            </w:pPr>
            <w:r>
              <w:rPr>
                <w:rFonts w:ascii="Arial" w:cs="Arial" w:eastAsia="Arial" w:hAnsi="Arial"/>
                <w:sz w:val="18"/>
                <w:szCs w:val="18"/>
                <w:color w:val="auto"/>
              </w:rPr>
              <w:t>(336)</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50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40" w:type="dxa"/>
            <w:vAlign w:val="bottom"/>
            <w:gridSpan w:val="6"/>
            <w:shd w:val="clear" w:color="auto" w:fill="E5FFFF"/>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6500" w:type="dxa"/>
            <w:vAlign w:val="bottom"/>
            <w:tcBorders>
              <w:bottom w:val="single" w:sz="8" w:color="E5FFFF"/>
            </w:tcBorders>
          </w:tcPr>
          <w:p>
            <w:pPr>
              <w:ind w:left="640"/>
              <w:spacing w:after="0"/>
              <w:rPr>
                <w:sz w:val="20"/>
                <w:szCs w:val="20"/>
                <w:color w:val="auto"/>
              </w:rPr>
            </w:pPr>
            <w:r>
              <w:rPr>
                <w:rFonts w:ascii="Arial" w:cs="Arial" w:eastAsia="Arial" w:hAnsi="Arial"/>
                <w:sz w:val="18"/>
                <w:szCs w:val="18"/>
                <w:color w:val="auto"/>
              </w:rPr>
              <w:t>Changes in fair value of effective cash flow hedges</w:t>
            </w:r>
          </w:p>
        </w:tc>
        <w:tc>
          <w:tcPr>
            <w:tcW w:w="16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134</w:t>
            </w:r>
          </w:p>
        </w:tc>
        <w:tc>
          <w:tcPr>
            <w:tcW w:w="220" w:type="dxa"/>
            <w:vAlign w:val="bottom"/>
            <w:tcBorders>
              <w:bottom w:val="single" w:sz="8" w:color="E5FFFF"/>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0"/>
        </w:trPr>
        <w:tc>
          <w:tcPr>
            <w:tcW w:w="6500" w:type="dxa"/>
            <w:vAlign w:val="bottom"/>
            <w:shd w:val="clear" w:color="auto" w:fill="E5FFFF"/>
          </w:tcPr>
          <w:p>
            <w:pPr>
              <w:spacing w:after="0"/>
              <w:rPr>
                <w:sz w:val="18"/>
                <w:szCs w:val="18"/>
                <w:color w:val="auto"/>
              </w:rPr>
            </w:pPr>
          </w:p>
        </w:tc>
        <w:tc>
          <w:tcPr>
            <w:tcW w:w="44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E5FFFF"/>
          </w:tcPr>
          <w:p>
            <w:pPr>
              <w:jc w:val="right"/>
              <w:ind w:right="60"/>
              <w:spacing w:after="0"/>
              <w:rPr>
                <w:sz w:val="20"/>
                <w:szCs w:val="20"/>
                <w:color w:val="auto"/>
              </w:rPr>
            </w:pPr>
            <w:r>
              <w:rPr>
                <w:rFonts w:ascii="Arial" w:cs="Arial" w:eastAsia="Arial" w:hAnsi="Arial"/>
                <w:sz w:val="18"/>
                <w:szCs w:val="18"/>
                <w:color w:val="auto"/>
              </w:rPr>
              <w:t>(254)</w:t>
            </w:r>
          </w:p>
        </w:tc>
        <w:tc>
          <w:tcPr>
            <w:tcW w:w="540" w:type="dxa"/>
            <w:vAlign w:val="bottom"/>
            <w:gridSpan w:val="3"/>
            <w:shd w:val="clear" w:color="auto" w:fill="E5FFFF"/>
          </w:tcPr>
          <w:p>
            <w:pPr>
              <w:jc w:val="center"/>
              <w:ind w:left="15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50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rPr>
              <w:t>75</w:t>
            </w:r>
          </w:p>
        </w:tc>
        <w:tc>
          <w:tcPr>
            <w:tcW w:w="240" w:type="dxa"/>
            <w:vAlign w:val="bottom"/>
            <w:shd w:val="clear" w:color="auto" w:fill="E5FFFF"/>
          </w:tcPr>
          <w:p>
            <w:pPr>
              <w:spacing w:after="0"/>
              <w:rPr>
                <w:sz w:val="18"/>
                <w:szCs w:val="18"/>
                <w:color w:val="auto"/>
              </w:rPr>
            </w:pPr>
          </w:p>
        </w:tc>
        <w:tc>
          <w:tcPr>
            <w:tcW w:w="2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6"/>
            <w:shd w:val="clear" w:color="auto" w:fill="E5FFFF"/>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6500" w:type="dxa"/>
            <w:vAlign w:val="bottom"/>
            <w:tcBorders>
              <w:top w:val="single" w:sz="8" w:color="E5FFFF"/>
              <w:bottom w:val="single" w:sz="8" w:color="E5FFFF"/>
            </w:tcBorders>
            <w:vMerge w:val="restart"/>
          </w:tcPr>
          <w:p>
            <w:pPr>
              <w:ind w:left="580"/>
              <w:spacing w:after="0"/>
              <w:rPr>
                <w:sz w:val="20"/>
                <w:szCs w:val="20"/>
                <w:color w:val="auto"/>
              </w:rPr>
            </w:pPr>
            <w:r>
              <w:rPr>
                <w:rFonts w:ascii="Arial" w:cs="Arial" w:eastAsia="Arial" w:hAnsi="Arial"/>
                <w:sz w:val="18"/>
                <w:szCs w:val="18"/>
                <w:b w:val="1"/>
                <w:bCs w:val="1"/>
                <w:color w:val="auto"/>
              </w:rPr>
              <w:t>Year Ended December 31, 2015</w:t>
            </w:r>
          </w:p>
        </w:tc>
        <w:tc>
          <w:tcPr>
            <w:tcW w:w="16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E5FFFF"/>
          </w:tcPr>
          <w:p>
            <w:pPr>
              <w:ind w:left="640"/>
              <w:spacing w:after="0"/>
              <w:rPr>
                <w:sz w:val="20"/>
                <w:szCs w:val="20"/>
                <w:color w:val="auto"/>
              </w:rPr>
            </w:pPr>
            <w:r>
              <w:rPr>
                <w:rFonts w:ascii="Arial" w:cs="Arial" w:eastAsia="Arial" w:hAnsi="Arial"/>
                <w:sz w:val="18"/>
                <w:szCs w:val="18"/>
                <w:color w:val="auto"/>
              </w:rPr>
              <w:t>Foreign exchange translation adjustment</w:t>
            </w:r>
          </w:p>
        </w:tc>
        <w:tc>
          <w:tcPr>
            <w:tcW w:w="44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E5FFFF"/>
          </w:tcPr>
          <w:p>
            <w:pPr>
              <w:jc w:val="right"/>
              <w:ind w:right="60"/>
              <w:spacing w:after="0"/>
              <w:rPr>
                <w:sz w:val="20"/>
                <w:szCs w:val="20"/>
                <w:color w:val="auto"/>
              </w:rPr>
            </w:pPr>
            <w:r>
              <w:rPr>
                <w:rFonts w:ascii="Arial" w:cs="Arial" w:eastAsia="Arial" w:hAnsi="Arial"/>
                <w:sz w:val="18"/>
                <w:szCs w:val="18"/>
                <w:color w:val="auto"/>
              </w:rPr>
              <w:t>(1,152)</w:t>
            </w:r>
          </w:p>
        </w:tc>
        <w:tc>
          <w:tcPr>
            <w:tcW w:w="540" w:type="dxa"/>
            <w:vAlign w:val="bottom"/>
            <w:gridSpan w:val="3"/>
            <w:shd w:val="clear" w:color="auto" w:fill="E5FFFF"/>
          </w:tcPr>
          <w:p>
            <w:pPr>
              <w:jc w:val="center"/>
              <w:ind w:left="15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50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E5FFFF"/>
          </w:tcPr>
          <w:p>
            <w:pPr>
              <w:spacing w:after="0"/>
              <w:rPr>
                <w:sz w:val="18"/>
                <w:szCs w:val="18"/>
                <w:color w:val="auto"/>
              </w:rPr>
            </w:pPr>
          </w:p>
        </w:tc>
        <w:tc>
          <w:tcPr>
            <w:tcW w:w="2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6"/>
            <w:shd w:val="clear" w:color="auto" w:fill="E5FFFF"/>
          </w:tcPr>
          <w:p>
            <w:pPr>
              <w:jc w:val="right"/>
              <w:ind w:right="4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16"/>
        </w:trPr>
        <w:tc>
          <w:tcPr>
            <w:tcW w:w="6500" w:type="dxa"/>
            <w:vAlign w:val="bottom"/>
          </w:tcPr>
          <w:p>
            <w:pPr>
              <w:ind w:left="640"/>
              <w:spacing w:after="0"/>
              <w:rPr>
                <w:sz w:val="20"/>
                <w:szCs w:val="20"/>
                <w:color w:val="auto"/>
              </w:rPr>
            </w:pPr>
            <w:r>
              <w:rPr>
                <w:rFonts w:ascii="Arial" w:cs="Arial" w:eastAsia="Arial" w:hAnsi="Arial"/>
                <w:sz w:val="18"/>
                <w:szCs w:val="18"/>
                <w:color w:val="auto"/>
              </w:rPr>
              <w:t>Pensions and other postretirement benefit adjustments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4"/>
          </w:tcPr>
          <w:p>
            <w:pPr>
              <w:jc w:val="right"/>
              <w:ind w:right="120"/>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6"/>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6500" w:type="dxa"/>
            <w:vAlign w:val="bottom"/>
            <w:shd w:val="clear" w:color="auto" w:fill="E5FFFF"/>
          </w:tcPr>
          <w:p>
            <w:pPr>
              <w:ind w:left="640"/>
              <w:spacing w:after="0"/>
              <w:rPr>
                <w:sz w:val="20"/>
                <w:szCs w:val="20"/>
                <w:color w:val="auto"/>
              </w:rPr>
            </w:pPr>
            <w:r>
              <w:rPr>
                <w:rFonts w:ascii="Arial" w:cs="Arial" w:eastAsia="Arial" w:hAnsi="Arial"/>
                <w:sz w:val="18"/>
                <w:szCs w:val="18"/>
                <w:color w:val="auto"/>
              </w:rPr>
              <w:t>Changes in fair value of effective cash flow hedges</w:t>
            </w:r>
          </w:p>
        </w:tc>
        <w:tc>
          <w:tcPr>
            <w:tcW w:w="160" w:type="dxa"/>
            <w:vAlign w:val="bottom"/>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spacing w:after="0"/>
              <w:rPr>
                <w:sz w:val="18"/>
                <w:szCs w:val="18"/>
                <w:color w:val="auto"/>
              </w:rPr>
            </w:pPr>
          </w:p>
        </w:tc>
        <w:tc>
          <w:tcPr>
            <w:tcW w:w="1100" w:type="dxa"/>
            <w:vAlign w:val="bottom"/>
            <w:tcBorders>
              <w:bottom w:val="single" w:sz="8" w:color="auto"/>
            </w:tcBorders>
            <w:gridSpan w:val="4"/>
            <w:shd w:val="clear" w:color="auto" w:fill="E5FFFF"/>
          </w:tcPr>
          <w:p>
            <w:pPr>
              <w:jc w:val="right"/>
              <w:ind w:right="6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360" w:type="dxa"/>
            <w:vAlign w:val="bottom"/>
            <w:tcBorders>
              <w:bottom w:val="single" w:sz="8" w:color="auto"/>
            </w:tcBorders>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20" w:type="dxa"/>
            <w:vAlign w:val="bottom"/>
            <w:tcBorders>
              <w:bottom w:val="single" w:sz="8" w:color="auto"/>
            </w:tcBorders>
            <w:shd w:val="clear" w:color="auto" w:fill="E5FFFF"/>
          </w:tcPr>
          <w:p>
            <w:pPr>
              <w:spacing w:after="0"/>
              <w:rPr>
                <w:sz w:val="18"/>
                <w:szCs w:val="18"/>
                <w:color w:val="auto"/>
              </w:rPr>
            </w:pPr>
          </w:p>
        </w:tc>
        <w:tc>
          <w:tcPr>
            <w:tcW w:w="60" w:type="dxa"/>
            <w:vAlign w:val="bottom"/>
            <w:tcBorders>
              <w:bottom w:val="single" w:sz="8" w:color="auto"/>
            </w:tcBorders>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rPr>
              <w:t>3</w:t>
            </w:r>
          </w:p>
        </w:tc>
        <w:tc>
          <w:tcPr>
            <w:tcW w:w="2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1240" w:type="dxa"/>
            <w:vAlign w:val="bottom"/>
            <w:tcBorders>
              <w:bottom w:val="single" w:sz="8" w:color="auto"/>
            </w:tcBorders>
            <w:gridSpan w:val="6"/>
            <w:shd w:val="clear" w:color="auto" w:fill="E5FF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63"/>
        </w:trPr>
        <w:tc>
          <w:tcPr>
            <w:tcW w:w="6500" w:type="dxa"/>
            <w:vAlign w:val="bottom"/>
          </w:tcPr>
          <w:p>
            <w:pPr>
              <w:spacing w:after="0"/>
              <w:rPr>
                <w:sz w:val="22"/>
                <w:szCs w:val="22"/>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(1,034)</w:t>
            </w:r>
          </w:p>
        </w:tc>
        <w:tc>
          <w:tcPr>
            <w:tcW w:w="540" w:type="dxa"/>
            <w:vAlign w:val="bottom"/>
            <w:gridSpan w:val="3"/>
          </w:tcPr>
          <w:p>
            <w:pPr>
              <w:jc w:val="center"/>
              <w:ind w:left="15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2"/>
                <w:szCs w:val="2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6"/>
          </w:tcPr>
          <w:p>
            <w:pPr>
              <w:jc w:val="right"/>
              <w:ind w:right="4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197"/>
        </w:trPr>
        <w:tc>
          <w:tcPr>
            <w:tcW w:w="6500" w:type="dxa"/>
            <w:vAlign w:val="bottom"/>
            <w:tcBorders>
              <w:top w:val="single" w:sz="8" w:color="E5FFFF"/>
            </w:tcBorders>
            <w:shd w:val="clear" w:color="auto" w:fill="E5FFFF"/>
          </w:tcPr>
          <w:p>
            <w:pPr>
              <w:ind w:left="580"/>
              <w:spacing w:after="0" w:line="196" w:lineRule="exact"/>
              <w:rPr>
                <w:sz w:val="20"/>
                <w:szCs w:val="20"/>
                <w:color w:val="auto"/>
              </w:rPr>
            </w:pPr>
            <w:r>
              <w:rPr>
                <w:rFonts w:ascii="Arial" w:cs="Arial" w:eastAsia="Arial" w:hAnsi="Arial"/>
                <w:sz w:val="18"/>
                <w:szCs w:val="18"/>
                <w:b w:val="1"/>
                <w:bCs w:val="1"/>
                <w:color w:val="auto"/>
              </w:rPr>
              <w:t>Year Ended December 31, 2014</w:t>
            </w:r>
          </w:p>
        </w:tc>
        <w:tc>
          <w:tcPr>
            <w:tcW w:w="16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spacing w:after="0"/>
              <w:rPr>
                <w:sz w:val="17"/>
                <w:szCs w:val="17"/>
                <w:color w:val="auto"/>
              </w:rPr>
            </w:pPr>
          </w:p>
        </w:tc>
        <w:tc>
          <w:tcPr>
            <w:tcW w:w="180" w:type="dxa"/>
            <w:vAlign w:val="bottom"/>
            <w:tcBorders>
              <w:top w:val="single" w:sz="8" w:color="auto"/>
            </w:tcBorders>
            <w:shd w:val="clear" w:color="auto" w:fill="E5FFFF"/>
          </w:tcPr>
          <w:p>
            <w:pPr>
              <w:spacing w:after="0"/>
              <w:rPr>
                <w:sz w:val="17"/>
                <w:szCs w:val="17"/>
                <w:color w:val="auto"/>
              </w:rPr>
            </w:pPr>
          </w:p>
        </w:tc>
        <w:tc>
          <w:tcPr>
            <w:tcW w:w="440" w:type="dxa"/>
            <w:vAlign w:val="bottom"/>
            <w:tcBorders>
              <w:top w:val="single" w:sz="8" w:color="auto"/>
            </w:tcBorders>
            <w:shd w:val="clear" w:color="auto" w:fill="E5FFFF"/>
          </w:tcPr>
          <w:p>
            <w:pPr>
              <w:spacing w:after="0"/>
              <w:rPr>
                <w:sz w:val="17"/>
                <w:szCs w:val="17"/>
                <w:color w:val="auto"/>
              </w:rPr>
            </w:pPr>
          </w:p>
        </w:tc>
        <w:tc>
          <w:tcPr>
            <w:tcW w:w="240" w:type="dxa"/>
            <w:vAlign w:val="bottom"/>
            <w:tcBorders>
              <w:top w:val="single" w:sz="8" w:color="auto"/>
            </w:tcBorders>
            <w:shd w:val="clear" w:color="auto" w:fill="E5FFFF"/>
          </w:tcPr>
          <w:p>
            <w:pPr>
              <w:spacing w:after="0"/>
              <w:rPr>
                <w:sz w:val="17"/>
                <w:szCs w:val="17"/>
                <w:color w:val="auto"/>
              </w:rPr>
            </w:pPr>
          </w:p>
        </w:tc>
        <w:tc>
          <w:tcPr>
            <w:tcW w:w="24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spacing w:after="0"/>
              <w:rPr>
                <w:sz w:val="17"/>
                <w:szCs w:val="17"/>
                <w:color w:val="auto"/>
              </w:rPr>
            </w:pPr>
          </w:p>
        </w:tc>
        <w:tc>
          <w:tcPr>
            <w:tcW w:w="36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60" w:type="dxa"/>
            <w:vAlign w:val="bottom"/>
            <w:tcBorders>
              <w:top w:val="single" w:sz="8" w:color="auto"/>
            </w:tcBorders>
            <w:shd w:val="clear" w:color="auto" w:fill="E5FFFF"/>
          </w:tcPr>
          <w:p>
            <w:pPr>
              <w:spacing w:after="0"/>
              <w:rPr>
                <w:sz w:val="17"/>
                <w:szCs w:val="17"/>
                <w:color w:val="auto"/>
              </w:rPr>
            </w:pPr>
          </w:p>
        </w:tc>
        <w:tc>
          <w:tcPr>
            <w:tcW w:w="500" w:type="dxa"/>
            <w:vAlign w:val="bottom"/>
            <w:tcBorders>
              <w:top w:val="single" w:sz="8" w:color="auto"/>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240" w:type="dxa"/>
            <w:vAlign w:val="bottom"/>
            <w:tcBorders>
              <w:top w:val="single" w:sz="8" w:color="auto"/>
            </w:tcBorders>
            <w:shd w:val="clear" w:color="auto" w:fill="E5FFFF"/>
          </w:tcPr>
          <w:p>
            <w:pPr>
              <w:spacing w:after="0"/>
              <w:rPr>
                <w:sz w:val="17"/>
                <w:szCs w:val="17"/>
                <w:color w:val="auto"/>
              </w:rPr>
            </w:pPr>
          </w:p>
        </w:tc>
        <w:tc>
          <w:tcPr>
            <w:tcW w:w="80" w:type="dxa"/>
            <w:vAlign w:val="bottom"/>
            <w:tcBorders>
              <w:top w:val="single" w:sz="8" w:color="auto"/>
            </w:tcBorders>
            <w:shd w:val="clear" w:color="auto" w:fill="E5FFFF"/>
          </w:tcPr>
          <w:p>
            <w:pPr>
              <w:spacing w:after="0"/>
              <w:rPr>
                <w:sz w:val="17"/>
                <w:szCs w:val="17"/>
                <w:color w:val="auto"/>
              </w:rPr>
            </w:pPr>
          </w:p>
        </w:tc>
        <w:tc>
          <w:tcPr>
            <w:tcW w:w="540" w:type="dxa"/>
            <w:vAlign w:val="bottom"/>
            <w:tcBorders>
              <w:top w:val="single" w:sz="8" w:color="auto"/>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340" w:type="dxa"/>
            <w:vAlign w:val="bottom"/>
            <w:tcBorders>
              <w:top w:val="single" w:sz="8" w:color="auto"/>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640"/>
              <w:spacing w:after="0"/>
              <w:rPr>
                <w:sz w:val="20"/>
                <w:szCs w:val="20"/>
                <w:color w:val="auto"/>
              </w:rPr>
            </w:pPr>
            <w:r>
              <w:rPr>
                <w:rFonts w:ascii="Arial" w:cs="Arial" w:eastAsia="Arial" w:hAnsi="Arial"/>
                <w:sz w:val="18"/>
                <w:szCs w:val="18"/>
                <w:color w:val="auto"/>
              </w:rPr>
              <w:t>Foreign exchange translation adjustment</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(1,044)</w:t>
            </w:r>
          </w:p>
        </w:tc>
        <w:tc>
          <w:tcPr>
            <w:tcW w:w="540" w:type="dxa"/>
            <w:vAlign w:val="bottom"/>
            <w:gridSpan w:val="3"/>
          </w:tcPr>
          <w:p>
            <w:pPr>
              <w:jc w:val="center"/>
              <w:ind w:left="15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6"/>
          </w:tcPr>
          <w:p>
            <w:pPr>
              <w:jc w:val="right"/>
              <w:ind w:right="4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16"/>
        </w:trPr>
        <w:tc>
          <w:tcPr>
            <w:tcW w:w="6500" w:type="dxa"/>
            <w:vAlign w:val="bottom"/>
            <w:shd w:val="clear" w:color="auto" w:fill="E5FFFF"/>
          </w:tcPr>
          <w:p>
            <w:pPr>
              <w:ind w:left="640"/>
              <w:spacing w:after="0"/>
              <w:rPr>
                <w:sz w:val="20"/>
                <w:szCs w:val="20"/>
                <w:color w:val="auto"/>
              </w:rPr>
            </w:pPr>
            <w:r>
              <w:rPr>
                <w:rFonts w:ascii="Arial" w:cs="Arial" w:eastAsia="Arial" w:hAnsi="Arial"/>
                <w:sz w:val="18"/>
                <w:szCs w:val="18"/>
                <w:color w:val="auto"/>
              </w:rPr>
              <w:t>Pensions and other postretirement benefit adjustments</w:t>
            </w:r>
          </w:p>
        </w:tc>
        <w:tc>
          <w:tcPr>
            <w:tcW w:w="1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100" w:type="dxa"/>
            <w:vAlign w:val="bottom"/>
            <w:gridSpan w:val="4"/>
            <w:shd w:val="clear" w:color="auto" w:fill="E5FFFF"/>
          </w:tcPr>
          <w:p>
            <w:pPr>
              <w:jc w:val="right"/>
              <w:ind w:right="60"/>
              <w:spacing w:after="0"/>
              <w:rPr>
                <w:sz w:val="20"/>
                <w:szCs w:val="20"/>
                <w:color w:val="auto"/>
              </w:rPr>
            </w:pPr>
            <w:r>
              <w:rPr>
                <w:rFonts w:ascii="Arial" w:cs="Arial" w:eastAsia="Arial" w:hAnsi="Arial"/>
                <w:sz w:val="18"/>
                <w:szCs w:val="18"/>
                <w:color w:val="auto"/>
              </w:rPr>
              <w:t>(1,707)</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50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rPr>
              <w:t>624</w:t>
            </w:r>
          </w:p>
        </w:tc>
        <w:tc>
          <w:tcPr>
            <w:tcW w:w="2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40" w:type="dxa"/>
            <w:vAlign w:val="bottom"/>
            <w:gridSpan w:val="6"/>
            <w:shd w:val="clear" w:color="auto" w:fill="E5FFFF"/>
          </w:tcPr>
          <w:p>
            <w:pPr>
              <w:jc w:val="right"/>
              <w:ind w:right="4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6"/>
        </w:trPr>
        <w:tc>
          <w:tcPr>
            <w:tcW w:w="6500" w:type="dxa"/>
            <w:vAlign w:val="bottom"/>
          </w:tcPr>
          <w:p>
            <w:pPr>
              <w:ind w:left="640"/>
              <w:spacing w:after="0"/>
              <w:rPr>
                <w:sz w:val="20"/>
                <w:szCs w:val="20"/>
                <w:color w:val="auto"/>
              </w:rPr>
            </w:pPr>
            <w:r>
              <w:rPr>
                <w:rFonts w:ascii="Arial" w:cs="Arial" w:eastAsia="Arial" w:hAnsi="Arial"/>
                <w:sz w:val="18"/>
                <w:szCs w:val="18"/>
                <w:color w:val="auto"/>
              </w:rPr>
              <w:t>Changes in fair value of available for sale investments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(246)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6"/>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6500" w:type="dxa"/>
            <w:vAlign w:val="bottom"/>
            <w:shd w:val="clear" w:color="auto" w:fill="E5FFFF"/>
          </w:tcPr>
          <w:p>
            <w:pPr>
              <w:ind w:left="640"/>
              <w:spacing w:after="0"/>
              <w:rPr>
                <w:sz w:val="20"/>
                <w:szCs w:val="20"/>
                <w:color w:val="auto"/>
              </w:rPr>
            </w:pPr>
            <w:r>
              <w:rPr>
                <w:rFonts w:ascii="Arial" w:cs="Arial" w:eastAsia="Arial" w:hAnsi="Arial"/>
                <w:sz w:val="18"/>
                <w:szCs w:val="18"/>
                <w:color w:val="auto"/>
              </w:rPr>
              <w:t>Changes in fair value of effective cash flow hedges</w:t>
            </w:r>
          </w:p>
        </w:tc>
        <w:tc>
          <w:tcPr>
            <w:tcW w:w="160" w:type="dxa"/>
            <w:vAlign w:val="bottom"/>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spacing w:after="0"/>
              <w:rPr>
                <w:sz w:val="18"/>
                <w:szCs w:val="18"/>
                <w:color w:val="auto"/>
              </w:rPr>
            </w:pPr>
          </w:p>
        </w:tc>
        <w:tc>
          <w:tcPr>
            <w:tcW w:w="1100" w:type="dxa"/>
            <w:vAlign w:val="bottom"/>
            <w:tcBorders>
              <w:bottom w:val="single" w:sz="8" w:color="auto"/>
            </w:tcBorders>
            <w:gridSpan w:val="4"/>
            <w:shd w:val="clear" w:color="auto" w:fill="E5FFFF"/>
          </w:tcPr>
          <w:p>
            <w:pPr>
              <w:jc w:val="right"/>
              <w:ind w:right="12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360" w:type="dxa"/>
            <w:vAlign w:val="bottom"/>
            <w:tcBorders>
              <w:bottom w:val="single" w:sz="8" w:color="auto"/>
            </w:tcBorders>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20" w:type="dxa"/>
            <w:vAlign w:val="bottom"/>
            <w:tcBorders>
              <w:bottom w:val="single" w:sz="8" w:color="auto"/>
            </w:tcBorders>
            <w:shd w:val="clear" w:color="auto" w:fill="E5FFFF"/>
          </w:tcPr>
          <w:p>
            <w:pPr>
              <w:spacing w:after="0"/>
              <w:rPr>
                <w:sz w:val="18"/>
                <w:szCs w:val="18"/>
                <w:color w:val="auto"/>
              </w:rPr>
            </w:pPr>
          </w:p>
        </w:tc>
        <w:tc>
          <w:tcPr>
            <w:tcW w:w="60" w:type="dxa"/>
            <w:vAlign w:val="bottom"/>
            <w:tcBorders>
              <w:bottom w:val="single" w:sz="8" w:color="auto"/>
            </w:tcBorders>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1240" w:type="dxa"/>
            <w:vAlign w:val="bottom"/>
            <w:tcBorders>
              <w:bottom w:val="single" w:sz="8" w:color="auto"/>
            </w:tcBorders>
            <w:gridSpan w:val="6"/>
            <w:shd w:val="clear" w:color="auto" w:fill="E5FF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650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(2,973)</w:t>
            </w:r>
          </w:p>
        </w:tc>
        <w:tc>
          <w:tcPr>
            <w:tcW w:w="540" w:type="dxa"/>
            <w:vAlign w:val="bottom"/>
            <w:gridSpan w:val="3"/>
          </w:tcPr>
          <w:p>
            <w:pPr>
              <w:jc w:val="center"/>
              <w:ind w:left="15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696</w:t>
            </w:r>
          </w:p>
        </w:tc>
        <w:tc>
          <w:tcPr>
            <w:tcW w:w="2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6"/>
          </w:tcPr>
          <w:p>
            <w:pPr>
              <w:jc w:val="right"/>
              <w:ind w:right="40"/>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620"/>
              <w:spacing w:after="0"/>
              <w:rPr>
                <w:sz w:val="20"/>
                <w:szCs w:val="20"/>
                <w:color w:val="auto"/>
              </w:rPr>
            </w:pPr>
            <w:r>
              <w:rPr>
                <w:rFonts w:ascii="Arial" w:cs="Arial" w:eastAsia="Arial" w:hAnsi="Arial"/>
                <w:sz w:val="18"/>
                <w:szCs w:val="18"/>
                <w:b w:val="1"/>
                <w:bCs w:val="1"/>
                <w:color w:val="auto"/>
              </w:rPr>
              <w:t>Components of Accumulated Other Comprehensive Income (Loss)</w:t>
            </w: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00" w:type="dxa"/>
            <w:vAlign w:val="bottom"/>
            <w:shd w:val="clear" w:color="auto" w:fill="E5FFFF"/>
          </w:tcPr>
          <w:p>
            <w:pPr>
              <w:ind w:left="620"/>
              <w:spacing w:after="0"/>
              <w:rPr>
                <w:sz w:val="20"/>
                <w:szCs w:val="20"/>
                <w:color w:val="auto"/>
              </w:rPr>
            </w:pPr>
            <w:r>
              <w:rPr>
                <w:rFonts w:ascii="Arial" w:cs="Arial" w:eastAsia="Arial" w:hAnsi="Arial"/>
                <w:sz w:val="18"/>
                <w:szCs w:val="18"/>
                <w:color w:val="auto"/>
              </w:rPr>
              <w:t>Cumulative foreign exchange translation adjustment</w:t>
            </w:r>
          </w:p>
        </w:tc>
        <w:tc>
          <w:tcPr>
            <w:tcW w:w="1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100" w:type="dxa"/>
            <w:vAlign w:val="bottom"/>
            <w:gridSpan w:val="4"/>
            <w:shd w:val="clear" w:color="auto" w:fill="E5FF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8"/>
                <w:szCs w:val="18"/>
                <w:color w:val="auto"/>
              </w:rPr>
            </w:pPr>
          </w:p>
        </w:tc>
        <w:tc>
          <w:tcPr>
            <w:tcW w:w="900" w:type="dxa"/>
            <w:vAlign w:val="bottom"/>
            <w:gridSpan w:val="4"/>
            <w:shd w:val="clear" w:color="auto" w:fill="E5FFFF"/>
          </w:tcPr>
          <w:p>
            <w:pPr>
              <w:jc w:val="right"/>
              <w:spacing w:after="0"/>
              <w:rPr>
                <w:sz w:val="20"/>
                <w:szCs w:val="20"/>
                <w:color w:val="auto"/>
              </w:rPr>
            </w:pPr>
            <w:r>
              <w:rPr>
                <w:rFonts w:ascii="Arial" w:cs="Arial" w:eastAsia="Arial" w:hAnsi="Arial"/>
                <w:sz w:val="18"/>
                <w:szCs w:val="18"/>
                <w:color w:val="auto"/>
              </w:rPr>
              <w:t>(1,944)</w:t>
            </w:r>
          </w:p>
        </w:tc>
        <w:tc>
          <w:tcPr>
            <w:tcW w:w="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74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8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rPr>
              <w:t>(1,892)</w:t>
            </w:r>
          </w:p>
        </w:tc>
        <w:tc>
          <w:tcPr>
            <w:tcW w:w="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620"/>
              <w:spacing w:after="0"/>
              <w:rPr>
                <w:sz w:val="20"/>
                <w:szCs w:val="20"/>
                <w:color w:val="auto"/>
              </w:rPr>
            </w:pPr>
            <w:r>
              <w:rPr>
                <w:rFonts w:ascii="Arial" w:cs="Arial" w:eastAsia="Arial" w:hAnsi="Arial"/>
                <w:sz w:val="18"/>
                <w:szCs w:val="18"/>
                <w:color w:val="auto"/>
              </w:rPr>
              <w:t>Pensions and other postretirement benefit adjustments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(879)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(644)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E5FFFF"/>
          </w:tcPr>
          <w:p>
            <w:pPr>
              <w:ind w:left="620"/>
              <w:spacing w:after="0"/>
              <w:rPr>
                <w:sz w:val="20"/>
                <w:szCs w:val="20"/>
                <w:color w:val="auto"/>
              </w:rPr>
            </w:pPr>
            <w:r>
              <w:rPr>
                <w:rFonts w:ascii="Arial" w:cs="Arial" w:eastAsia="Arial" w:hAnsi="Arial"/>
                <w:sz w:val="18"/>
                <w:szCs w:val="18"/>
                <w:color w:val="auto"/>
              </w:rPr>
              <w:t>Fair value of available for sale investments</w:t>
            </w:r>
          </w:p>
        </w:tc>
        <w:tc>
          <w:tcPr>
            <w:tcW w:w="1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120" w:type="dxa"/>
            <w:vAlign w:val="bottom"/>
            <w:gridSpan w:val="5"/>
            <w:shd w:val="clear" w:color="auto" w:fill="E5FFFF"/>
          </w:tcPr>
          <w:p>
            <w:pPr>
              <w:jc w:val="right"/>
              <w:ind w:right="28"/>
              <w:spacing w:after="0"/>
              <w:rPr>
                <w:sz w:val="20"/>
                <w:szCs w:val="20"/>
                <w:color w:val="auto"/>
              </w:rPr>
            </w:pPr>
            <w:r>
              <w:rPr>
                <w:rFonts w:ascii="Arial" w:cs="Arial" w:eastAsia="Arial" w:hAnsi="Arial"/>
                <w:sz w:val="18"/>
                <w:szCs w:val="18"/>
                <w:color w:val="auto"/>
              </w:rPr>
              <w:t>-</w:t>
            </w:r>
          </w:p>
        </w:tc>
        <w:tc>
          <w:tcPr>
            <w:tcW w:w="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5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80" w:type="dxa"/>
            <w:vAlign w:val="bottom"/>
            <w:gridSpan w:val="4"/>
            <w:shd w:val="clear" w:color="auto" w:fill="E5FF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Borders>
              <w:bottom w:val="single" w:sz="8" w:color="E5FFFF"/>
            </w:tcBorders>
          </w:tcPr>
          <w:p>
            <w:pPr>
              <w:ind w:left="620"/>
              <w:spacing w:after="0"/>
              <w:rPr>
                <w:sz w:val="20"/>
                <w:szCs w:val="20"/>
                <w:color w:val="auto"/>
              </w:rPr>
            </w:pPr>
            <w:r>
              <w:rPr>
                <w:rFonts w:ascii="Arial" w:cs="Arial" w:eastAsia="Arial" w:hAnsi="Arial"/>
                <w:sz w:val="18"/>
                <w:szCs w:val="18"/>
                <w:color w:val="auto"/>
              </w:rPr>
              <w:t>Fair value of effective cash flow hedges</w:t>
            </w:r>
          </w:p>
        </w:tc>
        <w:tc>
          <w:tcPr>
            <w:tcW w:w="160" w:type="dxa"/>
            <w:vAlign w:val="bottom"/>
            <w:tcBorders>
              <w:bottom w:val="single" w:sz="8" w:color="E5FFFF"/>
            </w:tcBorders>
          </w:tcPr>
          <w:p>
            <w:pPr>
              <w:spacing w:after="0"/>
              <w:rPr>
                <w:sz w:val="18"/>
                <w:szCs w:val="18"/>
                <w:color w:val="auto"/>
              </w:rPr>
            </w:pPr>
          </w:p>
        </w:tc>
        <w:tc>
          <w:tcPr>
            <w:tcW w:w="280" w:type="dxa"/>
            <w:vAlign w:val="bottom"/>
            <w:tcBorders>
              <w:bottom w:val="single" w:sz="8" w:color="E5FFFF"/>
            </w:tcBorders>
          </w:tcPr>
          <w:p>
            <w:pPr>
              <w:spacing w:after="0"/>
              <w:rPr>
                <w:sz w:val="18"/>
                <w:szCs w:val="18"/>
                <w:color w:val="auto"/>
              </w:rPr>
            </w:pPr>
          </w:p>
        </w:tc>
        <w:tc>
          <w:tcPr>
            <w:tcW w:w="180" w:type="dxa"/>
            <w:vAlign w:val="bottom"/>
            <w:tcBorders>
              <w:bottom w:val="single" w:sz="8" w:color="E5FFFF"/>
            </w:tcBorders>
          </w:tcPr>
          <w:p>
            <w:pPr>
              <w:spacing w:after="0"/>
              <w:rPr>
                <w:sz w:val="18"/>
                <w:szCs w:val="18"/>
                <w:color w:val="auto"/>
              </w:rPr>
            </w:pPr>
          </w:p>
        </w:tc>
        <w:tc>
          <w:tcPr>
            <w:tcW w:w="440" w:type="dxa"/>
            <w:vAlign w:val="bottom"/>
            <w:tcBorders>
              <w:bottom w:val="single" w:sz="8" w:color="E5FFFF"/>
            </w:tcBorders>
          </w:tcPr>
          <w:p>
            <w:pPr>
              <w:spacing w:after="0"/>
              <w:rPr>
                <w:sz w:val="18"/>
                <w:szCs w:val="18"/>
                <w:color w:val="auto"/>
              </w:rPr>
            </w:pPr>
          </w:p>
        </w:tc>
        <w:tc>
          <w:tcPr>
            <w:tcW w:w="24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5"/>
          </w:tcPr>
          <w:p>
            <w:pPr>
              <w:jc w:val="right"/>
              <w:ind w:right="28"/>
              <w:spacing w:after="0"/>
              <w:rPr>
                <w:sz w:val="20"/>
                <w:szCs w:val="20"/>
                <w:color w:val="auto"/>
              </w:rPr>
            </w:pPr>
            <w:r>
              <w:rPr>
                <w:rFonts w:ascii="Arial" w:cs="Arial" w:eastAsia="Arial" w:hAnsi="Arial"/>
                <w:sz w:val="18"/>
                <w:szCs w:val="18"/>
                <w:color w:val="auto"/>
              </w:rPr>
              <w:t>109</w:t>
            </w:r>
          </w:p>
        </w:tc>
        <w:tc>
          <w:tcPr>
            <w:tcW w:w="20" w:type="dxa"/>
            <w:vAlign w:val="bottom"/>
            <w:tcBorders>
              <w:bottom w:val="single" w:sz="8" w:color="E5FFFF"/>
            </w:tcBorders>
          </w:tcPr>
          <w:p>
            <w:pPr>
              <w:spacing w:after="0"/>
              <w:rPr>
                <w:sz w:val="18"/>
                <w:szCs w:val="18"/>
                <w:color w:val="auto"/>
              </w:rPr>
            </w:pPr>
          </w:p>
        </w:tc>
        <w:tc>
          <w:tcPr>
            <w:tcW w:w="60" w:type="dxa"/>
            <w:vAlign w:val="bottom"/>
            <w:tcBorders>
              <w:bottom w:val="single" w:sz="8" w:color="E5FFFF"/>
            </w:tcBorders>
          </w:tcPr>
          <w:p>
            <w:pPr>
              <w:spacing w:after="0"/>
              <w:rPr>
                <w:sz w:val="18"/>
                <w:szCs w:val="18"/>
                <w:color w:val="auto"/>
              </w:rPr>
            </w:pPr>
          </w:p>
        </w:tc>
        <w:tc>
          <w:tcPr>
            <w:tcW w:w="50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1100" w:type="dxa"/>
            <w:vAlign w:val="bottom"/>
            <w:gridSpan w:val="4"/>
            <w:shd w:val="clear" w:color="auto" w:fill="E5FF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5"/>
            <w:shd w:val="clear" w:color="auto" w:fill="E5FFFF"/>
          </w:tcPr>
          <w:p>
            <w:pPr>
              <w:jc w:val="right"/>
              <w:spacing w:after="0"/>
              <w:rPr>
                <w:sz w:val="20"/>
                <w:szCs w:val="20"/>
                <w:color w:val="auto"/>
              </w:rPr>
            </w:pPr>
            <w:r>
              <w:rPr>
                <w:rFonts w:ascii="Arial" w:cs="Arial" w:eastAsia="Arial" w:hAnsi="Arial"/>
                <w:sz w:val="18"/>
                <w:szCs w:val="18"/>
                <w:color w:val="auto"/>
              </w:rPr>
              <w:t>(2,714)</w:t>
            </w:r>
          </w:p>
        </w:tc>
        <w:tc>
          <w:tcPr>
            <w:tcW w:w="20" w:type="dxa"/>
            <w:vAlign w:val="bottom"/>
            <w:shd w:val="clear" w:color="auto" w:fill="E5FFFF"/>
          </w:tcPr>
          <w:p>
            <w:pPr>
              <w:spacing w:after="0"/>
              <w:rPr>
                <w:sz w:val="19"/>
                <w:szCs w:val="19"/>
                <w:color w:val="auto"/>
              </w:rPr>
            </w:pPr>
          </w:p>
        </w:tc>
        <w:tc>
          <w:tcPr>
            <w:tcW w:w="60" w:type="dxa"/>
            <w:vAlign w:val="bottom"/>
            <w:shd w:val="clear" w:color="auto" w:fill="E5FFFF"/>
          </w:tcPr>
          <w:p>
            <w:pPr>
              <w:spacing w:after="0"/>
              <w:rPr>
                <w:sz w:val="19"/>
                <w:szCs w:val="19"/>
                <w:color w:val="auto"/>
              </w:rPr>
            </w:pPr>
          </w:p>
        </w:tc>
        <w:tc>
          <w:tcPr>
            <w:tcW w:w="74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88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rPr>
              <w:t>(2,535)</w:t>
            </w:r>
          </w:p>
        </w:tc>
        <w:tc>
          <w:tcPr>
            <w:tcW w:w="2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Borders>
              <w:top w:val="single" w:sz="8" w:color="E5FFFF"/>
              <w:bottom w:val="single" w:sz="8" w:color="E5FFFF"/>
            </w:tcBorders>
            <w:vMerge w:val="restart"/>
          </w:tcPr>
          <w:p>
            <w:pPr>
              <w:ind w:left="5620"/>
              <w:spacing w:after="0"/>
              <w:rPr>
                <w:sz w:val="20"/>
                <w:szCs w:val="20"/>
                <w:color w:val="auto"/>
              </w:rPr>
            </w:pPr>
            <w:r>
              <w:rPr>
                <w:rFonts w:ascii="Arial" w:cs="Arial" w:eastAsia="Arial" w:hAnsi="Arial"/>
                <w:sz w:val="18"/>
                <w:szCs w:val="18"/>
                <w:color w:val="auto"/>
              </w:rPr>
              <w:t>58</w:t>
            </w:r>
          </w:p>
        </w:tc>
        <w:tc>
          <w:tcPr>
            <w:tcW w:w="16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60" w:type="dxa"/>
            <w:vAlign w:val="bottom"/>
            <w:tcBorders>
              <w:top w:val="single" w:sz="8" w:color="E5FFFF"/>
            </w:tcBorders>
          </w:tcPr>
          <w:p>
            <w:pPr>
              <w:spacing w:after="0" w:line="20" w:lineRule="exact"/>
              <w:rPr>
                <w:sz w:val="1"/>
                <w:szCs w:val="1"/>
                <w:color w:val="auto"/>
              </w:rPr>
            </w:pPr>
          </w:p>
        </w:tc>
        <w:tc>
          <w:tcPr>
            <w:tcW w:w="50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0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18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200" w:type="dxa"/>
            <w:vAlign w:val="bottom"/>
            <w:tcBorders>
              <w:bottom w:val="single" w:sz="8" w:color="C0C0C0"/>
            </w:tcBorders>
          </w:tcPr>
          <w:p>
            <w:pPr>
              <w:spacing w:after="0"/>
              <w:rPr>
                <w:sz w:val="21"/>
                <w:szCs w:val="21"/>
                <w:color w:val="auto"/>
              </w:rPr>
            </w:pPr>
          </w:p>
        </w:tc>
        <w:tc>
          <w:tcPr>
            <w:tcW w:w="36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20" w:type="dxa"/>
            <w:vAlign w:val="bottom"/>
            <w:tcBorders>
              <w:bottom w:val="single" w:sz="8" w:color="C0C0C0"/>
            </w:tcBorders>
          </w:tcPr>
          <w:p>
            <w:pPr>
              <w:spacing w:after="0"/>
              <w:rPr>
                <w:sz w:val="21"/>
                <w:szCs w:val="21"/>
                <w:color w:val="auto"/>
              </w:rPr>
            </w:pPr>
          </w:p>
        </w:tc>
        <w:tc>
          <w:tcPr>
            <w:tcW w:w="60" w:type="dxa"/>
            <w:vAlign w:val="bottom"/>
            <w:tcBorders>
              <w:bottom w:val="single" w:sz="8" w:color="C0C0C0"/>
            </w:tcBorders>
          </w:tcPr>
          <w:p>
            <w:pPr>
              <w:spacing w:after="0"/>
              <w:rPr>
                <w:sz w:val="21"/>
                <w:szCs w:val="21"/>
                <w:color w:val="auto"/>
              </w:rPr>
            </w:pPr>
          </w:p>
        </w:tc>
        <w:tc>
          <w:tcPr>
            <w:tcW w:w="50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2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540" w:type="dxa"/>
            <w:vAlign w:val="bottom"/>
            <w:tcBorders>
              <w:bottom w:val="single" w:sz="8" w:color="C0C0C0"/>
            </w:tcBorders>
          </w:tcPr>
          <w:p>
            <w:pPr>
              <w:spacing w:after="0"/>
              <w:rPr>
                <w:sz w:val="21"/>
                <w:szCs w:val="21"/>
                <w:color w:val="auto"/>
              </w:rPr>
            </w:pPr>
          </w:p>
        </w:tc>
        <w:tc>
          <w:tcPr>
            <w:tcW w:w="20" w:type="dxa"/>
            <w:vAlign w:val="bottom"/>
            <w:tcBorders>
              <w:bottom w:val="single" w:sz="8" w:color="C0C0C0"/>
            </w:tcBorders>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-1431290</wp:posOffset>
            </wp:positionV>
            <wp:extent cx="368935" cy="9861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8935" cy="986155"/>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-1431290</wp:posOffset>
            </wp:positionV>
            <wp:extent cx="214630" cy="9861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4630" cy="986155"/>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20"/>
          <w:szCs w:val="20"/>
          <w:b w:val="1"/>
          <w:bCs w:val="1"/>
          <w:color w:val="auto"/>
        </w:rPr>
        <w:t>HONEYWELL INTERNATIONAL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 – (CONTINUED)</w:t>
      </w:r>
    </w:p>
    <w:p>
      <w:pPr>
        <w:ind w:left="4120"/>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Accumulated Other Comprehensive Income (Loss) by Component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Changes in</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Foreign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Pension</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9"/>
              </w:rPr>
              <w:t>Fair Value of</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Exchange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and Other</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Effective</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Translation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Postretirement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Cash Flow</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Adjustment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Hedges</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Balance at December 31, 2014</w:t>
            </w:r>
          </w:p>
        </w:tc>
        <w:tc>
          <w:tcPr>
            <w:tcW w:w="500" w:type="dxa"/>
            <w:vAlign w:val="bottom"/>
            <w:gridSpan w:val="2"/>
            <w:shd w:val="clear" w:color="auto" w:fill="E5FF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(740)</w:t>
            </w:r>
          </w:p>
        </w:tc>
        <w:tc>
          <w:tcPr>
            <w:tcW w:w="32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3"/>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(728)</w:t>
            </w:r>
          </w:p>
        </w:tc>
        <w:tc>
          <w:tcPr>
            <w:tcW w:w="340" w:type="dxa"/>
            <w:vAlign w:val="bottom"/>
            <w:gridSpan w:val="2"/>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3"/>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9</w:t>
            </w:r>
          </w:p>
        </w:tc>
        <w:tc>
          <w:tcPr>
            <w:tcW w:w="460" w:type="dxa"/>
            <w:vAlign w:val="bottom"/>
            <w:gridSpan w:val="2"/>
            <w:shd w:val="clear" w:color="auto" w:fill="E5FF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3"/>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tcPr>
          <w:p>
            <w:pPr>
              <w:ind w:left="160"/>
              <w:spacing w:after="0" w:line="201" w:lineRule="exact"/>
              <w:rPr>
                <w:sz w:val="20"/>
                <w:szCs w:val="20"/>
                <w:color w:val="auto"/>
              </w:rPr>
            </w:pPr>
            <w:r>
              <w:rPr>
                <w:rFonts w:ascii="Arial" w:cs="Arial" w:eastAsia="Arial" w:hAnsi="Arial"/>
                <w:sz w:val="18"/>
                <w:szCs w:val="18"/>
                <w:color w:val="auto"/>
              </w:rPr>
              <w:t>Other comprehensive income (loss) before</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ind w:left="340"/>
              <w:spacing w:after="0" w:line="203" w:lineRule="exact"/>
              <w:rPr>
                <w:sz w:val="20"/>
                <w:szCs w:val="20"/>
                <w:color w:val="auto"/>
              </w:rPr>
            </w:pPr>
            <w:r>
              <w:rPr>
                <w:rFonts w:ascii="Arial" w:cs="Arial" w:eastAsia="Arial" w:hAnsi="Arial"/>
                <w:sz w:val="18"/>
                <w:szCs w:val="18"/>
                <w:color w:val="auto"/>
              </w:rPr>
              <w:t>reclassifications</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(1,152)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3"/>
          </w:tcPr>
          <w:p>
            <w:pPr>
              <w:jc w:val="right"/>
              <w:ind w:right="100"/>
              <w:spacing w:after="0" w:line="203" w:lineRule="exact"/>
              <w:rPr>
                <w:sz w:val="20"/>
                <w:szCs w:val="20"/>
                <w:color w:val="auto"/>
              </w:rPr>
            </w:pPr>
            <w:r>
              <w:rPr>
                <w:rFonts w:ascii="Arial" w:cs="Arial" w:eastAsia="Arial" w:hAnsi="Arial"/>
                <w:sz w:val="18"/>
                <w:szCs w:val="18"/>
                <w:color w:val="auto"/>
              </w:rPr>
              <w:t>23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3"/>
          </w:tcPr>
          <w:p>
            <w:pPr>
              <w:jc w:val="right"/>
              <w:ind w:right="120"/>
              <w:spacing w:after="0" w:line="203" w:lineRule="exact"/>
              <w:rPr>
                <w:sz w:val="20"/>
                <w:szCs w:val="20"/>
                <w:color w:val="auto"/>
              </w:rPr>
            </w:pPr>
            <w:r>
              <w:rPr>
                <w:rFonts w:ascii="Arial" w:cs="Arial" w:eastAsia="Arial" w:hAnsi="Arial"/>
                <w:sz w:val="18"/>
                <w:szCs w:val="18"/>
                <w:color w:val="auto"/>
              </w:rPr>
              <w:t>91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shd w:val="clear" w:color="auto" w:fill="E5FFFF"/>
          </w:tcPr>
          <w:p>
            <w:pPr>
              <w:ind w:left="160"/>
              <w:spacing w:after="0" w:line="201" w:lineRule="exact"/>
              <w:rPr>
                <w:sz w:val="20"/>
                <w:szCs w:val="20"/>
                <w:color w:val="auto"/>
              </w:rPr>
            </w:pPr>
            <w:r>
              <w:rPr>
                <w:rFonts w:ascii="Arial" w:cs="Arial" w:eastAsia="Arial" w:hAnsi="Arial"/>
                <w:sz w:val="18"/>
                <w:szCs w:val="18"/>
                <w:color w:val="auto"/>
              </w:rPr>
              <w:t>Amounts reclassified from accumulated other</w:t>
            </w:r>
          </w:p>
        </w:tc>
        <w:tc>
          <w:tcPr>
            <w:tcW w:w="8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shd w:val="clear" w:color="auto" w:fill="E5FFFF"/>
          </w:tcPr>
          <w:p>
            <w:pPr>
              <w:ind w:left="400"/>
              <w:spacing w:after="0"/>
              <w:rPr>
                <w:sz w:val="20"/>
                <w:szCs w:val="20"/>
                <w:color w:val="auto"/>
              </w:rPr>
            </w:pPr>
            <w:r>
              <w:rPr>
                <w:rFonts w:ascii="Arial" w:cs="Arial" w:eastAsia="Arial" w:hAnsi="Arial"/>
                <w:sz w:val="18"/>
                <w:szCs w:val="18"/>
                <w:color w:val="auto"/>
              </w:rPr>
              <w:t>comprehensive income (loss)</w:t>
            </w:r>
          </w:p>
        </w:tc>
        <w:tc>
          <w:tcPr>
            <w:tcW w:w="80" w:type="dxa"/>
            <w:vAlign w:val="bottom"/>
            <w:shd w:val="clear" w:color="auto" w:fill="E5FFFF"/>
          </w:tcPr>
          <w:p>
            <w:pPr>
              <w:spacing w:after="0"/>
              <w:rPr>
                <w:sz w:val="18"/>
                <w:szCs w:val="18"/>
                <w:color w:val="auto"/>
              </w:rPr>
            </w:pPr>
          </w:p>
        </w:tc>
        <w:tc>
          <w:tcPr>
            <w:tcW w:w="42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1400" w:type="dxa"/>
            <w:vAlign w:val="bottom"/>
            <w:tcBorders>
              <w:bottom w:val="single" w:sz="8" w:color="auto"/>
            </w:tcBorders>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1360" w:type="dxa"/>
            <w:vAlign w:val="bottom"/>
            <w:tcBorders>
              <w:bottom w:val="single" w:sz="8" w:color="auto"/>
            </w:tcBorders>
            <w:gridSpan w:val="3"/>
            <w:shd w:val="clear" w:color="auto" w:fill="E5FFFF"/>
          </w:tcPr>
          <w:p>
            <w:pPr>
              <w:jc w:val="right"/>
              <w:ind w:right="6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E5FFFF"/>
          </w:tcPr>
          <w:p>
            <w:pPr>
              <w:spacing w:after="0"/>
              <w:rPr>
                <w:sz w:val="18"/>
                <w:szCs w:val="18"/>
                <w:color w:val="auto"/>
              </w:rPr>
            </w:pPr>
          </w:p>
        </w:tc>
        <w:tc>
          <w:tcPr>
            <w:tcW w:w="360" w:type="dxa"/>
            <w:vAlign w:val="bottom"/>
            <w:tcBorders>
              <w:bottom w:val="single" w:sz="8" w:color="auto"/>
            </w:tcBorders>
            <w:shd w:val="clear" w:color="auto" w:fill="E5FFFF"/>
          </w:tcPr>
          <w:p>
            <w:pPr>
              <w:spacing w:after="0"/>
              <w:rPr>
                <w:sz w:val="18"/>
                <w:szCs w:val="18"/>
                <w:color w:val="auto"/>
              </w:rPr>
            </w:pPr>
          </w:p>
        </w:tc>
        <w:tc>
          <w:tcPr>
            <w:tcW w:w="1220" w:type="dxa"/>
            <w:vAlign w:val="bottom"/>
            <w:tcBorders>
              <w:bottom w:val="single" w:sz="8" w:color="auto"/>
            </w:tcBorders>
            <w:gridSpan w:val="3"/>
            <w:shd w:val="clear" w:color="auto" w:fill="E5FF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tcBorders>
              <w:bottom w:val="single" w:sz="8" w:color="E5FFFF"/>
            </w:tcBorders>
          </w:tcPr>
          <w:p>
            <w:pPr>
              <w:ind w:left="160"/>
              <w:spacing w:after="0" w:line="196" w:lineRule="exact"/>
              <w:rPr>
                <w:sz w:val="20"/>
                <w:szCs w:val="20"/>
                <w:color w:val="auto"/>
              </w:rPr>
            </w:pPr>
            <w:r>
              <w:rPr>
                <w:rFonts w:ascii="Arial" w:cs="Arial" w:eastAsia="Arial" w:hAnsi="Arial"/>
                <w:sz w:val="18"/>
                <w:szCs w:val="18"/>
                <w:color w:val="auto"/>
              </w:rPr>
              <w:t>Net current period other comprehensive income (loss)</w:t>
            </w:r>
          </w:p>
        </w:tc>
        <w:tc>
          <w:tcPr>
            <w:tcW w:w="80" w:type="dxa"/>
            <w:vAlign w:val="bottom"/>
            <w:tcBorders>
              <w:bottom w:val="single" w:sz="8" w:color="E5FF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(1,152)</w:t>
            </w:r>
          </w:p>
        </w:tc>
        <w:tc>
          <w:tcPr>
            <w:tcW w:w="140" w:type="dxa"/>
            <w:vAlign w:val="bottom"/>
            <w:tcBorders>
              <w:bottom w:val="single" w:sz="8" w:color="E5FF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100"/>
              <w:spacing w:after="0" w:line="196" w:lineRule="exact"/>
              <w:rPr>
                <w:sz w:val="20"/>
                <w:szCs w:val="20"/>
                <w:color w:val="auto"/>
              </w:rPr>
            </w:pPr>
            <w:r>
              <w:rPr>
                <w:rFonts w:ascii="Arial" w:cs="Arial" w:eastAsia="Arial" w:hAnsi="Arial"/>
                <w:sz w:val="18"/>
                <w:szCs w:val="18"/>
                <w:color w:val="auto"/>
              </w:rPr>
              <w:t>84</w:t>
            </w:r>
          </w:p>
        </w:tc>
        <w:tc>
          <w:tcPr>
            <w:tcW w:w="120" w:type="dxa"/>
            <w:vAlign w:val="bottom"/>
            <w:tcBorders>
              <w:bottom w:val="single" w:sz="8" w:color="E5FF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60"/>
              <w:spacing w:after="0" w:line="196" w:lineRule="exact"/>
              <w:rPr>
                <w:sz w:val="20"/>
                <w:szCs w:val="20"/>
                <w:color w:val="auto"/>
              </w:rPr>
            </w:pPr>
            <w:r>
              <w:rPr>
                <w:rFonts w:ascii="Arial" w:cs="Arial" w:eastAsia="Arial" w:hAnsi="Arial"/>
                <w:sz w:val="18"/>
                <w:szCs w:val="18"/>
                <w:color w:val="auto"/>
              </w:rPr>
              <w:t>(8)</w:t>
            </w:r>
          </w:p>
        </w:tc>
        <w:tc>
          <w:tcPr>
            <w:tcW w:w="100" w:type="dxa"/>
            <w:vAlign w:val="bottom"/>
            <w:tcBorders>
              <w:bottom w:val="single" w:sz="8" w:color="E5FF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40"/>
              <w:spacing w:after="0" w:line="196" w:lineRule="exact"/>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Balance at December 31, 2015</w:t>
            </w:r>
          </w:p>
        </w:tc>
        <w:tc>
          <w:tcPr>
            <w:tcW w:w="80" w:type="dxa"/>
            <w:vAlign w:val="bottom"/>
            <w:shd w:val="clear" w:color="auto" w:fill="E5FFFF"/>
          </w:tcPr>
          <w:p>
            <w:pPr>
              <w:spacing w:after="0"/>
              <w:rPr>
                <w:sz w:val="17"/>
                <w:szCs w:val="17"/>
                <w:color w:val="auto"/>
              </w:rPr>
            </w:pPr>
          </w:p>
        </w:tc>
        <w:tc>
          <w:tcPr>
            <w:tcW w:w="420" w:type="dxa"/>
            <w:vAlign w:val="bottom"/>
            <w:tcBorders>
              <w:bottom w:val="single" w:sz="8" w:color="auto"/>
            </w:tcBorders>
            <w:shd w:val="clear" w:color="auto" w:fill="E5FF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shd w:val="clear" w:color="auto" w:fill="E5FFFF"/>
          </w:tcPr>
          <w:p>
            <w:pPr>
              <w:jc w:val="right"/>
              <w:ind w:right="60"/>
              <w:spacing w:after="0" w:line="196" w:lineRule="exact"/>
              <w:rPr>
                <w:sz w:val="20"/>
                <w:szCs w:val="20"/>
                <w:color w:val="auto"/>
              </w:rPr>
            </w:pPr>
            <w:r>
              <w:rPr>
                <w:rFonts w:ascii="Arial" w:cs="Arial" w:eastAsia="Arial" w:hAnsi="Arial"/>
                <w:sz w:val="18"/>
                <w:szCs w:val="18"/>
                <w:color w:val="auto"/>
              </w:rPr>
              <w:t>(1,892)</w:t>
            </w:r>
          </w:p>
        </w:tc>
        <w:tc>
          <w:tcPr>
            <w:tcW w:w="140" w:type="dxa"/>
            <w:vAlign w:val="bottom"/>
            <w:shd w:val="clear" w:color="auto" w:fill="E5FFFF"/>
          </w:tcPr>
          <w:p>
            <w:pPr>
              <w:spacing w:after="0"/>
              <w:rPr>
                <w:sz w:val="17"/>
                <w:szCs w:val="17"/>
                <w:color w:val="auto"/>
              </w:rPr>
            </w:pPr>
          </w:p>
        </w:tc>
        <w:tc>
          <w:tcPr>
            <w:tcW w:w="18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3"/>
            <w:shd w:val="clear" w:color="auto" w:fill="E5FFFF"/>
          </w:tcPr>
          <w:p>
            <w:pPr>
              <w:jc w:val="right"/>
              <w:ind w:right="40"/>
              <w:spacing w:after="0" w:line="196" w:lineRule="exact"/>
              <w:rPr>
                <w:sz w:val="20"/>
                <w:szCs w:val="20"/>
                <w:color w:val="auto"/>
              </w:rPr>
            </w:pPr>
            <w:r>
              <w:rPr>
                <w:rFonts w:ascii="Arial" w:cs="Arial" w:eastAsia="Arial" w:hAnsi="Arial"/>
                <w:sz w:val="18"/>
                <w:szCs w:val="18"/>
                <w:color w:val="auto"/>
              </w:rPr>
              <w:t>(644)</w:t>
            </w:r>
          </w:p>
        </w:tc>
        <w:tc>
          <w:tcPr>
            <w:tcW w:w="120" w:type="dxa"/>
            <w:vAlign w:val="bottom"/>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gridSpan w:val="3"/>
            <w:shd w:val="clear" w:color="auto" w:fill="E5FFFF"/>
          </w:tcPr>
          <w:p>
            <w:pPr>
              <w:jc w:val="right"/>
              <w:ind w:right="120"/>
              <w:spacing w:after="0" w:line="196" w:lineRule="exact"/>
              <w:rPr>
                <w:sz w:val="20"/>
                <w:szCs w:val="20"/>
                <w:color w:val="auto"/>
              </w:rPr>
            </w:pPr>
            <w:r>
              <w:rPr>
                <w:rFonts w:ascii="Arial" w:cs="Arial" w:eastAsia="Arial" w:hAnsi="Arial"/>
                <w:sz w:val="18"/>
                <w:szCs w:val="18"/>
                <w:color w:val="auto"/>
              </w:rPr>
              <w:t>1</w:t>
            </w:r>
          </w:p>
        </w:tc>
        <w:tc>
          <w:tcPr>
            <w:tcW w:w="100" w:type="dxa"/>
            <w:vAlign w:val="bottom"/>
            <w:shd w:val="clear" w:color="auto" w:fill="E5FFFF"/>
          </w:tcPr>
          <w:p>
            <w:pPr>
              <w:spacing w:after="0"/>
              <w:rPr>
                <w:sz w:val="17"/>
                <w:szCs w:val="17"/>
                <w:color w:val="auto"/>
              </w:rPr>
            </w:pPr>
          </w:p>
        </w:tc>
        <w:tc>
          <w:tcPr>
            <w:tcW w:w="360" w:type="dxa"/>
            <w:vAlign w:val="bottom"/>
            <w:tcBorders>
              <w:bottom w:val="single" w:sz="8" w:color="auto"/>
            </w:tcBorders>
            <w:shd w:val="clear" w:color="auto" w:fill="E5FF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3"/>
            <w:shd w:val="clear" w:color="auto" w:fill="E5FFFF"/>
          </w:tcPr>
          <w:p>
            <w:pPr>
              <w:jc w:val="right"/>
              <w:ind w:right="40"/>
              <w:spacing w:after="0" w:line="196" w:lineRule="exact"/>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tcPr>
          <w:p>
            <w:pPr>
              <w:ind w:left="160"/>
              <w:spacing w:after="0" w:line="182" w:lineRule="exact"/>
              <w:rPr>
                <w:sz w:val="20"/>
                <w:szCs w:val="20"/>
                <w:color w:val="auto"/>
              </w:rPr>
            </w:pPr>
            <w:r>
              <w:rPr>
                <w:rFonts w:ascii="Arial" w:cs="Arial" w:eastAsia="Arial" w:hAnsi="Arial"/>
                <w:sz w:val="18"/>
                <w:szCs w:val="18"/>
                <w:color w:val="auto"/>
              </w:rPr>
              <w:t>Other comprehensive income (loss) before</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ind w:left="340"/>
              <w:spacing w:after="0" w:line="203" w:lineRule="exact"/>
              <w:rPr>
                <w:sz w:val="20"/>
                <w:szCs w:val="20"/>
                <w:color w:val="auto"/>
              </w:rPr>
            </w:pPr>
            <w:r>
              <w:rPr>
                <w:rFonts w:ascii="Arial" w:cs="Arial" w:eastAsia="Arial" w:hAnsi="Arial"/>
                <w:sz w:val="18"/>
                <w:szCs w:val="18"/>
                <w:color w:val="auto"/>
              </w:rPr>
              <w:t>reclassifications</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(52)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(388)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3"/>
          </w:tcPr>
          <w:p>
            <w:pPr>
              <w:jc w:val="right"/>
              <w:ind w:right="120"/>
              <w:spacing w:after="0" w:line="203" w:lineRule="exact"/>
              <w:rPr>
                <w:sz w:val="20"/>
                <w:szCs w:val="20"/>
                <w:color w:val="auto"/>
              </w:rPr>
            </w:pPr>
            <w:r>
              <w:rPr>
                <w:rFonts w:ascii="Arial" w:cs="Arial" w:eastAsia="Arial" w:hAnsi="Arial"/>
                <w:sz w:val="18"/>
                <w:szCs w:val="18"/>
                <w:color w:val="auto"/>
              </w:rPr>
              <w:t>103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shd w:val="clear" w:color="auto" w:fill="E5FFFF"/>
          </w:tcPr>
          <w:p>
            <w:pPr>
              <w:ind w:left="160"/>
              <w:spacing w:after="0" w:line="201" w:lineRule="exact"/>
              <w:rPr>
                <w:sz w:val="20"/>
                <w:szCs w:val="20"/>
                <w:color w:val="auto"/>
              </w:rPr>
            </w:pPr>
            <w:r>
              <w:rPr>
                <w:rFonts w:ascii="Arial" w:cs="Arial" w:eastAsia="Arial" w:hAnsi="Arial"/>
                <w:sz w:val="18"/>
                <w:szCs w:val="18"/>
                <w:color w:val="auto"/>
              </w:rPr>
              <w:t>Amounts reclassified from accumulated other</w:t>
            </w:r>
          </w:p>
        </w:tc>
        <w:tc>
          <w:tcPr>
            <w:tcW w:w="8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shd w:val="clear" w:color="auto" w:fill="E5FFFF"/>
          </w:tcPr>
          <w:p>
            <w:pPr>
              <w:ind w:left="400"/>
              <w:spacing w:after="0"/>
              <w:rPr>
                <w:sz w:val="20"/>
                <w:szCs w:val="20"/>
                <w:color w:val="auto"/>
              </w:rPr>
            </w:pPr>
            <w:r>
              <w:rPr>
                <w:rFonts w:ascii="Arial" w:cs="Arial" w:eastAsia="Arial" w:hAnsi="Arial"/>
                <w:sz w:val="18"/>
                <w:szCs w:val="18"/>
                <w:color w:val="auto"/>
              </w:rPr>
              <w:t>comprehensive income</w:t>
            </w:r>
          </w:p>
        </w:tc>
        <w:tc>
          <w:tcPr>
            <w:tcW w:w="80" w:type="dxa"/>
            <w:vAlign w:val="bottom"/>
            <w:shd w:val="clear" w:color="auto" w:fill="E5FFFF"/>
          </w:tcPr>
          <w:p>
            <w:pPr>
              <w:spacing w:after="0"/>
              <w:rPr>
                <w:sz w:val="18"/>
                <w:szCs w:val="18"/>
                <w:color w:val="auto"/>
              </w:rPr>
            </w:pPr>
          </w:p>
        </w:tc>
        <w:tc>
          <w:tcPr>
            <w:tcW w:w="42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1400" w:type="dxa"/>
            <w:vAlign w:val="bottom"/>
            <w:tcBorders>
              <w:bottom w:val="single" w:sz="8" w:color="auto"/>
            </w:tcBorders>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1360" w:type="dxa"/>
            <w:vAlign w:val="bottom"/>
            <w:tcBorders>
              <w:bottom w:val="single" w:sz="8" w:color="auto"/>
            </w:tcBorders>
            <w:gridSpan w:val="3"/>
            <w:shd w:val="clear" w:color="auto" w:fill="E5FFFF"/>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E5FFFF"/>
          </w:tcPr>
          <w:p>
            <w:pPr>
              <w:spacing w:after="0"/>
              <w:rPr>
                <w:sz w:val="18"/>
                <w:szCs w:val="18"/>
                <w:color w:val="auto"/>
              </w:rPr>
            </w:pPr>
          </w:p>
        </w:tc>
        <w:tc>
          <w:tcPr>
            <w:tcW w:w="360" w:type="dxa"/>
            <w:vAlign w:val="bottom"/>
            <w:tcBorders>
              <w:bottom w:val="single" w:sz="8" w:color="auto"/>
            </w:tcBorders>
            <w:shd w:val="clear" w:color="auto" w:fill="E5FFFF"/>
          </w:tcPr>
          <w:p>
            <w:pPr>
              <w:spacing w:after="0"/>
              <w:rPr>
                <w:sz w:val="18"/>
                <w:szCs w:val="18"/>
                <w:color w:val="auto"/>
              </w:rPr>
            </w:pPr>
          </w:p>
        </w:tc>
        <w:tc>
          <w:tcPr>
            <w:tcW w:w="1220" w:type="dxa"/>
            <w:vAlign w:val="bottom"/>
            <w:tcBorders>
              <w:bottom w:val="single" w:sz="8" w:color="auto"/>
            </w:tcBorders>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tcBorders>
              <w:bottom w:val="single" w:sz="8" w:color="E5FFFF"/>
            </w:tcBorders>
          </w:tcPr>
          <w:p>
            <w:pPr>
              <w:ind w:left="160"/>
              <w:spacing w:after="0" w:line="196" w:lineRule="exact"/>
              <w:rPr>
                <w:sz w:val="20"/>
                <w:szCs w:val="20"/>
                <w:color w:val="auto"/>
              </w:rPr>
            </w:pPr>
            <w:r>
              <w:rPr>
                <w:rFonts w:ascii="Arial" w:cs="Arial" w:eastAsia="Arial" w:hAnsi="Arial"/>
                <w:sz w:val="18"/>
                <w:szCs w:val="18"/>
                <w:color w:val="auto"/>
              </w:rPr>
              <w:t>Net current period other comprehensive income (loss)</w:t>
            </w:r>
          </w:p>
        </w:tc>
        <w:tc>
          <w:tcPr>
            <w:tcW w:w="80" w:type="dxa"/>
            <w:vAlign w:val="bottom"/>
            <w:tcBorders>
              <w:bottom w:val="single" w:sz="8" w:color="E5FF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(52)</w:t>
            </w:r>
          </w:p>
        </w:tc>
        <w:tc>
          <w:tcPr>
            <w:tcW w:w="140" w:type="dxa"/>
            <w:vAlign w:val="bottom"/>
            <w:tcBorders>
              <w:bottom w:val="single" w:sz="8" w:color="E5FF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40"/>
              <w:spacing w:after="0" w:line="196" w:lineRule="exact"/>
              <w:rPr>
                <w:sz w:val="20"/>
                <w:szCs w:val="20"/>
                <w:color w:val="auto"/>
              </w:rPr>
            </w:pPr>
            <w:r>
              <w:rPr>
                <w:rFonts w:ascii="Arial" w:cs="Arial" w:eastAsia="Arial" w:hAnsi="Arial"/>
                <w:sz w:val="18"/>
                <w:szCs w:val="18"/>
                <w:color w:val="auto"/>
              </w:rPr>
              <w:t>(235)</w:t>
            </w:r>
          </w:p>
        </w:tc>
        <w:tc>
          <w:tcPr>
            <w:tcW w:w="120" w:type="dxa"/>
            <w:vAlign w:val="bottom"/>
            <w:tcBorders>
              <w:bottom w:val="single" w:sz="8" w:color="E5FF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120"/>
              <w:spacing w:after="0" w:line="196" w:lineRule="exact"/>
              <w:rPr>
                <w:sz w:val="20"/>
                <w:szCs w:val="20"/>
                <w:color w:val="auto"/>
              </w:rPr>
            </w:pPr>
            <w:r>
              <w:rPr>
                <w:rFonts w:ascii="Arial" w:cs="Arial" w:eastAsia="Arial" w:hAnsi="Arial"/>
                <w:sz w:val="18"/>
                <w:szCs w:val="18"/>
                <w:color w:val="auto"/>
              </w:rPr>
              <w:t>108</w:t>
            </w:r>
          </w:p>
        </w:tc>
        <w:tc>
          <w:tcPr>
            <w:tcW w:w="100" w:type="dxa"/>
            <w:vAlign w:val="bottom"/>
            <w:tcBorders>
              <w:bottom w:val="single" w:sz="8" w:color="E5FF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40"/>
              <w:spacing w:after="0" w:line="196"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Balance at December 31, 2016</w:t>
            </w:r>
          </w:p>
        </w:tc>
        <w:tc>
          <w:tcPr>
            <w:tcW w:w="500" w:type="dxa"/>
            <w:vAlign w:val="bottom"/>
            <w:gridSpan w:val="2"/>
            <w:shd w:val="clear" w:color="auto" w:fill="E5FFFF"/>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(1,944)</w:t>
            </w:r>
          </w:p>
        </w:tc>
        <w:tc>
          <w:tcPr>
            <w:tcW w:w="3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E5FFFF"/>
          </w:tcPr>
          <w:p>
            <w:pPr>
              <w:jc w:val="right"/>
              <w:ind w:right="40"/>
              <w:spacing w:after="0"/>
              <w:rPr>
                <w:sz w:val="20"/>
                <w:szCs w:val="20"/>
                <w:color w:val="auto"/>
              </w:rPr>
            </w:pPr>
            <w:r>
              <w:rPr>
                <w:rFonts w:ascii="Arial" w:cs="Arial" w:eastAsia="Arial" w:hAnsi="Arial"/>
                <w:sz w:val="18"/>
                <w:szCs w:val="18"/>
                <w:color w:val="auto"/>
              </w:rPr>
              <w:t>(879)</w:t>
            </w:r>
          </w:p>
        </w:tc>
        <w:tc>
          <w:tcPr>
            <w:tcW w:w="340" w:type="dxa"/>
            <w:vAlign w:val="bottom"/>
            <w:gridSpan w:val="2"/>
            <w:shd w:val="clear" w:color="auto" w:fill="E5FF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E5FFFF"/>
          </w:tcPr>
          <w:p>
            <w:pPr>
              <w:jc w:val="right"/>
              <w:ind w:right="120"/>
              <w:spacing w:after="0"/>
              <w:rPr>
                <w:sz w:val="20"/>
                <w:szCs w:val="20"/>
                <w:color w:val="auto"/>
              </w:rPr>
            </w:pPr>
            <w:r>
              <w:rPr>
                <w:rFonts w:ascii="Arial" w:cs="Arial" w:eastAsia="Arial" w:hAnsi="Arial"/>
                <w:sz w:val="18"/>
                <w:szCs w:val="18"/>
                <w:color w:val="auto"/>
              </w:rPr>
              <w:t>109</w:t>
            </w:r>
          </w:p>
        </w:tc>
        <w:tc>
          <w:tcPr>
            <w:tcW w:w="460" w:type="dxa"/>
            <w:vAlign w:val="bottom"/>
            <w:gridSpan w:val="2"/>
            <w:shd w:val="clear" w:color="auto" w:fill="E5FF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E5FFFF"/>
          </w:tcPr>
          <w:p>
            <w:pPr>
              <w:jc w:val="right"/>
              <w:ind w:right="40"/>
              <w:spacing w:after="0"/>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 Out of Accumulated Other Comprehensive Income (Loss)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60" w:type="dxa"/>
            <w:vAlign w:val="bottom"/>
            <w:gridSpan w:val="8"/>
          </w:tcPr>
          <w:p>
            <w:pPr>
              <w:jc w:val="right"/>
              <w:spacing w:after="0"/>
              <w:rPr>
                <w:sz w:val="20"/>
                <w:szCs w:val="20"/>
                <w:color w:val="auto"/>
              </w:rPr>
            </w:pPr>
            <w:r>
              <w:rPr>
                <w:rFonts w:ascii="Arial" w:cs="Arial" w:eastAsia="Arial" w:hAnsi="Arial"/>
                <w:sz w:val="14"/>
                <w:szCs w:val="14"/>
                <w:b w:val="1"/>
                <w:bCs w:val="1"/>
                <w:color w:val="auto"/>
              </w:rPr>
              <w:t>Year Ended December 31, 2016</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560" w:type="dxa"/>
            <w:vAlign w:val="bottom"/>
            <w:tcBorders>
              <w:bottom w:val="single" w:sz="8" w:color="auto"/>
            </w:tcBorders>
            <w:gridSpan w:val="11"/>
          </w:tcPr>
          <w:p>
            <w:pPr>
              <w:jc w:val="right"/>
              <w:ind w:right="360"/>
              <w:spacing w:after="0"/>
              <w:rPr>
                <w:sz w:val="20"/>
                <w:szCs w:val="20"/>
                <w:color w:val="auto"/>
              </w:rPr>
            </w:pPr>
            <w:r>
              <w:rPr>
                <w:rFonts w:ascii="Arial" w:cs="Arial" w:eastAsia="Arial" w:hAnsi="Arial"/>
                <w:sz w:val="14"/>
                <w:szCs w:val="14"/>
                <w:b w:val="1"/>
                <w:bCs w:val="1"/>
                <w:color w:val="auto"/>
              </w:rPr>
              <w:t>Affected Line in the Consolidated Statement of Operations</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2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Selling, General</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left="220"/>
              <w:spacing w:after="0"/>
              <w:rPr>
                <w:sz w:val="20"/>
                <w:szCs w:val="20"/>
                <w:color w:val="auto"/>
              </w:rPr>
            </w:pPr>
            <w:r>
              <w:rPr>
                <w:rFonts w:ascii="Arial" w:cs="Arial" w:eastAsia="Arial" w:hAnsi="Arial"/>
                <w:sz w:val="14"/>
                <w:szCs w:val="14"/>
                <w:b w:val="1"/>
                <w:bCs w:val="1"/>
                <w:color w:val="auto"/>
              </w:rPr>
              <w:t>Cost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left="228"/>
              <w:spacing w:after="0"/>
              <w:rPr>
                <w:sz w:val="20"/>
                <w:szCs w:val="20"/>
                <w:color w:val="auto"/>
              </w:rPr>
            </w:pPr>
            <w:r>
              <w:rPr>
                <w:rFonts w:ascii="Arial" w:cs="Arial" w:eastAsia="Arial" w:hAnsi="Arial"/>
                <w:sz w:val="14"/>
                <w:szCs w:val="14"/>
                <w:b w:val="1"/>
                <w:bCs w:val="1"/>
                <w:color w:val="auto"/>
              </w:rPr>
              <w:t>Cost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and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Product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left="220"/>
              <w:spacing w:after="0"/>
              <w:rPr>
                <w:sz w:val="20"/>
                <w:szCs w:val="20"/>
                <w:color w:val="auto"/>
              </w:rPr>
            </w:pPr>
            <w:r>
              <w:rPr>
                <w:rFonts w:ascii="Arial" w:cs="Arial" w:eastAsia="Arial" w:hAnsi="Arial"/>
                <w:sz w:val="14"/>
                <w:szCs w:val="14"/>
                <w:b w:val="1"/>
                <w:bCs w:val="1"/>
                <w:color w:val="auto"/>
              </w:rPr>
              <w:t>Products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left="228"/>
              <w:spacing w:after="0"/>
              <w:rPr>
                <w:sz w:val="20"/>
                <w:szCs w:val="20"/>
                <w:color w:val="auto"/>
              </w:rPr>
            </w:pPr>
            <w:r>
              <w:rPr>
                <w:rFonts w:ascii="Arial" w:cs="Arial" w:eastAsia="Arial" w:hAnsi="Arial"/>
                <w:sz w:val="14"/>
                <w:szCs w:val="14"/>
                <w:b w:val="1"/>
                <w:bCs w:val="1"/>
                <w:color w:val="auto"/>
              </w:rPr>
              <w:t>Services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Administrative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80" w:type="dxa"/>
            <w:vAlign w:val="bottom"/>
          </w:tcPr>
          <w:p>
            <w:pPr>
              <w:jc w:val="right"/>
              <w:ind w:right="79"/>
              <w:spacing w:after="0"/>
              <w:rPr>
                <w:sz w:val="20"/>
                <w:szCs w:val="20"/>
                <w:color w:val="auto"/>
              </w:rPr>
            </w:pPr>
            <w:r>
              <w:rPr>
                <w:rFonts w:ascii="Arial" w:cs="Arial" w:eastAsia="Arial" w:hAnsi="Arial"/>
                <w:sz w:val="14"/>
                <w:szCs w:val="14"/>
                <w:b w:val="1"/>
                <w:bCs w:val="1"/>
                <w:color w:val="auto"/>
              </w:rPr>
              <w:t>Sales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center"/>
              <w:ind w:left="220"/>
              <w:spacing w:after="0"/>
              <w:rPr>
                <w:sz w:val="20"/>
                <w:szCs w:val="20"/>
                <w:color w:val="auto"/>
              </w:rPr>
            </w:pPr>
            <w:r>
              <w:rPr>
                <w:rFonts w:ascii="Arial" w:cs="Arial" w:eastAsia="Arial" w:hAnsi="Arial"/>
                <w:sz w:val="14"/>
                <w:szCs w:val="14"/>
                <w:b w:val="1"/>
                <w:bCs w:val="1"/>
                <w:color w:val="auto"/>
                <w:w w:val="98"/>
              </w:rPr>
              <w:t>Sold</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center"/>
              <w:ind w:left="228"/>
              <w:spacing w:after="0"/>
              <w:rPr>
                <w:sz w:val="20"/>
                <w:szCs w:val="20"/>
                <w:color w:val="auto"/>
              </w:rPr>
            </w:pPr>
            <w:r>
              <w:rPr>
                <w:rFonts w:ascii="Arial" w:cs="Arial" w:eastAsia="Arial" w:hAnsi="Arial"/>
                <w:sz w:val="14"/>
                <w:szCs w:val="14"/>
                <w:b w:val="1"/>
                <w:bCs w:val="1"/>
                <w:color w:val="auto"/>
                <w:w w:val="98"/>
              </w:rPr>
              <w:t>Sold</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Expenses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2300" w:type="dxa"/>
            <w:vAlign w:val="bottom"/>
            <w:tcBorders>
              <w:top w:val="single" w:sz="8" w:color="E5FFFF"/>
            </w:tcBorders>
            <w:shd w:val="clear" w:color="auto" w:fill="E5FFFF"/>
          </w:tcPr>
          <w:p>
            <w:pPr>
              <w:spacing w:after="0" w:line="182" w:lineRule="exact"/>
              <w:rPr>
                <w:sz w:val="20"/>
                <w:szCs w:val="20"/>
                <w:color w:val="auto"/>
              </w:rPr>
            </w:pPr>
            <w:r>
              <w:rPr>
                <w:rFonts w:ascii="Arial" w:cs="Arial" w:eastAsia="Arial" w:hAnsi="Arial"/>
                <w:sz w:val="18"/>
                <w:szCs w:val="18"/>
                <w:color w:val="auto"/>
              </w:rPr>
              <w:t>Amortization of Pension and</w:t>
            </w:r>
          </w:p>
        </w:tc>
        <w:tc>
          <w:tcPr>
            <w:tcW w:w="1820" w:type="dxa"/>
            <w:vAlign w:val="bottom"/>
            <w:tcBorders>
              <w:top w:val="single" w:sz="8" w:color="E5FFFF"/>
            </w:tcBorders>
            <w:shd w:val="clear" w:color="auto" w:fill="E5FFFF"/>
          </w:tcPr>
          <w:p>
            <w:pPr>
              <w:ind w:left="60"/>
              <w:spacing w:after="0" w:line="182" w:lineRule="exact"/>
              <w:rPr>
                <w:sz w:val="20"/>
                <w:szCs w:val="20"/>
                <w:color w:val="auto"/>
              </w:rPr>
            </w:pPr>
            <w:r>
              <w:rPr>
                <w:rFonts w:ascii="Arial" w:cs="Arial" w:eastAsia="Arial" w:hAnsi="Arial"/>
                <w:sz w:val="18"/>
                <w:szCs w:val="18"/>
                <w:color w:val="auto"/>
              </w:rPr>
              <w:t>Other</w:t>
            </w:r>
          </w:p>
        </w:tc>
        <w:tc>
          <w:tcPr>
            <w:tcW w:w="880" w:type="dxa"/>
            <w:vAlign w:val="bottom"/>
            <w:tcBorders>
              <w:top w:val="single" w:sz="8" w:color="auto"/>
            </w:tcBorders>
            <w:shd w:val="clear" w:color="auto" w:fill="E5FFFF"/>
          </w:tcPr>
          <w:p>
            <w:pPr>
              <w:spacing w:after="0"/>
              <w:rPr>
                <w:sz w:val="15"/>
                <w:szCs w:val="15"/>
                <w:color w:val="auto"/>
              </w:rPr>
            </w:pPr>
          </w:p>
        </w:tc>
        <w:tc>
          <w:tcPr>
            <w:tcW w:w="16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240" w:type="dxa"/>
            <w:vAlign w:val="bottom"/>
            <w:tcBorders>
              <w:top w:val="single" w:sz="8" w:color="E5FFFF"/>
            </w:tcBorders>
            <w:shd w:val="clear" w:color="auto" w:fill="E5FFFF"/>
          </w:tcPr>
          <w:p>
            <w:pPr>
              <w:spacing w:after="0"/>
              <w:rPr>
                <w:sz w:val="15"/>
                <w:szCs w:val="15"/>
                <w:color w:val="auto"/>
              </w:rPr>
            </w:pPr>
          </w:p>
        </w:tc>
        <w:tc>
          <w:tcPr>
            <w:tcW w:w="960" w:type="dxa"/>
            <w:vAlign w:val="bottom"/>
            <w:tcBorders>
              <w:top w:val="single" w:sz="8" w:color="auto"/>
            </w:tcBorders>
            <w:shd w:val="clear" w:color="auto" w:fill="E5FFFF"/>
          </w:tcPr>
          <w:p>
            <w:pPr>
              <w:spacing w:after="0"/>
              <w:rPr>
                <w:sz w:val="15"/>
                <w:szCs w:val="15"/>
                <w:color w:val="auto"/>
              </w:rPr>
            </w:pPr>
          </w:p>
        </w:tc>
        <w:tc>
          <w:tcPr>
            <w:tcW w:w="30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240" w:type="dxa"/>
            <w:vAlign w:val="bottom"/>
            <w:tcBorders>
              <w:top w:val="single" w:sz="8" w:color="E5FFFF"/>
            </w:tcBorders>
            <w:shd w:val="clear" w:color="auto" w:fill="E5FFFF"/>
          </w:tcPr>
          <w:p>
            <w:pPr>
              <w:spacing w:after="0"/>
              <w:rPr>
                <w:sz w:val="15"/>
                <w:szCs w:val="15"/>
                <w:color w:val="auto"/>
              </w:rPr>
            </w:pPr>
          </w:p>
        </w:tc>
        <w:tc>
          <w:tcPr>
            <w:tcW w:w="960" w:type="dxa"/>
            <w:vAlign w:val="bottom"/>
            <w:tcBorders>
              <w:top w:val="single" w:sz="8" w:color="auto"/>
            </w:tcBorders>
            <w:shd w:val="clear" w:color="auto" w:fill="E5FFFF"/>
          </w:tcPr>
          <w:p>
            <w:pPr>
              <w:spacing w:after="0"/>
              <w:rPr>
                <w:sz w:val="15"/>
                <w:szCs w:val="15"/>
                <w:color w:val="auto"/>
              </w:rPr>
            </w:pPr>
          </w:p>
        </w:tc>
        <w:tc>
          <w:tcPr>
            <w:tcW w:w="30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00" w:type="dxa"/>
            <w:vAlign w:val="bottom"/>
            <w:tcBorders>
              <w:top w:val="single" w:sz="8" w:color="auto"/>
            </w:tcBorders>
            <w:shd w:val="clear" w:color="auto" w:fill="E5FFFF"/>
          </w:tcPr>
          <w:p>
            <w:pPr>
              <w:spacing w:after="0"/>
              <w:rPr>
                <w:sz w:val="15"/>
                <w:szCs w:val="15"/>
                <w:color w:val="auto"/>
              </w:rPr>
            </w:pPr>
          </w:p>
        </w:tc>
        <w:tc>
          <w:tcPr>
            <w:tcW w:w="114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220" w:type="dxa"/>
            <w:vAlign w:val="bottom"/>
            <w:tcBorders>
              <w:top w:val="single" w:sz="8" w:color="auto"/>
            </w:tcBorders>
            <w:shd w:val="clear" w:color="auto" w:fill="E5FFFF"/>
          </w:tcPr>
          <w:p>
            <w:pPr>
              <w:spacing w:after="0"/>
              <w:rPr>
                <w:sz w:val="15"/>
                <w:szCs w:val="15"/>
                <w:color w:val="auto"/>
              </w:rPr>
            </w:pPr>
          </w:p>
        </w:tc>
        <w:tc>
          <w:tcPr>
            <w:tcW w:w="80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E5FFFF"/>
          </w:tcPr>
          <w:p>
            <w:pPr>
              <w:ind w:left="180"/>
              <w:spacing w:after="0" w:line="203" w:lineRule="exact"/>
              <w:rPr>
                <w:sz w:val="20"/>
                <w:szCs w:val="20"/>
                <w:color w:val="auto"/>
              </w:rPr>
            </w:pPr>
            <w:r>
              <w:rPr>
                <w:rFonts w:ascii="Arial" w:cs="Arial" w:eastAsia="Arial" w:hAnsi="Arial"/>
                <w:sz w:val="18"/>
                <w:szCs w:val="18"/>
                <w:color w:val="auto"/>
              </w:rPr>
              <w:t>Postretirement Items:</w:t>
            </w:r>
          </w:p>
        </w:tc>
        <w:tc>
          <w:tcPr>
            <w:tcW w:w="182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Actuarial losses recognized</w:t>
            </w:r>
          </w:p>
        </w:tc>
        <w:tc>
          <w:tcPr>
            <w:tcW w:w="880" w:type="dxa"/>
            <w:vAlign w:val="bottom"/>
          </w:tcPr>
          <w:p>
            <w:pPr>
              <w:jc w:val="right"/>
              <w:ind w:right="699"/>
              <w:spacing w:after="0" w:line="202" w:lineRule="exact"/>
              <w:rPr>
                <w:sz w:val="20"/>
                <w:szCs w:val="20"/>
                <w:color w:val="auto"/>
              </w:rPr>
            </w:pPr>
            <w:r>
              <w:rPr>
                <w:rFonts w:ascii="Arial" w:cs="Arial" w:eastAsia="Arial" w:hAnsi="Arial"/>
                <w:sz w:val="18"/>
                <w:szCs w:val="18"/>
                <w:color w:val="auto"/>
                <w:w w:val="79"/>
              </w:rPr>
              <w: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780"/>
              <w:spacing w:after="0" w:line="202" w:lineRule="exact"/>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w w:val="93"/>
              </w:rPr>
              <w:t>214</w:t>
            </w:r>
          </w:p>
        </w:tc>
        <w:tc>
          <w:tcPr>
            <w:tcW w:w="120" w:type="dxa"/>
            <w:vAlign w:val="bottom"/>
          </w:tcPr>
          <w:p>
            <w:pPr>
              <w:spacing w:after="0"/>
              <w:rPr>
                <w:sz w:val="17"/>
                <w:szCs w:val="17"/>
                <w:color w:val="auto"/>
              </w:rPr>
            </w:pPr>
          </w:p>
        </w:tc>
        <w:tc>
          <w:tcPr>
            <w:tcW w:w="1200" w:type="dxa"/>
            <w:vAlign w:val="bottom"/>
            <w:gridSpan w:val="2"/>
          </w:tcPr>
          <w:p>
            <w:pPr>
              <w:jc w:val="right"/>
              <w:ind w:right="788"/>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44</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46</w:t>
            </w:r>
          </w:p>
        </w:tc>
        <w:tc>
          <w:tcPr>
            <w:tcW w:w="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3"/>
        </w:trPr>
        <w:tc>
          <w:tcPr>
            <w:tcW w:w="4120" w:type="dxa"/>
            <w:vAlign w:val="bottom"/>
            <w:gridSpan w:val="2"/>
            <w:shd w:val="clear" w:color="auto" w:fill="E5FFFF"/>
          </w:tcPr>
          <w:p>
            <w:pPr>
              <w:ind w:left="360"/>
              <w:spacing w:after="0" w:line="202" w:lineRule="exact"/>
              <w:rPr>
                <w:sz w:val="20"/>
                <w:szCs w:val="20"/>
                <w:color w:val="auto"/>
              </w:rPr>
            </w:pPr>
            <w:r>
              <w:rPr>
                <w:rFonts w:ascii="Arial" w:cs="Arial" w:eastAsia="Arial" w:hAnsi="Arial"/>
                <w:sz w:val="18"/>
                <w:szCs w:val="18"/>
                <w:color w:val="auto"/>
              </w:rPr>
              <w:t>Prior service (credit) recognized</w:t>
            </w:r>
          </w:p>
        </w:tc>
        <w:tc>
          <w:tcPr>
            <w:tcW w:w="880" w:type="dxa"/>
            <w:vAlign w:val="bottom"/>
            <w:shd w:val="clear" w:color="auto" w:fill="E5FFFF"/>
          </w:tcPr>
          <w:p>
            <w:pPr>
              <w:spacing w:after="0"/>
              <w:rPr>
                <w:sz w:val="17"/>
                <w:szCs w:val="17"/>
                <w:color w:val="auto"/>
              </w:rPr>
            </w:pPr>
          </w:p>
        </w:tc>
        <w:tc>
          <w:tcPr>
            <w:tcW w:w="1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42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(87)</w:t>
            </w:r>
          </w:p>
        </w:tc>
        <w:tc>
          <w:tcPr>
            <w:tcW w:w="24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42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(18)</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(18)</w:t>
            </w: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3"/>
        </w:trPr>
        <w:tc>
          <w:tcPr>
            <w:tcW w:w="41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Settlements and curtailments</w:t>
            </w:r>
          </w:p>
        </w:tc>
        <w:tc>
          <w:tcPr>
            <w:tcW w:w="88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23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Losses (gains) on cash flow</w:t>
            </w:r>
          </w:p>
        </w:tc>
        <w:tc>
          <w:tcPr>
            <w:tcW w:w="1820" w:type="dxa"/>
            <w:vAlign w:val="bottom"/>
            <w:shd w:val="clear" w:color="auto" w:fill="E5FFFF"/>
          </w:tcPr>
          <w:p>
            <w:pPr>
              <w:ind w:left="20"/>
              <w:spacing w:after="0" w:line="202" w:lineRule="exact"/>
              <w:rPr>
                <w:sz w:val="20"/>
                <w:szCs w:val="20"/>
                <w:color w:val="auto"/>
              </w:rPr>
            </w:pPr>
            <w:r>
              <w:rPr>
                <w:rFonts w:ascii="Arial" w:cs="Arial" w:eastAsia="Arial" w:hAnsi="Arial"/>
                <w:sz w:val="18"/>
                <w:szCs w:val="18"/>
                <w:color w:val="auto"/>
              </w:rPr>
              <w:t>hedges</w:t>
            </w:r>
          </w:p>
        </w:tc>
        <w:tc>
          <w:tcPr>
            <w:tcW w:w="880" w:type="dxa"/>
            <w:vAlign w:val="bottom"/>
            <w:tcBorders>
              <w:bottom w:val="single" w:sz="8" w:color="auto"/>
            </w:tcBorders>
            <w:shd w:val="clear" w:color="auto" w:fill="E5FFFF"/>
          </w:tcPr>
          <w:p>
            <w:pPr>
              <w:spacing w:after="0"/>
              <w:rPr>
                <w:sz w:val="17"/>
                <w:szCs w:val="17"/>
                <w:color w:val="auto"/>
              </w:rPr>
            </w:pPr>
          </w:p>
        </w:tc>
        <w:tc>
          <w:tcPr>
            <w:tcW w:w="280" w:type="dxa"/>
            <w:vAlign w:val="bottom"/>
            <w:tcBorders>
              <w:bottom w:val="single" w:sz="8" w:color="auto"/>
            </w:tcBorders>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240" w:type="dxa"/>
            <w:vAlign w:val="bottom"/>
            <w:shd w:val="clear" w:color="auto" w:fill="E5FFFF"/>
          </w:tcPr>
          <w:p>
            <w:pPr>
              <w:spacing w:after="0"/>
              <w:rPr>
                <w:sz w:val="17"/>
                <w:szCs w:val="17"/>
                <w:color w:val="auto"/>
              </w:rPr>
            </w:pPr>
          </w:p>
        </w:tc>
        <w:tc>
          <w:tcPr>
            <w:tcW w:w="960" w:type="dxa"/>
            <w:vAlign w:val="bottom"/>
            <w:tcBorders>
              <w:bottom w:val="single" w:sz="8" w:color="auto"/>
            </w:tcBorders>
            <w:shd w:val="clear" w:color="auto" w:fill="E5FFFF"/>
          </w:tcPr>
          <w:p>
            <w:pPr>
              <w:spacing w:after="0"/>
              <w:rPr>
                <w:sz w:val="17"/>
                <w:szCs w:val="17"/>
                <w:color w:val="auto"/>
              </w:rPr>
            </w:pPr>
          </w:p>
        </w:tc>
        <w:tc>
          <w:tcPr>
            <w:tcW w:w="420" w:type="dxa"/>
            <w:vAlign w:val="bottom"/>
            <w:tcBorders>
              <w:bottom w:val="single" w:sz="8" w:color="auto"/>
            </w:tcBorders>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16</w:t>
            </w:r>
          </w:p>
        </w:tc>
        <w:tc>
          <w:tcPr>
            <w:tcW w:w="240" w:type="dxa"/>
            <w:vAlign w:val="bottom"/>
            <w:shd w:val="clear" w:color="auto" w:fill="E5FFFF"/>
          </w:tcPr>
          <w:p>
            <w:pPr>
              <w:spacing w:after="0"/>
              <w:rPr>
                <w:sz w:val="17"/>
                <w:szCs w:val="17"/>
                <w:color w:val="auto"/>
              </w:rPr>
            </w:pPr>
          </w:p>
        </w:tc>
        <w:tc>
          <w:tcPr>
            <w:tcW w:w="960" w:type="dxa"/>
            <w:vAlign w:val="bottom"/>
            <w:tcBorders>
              <w:bottom w:val="single" w:sz="8" w:color="auto"/>
            </w:tcBorders>
            <w:shd w:val="clear" w:color="auto" w:fill="E5FFFF"/>
          </w:tcPr>
          <w:p>
            <w:pPr>
              <w:spacing w:after="0"/>
              <w:rPr>
                <w:sz w:val="17"/>
                <w:szCs w:val="17"/>
                <w:color w:val="auto"/>
              </w:rPr>
            </w:pPr>
          </w:p>
        </w:tc>
        <w:tc>
          <w:tcPr>
            <w:tcW w:w="420" w:type="dxa"/>
            <w:vAlign w:val="bottom"/>
            <w:tcBorders>
              <w:bottom w:val="single" w:sz="8" w:color="auto"/>
            </w:tcBorders>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220" w:type="dxa"/>
            <w:vAlign w:val="bottom"/>
            <w:shd w:val="clear" w:color="auto" w:fill="E5FFFF"/>
          </w:tcPr>
          <w:p>
            <w:pPr>
              <w:spacing w:after="0"/>
              <w:rPr>
                <w:sz w:val="17"/>
                <w:szCs w:val="17"/>
                <w:color w:val="auto"/>
              </w:rPr>
            </w:pPr>
          </w:p>
        </w:tc>
        <w:tc>
          <w:tcPr>
            <w:tcW w:w="100" w:type="dxa"/>
            <w:vAlign w:val="bottom"/>
            <w:tcBorders>
              <w:bottom w:val="single" w:sz="8" w:color="auto"/>
            </w:tcBorders>
            <w:shd w:val="clear" w:color="auto" w:fill="E5FFFF"/>
          </w:tcPr>
          <w:p>
            <w:pPr>
              <w:spacing w:after="0"/>
              <w:rPr>
                <w:sz w:val="17"/>
                <w:szCs w:val="17"/>
                <w:color w:val="auto"/>
              </w:rPr>
            </w:pPr>
          </w:p>
        </w:tc>
        <w:tc>
          <w:tcPr>
            <w:tcW w:w="1240" w:type="dxa"/>
            <w:vAlign w:val="bottom"/>
            <w:tcBorders>
              <w:bottom w:val="single" w:sz="8" w:color="auto"/>
            </w:tcBorders>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(5)</w:t>
            </w:r>
          </w:p>
        </w:tc>
        <w:tc>
          <w:tcPr>
            <w:tcW w:w="220" w:type="dxa"/>
            <w:vAlign w:val="bottom"/>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spacing w:after="0"/>
              <w:rPr>
                <w:sz w:val="17"/>
                <w:szCs w:val="17"/>
                <w:color w:val="auto"/>
              </w:rPr>
            </w:pPr>
          </w:p>
        </w:tc>
        <w:tc>
          <w:tcPr>
            <w:tcW w:w="900" w:type="dxa"/>
            <w:vAlign w:val="bottom"/>
            <w:tcBorders>
              <w:bottom w:val="single" w:sz="8" w:color="auto"/>
            </w:tcBorders>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7"/>
        </w:trPr>
        <w:tc>
          <w:tcPr>
            <w:tcW w:w="2300" w:type="dxa"/>
            <w:vAlign w:val="bottom"/>
          </w:tcPr>
          <w:p>
            <w:pPr>
              <w:spacing w:after="0"/>
              <w:rPr>
                <w:sz w:val="20"/>
                <w:szCs w:val="20"/>
                <w:color w:val="auto"/>
              </w:rPr>
            </w:pPr>
            <w:r>
              <w:rPr>
                <w:rFonts w:ascii="Arial" w:cs="Arial" w:eastAsia="Arial" w:hAnsi="Arial"/>
                <w:sz w:val="18"/>
                <w:szCs w:val="18"/>
                <w:color w:val="auto"/>
              </w:rPr>
              <w:t>Total before tax</w:t>
            </w:r>
          </w:p>
        </w:tc>
        <w:tc>
          <w:tcPr>
            <w:tcW w:w="1820" w:type="dxa"/>
            <w:vAlign w:val="bottom"/>
          </w:tcPr>
          <w:p>
            <w:pPr>
              <w:spacing w:after="0"/>
              <w:rPr>
                <w:sz w:val="24"/>
                <w:szCs w:val="24"/>
                <w:color w:val="auto"/>
              </w:rPr>
            </w:pP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960" w:type="dxa"/>
            <w:vAlign w:val="bottom"/>
          </w:tcPr>
          <w:p>
            <w:pPr>
              <w:jc w:val="right"/>
              <w:ind w:right="780"/>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139</w:t>
            </w:r>
          </w:p>
        </w:tc>
        <w:tc>
          <w:tcPr>
            <w:tcW w:w="120" w:type="dxa"/>
            <w:vAlign w:val="bottom"/>
          </w:tcPr>
          <w:p>
            <w:pPr>
              <w:spacing w:after="0"/>
              <w:rPr>
                <w:sz w:val="24"/>
                <w:szCs w:val="24"/>
                <w:color w:val="auto"/>
              </w:rPr>
            </w:pPr>
          </w:p>
        </w:tc>
        <w:tc>
          <w:tcPr>
            <w:tcW w:w="120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0"/>
        </w:trPr>
        <w:tc>
          <w:tcPr>
            <w:tcW w:w="23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Tax expense (benefit)</w:t>
            </w:r>
          </w:p>
        </w:tc>
        <w:tc>
          <w:tcPr>
            <w:tcW w:w="1820" w:type="dxa"/>
            <w:vAlign w:val="bottom"/>
            <w:tcBorders>
              <w:top w:val="single" w:sz="8" w:color="E5FFFF"/>
            </w:tcBorders>
            <w:shd w:val="clear" w:color="auto" w:fill="E5FFFF"/>
          </w:tcPr>
          <w:p>
            <w:pPr>
              <w:spacing w:after="0"/>
              <w:rPr>
                <w:sz w:val="18"/>
                <w:szCs w:val="18"/>
                <w:color w:val="auto"/>
              </w:rPr>
            </w:pPr>
          </w:p>
        </w:tc>
        <w:tc>
          <w:tcPr>
            <w:tcW w:w="880" w:type="dxa"/>
            <w:vAlign w:val="bottom"/>
            <w:tcBorders>
              <w:top w:val="single" w:sz="8" w:color="auto"/>
            </w:tcBorders>
            <w:shd w:val="clear" w:color="auto" w:fill="E5FFFF"/>
          </w:tcPr>
          <w:p>
            <w:pPr>
              <w:spacing w:after="0"/>
              <w:rPr>
                <w:sz w:val="18"/>
                <w:szCs w:val="18"/>
                <w:color w:val="auto"/>
              </w:rPr>
            </w:pPr>
          </w:p>
        </w:tc>
        <w:tc>
          <w:tcPr>
            <w:tcW w:w="16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240" w:type="dxa"/>
            <w:vAlign w:val="bottom"/>
            <w:tcBorders>
              <w:top w:val="single" w:sz="8" w:color="E5FFFF"/>
            </w:tcBorders>
            <w:shd w:val="clear" w:color="auto" w:fill="E5FFFF"/>
          </w:tcPr>
          <w:p>
            <w:pPr>
              <w:spacing w:after="0"/>
              <w:rPr>
                <w:sz w:val="18"/>
                <w:szCs w:val="18"/>
                <w:color w:val="auto"/>
              </w:rPr>
            </w:pPr>
          </w:p>
        </w:tc>
        <w:tc>
          <w:tcPr>
            <w:tcW w:w="960" w:type="dxa"/>
            <w:vAlign w:val="bottom"/>
            <w:tcBorders>
              <w:top w:val="single" w:sz="8" w:color="auto"/>
            </w:tcBorders>
            <w:shd w:val="clear" w:color="auto" w:fill="E5FFFF"/>
          </w:tcPr>
          <w:p>
            <w:pPr>
              <w:spacing w:after="0"/>
              <w:rPr>
                <w:sz w:val="18"/>
                <w:szCs w:val="18"/>
                <w:color w:val="auto"/>
              </w:rPr>
            </w:pPr>
          </w:p>
        </w:tc>
        <w:tc>
          <w:tcPr>
            <w:tcW w:w="30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240" w:type="dxa"/>
            <w:vAlign w:val="bottom"/>
            <w:tcBorders>
              <w:top w:val="single" w:sz="8" w:color="E5FFFF"/>
            </w:tcBorders>
            <w:shd w:val="clear" w:color="auto" w:fill="E5FFFF"/>
          </w:tcPr>
          <w:p>
            <w:pPr>
              <w:spacing w:after="0"/>
              <w:rPr>
                <w:sz w:val="18"/>
                <w:szCs w:val="18"/>
                <w:color w:val="auto"/>
              </w:rPr>
            </w:pPr>
          </w:p>
        </w:tc>
        <w:tc>
          <w:tcPr>
            <w:tcW w:w="960" w:type="dxa"/>
            <w:vAlign w:val="bottom"/>
            <w:tcBorders>
              <w:top w:val="single" w:sz="8" w:color="auto"/>
            </w:tcBorders>
            <w:shd w:val="clear" w:color="auto" w:fill="E5FFFF"/>
          </w:tcPr>
          <w:p>
            <w:pPr>
              <w:spacing w:after="0"/>
              <w:rPr>
                <w:sz w:val="18"/>
                <w:szCs w:val="18"/>
                <w:color w:val="auto"/>
              </w:rPr>
            </w:pPr>
          </w:p>
        </w:tc>
        <w:tc>
          <w:tcPr>
            <w:tcW w:w="30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spacing w:after="0"/>
              <w:rPr>
                <w:sz w:val="18"/>
                <w:szCs w:val="18"/>
                <w:color w:val="auto"/>
              </w:rPr>
            </w:pPr>
          </w:p>
        </w:tc>
        <w:tc>
          <w:tcPr>
            <w:tcW w:w="114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auto"/>
              <w:bottom w:val="single" w:sz="8" w:color="auto"/>
            </w:tcBorders>
            <w:shd w:val="clear" w:color="auto" w:fill="E5FF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Total reclassifications for the period, net of tax</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vMerge w:val="restart"/>
          </w:tcPr>
          <w:p>
            <w:pPr>
              <w:jc w:val="right"/>
              <w:ind w:right="600"/>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0C0C0"/>
            </w:tcBorders>
          </w:tcPr>
          <w:p>
            <w:pPr>
              <w:spacing w:after="0"/>
              <w:rPr>
                <w:sz w:val="21"/>
                <w:szCs w:val="21"/>
                <w:color w:val="auto"/>
              </w:rPr>
            </w:pPr>
          </w:p>
        </w:tc>
        <w:tc>
          <w:tcPr>
            <w:tcW w:w="1820" w:type="dxa"/>
            <w:vAlign w:val="bottom"/>
            <w:tcBorders>
              <w:bottom w:val="single" w:sz="8" w:color="C0C0C0"/>
            </w:tcBorders>
          </w:tcPr>
          <w:p>
            <w:pPr>
              <w:spacing w:after="0"/>
              <w:rPr>
                <w:sz w:val="21"/>
                <w:szCs w:val="21"/>
                <w:color w:val="auto"/>
              </w:rPr>
            </w:pPr>
          </w:p>
        </w:tc>
        <w:tc>
          <w:tcPr>
            <w:tcW w:w="88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960" w:type="dxa"/>
            <w:vAlign w:val="bottom"/>
            <w:tcBorders>
              <w:bottom w:val="single" w:sz="8" w:color="C0C0C0"/>
            </w:tcBorders>
          </w:tcPr>
          <w:p>
            <w:pPr>
              <w:spacing w:after="0"/>
              <w:rPr>
                <w:sz w:val="21"/>
                <w:szCs w:val="21"/>
                <w:color w:val="auto"/>
              </w:rPr>
            </w:pPr>
          </w:p>
        </w:tc>
        <w:tc>
          <w:tcPr>
            <w:tcW w:w="30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960" w:type="dxa"/>
            <w:vAlign w:val="bottom"/>
            <w:tcBorders>
              <w:bottom w:val="single" w:sz="8" w:color="C0C0C0"/>
            </w:tcBorders>
          </w:tcPr>
          <w:p>
            <w:pPr>
              <w:spacing w:after="0"/>
              <w:rPr>
                <w:sz w:val="21"/>
                <w:szCs w:val="21"/>
                <w:color w:val="auto"/>
              </w:rPr>
            </w:pPr>
          </w:p>
        </w:tc>
        <w:tc>
          <w:tcPr>
            <w:tcW w:w="30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14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80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6"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20"/>
          <w:szCs w:val="20"/>
          <w:b w:val="1"/>
          <w:bCs w:val="1"/>
          <w:color w:val="auto"/>
        </w:rPr>
        <w:t>HONEYWELL INTERNATIONAL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 – (CONTINUED)</w:t>
      </w:r>
    </w:p>
    <w:p>
      <w:pPr>
        <w:jc w:val="center"/>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340" w:type="dxa"/>
            <w:vAlign w:val="bottom"/>
            <w:gridSpan w:val="8"/>
          </w:tcPr>
          <w:p>
            <w:pPr>
              <w:jc w:val="right"/>
              <w:spacing w:after="0"/>
              <w:rPr>
                <w:sz w:val="20"/>
                <w:szCs w:val="20"/>
                <w:color w:val="auto"/>
              </w:rPr>
            </w:pPr>
            <w:r>
              <w:rPr>
                <w:rFonts w:ascii="Arial" w:cs="Arial" w:eastAsia="Arial" w:hAnsi="Arial"/>
                <w:sz w:val="14"/>
                <w:szCs w:val="14"/>
                <w:b w:val="1"/>
                <w:bCs w:val="1"/>
                <w:color w:val="auto"/>
              </w:rPr>
              <w:t>Year Ended December 31, 2015</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23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780" w:type="dxa"/>
            <w:vAlign w:val="bottom"/>
            <w:tcBorders>
              <w:bottom w:val="single" w:sz="8" w:color="auto"/>
            </w:tcBorders>
            <w:gridSpan w:val="12"/>
          </w:tcPr>
          <w:p>
            <w:pPr>
              <w:ind w:left="200"/>
              <w:spacing w:after="0"/>
              <w:rPr>
                <w:sz w:val="20"/>
                <w:szCs w:val="20"/>
                <w:color w:val="auto"/>
              </w:rPr>
            </w:pPr>
            <w:r>
              <w:rPr>
                <w:rFonts w:ascii="Arial" w:cs="Arial" w:eastAsia="Arial" w:hAnsi="Arial"/>
                <w:sz w:val="14"/>
                <w:szCs w:val="14"/>
                <w:b w:val="1"/>
                <w:bCs w:val="1"/>
                <w:color w:val="auto"/>
              </w:rPr>
              <w:t>Affected Line in the Consolidated Statement of Operations</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58"/>
        </w:trPr>
        <w:tc>
          <w:tcPr>
            <w:tcW w:w="2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rPr>
              <w:t>Selling, General</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2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center"/>
              <w:ind w:left="202"/>
              <w:spacing w:after="0"/>
              <w:rPr>
                <w:sz w:val="20"/>
                <w:szCs w:val="20"/>
                <w:color w:val="auto"/>
              </w:rPr>
            </w:pPr>
            <w:r>
              <w:rPr>
                <w:rFonts w:ascii="Arial" w:cs="Arial" w:eastAsia="Arial" w:hAnsi="Arial"/>
                <w:sz w:val="14"/>
                <w:szCs w:val="14"/>
                <w:b w:val="1"/>
                <w:bCs w:val="1"/>
                <w:color w:val="auto"/>
              </w:rPr>
              <w:t>Cost of</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left="228"/>
              <w:spacing w:after="0"/>
              <w:rPr>
                <w:sz w:val="20"/>
                <w:szCs w:val="20"/>
                <w:color w:val="auto"/>
              </w:rPr>
            </w:pPr>
            <w:r>
              <w:rPr>
                <w:rFonts w:ascii="Arial" w:cs="Arial" w:eastAsia="Arial" w:hAnsi="Arial"/>
                <w:sz w:val="14"/>
                <w:szCs w:val="14"/>
                <w:b w:val="1"/>
                <w:bCs w:val="1"/>
                <w:color w:val="auto"/>
              </w:rPr>
              <w:t>Cost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and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0" w:type="dxa"/>
            <w:vAlign w:val="bottom"/>
            <w:gridSpan w:val="4"/>
          </w:tcPr>
          <w:p>
            <w:pPr>
              <w:ind w:left="260"/>
              <w:spacing w:after="0"/>
              <w:rPr>
                <w:sz w:val="20"/>
                <w:szCs w:val="20"/>
                <w:color w:val="auto"/>
              </w:rPr>
            </w:pPr>
            <w:r>
              <w:rPr>
                <w:rFonts w:ascii="Arial" w:cs="Arial" w:eastAsia="Arial" w:hAnsi="Arial"/>
                <w:sz w:val="14"/>
                <w:szCs w:val="14"/>
                <w:b w:val="1"/>
                <w:bCs w:val="1"/>
                <w:color w:val="auto"/>
              </w:rPr>
              <w:t>Product</w:t>
            </w:r>
          </w:p>
        </w:tc>
        <w:tc>
          <w:tcPr>
            <w:tcW w:w="980" w:type="dxa"/>
            <w:vAlign w:val="bottom"/>
          </w:tcPr>
          <w:p>
            <w:pPr>
              <w:jc w:val="center"/>
              <w:ind w:left="202"/>
              <w:spacing w:after="0"/>
              <w:rPr>
                <w:sz w:val="20"/>
                <w:szCs w:val="20"/>
                <w:color w:val="auto"/>
              </w:rPr>
            </w:pPr>
            <w:r>
              <w:rPr>
                <w:rFonts w:ascii="Arial" w:cs="Arial" w:eastAsia="Arial" w:hAnsi="Arial"/>
                <w:sz w:val="14"/>
                <w:szCs w:val="14"/>
                <w:b w:val="1"/>
                <w:bCs w:val="1"/>
                <w:color w:val="auto"/>
              </w:rPr>
              <w:t>Products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left="228"/>
              <w:spacing w:after="0"/>
              <w:rPr>
                <w:sz w:val="20"/>
                <w:szCs w:val="20"/>
                <w:color w:val="auto"/>
              </w:rPr>
            </w:pPr>
            <w:r>
              <w:rPr>
                <w:rFonts w:ascii="Arial" w:cs="Arial" w:eastAsia="Arial" w:hAnsi="Arial"/>
                <w:sz w:val="14"/>
                <w:szCs w:val="14"/>
                <w:b w:val="1"/>
                <w:bCs w:val="1"/>
                <w:color w:val="auto"/>
              </w:rPr>
              <w:t>Services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Administrative</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23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Sales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center"/>
              <w:ind w:left="202"/>
              <w:spacing w:after="0"/>
              <w:rPr>
                <w:sz w:val="20"/>
                <w:szCs w:val="20"/>
                <w:color w:val="auto"/>
              </w:rPr>
            </w:pPr>
            <w:r>
              <w:rPr>
                <w:rFonts w:ascii="Arial" w:cs="Arial" w:eastAsia="Arial" w:hAnsi="Arial"/>
                <w:sz w:val="14"/>
                <w:szCs w:val="14"/>
                <w:b w:val="1"/>
                <w:bCs w:val="1"/>
                <w:color w:val="auto"/>
                <w:w w:val="98"/>
              </w:rPr>
              <w:t>Sold</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center"/>
              <w:ind w:left="228"/>
              <w:spacing w:after="0"/>
              <w:rPr>
                <w:sz w:val="20"/>
                <w:szCs w:val="20"/>
                <w:color w:val="auto"/>
              </w:rPr>
            </w:pPr>
            <w:r>
              <w:rPr>
                <w:rFonts w:ascii="Arial" w:cs="Arial" w:eastAsia="Arial" w:hAnsi="Arial"/>
                <w:sz w:val="14"/>
                <w:szCs w:val="14"/>
                <w:b w:val="1"/>
                <w:bCs w:val="1"/>
                <w:color w:val="auto"/>
                <w:w w:val="98"/>
              </w:rPr>
              <w:t>Sold</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Expenses</w:t>
            </w:r>
          </w:p>
        </w:tc>
        <w:tc>
          <w:tcPr>
            <w:tcW w:w="22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182"/>
        </w:trPr>
        <w:tc>
          <w:tcPr>
            <w:tcW w:w="2300" w:type="dxa"/>
            <w:vAlign w:val="bottom"/>
            <w:tcBorders>
              <w:top w:val="single" w:sz="8" w:color="E5FFFF"/>
            </w:tcBorders>
            <w:shd w:val="clear" w:color="auto" w:fill="E5FFFF"/>
          </w:tcPr>
          <w:p>
            <w:pPr>
              <w:spacing w:after="0" w:line="182" w:lineRule="exact"/>
              <w:rPr>
                <w:sz w:val="20"/>
                <w:szCs w:val="20"/>
                <w:color w:val="auto"/>
              </w:rPr>
            </w:pPr>
            <w:r>
              <w:rPr>
                <w:rFonts w:ascii="Arial" w:cs="Arial" w:eastAsia="Arial" w:hAnsi="Arial"/>
                <w:sz w:val="18"/>
                <w:szCs w:val="18"/>
                <w:color w:val="auto"/>
              </w:rPr>
              <w:t>Amortization of Pension and</w:t>
            </w:r>
          </w:p>
        </w:tc>
        <w:tc>
          <w:tcPr>
            <w:tcW w:w="1820" w:type="dxa"/>
            <w:vAlign w:val="bottom"/>
            <w:tcBorders>
              <w:top w:val="single" w:sz="8" w:color="E5FFFF"/>
            </w:tcBorders>
            <w:shd w:val="clear" w:color="auto" w:fill="E5FFFF"/>
          </w:tcPr>
          <w:p>
            <w:pPr>
              <w:ind w:left="60"/>
              <w:spacing w:after="0" w:line="182" w:lineRule="exact"/>
              <w:rPr>
                <w:sz w:val="20"/>
                <w:szCs w:val="20"/>
                <w:color w:val="auto"/>
              </w:rPr>
            </w:pPr>
            <w:r>
              <w:rPr>
                <w:rFonts w:ascii="Arial" w:cs="Arial" w:eastAsia="Arial" w:hAnsi="Arial"/>
                <w:sz w:val="18"/>
                <w:szCs w:val="18"/>
                <w:color w:val="auto"/>
              </w:rPr>
              <w:t>Other</w:t>
            </w:r>
          </w:p>
        </w:tc>
        <w:tc>
          <w:tcPr>
            <w:tcW w:w="760" w:type="dxa"/>
            <w:vAlign w:val="bottom"/>
            <w:tcBorders>
              <w:top w:val="single" w:sz="8" w:color="auto"/>
            </w:tcBorders>
            <w:shd w:val="clear" w:color="auto" w:fill="E5FFFF"/>
          </w:tcPr>
          <w:p>
            <w:pPr>
              <w:spacing w:after="0"/>
              <w:rPr>
                <w:sz w:val="15"/>
                <w:szCs w:val="15"/>
                <w:color w:val="auto"/>
              </w:rPr>
            </w:pPr>
          </w:p>
        </w:tc>
        <w:tc>
          <w:tcPr>
            <w:tcW w:w="28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240" w:type="dxa"/>
            <w:vAlign w:val="bottom"/>
            <w:tcBorders>
              <w:top w:val="single" w:sz="8" w:color="E5FFFF"/>
            </w:tcBorders>
            <w:shd w:val="clear" w:color="auto" w:fill="E5FFFF"/>
          </w:tcPr>
          <w:p>
            <w:pPr>
              <w:spacing w:after="0"/>
              <w:rPr>
                <w:sz w:val="15"/>
                <w:szCs w:val="15"/>
                <w:color w:val="auto"/>
              </w:rPr>
            </w:pPr>
          </w:p>
        </w:tc>
        <w:tc>
          <w:tcPr>
            <w:tcW w:w="980" w:type="dxa"/>
            <w:vAlign w:val="bottom"/>
            <w:tcBorders>
              <w:top w:val="single" w:sz="8" w:color="auto"/>
            </w:tcBorders>
            <w:shd w:val="clear" w:color="auto" w:fill="E5FFFF"/>
          </w:tcPr>
          <w:p>
            <w:pPr>
              <w:spacing w:after="0"/>
              <w:rPr>
                <w:sz w:val="15"/>
                <w:szCs w:val="15"/>
                <w:color w:val="auto"/>
              </w:rPr>
            </w:pPr>
          </w:p>
        </w:tc>
        <w:tc>
          <w:tcPr>
            <w:tcW w:w="28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240" w:type="dxa"/>
            <w:vAlign w:val="bottom"/>
            <w:tcBorders>
              <w:top w:val="single" w:sz="8" w:color="E5FFFF"/>
            </w:tcBorders>
            <w:shd w:val="clear" w:color="auto" w:fill="E5FFFF"/>
          </w:tcPr>
          <w:p>
            <w:pPr>
              <w:spacing w:after="0"/>
              <w:rPr>
                <w:sz w:val="15"/>
                <w:szCs w:val="15"/>
                <w:color w:val="auto"/>
              </w:rPr>
            </w:pPr>
          </w:p>
        </w:tc>
        <w:tc>
          <w:tcPr>
            <w:tcW w:w="960" w:type="dxa"/>
            <w:vAlign w:val="bottom"/>
            <w:tcBorders>
              <w:top w:val="single" w:sz="8" w:color="auto"/>
            </w:tcBorders>
            <w:shd w:val="clear" w:color="auto" w:fill="E5FFFF"/>
          </w:tcPr>
          <w:p>
            <w:pPr>
              <w:spacing w:after="0"/>
              <w:rPr>
                <w:sz w:val="15"/>
                <w:szCs w:val="15"/>
                <w:color w:val="auto"/>
              </w:rPr>
            </w:pPr>
          </w:p>
        </w:tc>
        <w:tc>
          <w:tcPr>
            <w:tcW w:w="30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00" w:type="dxa"/>
            <w:vAlign w:val="bottom"/>
            <w:tcBorders>
              <w:top w:val="single" w:sz="8" w:color="auto"/>
            </w:tcBorders>
            <w:shd w:val="clear" w:color="auto" w:fill="E5FFFF"/>
          </w:tcPr>
          <w:p>
            <w:pPr>
              <w:spacing w:after="0"/>
              <w:rPr>
                <w:sz w:val="15"/>
                <w:szCs w:val="15"/>
                <w:color w:val="auto"/>
              </w:rPr>
            </w:pPr>
          </w:p>
        </w:tc>
        <w:tc>
          <w:tcPr>
            <w:tcW w:w="114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220" w:type="dxa"/>
            <w:vAlign w:val="bottom"/>
            <w:tcBorders>
              <w:top w:val="single" w:sz="8" w:color="auto"/>
            </w:tcBorders>
            <w:shd w:val="clear" w:color="auto" w:fill="E5FFFF"/>
          </w:tcPr>
          <w:p>
            <w:pPr>
              <w:spacing w:after="0"/>
              <w:rPr>
                <w:sz w:val="15"/>
                <w:szCs w:val="15"/>
                <w:color w:val="auto"/>
              </w:rPr>
            </w:pPr>
          </w:p>
        </w:tc>
        <w:tc>
          <w:tcPr>
            <w:tcW w:w="80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r>
      <w:tr>
        <w:trPr>
          <w:trHeight w:val="203"/>
        </w:trPr>
        <w:tc>
          <w:tcPr>
            <w:tcW w:w="2300" w:type="dxa"/>
            <w:vAlign w:val="bottom"/>
            <w:shd w:val="clear" w:color="auto" w:fill="E5FFFF"/>
          </w:tcPr>
          <w:p>
            <w:pPr>
              <w:ind w:left="180"/>
              <w:spacing w:after="0" w:line="203" w:lineRule="exact"/>
              <w:rPr>
                <w:sz w:val="20"/>
                <w:szCs w:val="20"/>
                <w:color w:val="auto"/>
              </w:rPr>
            </w:pPr>
            <w:r>
              <w:rPr>
                <w:rFonts w:ascii="Arial" w:cs="Arial" w:eastAsia="Arial" w:hAnsi="Arial"/>
                <w:sz w:val="18"/>
                <w:szCs w:val="18"/>
                <w:color w:val="auto"/>
              </w:rPr>
              <w:t>Postretirement Items:</w:t>
            </w:r>
          </w:p>
        </w:tc>
        <w:tc>
          <w:tcPr>
            <w:tcW w:w="182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03"/>
        </w:trPr>
        <w:tc>
          <w:tcPr>
            <w:tcW w:w="41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Actuarial losses recognized</w:t>
            </w:r>
          </w:p>
        </w:tc>
        <w:tc>
          <w:tcPr>
            <w:tcW w:w="760" w:type="dxa"/>
            <w:vAlign w:val="bottom"/>
          </w:tcPr>
          <w:p>
            <w:pPr>
              <w:jc w:val="right"/>
              <w:ind w:right="579"/>
              <w:spacing w:after="0" w:line="202" w:lineRule="exact"/>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802"/>
              <w:spacing w:after="0" w:line="202" w:lineRule="exact"/>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78</w:t>
            </w:r>
          </w:p>
        </w:tc>
        <w:tc>
          <w:tcPr>
            <w:tcW w:w="1200" w:type="dxa"/>
            <w:vAlign w:val="bottom"/>
            <w:gridSpan w:val="2"/>
          </w:tcPr>
          <w:p>
            <w:pPr>
              <w:jc w:val="right"/>
              <w:ind w:right="788"/>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w:t>
            </w:r>
          </w:p>
        </w:tc>
        <w:tc>
          <w:tcPr>
            <w:tcW w:w="22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111</w:t>
            </w:r>
          </w:p>
        </w:tc>
      </w:tr>
      <w:tr>
        <w:trPr>
          <w:trHeight w:val="203"/>
        </w:trPr>
        <w:tc>
          <w:tcPr>
            <w:tcW w:w="4120" w:type="dxa"/>
            <w:vAlign w:val="bottom"/>
            <w:gridSpan w:val="2"/>
            <w:shd w:val="clear" w:color="auto" w:fill="E5FFFF"/>
          </w:tcPr>
          <w:p>
            <w:pPr>
              <w:ind w:left="360"/>
              <w:spacing w:after="0" w:line="202" w:lineRule="exact"/>
              <w:rPr>
                <w:sz w:val="20"/>
                <w:szCs w:val="20"/>
                <w:color w:val="auto"/>
              </w:rPr>
            </w:pPr>
            <w:r>
              <w:rPr>
                <w:rFonts w:ascii="Arial" w:cs="Arial" w:eastAsia="Arial" w:hAnsi="Arial"/>
                <w:sz w:val="18"/>
                <w:szCs w:val="18"/>
                <w:color w:val="auto"/>
              </w:rPr>
              <w:t>Prior service (credit) recognized</w:t>
            </w:r>
          </w:p>
        </w:tc>
        <w:tc>
          <w:tcPr>
            <w:tcW w:w="760" w:type="dxa"/>
            <w:vAlign w:val="bottom"/>
            <w:shd w:val="clear" w:color="auto" w:fill="E5FFFF"/>
          </w:tcPr>
          <w:p>
            <w:pPr>
              <w:spacing w:after="0"/>
              <w:rPr>
                <w:sz w:val="17"/>
                <w:szCs w:val="17"/>
                <w:color w:val="auto"/>
              </w:rPr>
            </w:pPr>
          </w:p>
        </w:tc>
        <w:tc>
          <w:tcPr>
            <w:tcW w:w="2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40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w w:val="99"/>
              </w:rPr>
              <w:t>(14)</w:t>
            </w:r>
          </w:p>
        </w:tc>
        <w:tc>
          <w:tcPr>
            <w:tcW w:w="24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42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(3)</w:t>
            </w: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(20)</w:t>
            </w:r>
          </w:p>
        </w:tc>
      </w:tr>
      <w:tr>
        <w:trPr>
          <w:trHeight w:val="203"/>
        </w:trPr>
        <w:tc>
          <w:tcPr>
            <w:tcW w:w="41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Settlements and curtailments</w:t>
            </w:r>
          </w:p>
        </w:tc>
        <w:tc>
          <w:tcPr>
            <w:tcW w:w="76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w:t>
            </w:r>
          </w:p>
        </w:tc>
      </w:tr>
      <w:tr>
        <w:trPr>
          <w:trHeight w:val="216"/>
        </w:trPr>
        <w:tc>
          <w:tcPr>
            <w:tcW w:w="2300" w:type="dxa"/>
            <w:vAlign w:val="bottom"/>
            <w:shd w:val="clear" w:color="auto" w:fill="E5FFFF"/>
          </w:tcPr>
          <w:p>
            <w:pPr>
              <w:spacing w:after="0"/>
              <w:rPr>
                <w:sz w:val="20"/>
                <w:szCs w:val="20"/>
                <w:color w:val="auto"/>
              </w:rPr>
            </w:pPr>
            <w:r>
              <w:rPr>
                <w:rFonts w:ascii="Arial" w:cs="Arial" w:eastAsia="Arial" w:hAnsi="Arial"/>
                <w:sz w:val="18"/>
                <w:szCs w:val="18"/>
                <w:color w:val="auto"/>
              </w:rPr>
              <w:t>Losses (gains) on cash flow</w:t>
            </w:r>
          </w:p>
        </w:tc>
        <w:tc>
          <w:tcPr>
            <w:tcW w:w="1820" w:type="dxa"/>
            <w:vAlign w:val="bottom"/>
            <w:shd w:val="clear" w:color="auto" w:fill="E5FFFF"/>
          </w:tcPr>
          <w:p>
            <w:pPr>
              <w:ind w:left="20"/>
              <w:spacing w:after="0"/>
              <w:rPr>
                <w:sz w:val="20"/>
                <w:szCs w:val="20"/>
                <w:color w:val="auto"/>
              </w:rPr>
            </w:pPr>
            <w:r>
              <w:rPr>
                <w:rFonts w:ascii="Arial" w:cs="Arial" w:eastAsia="Arial" w:hAnsi="Arial"/>
                <w:sz w:val="18"/>
                <w:szCs w:val="18"/>
                <w:color w:val="auto"/>
              </w:rPr>
              <w:t>hedges</w:t>
            </w:r>
          </w:p>
        </w:tc>
        <w:tc>
          <w:tcPr>
            <w:tcW w:w="760" w:type="dxa"/>
            <w:vAlign w:val="bottom"/>
            <w:tcBorders>
              <w:bottom w:val="single" w:sz="8" w:color="auto"/>
            </w:tcBorders>
            <w:shd w:val="clear" w:color="auto" w:fill="E5FFFF"/>
          </w:tcPr>
          <w:p>
            <w:pPr>
              <w:spacing w:after="0"/>
              <w:rPr>
                <w:sz w:val="18"/>
                <w:szCs w:val="18"/>
                <w:color w:val="auto"/>
              </w:rPr>
            </w:pPr>
          </w:p>
        </w:tc>
        <w:tc>
          <w:tcPr>
            <w:tcW w:w="400" w:type="dxa"/>
            <w:vAlign w:val="bottom"/>
            <w:tcBorders>
              <w:bottom w:val="single" w:sz="8" w:color="auto"/>
            </w:tcBorders>
            <w:gridSpan w:val="2"/>
            <w:shd w:val="clear" w:color="auto" w:fill="E5FFFF"/>
          </w:tcPr>
          <w:p>
            <w:pPr>
              <w:jc w:val="right"/>
              <w:ind w:right="60"/>
              <w:spacing w:after="0"/>
              <w:rPr>
                <w:sz w:val="20"/>
                <w:szCs w:val="20"/>
                <w:color w:val="auto"/>
              </w:rPr>
            </w:pPr>
            <w:r>
              <w:rPr>
                <w:rFonts w:ascii="Arial" w:cs="Arial" w:eastAsia="Arial" w:hAnsi="Arial"/>
                <w:sz w:val="18"/>
                <w:szCs w:val="18"/>
                <w:color w:val="auto"/>
                <w:w w:val="99"/>
              </w:rPr>
              <w:t>(17)</w:t>
            </w:r>
          </w:p>
        </w:tc>
        <w:tc>
          <w:tcPr>
            <w:tcW w:w="240" w:type="dxa"/>
            <w:vAlign w:val="bottom"/>
            <w:shd w:val="clear" w:color="auto" w:fill="E5FFFF"/>
          </w:tcPr>
          <w:p>
            <w:pPr>
              <w:spacing w:after="0"/>
              <w:rPr>
                <w:sz w:val="18"/>
                <w:szCs w:val="18"/>
                <w:color w:val="auto"/>
              </w:rPr>
            </w:pPr>
          </w:p>
        </w:tc>
        <w:tc>
          <w:tcPr>
            <w:tcW w:w="980" w:type="dxa"/>
            <w:vAlign w:val="bottom"/>
            <w:tcBorders>
              <w:bottom w:val="single" w:sz="8" w:color="auto"/>
            </w:tcBorders>
            <w:shd w:val="clear" w:color="auto" w:fill="E5FFFF"/>
          </w:tcPr>
          <w:p>
            <w:pPr>
              <w:spacing w:after="0"/>
              <w:rPr>
                <w:sz w:val="18"/>
                <w:szCs w:val="18"/>
                <w:color w:val="auto"/>
              </w:rPr>
            </w:pPr>
          </w:p>
        </w:tc>
        <w:tc>
          <w:tcPr>
            <w:tcW w:w="400" w:type="dxa"/>
            <w:vAlign w:val="bottom"/>
            <w:tcBorders>
              <w:bottom w:val="single" w:sz="8" w:color="auto"/>
            </w:tcBorders>
            <w:gridSpan w:val="2"/>
            <w:shd w:val="clear" w:color="auto" w:fill="E5FFFF"/>
          </w:tcPr>
          <w:p>
            <w:pPr>
              <w:jc w:val="right"/>
              <w:ind w:right="60"/>
              <w:spacing w:after="0"/>
              <w:rPr>
                <w:sz w:val="20"/>
                <w:szCs w:val="20"/>
                <w:color w:val="auto"/>
              </w:rPr>
            </w:pPr>
            <w:r>
              <w:rPr>
                <w:rFonts w:ascii="Arial" w:cs="Arial" w:eastAsia="Arial" w:hAnsi="Arial"/>
                <w:sz w:val="18"/>
                <w:szCs w:val="18"/>
                <w:color w:val="auto"/>
                <w:w w:val="99"/>
              </w:rPr>
              <w:t>(73)</w:t>
            </w:r>
          </w:p>
        </w:tc>
        <w:tc>
          <w:tcPr>
            <w:tcW w:w="240" w:type="dxa"/>
            <w:vAlign w:val="bottom"/>
            <w:shd w:val="clear" w:color="auto" w:fill="E5FFFF"/>
          </w:tcPr>
          <w:p>
            <w:pPr>
              <w:spacing w:after="0"/>
              <w:rPr>
                <w:sz w:val="18"/>
                <w:szCs w:val="18"/>
                <w:color w:val="auto"/>
              </w:rPr>
            </w:pPr>
          </w:p>
        </w:tc>
        <w:tc>
          <w:tcPr>
            <w:tcW w:w="960" w:type="dxa"/>
            <w:vAlign w:val="bottom"/>
            <w:tcBorders>
              <w:bottom w:val="single" w:sz="8" w:color="auto"/>
            </w:tcBorders>
            <w:shd w:val="clear" w:color="auto" w:fill="E5FFFF"/>
          </w:tcPr>
          <w:p>
            <w:pPr>
              <w:spacing w:after="0"/>
              <w:rPr>
                <w:sz w:val="18"/>
                <w:szCs w:val="18"/>
                <w:color w:val="auto"/>
              </w:rPr>
            </w:pPr>
          </w:p>
        </w:tc>
        <w:tc>
          <w:tcPr>
            <w:tcW w:w="420" w:type="dxa"/>
            <w:vAlign w:val="bottom"/>
            <w:tcBorders>
              <w:bottom w:val="single" w:sz="8" w:color="auto"/>
            </w:tcBorders>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E5FFFF"/>
          </w:tcPr>
          <w:p>
            <w:pPr>
              <w:spacing w:after="0"/>
              <w:rPr>
                <w:sz w:val="18"/>
                <w:szCs w:val="18"/>
                <w:color w:val="auto"/>
              </w:rPr>
            </w:pPr>
          </w:p>
        </w:tc>
        <w:tc>
          <w:tcPr>
            <w:tcW w:w="100" w:type="dxa"/>
            <w:vAlign w:val="bottom"/>
            <w:tcBorders>
              <w:bottom w:val="single" w:sz="8" w:color="auto"/>
            </w:tcBorders>
            <w:shd w:val="clear" w:color="auto" w:fill="E5FFFF"/>
          </w:tcPr>
          <w:p>
            <w:pPr>
              <w:spacing w:after="0"/>
              <w:rPr>
                <w:sz w:val="18"/>
                <w:szCs w:val="18"/>
                <w:color w:val="auto"/>
              </w:rPr>
            </w:pPr>
          </w:p>
        </w:tc>
        <w:tc>
          <w:tcPr>
            <w:tcW w:w="1240" w:type="dxa"/>
            <w:vAlign w:val="bottom"/>
            <w:tcBorders>
              <w:bottom w:val="single" w:sz="8" w:color="auto"/>
            </w:tcBorders>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(2)</w:t>
            </w:r>
          </w:p>
        </w:tc>
        <w:tc>
          <w:tcPr>
            <w:tcW w:w="22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(109)</w:t>
            </w:r>
          </w:p>
        </w:tc>
      </w:tr>
      <w:tr>
        <w:trPr>
          <w:trHeight w:val="250"/>
        </w:trPr>
        <w:tc>
          <w:tcPr>
            <w:tcW w:w="2300" w:type="dxa"/>
            <w:vAlign w:val="bottom"/>
          </w:tcPr>
          <w:p>
            <w:pPr>
              <w:spacing w:after="0" w:line="197" w:lineRule="exact"/>
              <w:rPr>
                <w:sz w:val="20"/>
                <w:szCs w:val="20"/>
                <w:color w:val="auto"/>
              </w:rPr>
            </w:pPr>
            <w:r>
              <w:rPr>
                <w:rFonts w:ascii="Arial" w:cs="Arial" w:eastAsia="Arial" w:hAnsi="Arial"/>
                <w:sz w:val="18"/>
                <w:szCs w:val="18"/>
                <w:color w:val="auto"/>
              </w:rPr>
              <w:t>Total before tax</w:t>
            </w:r>
          </w:p>
        </w:tc>
        <w:tc>
          <w:tcPr>
            <w:tcW w:w="1820" w:type="dxa"/>
            <w:vAlign w:val="bottom"/>
          </w:tcPr>
          <w:p>
            <w:pPr>
              <w:spacing w:after="0"/>
              <w:rPr>
                <w:sz w:val="21"/>
                <w:szCs w:val="21"/>
                <w:color w:val="auto"/>
              </w:rPr>
            </w:pPr>
          </w:p>
        </w:tc>
        <w:tc>
          <w:tcPr>
            <w:tcW w:w="760" w:type="dxa"/>
            <w:vAlign w:val="bottom"/>
          </w:tcPr>
          <w:p>
            <w:pPr>
              <w:jc w:val="right"/>
              <w:ind w:right="579"/>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(17)</w:t>
            </w:r>
          </w:p>
        </w:tc>
        <w:tc>
          <w:tcPr>
            <w:tcW w:w="240" w:type="dxa"/>
            <w:vAlign w:val="bottom"/>
          </w:tcPr>
          <w:p>
            <w:pPr>
              <w:spacing w:after="0"/>
              <w:rPr>
                <w:sz w:val="21"/>
                <w:szCs w:val="21"/>
                <w:color w:val="auto"/>
              </w:rPr>
            </w:pPr>
          </w:p>
        </w:tc>
        <w:tc>
          <w:tcPr>
            <w:tcW w:w="980" w:type="dxa"/>
            <w:vAlign w:val="bottom"/>
          </w:tcPr>
          <w:p>
            <w:pPr>
              <w:jc w:val="right"/>
              <w:ind w:right="802"/>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120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183"/>
        </w:trPr>
        <w:tc>
          <w:tcPr>
            <w:tcW w:w="2300" w:type="dxa"/>
            <w:vAlign w:val="bottom"/>
            <w:tcBorders>
              <w:top w:val="single" w:sz="8" w:color="E5FFFF"/>
            </w:tcBorders>
            <w:shd w:val="clear" w:color="auto" w:fill="E5FFFF"/>
          </w:tcPr>
          <w:p>
            <w:pPr>
              <w:spacing w:after="0" w:line="183" w:lineRule="exact"/>
              <w:rPr>
                <w:sz w:val="20"/>
                <w:szCs w:val="20"/>
                <w:color w:val="auto"/>
              </w:rPr>
            </w:pPr>
            <w:r>
              <w:rPr>
                <w:rFonts w:ascii="Arial" w:cs="Arial" w:eastAsia="Arial" w:hAnsi="Arial"/>
                <w:sz w:val="18"/>
                <w:szCs w:val="18"/>
                <w:color w:val="auto"/>
              </w:rPr>
              <w:t>Tax expense (benefit)</w:t>
            </w:r>
          </w:p>
        </w:tc>
        <w:tc>
          <w:tcPr>
            <w:tcW w:w="1820" w:type="dxa"/>
            <w:vAlign w:val="bottom"/>
            <w:tcBorders>
              <w:top w:val="single" w:sz="8" w:color="E5FFFF"/>
            </w:tcBorders>
            <w:shd w:val="clear" w:color="auto" w:fill="E5FFFF"/>
          </w:tcPr>
          <w:p>
            <w:pPr>
              <w:spacing w:after="0"/>
              <w:rPr>
                <w:sz w:val="15"/>
                <w:szCs w:val="15"/>
                <w:color w:val="auto"/>
              </w:rPr>
            </w:pPr>
          </w:p>
        </w:tc>
        <w:tc>
          <w:tcPr>
            <w:tcW w:w="760" w:type="dxa"/>
            <w:vAlign w:val="bottom"/>
            <w:tcBorders>
              <w:top w:val="single" w:sz="8" w:color="auto"/>
            </w:tcBorders>
            <w:shd w:val="clear" w:color="auto" w:fill="E5FFFF"/>
          </w:tcPr>
          <w:p>
            <w:pPr>
              <w:spacing w:after="0"/>
              <w:rPr>
                <w:sz w:val="15"/>
                <w:szCs w:val="15"/>
                <w:color w:val="auto"/>
              </w:rPr>
            </w:pPr>
          </w:p>
        </w:tc>
        <w:tc>
          <w:tcPr>
            <w:tcW w:w="28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auto"/>
            </w:tcBorders>
            <w:shd w:val="clear" w:color="auto" w:fill="E5FFFF"/>
          </w:tcPr>
          <w:p>
            <w:pPr>
              <w:spacing w:after="0"/>
              <w:rPr>
                <w:sz w:val="15"/>
                <w:szCs w:val="15"/>
                <w:color w:val="auto"/>
              </w:rPr>
            </w:pPr>
          </w:p>
        </w:tc>
        <w:tc>
          <w:tcPr>
            <w:tcW w:w="240" w:type="dxa"/>
            <w:vAlign w:val="bottom"/>
            <w:tcBorders>
              <w:top w:val="single" w:sz="8" w:color="E5FFFF"/>
            </w:tcBorders>
            <w:shd w:val="clear" w:color="auto" w:fill="E5FFFF"/>
          </w:tcPr>
          <w:p>
            <w:pPr>
              <w:spacing w:after="0"/>
              <w:rPr>
                <w:sz w:val="15"/>
                <w:szCs w:val="15"/>
                <w:color w:val="auto"/>
              </w:rPr>
            </w:pPr>
          </w:p>
        </w:tc>
        <w:tc>
          <w:tcPr>
            <w:tcW w:w="980" w:type="dxa"/>
            <w:vAlign w:val="bottom"/>
            <w:tcBorders>
              <w:top w:val="single" w:sz="8" w:color="auto"/>
            </w:tcBorders>
            <w:shd w:val="clear" w:color="auto" w:fill="E5FFFF"/>
          </w:tcPr>
          <w:p>
            <w:pPr>
              <w:spacing w:after="0"/>
              <w:rPr>
                <w:sz w:val="15"/>
                <w:szCs w:val="15"/>
                <w:color w:val="auto"/>
              </w:rPr>
            </w:pPr>
          </w:p>
        </w:tc>
        <w:tc>
          <w:tcPr>
            <w:tcW w:w="28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auto"/>
            </w:tcBorders>
            <w:shd w:val="clear" w:color="auto" w:fill="E5FFFF"/>
          </w:tcPr>
          <w:p>
            <w:pPr>
              <w:spacing w:after="0"/>
              <w:rPr>
                <w:sz w:val="15"/>
                <w:szCs w:val="15"/>
                <w:color w:val="auto"/>
              </w:rPr>
            </w:pPr>
          </w:p>
        </w:tc>
        <w:tc>
          <w:tcPr>
            <w:tcW w:w="240" w:type="dxa"/>
            <w:vAlign w:val="bottom"/>
            <w:tcBorders>
              <w:top w:val="single" w:sz="8" w:color="E5FFFF"/>
            </w:tcBorders>
            <w:shd w:val="clear" w:color="auto" w:fill="E5FFFF"/>
          </w:tcPr>
          <w:p>
            <w:pPr>
              <w:spacing w:after="0"/>
              <w:rPr>
                <w:sz w:val="15"/>
                <w:szCs w:val="15"/>
                <w:color w:val="auto"/>
              </w:rPr>
            </w:pPr>
          </w:p>
        </w:tc>
        <w:tc>
          <w:tcPr>
            <w:tcW w:w="960" w:type="dxa"/>
            <w:vAlign w:val="bottom"/>
            <w:tcBorders>
              <w:top w:val="single" w:sz="8" w:color="auto"/>
            </w:tcBorders>
            <w:shd w:val="clear" w:color="auto" w:fill="E5FFFF"/>
          </w:tcPr>
          <w:p>
            <w:pPr>
              <w:spacing w:after="0"/>
              <w:rPr>
                <w:sz w:val="15"/>
                <w:szCs w:val="15"/>
                <w:color w:val="auto"/>
              </w:rPr>
            </w:pPr>
          </w:p>
        </w:tc>
        <w:tc>
          <w:tcPr>
            <w:tcW w:w="30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00" w:type="dxa"/>
            <w:vAlign w:val="bottom"/>
            <w:tcBorders>
              <w:top w:val="single" w:sz="8" w:color="auto"/>
            </w:tcBorders>
            <w:shd w:val="clear" w:color="auto" w:fill="E5FFFF"/>
          </w:tcPr>
          <w:p>
            <w:pPr>
              <w:spacing w:after="0"/>
              <w:rPr>
                <w:sz w:val="15"/>
                <w:szCs w:val="15"/>
                <w:color w:val="auto"/>
              </w:rPr>
            </w:pPr>
          </w:p>
        </w:tc>
        <w:tc>
          <w:tcPr>
            <w:tcW w:w="114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220" w:type="dxa"/>
            <w:vAlign w:val="bottom"/>
            <w:tcBorders>
              <w:top w:val="single" w:sz="8" w:color="auto"/>
              <w:bottom w:val="single" w:sz="8" w:color="auto"/>
            </w:tcBorders>
            <w:shd w:val="clear" w:color="auto" w:fill="E5FFFF"/>
          </w:tcPr>
          <w:p>
            <w:pPr>
              <w:spacing w:after="0"/>
              <w:rPr>
                <w:sz w:val="15"/>
                <w:szCs w:val="15"/>
                <w:color w:val="auto"/>
              </w:rPr>
            </w:pPr>
          </w:p>
        </w:tc>
        <w:tc>
          <w:tcPr>
            <w:tcW w:w="900" w:type="dxa"/>
            <w:vAlign w:val="bottom"/>
            <w:tcBorders>
              <w:top w:val="single" w:sz="8" w:color="auto"/>
              <w:bottom w:val="single" w:sz="8" w:color="auto"/>
            </w:tcBorders>
            <w:gridSpan w:val="2"/>
            <w:shd w:val="clear" w:color="auto" w:fill="E5FFFF"/>
          </w:tcPr>
          <w:p>
            <w:pPr>
              <w:jc w:val="right"/>
              <w:ind w:right="40"/>
              <w:spacing w:after="0" w:line="183" w:lineRule="exact"/>
              <w:rPr>
                <w:sz w:val="20"/>
                <w:szCs w:val="20"/>
                <w:color w:val="auto"/>
              </w:rPr>
            </w:pPr>
            <w:r>
              <w:rPr>
                <w:rFonts w:ascii="Arial" w:cs="Arial" w:eastAsia="Arial" w:hAnsi="Arial"/>
                <w:sz w:val="18"/>
                <w:szCs w:val="18"/>
                <w:color w:val="auto"/>
              </w:rPr>
              <w:t>(22)</w:t>
            </w:r>
          </w:p>
        </w:tc>
      </w:tr>
      <w:tr>
        <w:trPr>
          <w:trHeight w:val="210"/>
        </w:trPr>
        <w:tc>
          <w:tcPr>
            <w:tcW w:w="4120" w:type="dxa"/>
            <w:vAlign w:val="bottom"/>
            <w:gridSpan w:val="2"/>
          </w:tcPr>
          <w:p>
            <w:pPr>
              <w:spacing w:after="0" w:line="197" w:lineRule="exact"/>
              <w:rPr>
                <w:sz w:val="20"/>
                <w:szCs w:val="20"/>
                <w:color w:val="auto"/>
              </w:rPr>
            </w:pPr>
            <w:r>
              <w:rPr>
                <w:rFonts w:ascii="Arial" w:cs="Arial" w:eastAsia="Arial" w:hAnsi="Arial"/>
                <w:sz w:val="18"/>
                <w:szCs w:val="18"/>
                <w:color w:val="auto"/>
              </w:rPr>
              <w:t>Total reclassifications for the period, net of tax</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(38)</w:t>
            </w:r>
          </w:p>
        </w:tc>
      </w:tr>
      <w:tr>
        <w:trPr>
          <w:trHeight w:val="20"/>
        </w:trPr>
        <w:tc>
          <w:tcPr>
            <w:tcW w:w="2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Stock-Based Compensation Plans</w:t>
      </w:r>
    </w:p>
    <w:p>
      <w:pPr>
        <w:spacing w:after="0" w:line="22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2016 Stock Incentive Plan of Honeywell International Inc. and its Affiliates (2016 Plan) and 2016 Stock Plan for Non-Employee Directors of Honeywell International Inc. (2016 Directors Plan) were both approved by the shareowners at the Annual Meeting of Shareowners effective on April 25, 2016. Following approval of both plans, we have not and will not grant any new awards under any previously existing stock-based compensation plans. At December 31, 2016, there were 46,365,609, and 960,609 shares of Honeywell common stock available for future grants under terms of the 2016 Plan and 2016 Directors Plan, respectively.</w:t>
      </w:r>
    </w:p>
    <w:p>
      <w:pPr>
        <w:spacing w:after="0" w:line="16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b w:val="1"/>
          <w:bCs w:val="1"/>
          <w:i w:val="1"/>
          <w:iCs w:val="1"/>
          <w:color w:val="auto"/>
        </w:rPr>
        <w:t>Stock Options</w:t>
      </w:r>
      <w:r>
        <w:rPr>
          <w:rFonts w:ascii="Arial" w:cs="Arial" w:eastAsia="Arial" w:hAnsi="Arial"/>
          <w:sz w:val="18"/>
          <w:szCs w:val="18"/>
          <w:b w:val="1"/>
          <w:bCs w:val="1"/>
          <w:color w:val="auto"/>
        </w:rPr>
        <w:t>—</w:t>
      </w:r>
      <w:r>
        <w:rPr>
          <w:rFonts w:ascii="Arial" w:cs="Arial" w:eastAsia="Arial" w:hAnsi="Arial"/>
          <w:sz w:val="18"/>
          <w:szCs w:val="18"/>
          <w:color w:val="auto"/>
        </w:rPr>
        <w:t>The exercise price, term and other conditions applicable to each option granted under our stock plans are generally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by the Management Development and Compensation Committee of the Board. The exercise price of stock options is set on the grant date and may not be less than the fair market value per share of our stock on that date. The fair value is recognized as an expense over the employee’s requisite service period (generally the vesting period of the award). Options generally vest over a four-year period and expire after ten years.</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fair value of each option award is estimated on the date of grant using the Black-Scholes option-pricing model. Expected volatility is based on implied volatilities from traded options on our common stock and historical volatility of our common stock. We used a Monte Carlo simulation model to derive an expected term which represents an estimate of the time options are expected to remain outstanding. Such model uses historical data to estimate option exercise activity and post-vest termination behavior. The risk-free rate for periods within the contractual life of the option is based on the U.S. treasury yield curve in effect at the time of grant.</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Compensation cost on a pre-tax basis related to stock options recognized in selling, general and administrative expenses in 2016, 2015 and 2014 was $87 million, $78 million and $85 million. The associated future income tax benefit recognized in 2016, 2015 and 2014 was $29 million, $26 million and $31 million.</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following table sets forth fair value per share information, including related weighted-average assumptions, used to determine compensation cost: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20"/>
          <w:szCs w:val="20"/>
          <w:b w:val="1"/>
          <w:bCs w:val="1"/>
          <w:color w:val="auto"/>
        </w:rPr>
        <w:t>HONEYWELL INTERNATIONAL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 – (CONTINUED)</w:t>
      </w:r>
    </w:p>
    <w:p>
      <w:pPr>
        <w:jc w:val="center"/>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351790" cy="12604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1790" cy="1260475"/>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10"/>
        </w:trPr>
        <w:tc>
          <w:tcPr>
            <w:tcW w:w="4500" w:type="dxa"/>
            <w:vAlign w:val="bottom"/>
            <w:tcBorders>
              <w:bottom w:val="single" w:sz="8" w:color="E5FFFF"/>
            </w:tcBorders>
          </w:tcPr>
          <w:p>
            <w:pPr>
              <w:spacing w:after="0"/>
              <w:rPr>
                <w:sz w:val="18"/>
                <w:szCs w:val="18"/>
                <w:color w:val="auto"/>
              </w:rPr>
            </w:pPr>
          </w:p>
        </w:tc>
        <w:tc>
          <w:tcPr>
            <w:tcW w:w="204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E5FFFF"/>
            </w:tcBorders>
          </w:tcPr>
          <w:p>
            <w:pPr>
              <w:spacing w:after="0"/>
              <w:rPr>
                <w:sz w:val="18"/>
                <w:szCs w:val="18"/>
                <w:color w:val="auto"/>
              </w:rPr>
            </w:pPr>
          </w:p>
        </w:tc>
        <w:tc>
          <w:tcPr>
            <w:tcW w:w="32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E5FFFF"/>
            </w:tcBorders>
          </w:tcPr>
          <w:p>
            <w:pPr>
              <w:spacing w:after="0"/>
              <w:rPr>
                <w:sz w:val="18"/>
                <w:szCs w:val="18"/>
                <w:color w:val="auto"/>
              </w:rPr>
            </w:pPr>
          </w:p>
        </w:tc>
        <w:tc>
          <w:tcPr>
            <w:tcW w:w="10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E5FFFF"/>
            </w:tcBorders>
          </w:tcPr>
          <w:p>
            <w:pPr>
              <w:spacing w:after="0"/>
              <w:rPr>
                <w:sz w:val="18"/>
                <w:szCs w:val="18"/>
                <w:color w:val="auto"/>
              </w:rPr>
            </w:pPr>
          </w:p>
        </w:tc>
      </w:tr>
      <w:tr>
        <w:trPr>
          <w:trHeight w:val="182"/>
        </w:trPr>
        <w:tc>
          <w:tcPr>
            <w:tcW w:w="4500" w:type="dxa"/>
            <w:vAlign w:val="bottom"/>
            <w:shd w:val="clear" w:color="auto" w:fill="E5FFFF"/>
          </w:tcPr>
          <w:p>
            <w:pPr>
              <w:ind w:left="560"/>
              <w:spacing w:after="0" w:line="182" w:lineRule="exact"/>
              <w:rPr>
                <w:sz w:val="20"/>
                <w:szCs w:val="20"/>
                <w:color w:val="auto"/>
              </w:rPr>
            </w:pPr>
            <w:r>
              <w:rPr>
                <w:rFonts w:ascii="Arial" w:cs="Arial" w:eastAsia="Arial" w:hAnsi="Arial"/>
                <w:sz w:val="18"/>
                <w:szCs w:val="18"/>
                <w:color w:val="auto"/>
              </w:rPr>
              <w:t>Weighted average fair value per share of options</w:t>
            </w:r>
          </w:p>
        </w:tc>
        <w:tc>
          <w:tcPr>
            <w:tcW w:w="2040" w:type="dxa"/>
            <w:vAlign w:val="bottom"/>
            <w:shd w:val="clear" w:color="auto" w:fill="E5FFFF"/>
          </w:tcPr>
          <w:p>
            <w:pPr>
              <w:ind w:left="40"/>
              <w:spacing w:after="0" w:line="182" w:lineRule="exact"/>
              <w:rPr>
                <w:sz w:val="20"/>
                <w:szCs w:val="20"/>
                <w:color w:val="auto"/>
              </w:rPr>
            </w:pPr>
            <w:r>
              <w:rPr>
                <w:rFonts w:ascii="Arial" w:cs="Arial" w:eastAsia="Arial" w:hAnsi="Arial"/>
                <w:sz w:val="18"/>
                <w:szCs w:val="18"/>
                <w:color w:val="auto"/>
              </w:rPr>
              <w:t>granted during the</w:t>
            </w:r>
          </w:p>
        </w:tc>
        <w:tc>
          <w:tcPr>
            <w:tcW w:w="280" w:type="dxa"/>
            <w:vAlign w:val="bottom"/>
            <w:shd w:val="clear" w:color="auto" w:fill="E5FFFF"/>
          </w:tcPr>
          <w:p>
            <w:pPr>
              <w:spacing w:after="0"/>
              <w:rPr>
                <w:sz w:val="15"/>
                <w:szCs w:val="15"/>
                <w:color w:val="auto"/>
              </w:rPr>
            </w:pPr>
          </w:p>
        </w:tc>
        <w:tc>
          <w:tcPr>
            <w:tcW w:w="96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32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960" w:type="dxa"/>
            <w:vAlign w:val="bottom"/>
            <w:shd w:val="clear" w:color="auto" w:fill="E5FFFF"/>
          </w:tcPr>
          <w:p>
            <w:pPr>
              <w:spacing w:after="0"/>
              <w:rPr>
                <w:sz w:val="15"/>
                <w:szCs w:val="15"/>
                <w:color w:val="auto"/>
              </w:rPr>
            </w:pPr>
          </w:p>
        </w:tc>
        <w:tc>
          <w:tcPr>
            <w:tcW w:w="40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96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r>
      <w:tr>
        <w:trPr>
          <w:trHeight w:val="244"/>
        </w:trPr>
        <w:tc>
          <w:tcPr>
            <w:tcW w:w="4500" w:type="dxa"/>
            <w:vAlign w:val="bottom"/>
            <w:shd w:val="clear" w:color="auto" w:fill="E5FFFF"/>
          </w:tcPr>
          <w:p>
            <w:pPr>
              <w:ind w:left="740"/>
              <w:spacing w:after="0" w:line="243" w:lineRule="exact"/>
              <w:rPr>
                <w:sz w:val="20"/>
                <w:szCs w:val="20"/>
                <w:color w:val="auto"/>
              </w:rPr>
            </w:pPr>
            <w:r>
              <w:rPr>
                <w:rFonts w:ascii="Arial" w:cs="Arial" w:eastAsia="Arial" w:hAnsi="Arial"/>
                <w:sz w:val="17"/>
                <w:szCs w:val="17"/>
                <w:color w:val="auto"/>
              </w:rPr>
              <w:t>year</w:t>
            </w:r>
            <w:r>
              <w:rPr>
                <w:rFonts w:ascii="Arial" w:cs="Arial" w:eastAsia="Arial" w:hAnsi="Arial"/>
                <w:sz w:val="28"/>
                <w:szCs w:val="28"/>
                <w:color w:val="auto"/>
                <w:vertAlign w:val="superscript"/>
              </w:rPr>
              <w:t>(1)</w:t>
            </w:r>
          </w:p>
        </w:tc>
        <w:tc>
          <w:tcPr>
            <w:tcW w:w="232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15.59</w:t>
            </w:r>
          </w:p>
        </w:tc>
        <w:tc>
          <w:tcPr>
            <w:tcW w:w="60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5FFFF"/>
          </w:tcPr>
          <w:p>
            <w:pPr>
              <w:jc w:val="right"/>
              <w:ind w:right="400"/>
              <w:spacing w:after="0"/>
              <w:rPr>
                <w:sz w:val="20"/>
                <w:szCs w:val="20"/>
                <w:color w:val="auto"/>
              </w:rPr>
            </w:pPr>
            <w:r>
              <w:rPr>
                <w:rFonts w:ascii="Arial" w:cs="Arial" w:eastAsia="Arial" w:hAnsi="Arial"/>
                <w:sz w:val="18"/>
                <w:szCs w:val="18"/>
                <w:color w:val="auto"/>
              </w:rPr>
              <w:t>17.21</w:t>
            </w:r>
          </w:p>
        </w:tc>
        <w:tc>
          <w:tcPr>
            <w:tcW w:w="38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16.35</w:t>
            </w:r>
          </w:p>
        </w:tc>
      </w:tr>
      <w:tr>
        <w:trPr>
          <w:trHeight w:val="216"/>
        </w:trPr>
        <w:tc>
          <w:tcPr>
            <w:tcW w:w="4500" w:type="dxa"/>
            <w:vAlign w:val="bottom"/>
          </w:tcPr>
          <w:p>
            <w:pPr>
              <w:ind w:left="600"/>
              <w:spacing w:after="0"/>
              <w:rPr>
                <w:sz w:val="20"/>
                <w:szCs w:val="20"/>
                <w:color w:val="auto"/>
              </w:rPr>
            </w:pPr>
            <w:r>
              <w:rPr>
                <w:rFonts w:ascii="Arial" w:cs="Arial" w:eastAsia="Arial" w:hAnsi="Arial"/>
                <w:sz w:val="18"/>
                <w:szCs w:val="18"/>
                <w:color w:val="auto"/>
              </w:rPr>
              <w:t>Assumptions:</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00" w:type="dxa"/>
            <w:vAlign w:val="bottom"/>
            <w:shd w:val="clear" w:color="auto" w:fill="E5FFFF"/>
          </w:tcPr>
          <w:p>
            <w:pPr>
              <w:ind w:left="800"/>
              <w:spacing w:after="0"/>
              <w:rPr>
                <w:sz w:val="20"/>
                <w:szCs w:val="20"/>
                <w:color w:val="auto"/>
              </w:rPr>
            </w:pPr>
            <w:r>
              <w:rPr>
                <w:rFonts w:ascii="Arial" w:cs="Arial" w:eastAsia="Arial" w:hAnsi="Arial"/>
                <w:sz w:val="18"/>
                <w:szCs w:val="18"/>
                <w:color w:val="auto"/>
              </w:rPr>
              <w:t>Expected annual dividend yield</w:t>
            </w:r>
          </w:p>
        </w:tc>
        <w:tc>
          <w:tcPr>
            <w:tcW w:w="20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2.92%</w:t>
            </w:r>
          </w:p>
        </w:tc>
        <w:tc>
          <w:tcPr>
            <w:tcW w:w="3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2.05%</w:t>
            </w:r>
          </w:p>
        </w:tc>
      </w:tr>
      <w:tr>
        <w:trPr>
          <w:trHeight w:val="216"/>
        </w:trPr>
        <w:tc>
          <w:tcPr>
            <w:tcW w:w="4500" w:type="dxa"/>
            <w:vAlign w:val="bottom"/>
          </w:tcPr>
          <w:p>
            <w:pPr>
              <w:ind w:left="800"/>
              <w:spacing w:after="0"/>
              <w:rPr>
                <w:sz w:val="20"/>
                <w:szCs w:val="20"/>
                <w:color w:val="auto"/>
              </w:rPr>
            </w:pPr>
            <w:r>
              <w:rPr>
                <w:rFonts w:ascii="Arial" w:cs="Arial" w:eastAsia="Arial" w:hAnsi="Arial"/>
                <w:sz w:val="18"/>
                <w:szCs w:val="18"/>
                <w:color w:val="auto"/>
              </w:rPr>
              <w:t>Expected volatility</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23.07%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23.06%</w:t>
            </w:r>
          </w:p>
        </w:tc>
      </w:tr>
      <w:tr>
        <w:trPr>
          <w:trHeight w:val="216"/>
        </w:trPr>
        <w:tc>
          <w:tcPr>
            <w:tcW w:w="4500" w:type="dxa"/>
            <w:vAlign w:val="bottom"/>
            <w:shd w:val="clear" w:color="auto" w:fill="E5FFFF"/>
          </w:tcPr>
          <w:p>
            <w:pPr>
              <w:ind w:left="800"/>
              <w:spacing w:after="0"/>
              <w:rPr>
                <w:sz w:val="20"/>
                <w:szCs w:val="20"/>
                <w:color w:val="auto"/>
              </w:rPr>
            </w:pPr>
            <w:r>
              <w:rPr>
                <w:rFonts w:ascii="Arial" w:cs="Arial" w:eastAsia="Arial" w:hAnsi="Arial"/>
                <w:sz w:val="18"/>
                <w:szCs w:val="18"/>
                <w:color w:val="auto"/>
              </w:rPr>
              <w:t>Risk-free rate of return</w:t>
            </w:r>
          </w:p>
        </w:tc>
        <w:tc>
          <w:tcPr>
            <w:tcW w:w="20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1.29%</w:t>
            </w:r>
          </w:p>
        </w:tc>
        <w:tc>
          <w:tcPr>
            <w:tcW w:w="3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1.48%</w:t>
            </w:r>
          </w:p>
        </w:tc>
      </w:tr>
      <w:tr>
        <w:trPr>
          <w:trHeight w:val="230"/>
        </w:trPr>
        <w:tc>
          <w:tcPr>
            <w:tcW w:w="4500" w:type="dxa"/>
            <w:vAlign w:val="bottom"/>
          </w:tcPr>
          <w:p>
            <w:pPr>
              <w:ind w:left="800"/>
              <w:spacing w:after="0"/>
              <w:rPr>
                <w:sz w:val="20"/>
                <w:szCs w:val="20"/>
                <w:color w:val="auto"/>
              </w:rPr>
            </w:pPr>
            <w:r>
              <w:rPr>
                <w:rFonts w:ascii="Arial" w:cs="Arial" w:eastAsia="Arial" w:hAnsi="Arial"/>
                <w:sz w:val="18"/>
                <w:szCs w:val="18"/>
                <w:color w:val="auto"/>
              </w:rPr>
              <w:t>Expected option term (years)</w:t>
            </w:r>
          </w:p>
        </w:tc>
        <w:tc>
          <w:tcPr>
            <w:tcW w:w="2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4.97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4.99</w:t>
            </w: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Estimated on date of grant using Black-Scholes option-pricing model.</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stock option activity for the three years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334645" cy="27273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4645" cy="2727325"/>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center"/>
              <w:ind w:right="114"/>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14"/>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18"/>
                <w:szCs w:val="18"/>
                <w:color w:val="auto"/>
              </w:rPr>
            </w:pPr>
          </w:p>
        </w:tc>
        <w:tc>
          <w:tcPr>
            <w:tcW w:w="1200" w:type="dxa"/>
            <w:vAlign w:val="bottom"/>
          </w:tcPr>
          <w:p>
            <w:pPr>
              <w:jc w:val="right"/>
              <w:ind w:right="152"/>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14"/>
              <w:spacing w:after="0"/>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201"/>
        </w:trPr>
        <w:tc>
          <w:tcPr>
            <w:tcW w:w="7540" w:type="dxa"/>
            <w:vAlign w:val="bottom"/>
            <w:tcBorders>
              <w:bottom w:val="single" w:sz="8" w:color="E5FFFF"/>
            </w:tcBorders>
          </w:tcPr>
          <w:p>
            <w:pPr>
              <w:spacing w:after="0"/>
              <w:rPr>
                <w:sz w:val="17"/>
                <w:szCs w:val="17"/>
                <w:color w:val="auto"/>
              </w:rPr>
            </w:pPr>
          </w:p>
        </w:tc>
        <w:tc>
          <w:tcPr>
            <w:tcW w:w="12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Options</w:t>
            </w:r>
          </w:p>
        </w:tc>
        <w:tc>
          <w:tcPr>
            <w:tcW w:w="30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6"/>
        </w:trPr>
        <w:tc>
          <w:tcPr>
            <w:tcW w:w="7540" w:type="dxa"/>
            <w:vAlign w:val="bottom"/>
            <w:shd w:val="clear" w:color="auto" w:fill="E5FFFF"/>
          </w:tcPr>
          <w:p>
            <w:pPr>
              <w:ind w:left="580"/>
              <w:spacing w:after="0" w:line="196" w:lineRule="exact"/>
              <w:rPr>
                <w:sz w:val="20"/>
                <w:szCs w:val="20"/>
                <w:color w:val="auto"/>
              </w:rPr>
            </w:pPr>
            <w:r>
              <w:rPr>
                <w:rFonts w:ascii="Arial" w:cs="Arial" w:eastAsia="Arial" w:hAnsi="Arial"/>
                <w:sz w:val="18"/>
                <w:szCs w:val="18"/>
                <w:color w:val="auto"/>
              </w:rPr>
              <w:t>Outstanding at December 31, 2013</w:t>
            </w:r>
          </w:p>
        </w:tc>
        <w:tc>
          <w:tcPr>
            <w:tcW w:w="12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30,663,837</w:t>
            </w:r>
          </w:p>
        </w:tc>
        <w:tc>
          <w:tcPr>
            <w:tcW w:w="30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53.27</w:t>
            </w:r>
          </w:p>
        </w:tc>
        <w:tc>
          <w:tcPr>
            <w:tcW w:w="0" w:type="dxa"/>
            <w:vAlign w:val="bottom"/>
          </w:tcPr>
          <w:p>
            <w:pPr>
              <w:spacing w:after="0"/>
              <w:rPr>
                <w:sz w:val="1"/>
                <w:szCs w:val="1"/>
                <w:color w:val="auto"/>
              </w:rPr>
            </w:pPr>
          </w:p>
        </w:tc>
      </w:tr>
      <w:tr>
        <w:trPr>
          <w:trHeight w:val="216"/>
        </w:trPr>
        <w:tc>
          <w:tcPr>
            <w:tcW w:w="7540" w:type="dxa"/>
            <w:vAlign w:val="bottom"/>
          </w:tcPr>
          <w:p>
            <w:pPr>
              <w:ind w:left="76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5,823,706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93.95</w:t>
            </w:r>
          </w:p>
        </w:tc>
        <w:tc>
          <w:tcPr>
            <w:tcW w:w="0" w:type="dxa"/>
            <w:vAlign w:val="bottom"/>
          </w:tcPr>
          <w:p>
            <w:pPr>
              <w:spacing w:after="0"/>
              <w:rPr>
                <w:sz w:val="1"/>
                <w:szCs w:val="1"/>
                <w:color w:val="auto"/>
              </w:rPr>
            </w:pPr>
          </w:p>
        </w:tc>
      </w:tr>
      <w:tr>
        <w:trPr>
          <w:trHeight w:val="216"/>
        </w:trPr>
        <w:tc>
          <w:tcPr>
            <w:tcW w:w="7540" w:type="dxa"/>
            <w:vAlign w:val="bottom"/>
            <w:shd w:val="clear" w:color="auto" w:fill="E5FFFF"/>
          </w:tcPr>
          <w:p>
            <w:pPr>
              <w:ind w:left="760"/>
              <w:spacing w:after="0"/>
              <w:rPr>
                <w:sz w:val="20"/>
                <w:szCs w:val="20"/>
                <w:color w:val="auto"/>
              </w:rPr>
            </w:pPr>
            <w:r>
              <w:rPr>
                <w:rFonts w:ascii="Arial" w:cs="Arial" w:eastAsia="Arial" w:hAnsi="Arial"/>
                <w:sz w:val="18"/>
                <w:szCs w:val="18"/>
                <w:color w:val="auto"/>
              </w:rPr>
              <w:t>Exercised</w:t>
            </w:r>
          </w:p>
        </w:tc>
        <w:tc>
          <w:tcPr>
            <w:tcW w:w="12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(5,697,263)</w:t>
            </w:r>
          </w:p>
        </w:tc>
        <w:tc>
          <w:tcPr>
            <w:tcW w:w="3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4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47.47</w:t>
            </w:r>
          </w:p>
        </w:tc>
        <w:tc>
          <w:tcPr>
            <w:tcW w:w="0" w:type="dxa"/>
            <w:vAlign w:val="bottom"/>
          </w:tcPr>
          <w:p>
            <w:pPr>
              <w:spacing w:after="0"/>
              <w:rPr>
                <w:sz w:val="1"/>
                <w:szCs w:val="1"/>
                <w:color w:val="auto"/>
              </w:rPr>
            </w:pPr>
          </w:p>
        </w:tc>
      </w:tr>
      <w:tr>
        <w:trPr>
          <w:trHeight w:val="216"/>
        </w:trPr>
        <w:tc>
          <w:tcPr>
            <w:tcW w:w="7540" w:type="dxa"/>
            <w:vAlign w:val="bottom"/>
            <w:tcBorders>
              <w:bottom w:val="single" w:sz="8" w:color="E5FFFF"/>
            </w:tcBorders>
          </w:tcPr>
          <w:p>
            <w:pPr>
              <w:ind w:left="760"/>
              <w:spacing w:after="0"/>
              <w:rPr>
                <w:sz w:val="20"/>
                <w:szCs w:val="20"/>
                <w:color w:val="auto"/>
              </w:rPr>
            </w:pPr>
            <w:r>
              <w:rPr>
                <w:rFonts w:ascii="Arial" w:cs="Arial" w:eastAsia="Arial" w:hAnsi="Arial"/>
                <w:sz w:val="18"/>
                <w:szCs w:val="18"/>
                <w:color w:val="auto"/>
              </w:rPr>
              <w:t>Lapsed or canceled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(1,294,668)</w:t>
            </w:r>
          </w:p>
        </w:tc>
        <w:tc>
          <w:tcPr>
            <w:tcW w:w="30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1040" w:type="dxa"/>
            <w:vAlign w:val="bottom"/>
            <w:tcBorders>
              <w:bottom w:val="single" w:sz="8" w:color="E5FFFF"/>
            </w:tcBorders>
          </w:tcPr>
          <w:p>
            <w:pPr>
              <w:jc w:val="right"/>
              <w:ind w:right="14"/>
              <w:spacing w:after="0"/>
              <w:rPr>
                <w:sz w:val="20"/>
                <w:szCs w:val="20"/>
                <w:color w:val="auto"/>
              </w:rPr>
            </w:pPr>
            <w:r>
              <w:rPr>
                <w:rFonts w:ascii="Arial" w:cs="Arial" w:eastAsia="Arial" w:hAnsi="Arial"/>
                <w:sz w:val="18"/>
                <w:szCs w:val="18"/>
                <w:color w:val="auto"/>
              </w:rPr>
              <w:t>67.70</w:t>
            </w:r>
          </w:p>
        </w:tc>
        <w:tc>
          <w:tcPr>
            <w:tcW w:w="0" w:type="dxa"/>
            <w:vAlign w:val="bottom"/>
          </w:tcPr>
          <w:p>
            <w:pPr>
              <w:spacing w:after="0"/>
              <w:rPr>
                <w:sz w:val="1"/>
                <w:szCs w:val="1"/>
                <w:color w:val="auto"/>
              </w:rPr>
            </w:pPr>
          </w:p>
        </w:tc>
      </w:tr>
      <w:tr>
        <w:trPr>
          <w:trHeight w:val="196"/>
        </w:trPr>
        <w:tc>
          <w:tcPr>
            <w:tcW w:w="7540" w:type="dxa"/>
            <w:vAlign w:val="bottom"/>
            <w:shd w:val="clear" w:color="auto" w:fill="E5FFFF"/>
          </w:tcPr>
          <w:p>
            <w:pPr>
              <w:ind w:left="580"/>
              <w:spacing w:after="0" w:line="196" w:lineRule="exact"/>
              <w:rPr>
                <w:sz w:val="20"/>
                <w:szCs w:val="20"/>
                <w:color w:val="auto"/>
              </w:rPr>
            </w:pPr>
            <w:r>
              <w:rPr>
                <w:rFonts w:ascii="Arial" w:cs="Arial" w:eastAsia="Arial" w:hAnsi="Arial"/>
                <w:sz w:val="18"/>
                <w:szCs w:val="18"/>
                <w:color w:val="auto"/>
              </w:rPr>
              <w:t>Outstanding at December 31, 2014</w:t>
            </w:r>
          </w:p>
        </w:tc>
        <w:tc>
          <w:tcPr>
            <w:tcW w:w="12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29,495,612</w:t>
            </w:r>
          </w:p>
        </w:tc>
        <w:tc>
          <w:tcPr>
            <w:tcW w:w="3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4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61.80</w:t>
            </w:r>
          </w:p>
        </w:tc>
        <w:tc>
          <w:tcPr>
            <w:tcW w:w="0" w:type="dxa"/>
            <w:vAlign w:val="bottom"/>
          </w:tcPr>
          <w:p>
            <w:pPr>
              <w:spacing w:after="0"/>
              <w:rPr>
                <w:sz w:val="1"/>
                <w:szCs w:val="1"/>
                <w:color w:val="auto"/>
              </w:rPr>
            </w:pPr>
          </w:p>
        </w:tc>
      </w:tr>
      <w:tr>
        <w:trPr>
          <w:trHeight w:val="216"/>
        </w:trPr>
        <w:tc>
          <w:tcPr>
            <w:tcW w:w="7540" w:type="dxa"/>
            <w:vAlign w:val="bottom"/>
          </w:tcPr>
          <w:p>
            <w:pPr>
              <w:ind w:left="76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5,967,256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103.87</w:t>
            </w:r>
          </w:p>
        </w:tc>
        <w:tc>
          <w:tcPr>
            <w:tcW w:w="0" w:type="dxa"/>
            <w:vAlign w:val="bottom"/>
          </w:tcPr>
          <w:p>
            <w:pPr>
              <w:spacing w:after="0"/>
              <w:rPr>
                <w:sz w:val="1"/>
                <w:szCs w:val="1"/>
                <w:color w:val="auto"/>
              </w:rPr>
            </w:pPr>
          </w:p>
        </w:tc>
      </w:tr>
      <w:tr>
        <w:trPr>
          <w:trHeight w:val="216"/>
        </w:trPr>
        <w:tc>
          <w:tcPr>
            <w:tcW w:w="7540" w:type="dxa"/>
            <w:vAlign w:val="bottom"/>
            <w:shd w:val="clear" w:color="auto" w:fill="E5FFFF"/>
          </w:tcPr>
          <w:p>
            <w:pPr>
              <w:ind w:left="760"/>
              <w:spacing w:after="0"/>
              <w:rPr>
                <w:sz w:val="20"/>
                <w:szCs w:val="20"/>
                <w:color w:val="auto"/>
              </w:rPr>
            </w:pPr>
            <w:r>
              <w:rPr>
                <w:rFonts w:ascii="Arial" w:cs="Arial" w:eastAsia="Arial" w:hAnsi="Arial"/>
                <w:sz w:val="18"/>
                <w:szCs w:val="18"/>
                <w:color w:val="auto"/>
              </w:rPr>
              <w:t>Exercised</w:t>
            </w:r>
          </w:p>
        </w:tc>
        <w:tc>
          <w:tcPr>
            <w:tcW w:w="12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(4,190,298)</w:t>
            </w:r>
          </w:p>
        </w:tc>
        <w:tc>
          <w:tcPr>
            <w:tcW w:w="3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4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53.40</w:t>
            </w:r>
          </w:p>
        </w:tc>
        <w:tc>
          <w:tcPr>
            <w:tcW w:w="0" w:type="dxa"/>
            <w:vAlign w:val="bottom"/>
          </w:tcPr>
          <w:p>
            <w:pPr>
              <w:spacing w:after="0"/>
              <w:rPr>
                <w:sz w:val="1"/>
                <w:szCs w:val="1"/>
                <w:color w:val="auto"/>
              </w:rPr>
            </w:pPr>
          </w:p>
        </w:tc>
      </w:tr>
      <w:tr>
        <w:trPr>
          <w:trHeight w:val="216"/>
        </w:trPr>
        <w:tc>
          <w:tcPr>
            <w:tcW w:w="7540" w:type="dxa"/>
            <w:vAlign w:val="bottom"/>
            <w:tcBorders>
              <w:bottom w:val="single" w:sz="8" w:color="E5FFFF"/>
            </w:tcBorders>
          </w:tcPr>
          <w:p>
            <w:pPr>
              <w:ind w:left="760"/>
              <w:spacing w:after="0"/>
              <w:rPr>
                <w:sz w:val="20"/>
                <w:szCs w:val="20"/>
                <w:color w:val="auto"/>
              </w:rPr>
            </w:pPr>
            <w:r>
              <w:rPr>
                <w:rFonts w:ascii="Arial" w:cs="Arial" w:eastAsia="Arial" w:hAnsi="Arial"/>
                <w:sz w:val="18"/>
                <w:szCs w:val="18"/>
                <w:color w:val="auto"/>
              </w:rPr>
              <w:t>Lapsed or canceled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(703,132)</w:t>
            </w:r>
          </w:p>
        </w:tc>
        <w:tc>
          <w:tcPr>
            <w:tcW w:w="30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1040" w:type="dxa"/>
            <w:vAlign w:val="bottom"/>
            <w:tcBorders>
              <w:bottom w:val="single" w:sz="8" w:color="E5FFFF"/>
            </w:tcBorders>
          </w:tcPr>
          <w:p>
            <w:pPr>
              <w:jc w:val="right"/>
              <w:ind w:right="14"/>
              <w:spacing w:after="0"/>
              <w:rPr>
                <w:sz w:val="20"/>
                <w:szCs w:val="20"/>
                <w:color w:val="auto"/>
              </w:rPr>
            </w:pPr>
            <w:r>
              <w:rPr>
                <w:rFonts w:ascii="Arial" w:cs="Arial" w:eastAsia="Arial" w:hAnsi="Arial"/>
                <w:sz w:val="18"/>
                <w:szCs w:val="18"/>
                <w:color w:val="auto"/>
              </w:rPr>
              <w:t>84.31</w:t>
            </w:r>
          </w:p>
        </w:tc>
        <w:tc>
          <w:tcPr>
            <w:tcW w:w="0" w:type="dxa"/>
            <w:vAlign w:val="bottom"/>
          </w:tcPr>
          <w:p>
            <w:pPr>
              <w:spacing w:after="0"/>
              <w:rPr>
                <w:sz w:val="1"/>
                <w:szCs w:val="1"/>
                <w:color w:val="auto"/>
              </w:rPr>
            </w:pPr>
          </w:p>
        </w:tc>
      </w:tr>
      <w:tr>
        <w:trPr>
          <w:trHeight w:val="196"/>
        </w:trPr>
        <w:tc>
          <w:tcPr>
            <w:tcW w:w="7540" w:type="dxa"/>
            <w:vAlign w:val="bottom"/>
            <w:shd w:val="clear" w:color="auto" w:fill="E5FFFF"/>
          </w:tcPr>
          <w:p>
            <w:pPr>
              <w:ind w:left="580"/>
              <w:spacing w:after="0" w:line="196" w:lineRule="exact"/>
              <w:rPr>
                <w:sz w:val="20"/>
                <w:szCs w:val="20"/>
                <w:color w:val="auto"/>
              </w:rPr>
            </w:pPr>
            <w:r>
              <w:rPr>
                <w:rFonts w:ascii="Arial" w:cs="Arial" w:eastAsia="Arial" w:hAnsi="Arial"/>
                <w:sz w:val="18"/>
                <w:szCs w:val="18"/>
                <w:color w:val="auto"/>
              </w:rPr>
              <w:t>Outstanding at December 31, 2015</w:t>
            </w:r>
          </w:p>
        </w:tc>
        <w:tc>
          <w:tcPr>
            <w:tcW w:w="12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30,569,438</w:t>
            </w:r>
          </w:p>
        </w:tc>
        <w:tc>
          <w:tcPr>
            <w:tcW w:w="3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4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70.76</w:t>
            </w:r>
          </w:p>
        </w:tc>
        <w:tc>
          <w:tcPr>
            <w:tcW w:w="0" w:type="dxa"/>
            <w:vAlign w:val="bottom"/>
          </w:tcPr>
          <w:p>
            <w:pPr>
              <w:spacing w:after="0"/>
              <w:rPr>
                <w:sz w:val="1"/>
                <w:szCs w:val="1"/>
                <w:color w:val="auto"/>
              </w:rPr>
            </w:pPr>
          </w:p>
        </w:tc>
      </w:tr>
      <w:tr>
        <w:trPr>
          <w:trHeight w:val="216"/>
        </w:trPr>
        <w:tc>
          <w:tcPr>
            <w:tcW w:w="7540" w:type="dxa"/>
            <w:vAlign w:val="bottom"/>
          </w:tcPr>
          <w:p>
            <w:pPr>
              <w:ind w:left="76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6,281,053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103.51</w:t>
            </w:r>
          </w:p>
        </w:tc>
        <w:tc>
          <w:tcPr>
            <w:tcW w:w="0" w:type="dxa"/>
            <w:vAlign w:val="bottom"/>
          </w:tcPr>
          <w:p>
            <w:pPr>
              <w:spacing w:after="0"/>
              <w:rPr>
                <w:sz w:val="1"/>
                <w:szCs w:val="1"/>
                <w:color w:val="auto"/>
              </w:rPr>
            </w:pPr>
          </w:p>
        </w:tc>
      </w:tr>
      <w:tr>
        <w:trPr>
          <w:trHeight w:val="216"/>
        </w:trPr>
        <w:tc>
          <w:tcPr>
            <w:tcW w:w="7540" w:type="dxa"/>
            <w:vAlign w:val="bottom"/>
            <w:shd w:val="clear" w:color="auto" w:fill="E5FFFF"/>
          </w:tcPr>
          <w:p>
            <w:pPr>
              <w:ind w:left="760"/>
              <w:spacing w:after="0"/>
              <w:rPr>
                <w:sz w:val="20"/>
                <w:szCs w:val="20"/>
                <w:color w:val="auto"/>
              </w:rPr>
            </w:pPr>
            <w:r>
              <w:rPr>
                <w:rFonts w:ascii="Arial" w:cs="Arial" w:eastAsia="Arial" w:hAnsi="Arial"/>
                <w:sz w:val="18"/>
                <w:szCs w:val="18"/>
                <w:color w:val="auto"/>
              </w:rPr>
              <w:t>Exercised</w:t>
            </w:r>
          </w:p>
        </w:tc>
        <w:tc>
          <w:tcPr>
            <w:tcW w:w="12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(7,075,852)</w:t>
            </w:r>
          </w:p>
        </w:tc>
        <w:tc>
          <w:tcPr>
            <w:tcW w:w="3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4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57.41</w:t>
            </w:r>
          </w:p>
        </w:tc>
        <w:tc>
          <w:tcPr>
            <w:tcW w:w="0" w:type="dxa"/>
            <w:vAlign w:val="bottom"/>
          </w:tcPr>
          <w:p>
            <w:pPr>
              <w:spacing w:after="0"/>
              <w:rPr>
                <w:sz w:val="1"/>
                <w:szCs w:val="1"/>
                <w:color w:val="auto"/>
              </w:rPr>
            </w:pPr>
          </w:p>
        </w:tc>
      </w:tr>
      <w:tr>
        <w:trPr>
          <w:trHeight w:val="216"/>
        </w:trPr>
        <w:tc>
          <w:tcPr>
            <w:tcW w:w="7540" w:type="dxa"/>
            <w:vAlign w:val="bottom"/>
            <w:tcBorders>
              <w:bottom w:val="single" w:sz="8" w:color="E5FFFF"/>
            </w:tcBorders>
          </w:tcPr>
          <w:p>
            <w:pPr>
              <w:ind w:left="760"/>
              <w:spacing w:after="0"/>
              <w:rPr>
                <w:sz w:val="20"/>
                <w:szCs w:val="20"/>
                <w:color w:val="auto"/>
              </w:rPr>
            </w:pPr>
            <w:r>
              <w:rPr>
                <w:rFonts w:ascii="Arial" w:cs="Arial" w:eastAsia="Arial" w:hAnsi="Arial"/>
                <w:sz w:val="18"/>
                <w:szCs w:val="18"/>
                <w:color w:val="auto"/>
              </w:rPr>
              <w:t>Lapsed or canceled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(1,107,339)</w:t>
            </w:r>
          </w:p>
        </w:tc>
        <w:tc>
          <w:tcPr>
            <w:tcW w:w="30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1040" w:type="dxa"/>
            <w:vAlign w:val="bottom"/>
            <w:tcBorders>
              <w:bottom w:val="single" w:sz="8" w:color="E5FFFF"/>
            </w:tcBorders>
          </w:tcPr>
          <w:p>
            <w:pPr>
              <w:jc w:val="right"/>
              <w:ind w:right="14"/>
              <w:spacing w:after="0"/>
              <w:rPr>
                <w:sz w:val="20"/>
                <w:szCs w:val="20"/>
                <w:color w:val="auto"/>
              </w:rPr>
            </w:pPr>
            <w:r>
              <w:rPr>
                <w:rFonts w:ascii="Arial" w:cs="Arial" w:eastAsia="Arial" w:hAnsi="Arial"/>
                <w:sz w:val="18"/>
                <w:szCs w:val="18"/>
                <w:color w:val="auto"/>
              </w:rPr>
              <w:t>96.81</w:t>
            </w:r>
          </w:p>
        </w:tc>
        <w:tc>
          <w:tcPr>
            <w:tcW w:w="0" w:type="dxa"/>
            <w:vAlign w:val="bottom"/>
          </w:tcPr>
          <w:p>
            <w:pPr>
              <w:spacing w:after="0"/>
              <w:rPr>
                <w:sz w:val="1"/>
                <w:szCs w:val="1"/>
                <w:color w:val="auto"/>
              </w:rPr>
            </w:pPr>
          </w:p>
        </w:tc>
      </w:tr>
      <w:tr>
        <w:trPr>
          <w:trHeight w:val="237"/>
        </w:trPr>
        <w:tc>
          <w:tcPr>
            <w:tcW w:w="7540" w:type="dxa"/>
            <w:vAlign w:val="bottom"/>
            <w:tcBorders>
              <w:bottom w:val="single" w:sz="8" w:color="E5FFFF"/>
            </w:tcBorders>
            <w:shd w:val="clear" w:color="auto" w:fill="E5FFFF"/>
          </w:tcPr>
          <w:p>
            <w:pPr>
              <w:ind w:left="580"/>
              <w:spacing w:after="0"/>
              <w:rPr>
                <w:sz w:val="20"/>
                <w:szCs w:val="20"/>
                <w:color w:val="auto"/>
              </w:rPr>
            </w:pPr>
            <w:r>
              <w:rPr>
                <w:rFonts w:ascii="Arial" w:cs="Arial" w:eastAsia="Arial" w:hAnsi="Arial"/>
                <w:sz w:val="18"/>
                <w:szCs w:val="18"/>
                <w:color w:val="auto"/>
              </w:rPr>
              <w:t>Outstanding at December 31, 2016</w:t>
            </w:r>
          </w:p>
        </w:tc>
        <w:tc>
          <w:tcPr>
            <w:tcW w:w="1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28,667,300</w:t>
            </w:r>
          </w:p>
        </w:tc>
        <w:tc>
          <w:tcPr>
            <w:tcW w:w="500" w:type="dxa"/>
            <w:vAlign w:val="bottom"/>
            <w:tcBorders>
              <w:bottom w:val="single" w:sz="8" w:color="E5FFFF"/>
            </w:tcBorders>
            <w:gridSpan w:val="2"/>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E5FFFF"/>
            </w:tcBorders>
            <w:shd w:val="clear" w:color="auto" w:fill="E5FFFF"/>
          </w:tcPr>
          <w:p>
            <w:pPr>
              <w:jc w:val="right"/>
              <w:ind w:right="14"/>
              <w:spacing w:after="0"/>
              <w:rPr>
                <w:sz w:val="20"/>
                <w:szCs w:val="20"/>
                <w:color w:val="auto"/>
              </w:rPr>
            </w:pPr>
            <w:r>
              <w:rPr>
                <w:rFonts w:ascii="Arial" w:cs="Arial" w:eastAsia="Arial" w:hAnsi="Arial"/>
                <w:sz w:val="18"/>
                <w:szCs w:val="18"/>
                <w:color w:val="auto"/>
              </w:rPr>
              <w:t>79.57</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580"/>
              <w:spacing w:after="0" w:line="264" w:lineRule="exact"/>
              <w:rPr>
                <w:sz w:val="20"/>
                <w:szCs w:val="20"/>
                <w:color w:val="auto"/>
              </w:rPr>
            </w:pPr>
            <w:r>
              <w:rPr>
                <w:rFonts w:ascii="Arial" w:cs="Arial" w:eastAsia="Arial" w:hAnsi="Arial"/>
                <w:sz w:val="18"/>
                <w:szCs w:val="18"/>
                <w:color w:val="auto"/>
              </w:rPr>
              <w:t>Vested and expected to vest at December 31, 2016</w:t>
            </w:r>
            <w:r>
              <w:rPr>
                <w:rFonts w:ascii="Arial" w:cs="Arial" w:eastAsia="Arial" w:hAnsi="Arial"/>
                <w:sz w:val="30"/>
                <w:szCs w:val="30"/>
                <w:color w:val="auto"/>
                <w:vertAlign w:val="superscript"/>
              </w:rPr>
              <w:t>(1)</w:t>
            </w: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540" w:type="dxa"/>
            <w:vAlign w:val="bottom"/>
            <w:tcBorders>
              <w:bottom w:val="single" w:sz="8" w:color="E5FFFF"/>
            </w:tcBorders>
            <w:vMerge w:val="continue"/>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27,067,969</w:t>
            </w:r>
          </w:p>
        </w:tc>
        <w:tc>
          <w:tcPr>
            <w:tcW w:w="500" w:type="dxa"/>
            <w:vAlign w:val="bottom"/>
            <w:tcBorders>
              <w:bottom w:val="single" w:sz="8" w:color="E5FFFF"/>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E5FFFF"/>
            </w:tcBorders>
          </w:tcPr>
          <w:p>
            <w:pPr>
              <w:jc w:val="right"/>
              <w:ind w:right="14"/>
              <w:spacing w:after="0"/>
              <w:rPr>
                <w:sz w:val="20"/>
                <w:szCs w:val="20"/>
                <w:color w:val="auto"/>
              </w:rPr>
            </w:pPr>
            <w:r>
              <w:rPr>
                <w:rFonts w:ascii="Arial" w:cs="Arial" w:eastAsia="Arial" w:hAnsi="Arial"/>
                <w:sz w:val="18"/>
                <w:szCs w:val="18"/>
                <w:color w:val="auto"/>
              </w:rPr>
              <w:t>78.14</w:t>
            </w:r>
          </w:p>
        </w:tc>
        <w:tc>
          <w:tcPr>
            <w:tcW w:w="0" w:type="dxa"/>
            <w:vAlign w:val="bottom"/>
          </w:tcPr>
          <w:p>
            <w:pPr>
              <w:spacing w:after="0"/>
              <w:rPr>
                <w:sz w:val="1"/>
                <w:szCs w:val="1"/>
                <w:color w:val="auto"/>
              </w:rPr>
            </w:pPr>
          </w:p>
        </w:tc>
      </w:tr>
      <w:tr>
        <w:trPr>
          <w:trHeight w:val="224"/>
        </w:trPr>
        <w:tc>
          <w:tcPr>
            <w:tcW w:w="7540" w:type="dxa"/>
            <w:vAlign w:val="bottom"/>
            <w:tcBorders>
              <w:bottom w:val="single" w:sz="8" w:color="E5FFFF"/>
            </w:tcBorders>
            <w:shd w:val="clear" w:color="auto" w:fill="E5FFFF"/>
          </w:tcPr>
          <w:p>
            <w:pPr>
              <w:ind w:left="580"/>
              <w:spacing w:after="0"/>
              <w:rPr>
                <w:sz w:val="20"/>
                <w:szCs w:val="20"/>
                <w:color w:val="auto"/>
              </w:rPr>
            </w:pPr>
            <w:r>
              <w:rPr>
                <w:rFonts w:ascii="Arial" w:cs="Arial" w:eastAsia="Arial" w:hAnsi="Arial"/>
                <w:sz w:val="18"/>
                <w:szCs w:val="18"/>
                <w:color w:val="auto"/>
              </w:rPr>
              <w:t>Exercisable at December 31, 2016</w:t>
            </w:r>
          </w:p>
        </w:tc>
        <w:tc>
          <w:tcPr>
            <w:tcW w:w="1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15,536,961</w:t>
            </w:r>
          </w:p>
        </w:tc>
        <w:tc>
          <w:tcPr>
            <w:tcW w:w="500" w:type="dxa"/>
            <w:vAlign w:val="bottom"/>
            <w:tcBorders>
              <w:bottom w:val="single" w:sz="8" w:color="E5FFFF"/>
            </w:tcBorders>
            <w:gridSpan w:val="2"/>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E5FFFF"/>
            </w:tcBorders>
            <w:shd w:val="clear" w:color="auto" w:fill="E5FFFF"/>
          </w:tcPr>
          <w:p>
            <w:pPr>
              <w:jc w:val="right"/>
              <w:ind w:right="14"/>
              <w:spacing w:after="0"/>
              <w:rPr>
                <w:sz w:val="20"/>
                <w:szCs w:val="20"/>
                <w:color w:val="auto"/>
              </w:rPr>
            </w:pPr>
            <w:r>
              <w:rPr>
                <w:rFonts w:ascii="Arial" w:cs="Arial" w:eastAsia="Arial" w:hAnsi="Arial"/>
                <w:sz w:val="18"/>
                <w:szCs w:val="18"/>
                <w:color w:val="auto"/>
              </w:rPr>
              <w:t>63.39</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40" w:firstLine="656"/>
        <w:spacing w:after="0" w:line="246" w:lineRule="auto"/>
        <w:tabs>
          <w:tab w:leader="none" w:pos="918"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the sum of vested options of 15.5 million and expected to vest options of 11.6 million. Expected to vest options are derived by applying the pre-vesting forfeiture rate assumption to total outstanding unvested options of 13.4 million.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stock options outstanding and exercisable at December 31, 2016: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20"/>
          <w:szCs w:val="20"/>
          <w:b w:val="1"/>
          <w:bCs w:val="1"/>
          <w:color w:val="auto"/>
        </w:rPr>
        <w:t>HONEYWELL INTERNATIONAL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 – (CONTINUED)</w:t>
      </w:r>
    </w:p>
    <w:p>
      <w:pPr>
        <w:jc w:val="center"/>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7"/>
          </w:tcPr>
          <w:p>
            <w:pPr>
              <w:jc w:val="right"/>
              <w:ind w:right="820"/>
              <w:spacing w:after="0"/>
              <w:rPr>
                <w:sz w:val="20"/>
                <w:szCs w:val="20"/>
                <w:color w:val="auto"/>
              </w:rPr>
            </w:pPr>
            <w:r>
              <w:rPr>
                <w:rFonts w:ascii="Arial" w:cs="Arial" w:eastAsia="Arial" w:hAnsi="Arial"/>
                <w:sz w:val="14"/>
                <w:szCs w:val="14"/>
                <w:b w:val="1"/>
                <w:bCs w:val="1"/>
                <w:color w:val="auto"/>
              </w:rPr>
              <w:t>Options Outstanding</w:t>
            </w: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Options Exercisable</w:t>
            </w: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gridSpan w:val="3"/>
          </w:tcPr>
          <w:p>
            <w:pPr>
              <w:jc w:val="center"/>
              <w:ind w:right="400"/>
              <w:spacing w:after="0" w:line="143" w:lineRule="exact"/>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3"/>
          </w:tcPr>
          <w:p>
            <w:pPr>
              <w:jc w:val="center"/>
              <w:ind w:right="400"/>
              <w:spacing w:after="0" w:line="143" w:lineRule="exact"/>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Weighted</w:t>
            </w:r>
          </w:p>
        </w:tc>
        <w:tc>
          <w:tcPr>
            <w:tcW w:w="360" w:type="dxa"/>
            <w:vAlign w:val="bottom"/>
          </w:tcPr>
          <w:p>
            <w:pPr>
              <w:spacing w:after="0"/>
              <w:rPr>
                <w:sz w:val="14"/>
                <w:szCs w:val="14"/>
                <w:color w:val="auto"/>
              </w:rPr>
            </w:pPr>
          </w:p>
        </w:tc>
        <w:tc>
          <w:tcPr>
            <w:tcW w:w="12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4"/>
                <w:szCs w:val="14"/>
                <w:color w:val="auto"/>
              </w:rPr>
            </w:pPr>
          </w:p>
        </w:tc>
        <w:tc>
          <w:tcPr>
            <w:tcW w:w="12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Aggregate</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Range of</w:t>
            </w:r>
          </w:p>
        </w:tc>
        <w:tc>
          <w:tcPr>
            <w:tcW w:w="20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Number</w:t>
            </w:r>
          </w:p>
        </w:tc>
        <w:tc>
          <w:tcPr>
            <w:tcW w:w="14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Average</w:t>
            </w:r>
          </w:p>
        </w:tc>
        <w:tc>
          <w:tcPr>
            <w:tcW w:w="360" w:type="dxa"/>
            <w:vAlign w:val="bottom"/>
          </w:tcPr>
          <w:p>
            <w:pPr>
              <w:spacing w:after="0"/>
              <w:rPr>
                <w:sz w:val="15"/>
                <w:szCs w:val="15"/>
                <w:color w:val="auto"/>
              </w:rPr>
            </w:pPr>
          </w:p>
        </w:tc>
        <w:tc>
          <w:tcPr>
            <w:tcW w:w="12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Exercise</w:t>
            </w:r>
          </w:p>
        </w:tc>
        <w:tc>
          <w:tcPr>
            <w:tcW w:w="180" w:type="dxa"/>
            <w:vAlign w:val="bottom"/>
          </w:tcPr>
          <w:p>
            <w:pPr>
              <w:spacing w:after="0"/>
              <w:rPr>
                <w:sz w:val="15"/>
                <w:szCs w:val="15"/>
                <w:color w:val="auto"/>
              </w:rPr>
            </w:pPr>
          </w:p>
        </w:tc>
        <w:tc>
          <w:tcPr>
            <w:tcW w:w="12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rPr>
              <w:t>Intrinsic</w:t>
            </w:r>
          </w:p>
        </w:tc>
        <w:tc>
          <w:tcPr>
            <w:tcW w:w="220" w:type="dxa"/>
            <w:vAlign w:val="bottom"/>
          </w:tcPr>
          <w:p>
            <w:pPr>
              <w:spacing w:after="0"/>
              <w:rPr>
                <w:sz w:val="15"/>
                <w:szCs w:val="15"/>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5"/>
                <w:szCs w:val="15"/>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Exercise</w:t>
            </w:r>
          </w:p>
        </w:tc>
        <w:tc>
          <w:tcPr>
            <w:tcW w:w="160" w:type="dxa"/>
            <w:vAlign w:val="bottom"/>
          </w:tcPr>
          <w:p>
            <w:pPr>
              <w:spacing w:after="0"/>
              <w:rPr>
                <w:sz w:val="15"/>
                <w:szCs w:val="15"/>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22"/>
        </w:trPr>
        <w:tc>
          <w:tcPr>
            <w:tcW w:w="176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Exercise prices</w:t>
            </w:r>
          </w:p>
        </w:tc>
        <w:tc>
          <w:tcPr>
            <w:tcW w:w="12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Outstanding</w:t>
            </w:r>
          </w:p>
        </w:tc>
        <w:tc>
          <w:tcPr>
            <w:tcW w:w="600" w:type="dxa"/>
            <w:vAlign w:val="bottom"/>
          </w:tcPr>
          <w:p>
            <w:pPr>
              <w:spacing w:after="0"/>
              <w:rPr>
                <w:sz w:val="10"/>
                <w:szCs w:val="10"/>
                <w:color w:val="auto"/>
              </w:rPr>
            </w:pPr>
          </w:p>
        </w:tc>
        <w:tc>
          <w:tcPr>
            <w:tcW w:w="260" w:type="dxa"/>
            <w:vAlign w:val="bottom"/>
            <w:vMerge w:val="restart"/>
          </w:tcPr>
          <w:p>
            <w:pPr>
              <w:spacing w:after="0"/>
              <w:rPr>
                <w:sz w:val="20"/>
                <w:szCs w:val="20"/>
                <w:color w:val="auto"/>
              </w:rPr>
            </w:pPr>
            <w:r>
              <w:rPr>
                <w:rFonts w:ascii="Arial" w:cs="Arial" w:eastAsia="Arial" w:hAnsi="Arial"/>
                <w:sz w:val="14"/>
                <w:szCs w:val="14"/>
                <w:b w:val="1"/>
                <w:bCs w:val="1"/>
                <w:color w:val="auto"/>
                <w:w w:val="96"/>
              </w:rPr>
              <w:t>Life</w:t>
            </w:r>
          </w:p>
        </w:tc>
        <w:tc>
          <w:tcPr>
            <w:tcW w:w="14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w w:val="88"/>
              </w:rPr>
              <w:t>(1)</w:t>
            </w:r>
          </w:p>
        </w:tc>
        <w:tc>
          <w:tcPr>
            <w:tcW w:w="460" w:type="dxa"/>
            <w:vAlign w:val="bottom"/>
            <w:vMerge w:val="restart"/>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vMerge w:val="restart"/>
          </w:tcPr>
          <w:p>
            <w:pPr>
              <w:spacing w:after="0"/>
              <w:rPr>
                <w:sz w:val="10"/>
                <w:szCs w:val="10"/>
                <w:color w:val="auto"/>
              </w:rPr>
            </w:pPr>
          </w:p>
        </w:tc>
        <w:tc>
          <w:tcPr>
            <w:tcW w:w="100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rPr>
              <w:t>Price</w:t>
            </w:r>
          </w:p>
        </w:tc>
        <w:tc>
          <w:tcPr>
            <w:tcW w:w="180" w:type="dxa"/>
            <w:vAlign w:val="bottom"/>
          </w:tcPr>
          <w:p>
            <w:pPr>
              <w:spacing w:after="0"/>
              <w:rPr>
                <w:sz w:val="10"/>
                <w:szCs w:val="10"/>
                <w:color w:val="auto"/>
              </w:rPr>
            </w:pPr>
          </w:p>
        </w:tc>
        <w:tc>
          <w:tcPr>
            <w:tcW w:w="1260" w:type="dxa"/>
            <w:vAlign w:val="bottom"/>
            <w:gridSpan w:val="4"/>
            <w:vMerge w:val="restart"/>
          </w:tcPr>
          <w:p>
            <w:pPr>
              <w:jc w:val="center"/>
              <w:ind w:right="400"/>
              <w:spacing w:after="0"/>
              <w:rPr>
                <w:sz w:val="20"/>
                <w:szCs w:val="20"/>
                <w:color w:val="auto"/>
              </w:rPr>
            </w:pPr>
            <w:r>
              <w:rPr>
                <w:rFonts w:ascii="Arial" w:cs="Arial" w:eastAsia="Arial" w:hAnsi="Arial"/>
                <w:sz w:val="14"/>
                <w:szCs w:val="14"/>
                <w:b w:val="1"/>
                <w:bCs w:val="1"/>
                <w:color w:val="auto"/>
              </w:rPr>
              <w:t>Value</w:t>
            </w:r>
          </w:p>
        </w:tc>
        <w:tc>
          <w:tcPr>
            <w:tcW w:w="220" w:type="dxa"/>
            <w:vAlign w:val="bottom"/>
            <w:vMerge w:val="restart"/>
          </w:tcPr>
          <w:p>
            <w:pPr>
              <w:spacing w:after="0"/>
              <w:rPr>
                <w:sz w:val="10"/>
                <w:szCs w:val="10"/>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Exercisable</w:t>
            </w:r>
          </w:p>
        </w:tc>
        <w:tc>
          <w:tcPr>
            <w:tcW w:w="400" w:type="dxa"/>
            <w:vAlign w:val="bottom"/>
          </w:tcPr>
          <w:p>
            <w:pPr>
              <w:spacing w:after="0"/>
              <w:rPr>
                <w:sz w:val="10"/>
                <w:szCs w:val="10"/>
                <w:color w:val="auto"/>
              </w:rPr>
            </w:pPr>
          </w:p>
        </w:tc>
        <w:tc>
          <w:tcPr>
            <w:tcW w:w="116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rPr>
              <w:t>Price</w:t>
            </w:r>
          </w:p>
        </w:tc>
        <w:tc>
          <w:tcPr>
            <w:tcW w:w="160" w:type="dxa"/>
            <w:vAlign w:val="bottom"/>
          </w:tcPr>
          <w:p>
            <w:pPr>
              <w:spacing w:after="0"/>
              <w:rPr>
                <w:sz w:val="10"/>
                <w:szCs w:val="10"/>
                <w:color w:val="auto"/>
              </w:rPr>
            </w:pPr>
          </w:p>
        </w:tc>
        <w:tc>
          <w:tcPr>
            <w:tcW w:w="96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34"/>
        </w:trPr>
        <w:tc>
          <w:tcPr>
            <w:tcW w:w="1760" w:type="dxa"/>
            <w:vAlign w:val="bottom"/>
            <w:gridSpan w:val="3"/>
            <w:vMerge w:val="continue"/>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4"/>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2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60" w:type="dxa"/>
            <w:vAlign w:val="bottom"/>
            <w:shd w:val="clear" w:color="auto" w:fill="E5FFFF"/>
          </w:tcPr>
          <w:p>
            <w:pPr>
              <w:spacing w:after="0"/>
              <w:rPr>
                <w:sz w:val="17"/>
                <w:szCs w:val="17"/>
                <w:color w:val="auto"/>
              </w:rPr>
            </w:pPr>
          </w:p>
        </w:tc>
        <w:tc>
          <w:tcPr>
            <w:tcW w:w="1500" w:type="dxa"/>
            <w:vAlign w:val="bottom"/>
            <w:gridSpan w:val="2"/>
            <w:shd w:val="clear" w:color="auto" w:fill="E5FFFF"/>
          </w:tcPr>
          <w:p>
            <w:pPr>
              <w:jc w:val="right"/>
              <w:ind w:right="300"/>
              <w:spacing w:after="0" w:line="202" w:lineRule="exact"/>
              <w:rPr>
                <w:sz w:val="20"/>
                <w:szCs w:val="20"/>
                <w:color w:val="auto"/>
              </w:rPr>
            </w:pPr>
            <w:r>
              <w:rPr>
                <w:rFonts w:ascii="Arial" w:cs="Arial" w:eastAsia="Arial" w:hAnsi="Arial"/>
                <w:sz w:val="18"/>
                <w:szCs w:val="18"/>
                <w:color w:val="auto"/>
              </w:rPr>
              <w:t>$28.19-$49.99</w:t>
            </w:r>
          </w:p>
        </w:tc>
        <w:tc>
          <w:tcPr>
            <w:tcW w:w="1240" w:type="dxa"/>
            <w:vAlign w:val="bottom"/>
            <w:gridSpan w:val="3"/>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3,235,333</w:t>
            </w:r>
          </w:p>
        </w:tc>
        <w:tc>
          <w:tcPr>
            <w:tcW w:w="1460" w:type="dxa"/>
            <w:vAlign w:val="bottom"/>
            <w:gridSpan w:val="4"/>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2.72</w:t>
            </w:r>
          </w:p>
        </w:tc>
        <w:tc>
          <w:tcPr>
            <w:tcW w:w="3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3"/>
            <w:shd w:val="clear" w:color="auto" w:fill="E5FFFF"/>
          </w:tcPr>
          <w:p>
            <w:pPr>
              <w:jc w:val="right"/>
              <w:ind w:right="320"/>
              <w:spacing w:after="0" w:line="202" w:lineRule="exact"/>
              <w:rPr>
                <w:sz w:val="20"/>
                <w:szCs w:val="20"/>
                <w:color w:val="auto"/>
              </w:rPr>
            </w:pPr>
            <w:r>
              <w:rPr>
                <w:rFonts w:ascii="Arial" w:cs="Arial" w:eastAsia="Arial" w:hAnsi="Arial"/>
                <w:sz w:val="18"/>
                <w:szCs w:val="18"/>
                <w:color w:val="auto"/>
              </w:rPr>
              <w:t>35.33</w:t>
            </w:r>
          </w:p>
        </w:tc>
        <w:tc>
          <w:tcPr>
            <w:tcW w:w="1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260</w:t>
            </w:r>
          </w:p>
        </w:tc>
        <w:tc>
          <w:tcPr>
            <w:tcW w:w="220" w:type="dxa"/>
            <w:vAlign w:val="bottom"/>
            <w:shd w:val="clear" w:color="auto" w:fill="E5FFFF"/>
          </w:tcPr>
          <w:p>
            <w:pPr>
              <w:spacing w:after="0"/>
              <w:rPr>
                <w:sz w:val="17"/>
                <w:szCs w:val="17"/>
                <w:color w:val="auto"/>
              </w:rPr>
            </w:pPr>
          </w:p>
        </w:tc>
        <w:tc>
          <w:tcPr>
            <w:tcW w:w="1240" w:type="dxa"/>
            <w:vAlign w:val="bottom"/>
            <w:gridSpan w:val="3"/>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3,235,333</w:t>
            </w:r>
          </w:p>
        </w:tc>
        <w:tc>
          <w:tcPr>
            <w:tcW w:w="4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3"/>
            <w:shd w:val="clear" w:color="auto" w:fill="E5FFFF"/>
          </w:tcPr>
          <w:p>
            <w:pPr>
              <w:jc w:val="right"/>
              <w:ind w:right="320"/>
              <w:spacing w:after="0" w:line="202" w:lineRule="exact"/>
              <w:rPr>
                <w:sz w:val="20"/>
                <w:szCs w:val="20"/>
                <w:color w:val="auto"/>
              </w:rPr>
            </w:pPr>
            <w:r>
              <w:rPr>
                <w:rFonts w:ascii="Arial" w:cs="Arial" w:eastAsia="Arial" w:hAnsi="Arial"/>
                <w:sz w:val="18"/>
                <w:szCs w:val="18"/>
                <w:color w:val="auto"/>
              </w:rPr>
              <w:t>35.33</w:t>
            </w:r>
          </w:p>
        </w:tc>
        <w:tc>
          <w:tcPr>
            <w:tcW w:w="1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3"/>
        </w:trPr>
        <w:tc>
          <w:tcPr>
            <w:tcW w:w="176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$50.00-$64.99</w:t>
            </w:r>
          </w:p>
        </w:tc>
        <w:tc>
          <w:tcPr>
            <w:tcW w:w="12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6,627,010</w:t>
            </w:r>
          </w:p>
        </w:tc>
        <w:tc>
          <w:tcPr>
            <w:tcW w:w="1460" w:type="dxa"/>
            <w:vAlign w:val="bottom"/>
            <w:gridSpan w:val="4"/>
          </w:tcPr>
          <w:p>
            <w:pPr>
              <w:jc w:val="right"/>
              <w:ind w:right="160"/>
              <w:spacing w:after="0" w:line="202" w:lineRule="exact"/>
              <w:rPr>
                <w:sz w:val="20"/>
                <w:szCs w:val="20"/>
                <w:color w:val="auto"/>
              </w:rPr>
            </w:pPr>
            <w:r>
              <w:rPr>
                <w:rFonts w:ascii="Arial" w:cs="Arial" w:eastAsia="Arial" w:hAnsi="Arial"/>
                <w:sz w:val="18"/>
                <w:szCs w:val="18"/>
                <w:color w:val="auto"/>
              </w:rPr>
              <w:t>4.16</w:t>
            </w:r>
          </w:p>
        </w:tc>
        <w:tc>
          <w:tcPr>
            <w:tcW w:w="360" w:type="dxa"/>
            <w:vAlign w:val="bottom"/>
          </w:tcPr>
          <w:p>
            <w:pPr>
              <w:spacing w:after="0"/>
              <w:rPr>
                <w:sz w:val="17"/>
                <w:szCs w:val="17"/>
                <w:color w:val="auto"/>
              </w:rPr>
            </w:pPr>
          </w:p>
        </w:tc>
        <w:tc>
          <w:tcPr>
            <w:tcW w:w="124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58.12</w:t>
            </w:r>
          </w:p>
        </w:tc>
        <w:tc>
          <w:tcPr>
            <w:tcW w:w="180" w:type="dxa"/>
            <w:vAlign w:val="bottom"/>
          </w:tcPr>
          <w:p>
            <w:pPr>
              <w:spacing w:after="0"/>
              <w:rPr>
                <w:sz w:val="17"/>
                <w:szCs w:val="17"/>
                <w:color w:val="auto"/>
              </w:rPr>
            </w:pPr>
          </w:p>
        </w:tc>
        <w:tc>
          <w:tcPr>
            <w:tcW w:w="10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383</w:t>
            </w:r>
          </w:p>
        </w:tc>
        <w:tc>
          <w:tcPr>
            <w:tcW w:w="220" w:type="dxa"/>
            <w:vAlign w:val="bottom"/>
          </w:tcPr>
          <w:p>
            <w:pPr>
              <w:spacing w:after="0"/>
              <w:rPr>
                <w:sz w:val="17"/>
                <w:szCs w:val="17"/>
                <w:color w:val="auto"/>
              </w:rPr>
            </w:pPr>
          </w:p>
        </w:tc>
        <w:tc>
          <w:tcPr>
            <w:tcW w:w="12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6,627,010</w:t>
            </w:r>
          </w:p>
        </w:tc>
        <w:tc>
          <w:tcPr>
            <w:tcW w:w="400" w:type="dxa"/>
            <w:vAlign w:val="bottom"/>
          </w:tcPr>
          <w:p>
            <w:pPr>
              <w:spacing w:after="0"/>
              <w:rPr>
                <w:sz w:val="17"/>
                <w:szCs w:val="17"/>
                <w:color w:val="auto"/>
              </w:rPr>
            </w:pPr>
          </w:p>
        </w:tc>
        <w:tc>
          <w:tcPr>
            <w:tcW w:w="11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58.12</w:t>
            </w:r>
          </w:p>
        </w:tc>
        <w:tc>
          <w:tcPr>
            <w:tcW w:w="160" w:type="dxa"/>
            <w:vAlign w:val="bottom"/>
          </w:tcPr>
          <w:p>
            <w:pPr>
              <w:spacing w:after="0"/>
              <w:rPr>
                <w:sz w:val="17"/>
                <w:szCs w:val="17"/>
                <w:color w:val="auto"/>
              </w:rPr>
            </w:pPr>
          </w:p>
        </w:tc>
        <w:tc>
          <w:tcPr>
            <w:tcW w:w="9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03"/>
        </w:trPr>
        <w:tc>
          <w:tcPr>
            <w:tcW w:w="1760" w:type="dxa"/>
            <w:vAlign w:val="bottom"/>
            <w:gridSpan w:val="3"/>
            <w:shd w:val="clear" w:color="auto" w:fill="E5FFFF"/>
          </w:tcPr>
          <w:p>
            <w:pPr>
              <w:jc w:val="right"/>
              <w:ind w:right="300"/>
              <w:spacing w:after="0" w:line="202" w:lineRule="exact"/>
              <w:rPr>
                <w:sz w:val="20"/>
                <w:szCs w:val="20"/>
                <w:color w:val="auto"/>
              </w:rPr>
            </w:pPr>
            <w:r>
              <w:rPr>
                <w:rFonts w:ascii="Arial" w:cs="Arial" w:eastAsia="Arial" w:hAnsi="Arial"/>
                <w:sz w:val="18"/>
                <w:szCs w:val="18"/>
                <w:color w:val="auto"/>
              </w:rPr>
              <w:t>$65.00-$75.00</w:t>
            </w:r>
          </w:p>
        </w:tc>
        <w:tc>
          <w:tcPr>
            <w:tcW w:w="1240" w:type="dxa"/>
            <w:vAlign w:val="bottom"/>
            <w:gridSpan w:val="3"/>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3,565,255</w:t>
            </w:r>
          </w:p>
        </w:tc>
        <w:tc>
          <w:tcPr>
            <w:tcW w:w="1460" w:type="dxa"/>
            <w:vAlign w:val="bottom"/>
            <w:gridSpan w:val="4"/>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6.16</w:t>
            </w:r>
          </w:p>
        </w:tc>
        <w:tc>
          <w:tcPr>
            <w:tcW w:w="360" w:type="dxa"/>
            <w:vAlign w:val="bottom"/>
            <w:shd w:val="clear" w:color="auto" w:fill="E5FFFF"/>
          </w:tcPr>
          <w:p>
            <w:pPr>
              <w:spacing w:after="0"/>
              <w:rPr>
                <w:sz w:val="17"/>
                <w:szCs w:val="17"/>
                <w:color w:val="auto"/>
              </w:rPr>
            </w:pPr>
          </w:p>
        </w:tc>
        <w:tc>
          <w:tcPr>
            <w:tcW w:w="1240" w:type="dxa"/>
            <w:vAlign w:val="bottom"/>
            <w:gridSpan w:val="3"/>
            <w:shd w:val="clear" w:color="auto" w:fill="E5FFFF"/>
          </w:tcPr>
          <w:p>
            <w:pPr>
              <w:jc w:val="right"/>
              <w:ind w:right="320"/>
              <w:spacing w:after="0" w:line="202" w:lineRule="exact"/>
              <w:rPr>
                <w:sz w:val="20"/>
                <w:szCs w:val="20"/>
                <w:color w:val="auto"/>
              </w:rPr>
            </w:pPr>
            <w:r>
              <w:rPr>
                <w:rFonts w:ascii="Arial" w:cs="Arial" w:eastAsia="Arial" w:hAnsi="Arial"/>
                <w:sz w:val="18"/>
                <w:szCs w:val="18"/>
                <w:color w:val="auto"/>
              </w:rPr>
              <w:t>69.54</w:t>
            </w:r>
          </w:p>
        </w:tc>
        <w:tc>
          <w:tcPr>
            <w:tcW w:w="180" w:type="dxa"/>
            <w:vAlign w:val="bottom"/>
            <w:shd w:val="clear" w:color="auto" w:fill="E5FFFF"/>
          </w:tcPr>
          <w:p>
            <w:pPr>
              <w:spacing w:after="0"/>
              <w:rPr>
                <w:sz w:val="17"/>
                <w:szCs w:val="17"/>
                <w:color w:val="auto"/>
              </w:rPr>
            </w:pPr>
          </w:p>
        </w:tc>
        <w:tc>
          <w:tcPr>
            <w:tcW w:w="1040" w:type="dxa"/>
            <w:vAlign w:val="bottom"/>
            <w:gridSpan w:val="3"/>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165</w:t>
            </w:r>
          </w:p>
        </w:tc>
        <w:tc>
          <w:tcPr>
            <w:tcW w:w="220" w:type="dxa"/>
            <w:vAlign w:val="bottom"/>
            <w:shd w:val="clear" w:color="auto" w:fill="E5FFFF"/>
          </w:tcPr>
          <w:p>
            <w:pPr>
              <w:spacing w:after="0"/>
              <w:rPr>
                <w:sz w:val="17"/>
                <w:szCs w:val="17"/>
                <w:color w:val="auto"/>
              </w:rPr>
            </w:pPr>
          </w:p>
        </w:tc>
        <w:tc>
          <w:tcPr>
            <w:tcW w:w="1240" w:type="dxa"/>
            <w:vAlign w:val="bottom"/>
            <w:gridSpan w:val="3"/>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2,420,333</w:t>
            </w:r>
          </w:p>
        </w:tc>
        <w:tc>
          <w:tcPr>
            <w:tcW w:w="400" w:type="dxa"/>
            <w:vAlign w:val="bottom"/>
            <w:shd w:val="clear" w:color="auto" w:fill="E5FFFF"/>
          </w:tcPr>
          <w:p>
            <w:pPr>
              <w:spacing w:after="0"/>
              <w:rPr>
                <w:sz w:val="17"/>
                <w:szCs w:val="17"/>
                <w:color w:val="auto"/>
              </w:rPr>
            </w:pPr>
          </w:p>
        </w:tc>
        <w:tc>
          <w:tcPr>
            <w:tcW w:w="1160" w:type="dxa"/>
            <w:vAlign w:val="bottom"/>
            <w:gridSpan w:val="3"/>
            <w:shd w:val="clear" w:color="auto" w:fill="E5FFFF"/>
          </w:tcPr>
          <w:p>
            <w:pPr>
              <w:jc w:val="right"/>
              <w:ind w:right="320"/>
              <w:spacing w:after="0" w:line="202" w:lineRule="exact"/>
              <w:rPr>
                <w:sz w:val="20"/>
                <w:szCs w:val="20"/>
                <w:color w:val="auto"/>
              </w:rPr>
            </w:pPr>
            <w:r>
              <w:rPr>
                <w:rFonts w:ascii="Arial" w:cs="Arial" w:eastAsia="Arial" w:hAnsi="Arial"/>
                <w:sz w:val="18"/>
                <w:szCs w:val="18"/>
                <w:color w:val="auto"/>
              </w:rPr>
              <w:t>69.55</w:t>
            </w:r>
          </w:p>
        </w:tc>
        <w:tc>
          <w:tcPr>
            <w:tcW w:w="160" w:type="dxa"/>
            <w:vAlign w:val="bottom"/>
            <w:shd w:val="clear" w:color="auto" w:fill="E5FFFF"/>
          </w:tcPr>
          <w:p>
            <w:pPr>
              <w:spacing w:after="0"/>
              <w:rPr>
                <w:sz w:val="17"/>
                <w:szCs w:val="17"/>
                <w:color w:val="auto"/>
              </w:rPr>
            </w:pPr>
          </w:p>
        </w:tc>
        <w:tc>
          <w:tcPr>
            <w:tcW w:w="960" w:type="dxa"/>
            <w:vAlign w:val="bottom"/>
            <w:gridSpan w:val="3"/>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3"/>
        </w:trPr>
        <w:tc>
          <w:tcPr>
            <w:tcW w:w="176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$90.00-$99.99</w:t>
            </w:r>
          </w:p>
        </w:tc>
        <w:tc>
          <w:tcPr>
            <w:tcW w:w="12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4,244,518</w:t>
            </w:r>
          </w:p>
        </w:tc>
        <w:tc>
          <w:tcPr>
            <w:tcW w:w="1460" w:type="dxa"/>
            <w:vAlign w:val="bottom"/>
            <w:gridSpan w:val="4"/>
          </w:tcPr>
          <w:p>
            <w:pPr>
              <w:jc w:val="right"/>
              <w:ind w:right="160"/>
              <w:spacing w:after="0" w:line="202" w:lineRule="exact"/>
              <w:rPr>
                <w:sz w:val="20"/>
                <w:szCs w:val="20"/>
                <w:color w:val="auto"/>
              </w:rPr>
            </w:pPr>
            <w:r>
              <w:rPr>
                <w:rFonts w:ascii="Arial" w:cs="Arial" w:eastAsia="Arial" w:hAnsi="Arial"/>
                <w:sz w:val="18"/>
                <w:szCs w:val="18"/>
                <w:color w:val="auto"/>
              </w:rPr>
              <w:t>7.16</w:t>
            </w:r>
          </w:p>
        </w:tc>
        <w:tc>
          <w:tcPr>
            <w:tcW w:w="360" w:type="dxa"/>
            <w:vAlign w:val="bottom"/>
          </w:tcPr>
          <w:p>
            <w:pPr>
              <w:spacing w:after="0"/>
              <w:rPr>
                <w:sz w:val="17"/>
                <w:szCs w:val="17"/>
                <w:color w:val="auto"/>
              </w:rPr>
            </w:pPr>
          </w:p>
        </w:tc>
        <w:tc>
          <w:tcPr>
            <w:tcW w:w="124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93.42</w:t>
            </w:r>
          </w:p>
        </w:tc>
        <w:tc>
          <w:tcPr>
            <w:tcW w:w="180" w:type="dxa"/>
            <w:vAlign w:val="bottom"/>
          </w:tcPr>
          <w:p>
            <w:pPr>
              <w:spacing w:after="0"/>
              <w:rPr>
                <w:sz w:val="17"/>
                <w:szCs w:val="17"/>
                <w:color w:val="auto"/>
              </w:rPr>
            </w:pPr>
          </w:p>
        </w:tc>
        <w:tc>
          <w:tcPr>
            <w:tcW w:w="10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95</w:t>
            </w:r>
          </w:p>
        </w:tc>
        <w:tc>
          <w:tcPr>
            <w:tcW w:w="220" w:type="dxa"/>
            <w:vAlign w:val="bottom"/>
          </w:tcPr>
          <w:p>
            <w:pPr>
              <w:spacing w:after="0"/>
              <w:rPr>
                <w:sz w:val="17"/>
                <w:szCs w:val="17"/>
                <w:color w:val="auto"/>
              </w:rPr>
            </w:pPr>
          </w:p>
        </w:tc>
        <w:tc>
          <w:tcPr>
            <w:tcW w:w="12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1,927,354</w:t>
            </w:r>
          </w:p>
        </w:tc>
        <w:tc>
          <w:tcPr>
            <w:tcW w:w="400" w:type="dxa"/>
            <w:vAlign w:val="bottom"/>
          </w:tcPr>
          <w:p>
            <w:pPr>
              <w:spacing w:after="0"/>
              <w:rPr>
                <w:sz w:val="17"/>
                <w:szCs w:val="17"/>
                <w:color w:val="auto"/>
              </w:rPr>
            </w:pPr>
          </w:p>
        </w:tc>
        <w:tc>
          <w:tcPr>
            <w:tcW w:w="11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93.42</w:t>
            </w:r>
          </w:p>
        </w:tc>
        <w:tc>
          <w:tcPr>
            <w:tcW w:w="160" w:type="dxa"/>
            <w:vAlign w:val="bottom"/>
          </w:tcPr>
          <w:p>
            <w:pPr>
              <w:spacing w:after="0"/>
              <w:rPr>
                <w:sz w:val="17"/>
                <w:szCs w:val="17"/>
                <w:color w:val="auto"/>
              </w:rPr>
            </w:pPr>
          </w:p>
        </w:tc>
        <w:tc>
          <w:tcPr>
            <w:tcW w:w="9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760" w:type="dxa"/>
            <w:vAlign w:val="bottom"/>
            <w:gridSpan w:val="3"/>
            <w:shd w:val="clear" w:color="auto" w:fill="E5FFFF"/>
          </w:tcPr>
          <w:p>
            <w:pPr>
              <w:jc w:val="right"/>
              <w:ind w:right="300"/>
              <w:spacing w:after="0"/>
              <w:rPr>
                <w:sz w:val="20"/>
                <w:szCs w:val="20"/>
                <w:color w:val="auto"/>
              </w:rPr>
            </w:pPr>
            <w:r>
              <w:rPr>
                <w:rFonts w:ascii="Arial" w:cs="Arial" w:eastAsia="Arial" w:hAnsi="Arial"/>
                <w:sz w:val="18"/>
                <w:szCs w:val="18"/>
                <w:color w:val="auto"/>
              </w:rPr>
              <w:t>$100.00-$116.28</w:t>
            </w:r>
          </w:p>
        </w:tc>
        <w:tc>
          <w:tcPr>
            <w:tcW w:w="1240" w:type="dxa"/>
            <w:vAlign w:val="bottom"/>
            <w:tcBorders>
              <w:bottom w:val="single" w:sz="8" w:color="auto"/>
            </w:tcBorders>
            <w:gridSpan w:val="3"/>
            <w:shd w:val="clear" w:color="auto" w:fill="E5FFFF"/>
          </w:tcPr>
          <w:p>
            <w:pPr>
              <w:jc w:val="right"/>
              <w:ind w:right="120"/>
              <w:spacing w:after="0"/>
              <w:rPr>
                <w:sz w:val="20"/>
                <w:szCs w:val="20"/>
                <w:color w:val="auto"/>
              </w:rPr>
            </w:pPr>
            <w:r>
              <w:rPr>
                <w:rFonts w:ascii="Arial" w:cs="Arial" w:eastAsia="Arial" w:hAnsi="Arial"/>
                <w:sz w:val="18"/>
                <w:szCs w:val="18"/>
                <w:color w:val="auto"/>
              </w:rPr>
              <w:t>10,995,184</w:t>
            </w:r>
          </w:p>
        </w:tc>
        <w:tc>
          <w:tcPr>
            <w:tcW w:w="1460" w:type="dxa"/>
            <w:vAlign w:val="bottom"/>
            <w:gridSpan w:val="4"/>
            <w:shd w:val="clear" w:color="auto" w:fill="E5FFFF"/>
          </w:tcPr>
          <w:p>
            <w:pPr>
              <w:jc w:val="right"/>
              <w:ind w:right="160"/>
              <w:spacing w:after="0"/>
              <w:rPr>
                <w:sz w:val="20"/>
                <w:szCs w:val="20"/>
                <w:color w:val="auto"/>
              </w:rPr>
            </w:pPr>
            <w:r>
              <w:rPr>
                <w:rFonts w:ascii="Arial" w:cs="Arial" w:eastAsia="Arial" w:hAnsi="Arial"/>
                <w:sz w:val="18"/>
                <w:szCs w:val="18"/>
                <w:color w:val="auto"/>
              </w:rPr>
              <w:t>8.70</w:t>
            </w:r>
          </w:p>
        </w:tc>
        <w:tc>
          <w:tcPr>
            <w:tcW w:w="360" w:type="dxa"/>
            <w:vAlign w:val="bottom"/>
            <w:shd w:val="clear" w:color="auto" w:fill="E5FFFF"/>
          </w:tcPr>
          <w:p>
            <w:pPr>
              <w:spacing w:after="0"/>
              <w:rPr>
                <w:sz w:val="18"/>
                <w:szCs w:val="18"/>
                <w:color w:val="auto"/>
              </w:rPr>
            </w:pPr>
          </w:p>
        </w:tc>
        <w:tc>
          <w:tcPr>
            <w:tcW w:w="1240" w:type="dxa"/>
            <w:vAlign w:val="bottom"/>
            <w:gridSpan w:val="3"/>
            <w:shd w:val="clear" w:color="auto" w:fill="E5FFFF"/>
          </w:tcPr>
          <w:p>
            <w:pPr>
              <w:jc w:val="right"/>
              <w:ind w:right="320"/>
              <w:spacing w:after="0"/>
              <w:rPr>
                <w:sz w:val="20"/>
                <w:szCs w:val="20"/>
                <w:color w:val="auto"/>
              </w:rPr>
            </w:pPr>
            <w:r>
              <w:rPr>
                <w:rFonts w:ascii="Arial" w:cs="Arial" w:eastAsia="Arial" w:hAnsi="Arial"/>
                <w:sz w:val="18"/>
                <w:szCs w:val="18"/>
                <w:color w:val="auto"/>
              </w:rPr>
              <w:t>103.42</w:t>
            </w:r>
          </w:p>
        </w:tc>
        <w:tc>
          <w:tcPr>
            <w:tcW w:w="180" w:type="dxa"/>
            <w:vAlign w:val="bottom"/>
            <w:tcBorders>
              <w:bottom w:val="single" w:sz="8" w:color="auto"/>
            </w:tcBorders>
            <w:shd w:val="clear" w:color="auto" w:fill="E5FFFF"/>
          </w:tcPr>
          <w:p>
            <w:pPr>
              <w:spacing w:after="0"/>
              <w:rPr>
                <w:sz w:val="18"/>
                <w:szCs w:val="18"/>
                <w:color w:val="auto"/>
              </w:rPr>
            </w:pPr>
          </w:p>
        </w:tc>
        <w:tc>
          <w:tcPr>
            <w:tcW w:w="1040" w:type="dxa"/>
            <w:vAlign w:val="bottom"/>
            <w:tcBorders>
              <w:bottom w:val="single" w:sz="8" w:color="auto"/>
            </w:tcBorders>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E5FFFF"/>
          </w:tcPr>
          <w:p>
            <w:pPr>
              <w:spacing w:after="0"/>
              <w:rPr>
                <w:sz w:val="18"/>
                <w:szCs w:val="18"/>
                <w:color w:val="auto"/>
              </w:rPr>
            </w:pPr>
          </w:p>
        </w:tc>
        <w:tc>
          <w:tcPr>
            <w:tcW w:w="1240" w:type="dxa"/>
            <w:vAlign w:val="bottom"/>
            <w:tcBorders>
              <w:bottom w:val="single" w:sz="8" w:color="auto"/>
            </w:tcBorders>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1,326,931</w:t>
            </w:r>
          </w:p>
        </w:tc>
        <w:tc>
          <w:tcPr>
            <w:tcW w:w="400" w:type="dxa"/>
            <w:vAlign w:val="bottom"/>
            <w:shd w:val="clear" w:color="auto" w:fill="E5FFFF"/>
          </w:tcPr>
          <w:p>
            <w:pPr>
              <w:spacing w:after="0"/>
              <w:rPr>
                <w:sz w:val="18"/>
                <w:szCs w:val="18"/>
                <w:color w:val="auto"/>
              </w:rPr>
            </w:pPr>
          </w:p>
        </w:tc>
        <w:tc>
          <w:tcPr>
            <w:tcW w:w="1160" w:type="dxa"/>
            <w:vAlign w:val="bottom"/>
            <w:gridSpan w:val="3"/>
            <w:shd w:val="clear" w:color="auto" w:fill="E5FFFF"/>
          </w:tcPr>
          <w:p>
            <w:pPr>
              <w:jc w:val="right"/>
              <w:ind w:right="320"/>
              <w:spacing w:after="0"/>
              <w:rPr>
                <w:sz w:val="20"/>
                <w:szCs w:val="20"/>
                <w:color w:val="auto"/>
              </w:rPr>
            </w:pPr>
            <w:r>
              <w:rPr>
                <w:rFonts w:ascii="Arial" w:cs="Arial" w:eastAsia="Arial" w:hAnsi="Arial"/>
                <w:sz w:val="18"/>
                <w:szCs w:val="18"/>
                <w:color w:val="auto"/>
              </w:rPr>
              <w:t>103.27</w:t>
            </w:r>
          </w:p>
        </w:tc>
        <w:tc>
          <w:tcPr>
            <w:tcW w:w="160" w:type="dxa"/>
            <w:vAlign w:val="bottom"/>
            <w:tcBorders>
              <w:bottom w:val="single" w:sz="8" w:color="auto"/>
            </w:tcBorders>
            <w:shd w:val="clear" w:color="auto" w:fill="E5FFFF"/>
          </w:tcPr>
          <w:p>
            <w:pPr>
              <w:spacing w:after="0"/>
              <w:rPr>
                <w:sz w:val="18"/>
                <w:szCs w:val="18"/>
                <w:color w:val="auto"/>
              </w:rPr>
            </w:pPr>
          </w:p>
        </w:tc>
        <w:tc>
          <w:tcPr>
            <w:tcW w:w="960" w:type="dxa"/>
            <w:vAlign w:val="bottom"/>
            <w:tcBorders>
              <w:bottom w:val="single" w:sz="8" w:color="auto"/>
            </w:tcBorders>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28,667,300</w:t>
            </w:r>
          </w:p>
        </w:tc>
        <w:tc>
          <w:tcPr>
            <w:tcW w:w="1460" w:type="dxa"/>
            <w:vAlign w:val="bottom"/>
            <w:gridSpan w:val="4"/>
          </w:tcPr>
          <w:p>
            <w:pPr>
              <w:jc w:val="right"/>
              <w:ind w:right="160"/>
              <w:spacing w:after="0" w:line="197" w:lineRule="exact"/>
              <w:rPr>
                <w:sz w:val="20"/>
                <w:szCs w:val="20"/>
                <w:color w:val="auto"/>
              </w:rPr>
            </w:pPr>
            <w:r>
              <w:rPr>
                <w:rFonts w:ascii="Arial" w:cs="Arial" w:eastAsia="Arial" w:hAnsi="Arial"/>
                <w:sz w:val="18"/>
                <w:szCs w:val="18"/>
                <w:color w:val="auto"/>
              </w:rPr>
              <w:t>6.43</w:t>
            </w:r>
          </w:p>
        </w:tc>
        <w:tc>
          <w:tcPr>
            <w:tcW w:w="360" w:type="dxa"/>
            <w:vAlign w:val="bottom"/>
          </w:tcPr>
          <w:p>
            <w:pPr>
              <w:spacing w:after="0"/>
              <w:rPr>
                <w:sz w:val="18"/>
                <w:szCs w:val="18"/>
                <w:color w:val="auto"/>
              </w:rPr>
            </w:pPr>
          </w:p>
        </w:tc>
        <w:tc>
          <w:tcPr>
            <w:tcW w:w="1240" w:type="dxa"/>
            <w:vAlign w:val="bottom"/>
            <w:gridSpan w:val="3"/>
          </w:tcPr>
          <w:p>
            <w:pPr>
              <w:jc w:val="right"/>
              <w:ind w:right="320"/>
              <w:spacing w:after="0" w:line="197" w:lineRule="exact"/>
              <w:rPr>
                <w:sz w:val="20"/>
                <w:szCs w:val="20"/>
                <w:color w:val="auto"/>
              </w:rPr>
            </w:pPr>
            <w:r>
              <w:rPr>
                <w:rFonts w:ascii="Arial" w:cs="Arial" w:eastAsia="Arial" w:hAnsi="Arial"/>
                <w:sz w:val="18"/>
                <w:szCs w:val="18"/>
                <w:color w:val="auto"/>
              </w:rPr>
              <w:t>79.57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1,040</w:t>
            </w:r>
          </w:p>
        </w:tc>
        <w:tc>
          <w:tcPr>
            <w:tcW w:w="220" w:type="dxa"/>
            <w:vAlign w:val="bottom"/>
          </w:tcPr>
          <w:p>
            <w:pPr>
              <w:spacing w:after="0"/>
              <w:rPr>
                <w:sz w:val="18"/>
                <w:szCs w:val="18"/>
                <w:color w:val="auto"/>
              </w:rPr>
            </w:pPr>
          </w:p>
        </w:tc>
        <w:tc>
          <w:tcPr>
            <w:tcW w:w="12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15,536,961</w:t>
            </w:r>
          </w:p>
        </w:tc>
        <w:tc>
          <w:tcPr>
            <w:tcW w:w="400" w:type="dxa"/>
            <w:vAlign w:val="bottom"/>
          </w:tcPr>
          <w:p>
            <w:pPr>
              <w:spacing w:after="0"/>
              <w:rPr>
                <w:sz w:val="18"/>
                <w:szCs w:val="18"/>
                <w:color w:val="auto"/>
              </w:rPr>
            </w:pPr>
          </w:p>
        </w:tc>
        <w:tc>
          <w:tcPr>
            <w:tcW w:w="1160" w:type="dxa"/>
            <w:vAlign w:val="bottom"/>
            <w:gridSpan w:val="3"/>
          </w:tcPr>
          <w:p>
            <w:pPr>
              <w:jc w:val="right"/>
              <w:ind w:right="320"/>
              <w:spacing w:after="0" w:line="197" w:lineRule="exact"/>
              <w:rPr>
                <w:sz w:val="20"/>
                <w:szCs w:val="20"/>
                <w:color w:val="auto"/>
              </w:rPr>
            </w:pPr>
            <w:r>
              <w:rPr>
                <w:rFonts w:ascii="Arial" w:cs="Arial" w:eastAsia="Arial" w:hAnsi="Arial"/>
                <w:sz w:val="18"/>
                <w:szCs w:val="18"/>
                <w:color w:val="auto"/>
              </w:rPr>
              <w:t>63.39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Average remaining contractual life in years.</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There were 17,202,377, and 16,019,742 options exercisable at weighted average exercise prices of $55.11 and $49.40 at December 31, 2015 and 2014.</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financial statement impact from stock options exercised:</w:t>
      </w:r>
    </w:p>
    <w:p>
      <w:pPr>
        <w:spacing w:after="0" w:line="159" w:lineRule="exact"/>
        <w:rPr>
          <w:sz w:val="20"/>
          <w:szCs w:val="20"/>
          <w:color w:val="auto"/>
        </w:rPr>
      </w:pPr>
    </w:p>
    <w:tbl>
      <w:tblPr>
        <w:tblLayout w:type="fixed"/>
        <w:tblInd w:w="1160" w:type="dxa"/>
        <w:tblCellMar>
          <w:top w:w="0" w:type="dxa"/>
          <w:left w:w="0" w:type="dxa"/>
          <w:bottom w:w="0" w:type="dxa"/>
          <w:right w:w="0" w:type="dxa"/>
        </w:tblCellMar>
      </w:tblPr>
      <w:tr>
        <w:trPr>
          <w:trHeight w:val="175"/>
        </w:trPr>
        <w:tc>
          <w:tcPr>
            <w:tcW w:w="4740" w:type="dxa"/>
            <w:vAlign w:val="bottom"/>
            <w:vMerge w:val="restart"/>
          </w:tcPr>
          <w:p>
            <w:pPr>
              <w:ind w:left="1760"/>
              <w:spacing w:after="0"/>
              <w:rPr>
                <w:sz w:val="20"/>
                <w:szCs w:val="20"/>
                <w:color w:val="auto"/>
              </w:rPr>
            </w:pPr>
            <w:r>
              <w:rPr>
                <w:rFonts w:ascii="Arial" w:cs="Arial" w:eastAsia="Arial" w:hAnsi="Arial"/>
                <w:sz w:val="14"/>
                <w:szCs w:val="14"/>
                <w:b w:val="1"/>
                <w:bCs w:val="1"/>
                <w:color w:val="auto"/>
              </w:rPr>
              <w:t>Options Exercised</w:t>
            </w:r>
          </w:p>
        </w:tc>
        <w:tc>
          <w:tcPr>
            <w:tcW w:w="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4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36"/>
        </w:trPr>
        <w:tc>
          <w:tcPr>
            <w:tcW w:w="4740" w:type="dxa"/>
            <w:vAlign w:val="bottom"/>
          </w:tcPr>
          <w:p>
            <w:pPr>
              <w:ind w:left="20"/>
              <w:spacing w:after="0" w:line="236" w:lineRule="exact"/>
              <w:rPr>
                <w:sz w:val="20"/>
                <w:szCs w:val="20"/>
                <w:color w:val="auto"/>
              </w:rPr>
            </w:pPr>
            <w:r>
              <w:rPr>
                <w:rFonts w:ascii="Arial" w:cs="Arial" w:eastAsia="Arial" w:hAnsi="Arial"/>
                <w:sz w:val="17"/>
                <w:szCs w:val="17"/>
                <w:color w:val="auto"/>
              </w:rPr>
              <w:t>Intrinsic value</w:t>
            </w:r>
            <w:r>
              <w:rPr>
                <w:rFonts w:ascii="Arial" w:cs="Arial" w:eastAsia="Arial" w:hAnsi="Arial"/>
                <w:sz w:val="27"/>
                <w:szCs w:val="27"/>
                <w:color w:val="auto"/>
                <w:vertAlign w:val="superscript"/>
              </w:rPr>
              <w:t>(1)</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395</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210</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7"/>
        </w:trPr>
        <w:tc>
          <w:tcPr>
            <w:tcW w:w="4740" w:type="dxa"/>
            <w:vAlign w:val="bottom"/>
          </w:tcPr>
          <w:p>
            <w:pPr>
              <w:ind w:left="20"/>
              <w:spacing w:after="0"/>
              <w:rPr>
                <w:sz w:val="20"/>
                <w:szCs w:val="20"/>
                <w:color w:val="auto"/>
              </w:rPr>
            </w:pPr>
            <w:r>
              <w:rPr>
                <w:rFonts w:ascii="Arial" w:cs="Arial" w:eastAsia="Arial" w:hAnsi="Arial"/>
                <w:sz w:val="18"/>
                <w:szCs w:val="18"/>
                <w:color w:val="auto"/>
              </w:rPr>
              <w:t>Tax benefit realized</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 Represents the amount by which the stock price exceeded the exercise price of the options on the date of exercise.</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At December 31, 2016 there was $126 million of total unrecognized compensation cost related to non-vested stock option awards which is expected to be recognized over a weighted-average period of 2.29 years. The total fair value of options vested during 2016, 2015 and 2014 was $76 million, $73 million and $72 million.</w:t>
      </w:r>
    </w:p>
    <w:p>
      <w:pPr>
        <w:spacing w:after="0" w:line="1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i w:val="1"/>
          <w:iCs w:val="1"/>
          <w:color w:val="auto"/>
        </w:rPr>
        <w:t>Restricted Stock Units</w:t>
      </w:r>
      <w:r>
        <w:rPr>
          <w:rFonts w:ascii="Arial" w:cs="Arial" w:eastAsia="Arial" w:hAnsi="Arial"/>
          <w:sz w:val="18"/>
          <w:szCs w:val="18"/>
          <w:color w:val="auto"/>
        </w:rPr>
        <w:t>—Restricted stock unit (RSU) awards entitle the holder to receive one share of common stock for each unit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the units vest. RSUs are issued to certain key employees and directors as compensation at fair market value at the date of grant. RSUs typically become fully vested over periods ranging from three to seven years and are payable in Honeywell common stock upon vesting.</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RSU activity for the three years ended December 31, 2016: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20"/>
          <w:szCs w:val="20"/>
          <w:b w:val="1"/>
          <w:bCs w:val="1"/>
          <w:color w:val="auto"/>
        </w:rPr>
        <w:t>HONEYWELL INTERNATIONAL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 – (CONTINUED)</w:t>
      </w:r>
    </w:p>
    <w:p>
      <w:pPr>
        <w:jc w:val="center"/>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14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5"/>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35"/>
              <w:spacing w:after="0"/>
              <w:rPr>
                <w:sz w:val="20"/>
                <w:szCs w:val="20"/>
                <w:color w:val="auto"/>
              </w:rPr>
            </w:pPr>
            <w:r>
              <w:rPr>
                <w:rFonts w:ascii="Arial" w:cs="Arial" w:eastAsia="Arial" w:hAnsi="Arial"/>
                <w:sz w:val="14"/>
                <w:szCs w:val="14"/>
                <w:b w:val="1"/>
                <w:bCs w:val="1"/>
                <w:color w:val="auto"/>
              </w:rPr>
              <w:t>Average</w:t>
            </w:r>
          </w:p>
        </w:tc>
      </w:tr>
      <w:tr>
        <w:trPr>
          <w:trHeight w:val="162"/>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5"/>
              <w:spacing w:after="0"/>
              <w:rPr>
                <w:sz w:val="20"/>
                <w:szCs w:val="20"/>
                <w:color w:val="auto"/>
              </w:rPr>
            </w:pPr>
            <w:r>
              <w:rPr>
                <w:rFonts w:ascii="Arial" w:cs="Arial" w:eastAsia="Arial" w:hAnsi="Arial"/>
                <w:sz w:val="14"/>
                <w:szCs w:val="14"/>
                <w:b w:val="1"/>
                <w:bCs w:val="1"/>
                <w:color w:val="auto"/>
              </w:rPr>
              <w:t>Grant Date</w:t>
            </w:r>
          </w:p>
        </w:tc>
      </w:tr>
      <w:tr>
        <w:trPr>
          <w:trHeight w:val="162"/>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Restricted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35"/>
              <w:spacing w:after="0"/>
              <w:rPr>
                <w:sz w:val="20"/>
                <w:szCs w:val="20"/>
                <w:color w:val="auto"/>
              </w:rPr>
            </w:pPr>
            <w:r>
              <w:rPr>
                <w:rFonts w:ascii="Arial" w:cs="Arial" w:eastAsia="Arial" w:hAnsi="Arial"/>
                <w:sz w:val="14"/>
                <w:szCs w:val="14"/>
                <w:b w:val="1"/>
                <w:bCs w:val="1"/>
                <w:color w:val="auto"/>
              </w:rPr>
              <w:t>Fair Value</w:t>
            </w:r>
          </w:p>
        </w:tc>
      </w:tr>
      <w:tr>
        <w:trPr>
          <w:trHeight w:val="175"/>
        </w:trPr>
        <w:tc>
          <w:tcPr>
            <w:tcW w:w="20" w:type="dxa"/>
            <w:vAlign w:val="bottom"/>
          </w:tcPr>
          <w:p>
            <w:pPr>
              <w:spacing w:after="0"/>
              <w:rPr>
                <w:sz w:val="15"/>
                <w:szCs w:val="15"/>
                <w:color w:val="auto"/>
              </w:rPr>
            </w:pPr>
          </w:p>
        </w:tc>
        <w:tc>
          <w:tcPr>
            <w:tcW w:w="6680" w:type="dxa"/>
            <w:vAlign w:val="bottom"/>
            <w:tcBorders>
              <w:bottom w:val="single" w:sz="8" w:color="E5FF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Stock Units</w:t>
            </w:r>
          </w:p>
        </w:tc>
        <w:tc>
          <w:tcPr>
            <w:tcW w:w="280" w:type="dxa"/>
            <w:vAlign w:val="bottom"/>
            <w:tcBorders>
              <w:bottom w:val="single" w:sz="8" w:color="E5FF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Per Share</w:t>
            </w:r>
          </w:p>
        </w:tc>
      </w:tr>
      <w:tr>
        <w:trPr>
          <w:trHeight w:val="196"/>
        </w:trPr>
        <w:tc>
          <w:tcPr>
            <w:tcW w:w="20" w:type="dxa"/>
            <w:vAlign w:val="bottom"/>
          </w:tcPr>
          <w:p>
            <w:pPr>
              <w:spacing w:after="0"/>
              <w:rPr>
                <w:sz w:val="17"/>
                <w:szCs w:val="17"/>
                <w:color w:val="auto"/>
              </w:rPr>
            </w:pPr>
          </w:p>
        </w:tc>
        <w:tc>
          <w:tcPr>
            <w:tcW w:w="66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Non-vested at December 31, 2013</w:t>
            </w:r>
          </w:p>
        </w:tc>
        <w:tc>
          <w:tcPr>
            <w:tcW w:w="10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6,692,220</w:t>
            </w:r>
          </w:p>
        </w:tc>
        <w:tc>
          <w:tcPr>
            <w:tcW w:w="280" w:type="dxa"/>
            <w:vAlign w:val="bottom"/>
            <w:shd w:val="clear" w:color="auto" w:fill="E5FFFF"/>
          </w:tcPr>
          <w:p>
            <w:pPr>
              <w:spacing w:after="0"/>
              <w:rPr>
                <w:sz w:val="17"/>
                <w:szCs w:val="17"/>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60.04</w:t>
            </w:r>
          </w:p>
        </w:tc>
      </w:tr>
      <w:tr>
        <w:trPr>
          <w:trHeight w:val="203"/>
        </w:trPr>
        <w:tc>
          <w:tcPr>
            <w:tcW w:w="20" w:type="dxa"/>
            <w:vAlign w:val="bottom"/>
          </w:tcPr>
          <w:p>
            <w:pPr>
              <w:spacing w:after="0"/>
              <w:rPr>
                <w:sz w:val="17"/>
                <w:szCs w:val="17"/>
                <w:color w:val="auto"/>
              </w:rPr>
            </w:pPr>
          </w:p>
        </w:tc>
        <w:tc>
          <w:tcPr>
            <w:tcW w:w="6680" w:type="dxa"/>
            <w:vAlign w:val="bottom"/>
          </w:tcPr>
          <w:p>
            <w:pPr>
              <w:ind w:left="220"/>
              <w:spacing w:after="0" w:line="202" w:lineRule="exact"/>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1,455,209</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94.88</w:t>
            </w:r>
          </w:p>
        </w:tc>
      </w:tr>
      <w:tr>
        <w:trPr>
          <w:trHeight w:val="203"/>
        </w:trPr>
        <w:tc>
          <w:tcPr>
            <w:tcW w:w="20" w:type="dxa"/>
            <w:vAlign w:val="bottom"/>
          </w:tcPr>
          <w:p>
            <w:pPr>
              <w:spacing w:after="0"/>
              <w:rPr>
                <w:sz w:val="17"/>
                <w:szCs w:val="17"/>
                <w:color w:val="auto"/>
              </w:rPr>
            </w:pPr>
          </w:p>
        </w:tc>
        <w:tc>
          <w:tcPr>
            <w:tcW w:w="6680" w:type="dxa"/>
            <w:vAlign w:val="bottom"/>
            <w:shd w:val="clear" w:color="auto" w:fill="E5FFFF"/>
          </w:tcPr>
          <w:p>
            <w:pPr>
              <w:ind w:left="220"/>
              <w:spacing w:after="0" w:line="202" w:lineRule="exact"/>
              <w:rPr>
                <w:sz w:val="20"/>
                <w:szCs w:val="20"/>
                <w:color w:val="auto"/>
              </w:rPr>
            </w:pPr>
            <w:r>
              <w:rPr>
                <w:rFonts w:ascii="Arial" w:cs="Arial" w:eastAsia="Arial" w:hAnsi="Arial"/>
                <w:sz w:val="18"/>
                <w:szCs w:val="18"/>
                <w:color w:val="auto"/>
              </w:rPr>
              <w:t>Vested</w:t>
            </w: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(1,787,894)</w:t>
            </w:r>
          </w:p>
        </w:tc>
        <w:tc>
          <w:tcPr>
            <w:tcW w:w="2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53.63</w:t>
            </w:r>
          </w:p>
        </w:tc>
      </w:tr>
      <w:tr>
        <w:trPr>
          <w:trHeight w:val="216"/>
        </w:trPr>
        <w:tc>
          <w:tcPr>
            <w:tcW w:w="20" w:type="dxa"/>
            <w:vAlign w:val="bottom"/>
          </w:tcPr>
          <w:p>
            <w:pPr>
              <w:spacing w:after="0"/>
              <w:rPr>
                <w:sz w:val="18"/>
                <w:szCs w:val="18"/>
                <w:color w:val="auto"/>
              </w:rPr>
            </w:pPr>
          </w:p>
        </w:tc>
        <w:tc>
          <w:tcPr>
            <w:tcW w:w="6680" w:type="dxa"/>
            <w:vAlign w:val="bottom"/>
            <w:tcBorders>
              <w:bottom w:val="single" w:sz="8" w:color="E5FFFF"/>
            </w:tcBorders>
          </w:tcPr>
          <w:p>
            <w:pPr>
              <w:ind w:left="220"/>
              <w:spacing w:after="0"/>
              <w:rPr>
                <w:sz w:val="20"/>
                <w:szCs w:val="20"/>
                <w:color w:val="auto"/>
              </w:rPr>
            </w:pPr>
            <w:r>
              <w:rPr>
                <w:rFonts w:ascii="Arial" w:cs="Arial" w:eastAsia="Arial" w:hAnsi="Arial"/>
                <w:sz w:val="18"/>
                <w:szCs w:val="18"/>
                <w:color w:val="auto"/>
              </w:rPr>
              <w:t>Forfeited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(460,341)</w:t>
            </w:r>
          </w:p>
        </w:tc>
        <w:tc>
          <w:tcPr>
            <w:tcW w:w="280" w:type="dxa"/>
            <w:vAlign w:val="bottom"/>
            <w:tcBorders>
              <w:bottom w:val="single" w:sz="8" w:color="E5FFFF"/>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960" w:type="dxa"/>
            <w:vAlign w:val="bottom"/>
            <w:tcBorders>
              <w:bottom w:val="single" w:sz="8" w:color="E5FFFF"/>
            </w:tcBorders>
          </w:tcPr>
          <w:p>
            <w:pPr>
              <w:jc w:val="right"/>
              <w:spacing w:after="0"/>
              <w:rPr>
                <w:sz w:val="20"/>
                <w:szCs w:val="20"/>
                <w:color w:val="auto"/>
              </w:rPr>
            </w:pPr>
            <w:r>
              <w:rPr>
                <w:rFonts w:ascii="Arial" w:cs="Arial" w:eastAsia="Arial" w:hAnsi="Arial"/>
                <w:sz w:val="18"/>
                <w:szCs w:val="18"/>
                <w:color w:val="auto"/>
              </w:rPr>
              <w:t>63.54</w:t>
            </w:r>
          </w:p>
        </w:tc>
      </w:tr>
      <w:tr>
        <w:trPr>
          <w:trHeight w:val="196"/>
        </w:trPr>
        <w:tc>
          <w:tcPr>
            <w:tcW w:w="20" w:type="dxa"/>
            <w:vAlign w:val="bottom"/>
          </w:tcPr>
          <w:p>
            <w:pPr>
              <w:spacing w:after="0"/>
              <w:rPr>
                <w:sz w:val="17"/>
                <w:szCs w:val="17"/>
                <w:color w:val="auto"/>
              </w:rPr>
            </w:pPr>
          </w:p>
        </w:tc>
        <w:tc>
          <w:tcPr>
            <w:tcW w:w="66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Non-vested at December 31, 2014</w:t>
            </w:r>
          </w:p>
        </w:tc>
        <w:tc>
          <w:tcPr>
            <w:tcW w:w="10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5,899,194</w:t>
            </w:r>
          </w:p>
        </w:tc>
        <w:tc>
          <w:tcPr>
            <w:tcW w:w="2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70.32</w:t>
            </w:r>
          </w:p>
        </w:tc>
      </w:tr>
      <w:tr>
        <w:trPr>
          <w:trHeight w:val="203"/>
        </w:trPr>
        <w:tc>
          <w:tcPr>
            <w:tcW w:w="20" w:type="dxa"/>
            <w:vAlign w:val="bottom"/>
          </w:tcPr>
          <w:p>
            <w:pPr>
              <w:spacing w:after="0"/>
              <w:rPr>
                <w:sz w:val="17"/>
                <w:szCs w:val="17"/>
                <w:color w:val="auto"/>
              </w:rPr>
            </w:pPr>
          </w:p>
        </w:tc>
        <w:tc>
          <w:tcPr>
            <w:tcW w:w="6680" w:type="dxa"/>
            <w:vAlign w:val="bottom"/>
          </w:tcPr>
          <w:p>
            <w:pPr>
              <w:ind w:left="220"/>
              <w:spacing w:after="0" w:line="202" w:lineRule="exact"/>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1,190,406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103.04</w:t>
            </w:r>
          </w:p>
        </w:tc>
      </w:tr>
      <w:tr>
        <w:trPr>
          <w:trHeight w:val="203"/>
        </w:trPr>
        <w:tc>
          <w:tcPr>
            <w:tcW w:w="20" w:type="dxa"/>
            <w:vAlign w:val="bottom"/>
          </w:tcPr>
          <w:p>
            <w:pPr>
              <w:spacing w:after="0"/>
              <w:rPr>
                <w:sz w:val="17"/>
                <w:szCs w:val="17"/>
                <w:color w:val="auto"/>
              </w:rPr>
            </w:pPr>
          </w:p>
        </w:tc>
        <w:tc>
          <w:tcPr>
            <w:tcW w:w="6680" w:type="dxa"/>
            <w:vAlign w:val="bottom"/>
            <w:shd w:val="clear" w:color="auto" w:fill="E5FFFF"/>
          </w:tcPr>
          <w:p>
            <w:pPr>
              <w:ind w:left="220"/>
              <w:spacing w:after="0" w:line="202" w:lineRule="exact"/>
              <w:rPr>
                <w:sz w:val="20"/>
                <w:szCs w:val="20"/>
                <w:color w:val="auto"/>
              </w:rPr>
            </w:pPr>
            <w:r>
              <w:rPr>
                <w:rFonts w:ascii="Arial" w:cs="Arial" w:eastAsia="Arial" w:hAnsi="Arial"/>
                <w:sz w:val="18"/>
                <w:szCs w:val="18"/>
                <w:color w:val="auto"/>
              </w:rPr>
              <w:t>Vested</w:t>
            </w: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(1,681,342)</w:t>
            </w:r>
          </w:p>
        </w:tc>
        <w:tc>
          <w:tcPr>
            <w:tcW w:w="2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56.38</w:t>
            </w:r>
          </w:p>
        </w:tc>
      </w:tr>
      <w:tr>
        <w:trPr>
          <w:trHeight w:val="216"/>
        </w:trPr>
        <w:tc>
          <w:tcPr>
            <w:tcW w:w="20" w:type="dxa"/>
            <w:vAlign w:val="bottom"/>
          </w:tcPr>
          <w:p>
            <w:pPr>
              <w:spacing w:after="0"/>
              <w:rPr>
                <w:sz w:val="18"/>
                <w:szCs w:val="18"/>
                <w:color w:val="auto"/>
              </w:rPr>
            </w:pPr>
          </w:p>
        </w:tc>
        <w:tc>
          <w:tcPr>
            <w:tcW w:w="6680" w:type="dxa"/>
            <w:vAlign w:val="bottom"/>
            <w:tcBorders>
              <w:bottom w:val="single" w:sz="8" w:color="E5FFFF"/>
            </w:tcBorders>
          </w:tcPr>
          <w:p>
            <w:pPr>
              <w:ind w:left="220"/>
              <w:spacing w:after="0"/>
              <w:rPr>
                <w:sz w:val="20"/>
                <w:szCs w:val="20"/>
                <w:color w:val="auto"/>
              </w:rPr>
            </w:pPr>
            <w:r>
              <w:rPr>
                <w:rFonts w:ascii="Arial" w:cs="Arial" w:eastAsia="Arial" w:hAnsi="Arial"/>
                <w:sz w:val="18"/>
                <w:szCs w:val="18"/>
                <w:color w:val="auto"/>
              </w:rPr>
              <w:t>Forfeited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(426,670)</w:t>
            </w:r>
          </w:p>
        </w:tc>
        <w:tc>
          <w:tcPr>
            <w:tcW w:w="280" w:type="dxa"/>
            <w:vAlign w:val="bottom"/>
            <w:tcBorders>
              <w:bottom w:val="single" w:sz="8" w:color="E5FFFF"/>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960" w:type="dxa"/>
            <w:vAlign w:val="bottom"/>
            <w:tcBorders>
              <w:bottom w:val="single" w:sz="8" w:color="E5FFFF"/>
            </w:tcBorders>
          </w:tcPr>
          <w:p>
            <w:pPr>
              <w:jc w:val="right"/>
              <w:spacing w:after="0"/>
              <w:rPr>
                <w:sz w:val="20"/>
                <w:szCs w:val="20"/>
                <w:color w:val="auto"/>
              </w:rPr>
            </w:pPr>
            <w:r>
              <w:rPr>
                <w:rFonts w:ascii="Arial" w:cs="Arial" w:eastAsia="Arial" w:hAnsi="Arial"/>
                <w:sz w:val="18"/>
                <w:szCs w:val="18"/>
                <w:color w:val="auto"/>
              </w:rPr>
              <w:t>77.73</w:t>
            </w:r>
          </w:p>
        </w:tc>
      </w:tr>
      <w:tr>
        <w:trPr>
          <w:trHeight w:val="196"/>
        </w:trPr>
        <w:tc>
          <w:tcPr>
            <w:tcW w:w="20" w:type="dxa"/>
            <w:vAlign w:val="bottom"/>
          </w:tcPr>
          <w:p>
            <w:pPr>
              <w:spacing w:after="0"/>
              <w:rPr>
                <w:sz w:val="17"/>
                <w:szCs w:val="17"/>
                <w:color w:val="auto"/>
              </w:rPr>
            </w:pPr>
          </w:p>
        </w:tc>
        <w:tc>
          <w:tcPr>
            <w:tcW w:w="66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Non-vested at December 31, 2015</w:t>
            </w:r>
          </w:p>
        </w:tc>
        <w:tc>
          <w:tcPr>
            <w:tcW w:w="10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4,981,588</w:t>
            </w:r>
          </w:p>
        </w:tc>
        <w:tc>
          <w:tcPr>
            <w:tcW w:w="2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82.18</w:t>
            </w:r>
          </w:p>
        </w:tc>
      </w:tr>
      <w:tr>
        <w:trPr>
          <w:trHeight w:val="203"/>
        </w:trPr>
        <w:tc>
          <w:tcPr>
            <w:tcW w:w="20" w:type="dxa"/>
            <w:vAlign w:val="bottom"/>
          </w:tcPr>
          <w:p>
            <w:pPr>
              <w:spacing w:after="0"/>
              <w:rPr>
                <w:sz w:val="17"/>
                <w:szCs w:val="17"/>
                <w:color w:val="auto"/>
              </w:rPr>
            </w:pPr>
          </w:p>
        </w:tc>
        <w:tc>
          <w:tcPr>
            <w:tcW w:w="6680" w:type="dxa"/>
            <w:vAlign w:val="bottom"/>
          </w:tcPr>
          <w:p>
            <w:pPr>
              <w:ind w:left="220"/>
              <w:spacing w:after="0" w:line="202" w:lineRule="exact"/>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1,364,469</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110.49</w:t>
            </w:r>
          </w:p>
        </w:tc>
      </w:tr>
      <w:tr>
        <w:trPr>
          <w:trHeight w:val="203"/>
        </w:trPr>
        <w:tc>
          <w:tcPr>
            <w:tcW w:w="20" w:type="dxa"/>
            <w:vAlign w:val="bottom"/>
          </w:tcPr>
          <w:p>
            <w:pPr>
              <w:spacing w:after="0"/>
              <w:rPr>
                <w:sz w:val="17"/>
                <w:szCs w:val="17"/>
                <w:color w:val="auto"/>
              </w:rPr>
            </w:pPr>
          </w:p>
        </w:tc>
        <w:tc>
          <w:tcPr>
            <w:tcW w:w="6680" w:type="dxa"/>
            <w:vAlign w:val="bottom"/>
            <w:shd w:val="clear" w:color="auto" w:fill="E5FFFF"/>
          </w:tcPr>
          <w:p>
            <w:pPr>
              <w:ind w:left="220"/>
              <w:spacing w:after="0" w:line="202" w:lineRule="exact"/>
              <w:rPr>
                <w:sz w:val="20"/>
                <w:szCs w:val="20"/>
                <w:color w:val="auto"/>
              </w:rPr>
            </w:pPr>
            <w:r>
              <w:rPr>
                <w:rFonts w:ascii="Arial" w:cs="Arial" w:eastAsia="Arial" w:hAnsi="Arial"/>
                <w:sz w:val="18"/>
                <w:szCs w:val="18"/>
                <w:color w:val="auto"/>
              </w:rPr>
              <w:t>Vested</w:t>
            </w: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(1,486,173)</w:t>
            </w:r>
          </w:p>
        </w:tc>
        <w:tc>
          <w:tcPr>
            <w:tcW w:w="2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68.58</w:t>
            </w:r>
          </w:p>
        </w:tc>
      </w:tr>
      <w:tr>
        <w:trPr>
          <w:trHeight w:val="216"/>
        </w:trPr>
        <w:tc>
          <w:tcPr>
            <w:tcW w:w="20" w:type="dxa"/>
            <w:vAlign w:val="bottom"/>
          </w:tcPr>
          <w:p>
            <w:pPr>
              <w:spacing w:after="0"/>
              <w:rPr>
                <w:sz w:val="18"/>
                <w:szCs w:val="18"/>
                <w:color w:val="auto"/>
              </w:rPr>
            </w:pPr>
          </w:p>
        </w:tc>
        <w:tc>
          <w:tcPr>
            <w:tcW w:w="6680" w:type="dxa"/>
            <w:vAlign w:val="bottom"/>
            <w:tcBorders>
              <w:bottom w:val="single" w:sz="8" w:color="E5FFFF"/>
            </w:tcBorders>
          </w:tcPr>
          <w:p>
            <w:pPr>
              <w:ind w:left="220"/>
              <w:spacing w:after="0"/>
              <w:rPr>
                <w:sz w:val="20"/>
                <w:szCs w:val="20"/>
                <w:color w:val="auto"/>
              </w:rPr>
            </w:pPr>
            <w:r>
              <w:rPr>
                <w:rFonts w:ascii="Arial" w:cs="Arial" w:eastAsia="Arial" w:hAnsi="Arial"/>
                <w:sz w:val="18"/>
                <w:szCs w:val="18"/>
                <w:color w:val="auto"/>
              </w:rPr>
              <w:t>Forfeited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(392,541)</w:t>
            </w:r>
          </w:p>
        </w:tc>
        <w:tc>
          <w:tcPr>
            <w:tcW w:w="280" w:type="dxa"/>
            <w:vAlign w:val="bottom"/>
            <w:tcBorders>
              <w:bottom w:val="single" w:sz="8" w:color="E5FFFF"/>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960" w:type="dxa"/>
            <w:vAlign w:val="bottom"/>
            <w:tcBorders>
              <w:bottom w:val="single" w:sz="8" w:color="E5FFFF"/>
            </w:tcBorders>
          </w:tcPr>
          <w:p>
            <w:pPr>
              <w:jc w:val="right"/>
              <w:spacing w:after="0"/>
              <w:rPr>
                <w:sz w:val="20"/>
                <w:szCs w:val="20"/>
                <w:color w:val="auto"/>
              </w:rPr>
            </w:pPr>
            <w:r>
              <w:rPr>
                <w:rFonts w:ascii="Arial" w:cs="Arial" w:eastAsia="Arial" w:hAnsi="Arial"/>
                <w:sz w:val="18"/>
                <w:szCs w:val="18"/>
                <w:color w:val="auto"/>
              </w:rPr>
              <w:t>88.88</w:t>
            </w:r>
          </w:p>
        </w:tc>
      </w:tr>
      <w:tr>
        <w:trPr>
          <w:trHeight w:val="210"/>
        </w:trPr>
        <w:tc>
          <w:tcPr>
            <w:tcW w:w="20" w:type="dxa"/>
            <w:vAlign w:val="bottom"/>
          </w:tcPr>
          <w:p>
            <w:pPr>
              <w:spacing w:after="0"/>
              <w:rPr>
                <w:sz w:val="18"/>
                <w:szCs w:val="18"/>
                <w:color w:val="auto"/>
              </w:rPr>
            </w:pPr>
          </w:p>
        </w:tc>
        <w:tc>
          <w:tcPr>
            <w:tcW w:w="6680" w:type="dxa"/>
            <w:vAlign w:val="bottom"/>
            <w:tcBorders>
              <w:bottom w:val="single" w:sz="8" w:color="E5FFFF"/>
            </w:tcBorders>
            <w:shd w:val="clear" w:color="auto" w:fill="E5FFFF"/>
          </w:tcPr>
          <w:p>
            <w:pPr>
              <w:spacing w:after="0" w:line="197" w:lineRule="exact"/>
              <w:rPr>
                <w:sz w:val="20"/>
                <w:szCs w:val="20"/>
                <w:color w:val="auto"/>
              </w:rPr>
            </w:pPr>
            <w:r>
              <w:rPr>
                <w:rFonts w:ascii="Arial" w:cs="Arial" w:eastAsia="Arial" w:hAnsi="Arial"/>
                <w:sz w:val="18"/>
                <w:szCs w:val="18"/>
                <w:color w:val="auto"/>
              </w:rPr>
              <w:t>Non-vested at December 31, 2016</w:t>
            </w:r>
          </w:p>
        </w:tc>
        <w:tc>
          <w:tcPr>
            <w:tcW w:w="10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4,467,343</w:t>
            </w:r>
          </w:p>
        </w:tc>
        <w:tc>
          <w:tcPr>
            <w:tcW w:w="400" w:type="dxa"/>
            <w:vAlign w:val="bottom"/>
            <w:tcBorders>
              <w:bottom w:val="single" w:sz="8" w:color="E5FFFF"/>
            </w:tcBorders>
            <w:gridSpan w:val="2"/>
            <w:shd w:val="clear" w:color="auto" w:fill="E5FFFF"/>
          </w:tcPr>
          <w:p>
            <w:pPr>
              <w:jc w:val="right"/>
              <w:spacing w:after="0" w:line="197"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E5FFFF"/>
            </w:tcBorders>
            <w:shd w:val="clear" w:color="auto" w:fill="E5FFFF"/>
          </w:tcPr>
          <w:p>
            <w:pPr>
              <w:jc w:val="right"/>
              <w:spacing w:after="0" w:line="197" w:lineRule="exact"/>
              <w:rPr>
                <w:sz w:val="20"/>
                <w:szCs w:val="20"/>
                <w:color w:val="auto"/>
              </w:rPr>
            </w:pPr>
            <w:r>
              <w:rPr>
                <w:rFonts w:ascii="Arial" w:cs="Arial" w:eastAsia="Arial" w:hAnsi="Arial"/>
                <w:sz w:val="18"/>
                <w:szCs w:val="18"/>
                <w:color w:val="auto"/>
              </w:rPr>
              <w:t>94.17</w:t>
            </w: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As of December 31, 2016, there was approximately $193 million of total unrecognized compensation cost related to non-vested RSUs granted under our stock plans which is expected to be recognized over a weighted-average period of 3.57 years.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income statement impact from RSUs for the three years ended December 31, 2016:</w:t>
      </w:r>
    </w:p>
    <w:p>
      <w:pPr>
        <w:spacing w:after="0" w:line="240" w:lineRule="exact"/>
        <w:rPr>
          <w:sz w:val="20"/>
          <w:szCs w:val="20"/>
          <w:color w:val="auto"/>
        </w:rPr>
      </w:pPr>
    </w:p>
    <w:tbl>
      <w:tblPr>
        <w:tblLayout w:type="fixed"/>
        <w:tblInd w:w="620" w:type="dxa"/>
        <w:tblCellMar>
          <w:top w:w="0" w:type="dxa"/>
          <w:left w:w="0" w:type="dxa"/>
          <w:bottom w:w="0" w:type="dxa"/>
          <w:right w:w="0" w:type="dxa"/>
        </w:tblCellMar>
      </w:tblPr>
      <w:tr>
        <w:trPr>
          <w:trHeight w:val="175"/>
        </w:trPr>
        <w:tc>
          <w:tcPr>
            <w:tcW w:w="4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40" w:type="dxa"/>
            <w:vAlign w:val="bottom"/>
            <w:vMerge w:val="restart"/>
          </w:tcPr>
          <w:p>
            <w:pPr>
              <w:spacing w:after="0"/>
              <w:rPr>
                <w:sz w:val="20"/>
                <w:szCs w:val="20"/>
                <w:color w:val="auto"/>
              </w:rPr>
            </w:pPr>
            <w:r>
              <w:rPr>
                <w:rFonts w:ascii="Arial" w:cs="Arial" w:eastAsia="Arial" w:hAnsi="Arial"/>
                <w:sz w:val="18"/>
                <w:szCs w:val="18"/>
                <w:color w:val="auto"/>
              </w:rPr>
              <w:t>Compensation expense</w:t>
            </w:r>
          </w:p>
        </w:tc>
        <w:tc>
          <w:tcPr>
            <w:tcW w:w="2240" w:type="dxa"/>
            <w:vAlign w:val="bottom"/>
            <w:gridSpan w:val="2"/>
          </w:tcPr>
          <w:p>
            <w:pPr>
              <w:jc w:val="right"/>
              <w:ind w:right="5"/>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76"/>
              <w:spacing w:after="0"/>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76"/>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09"/>
        </w:trPr>
        <w:tc>
          <w:tcPr>
            <w:tcW w:w="434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tcBorders>
              <w:top w:val="single" w:sz="8" w:color="auto"/>
            </w:tcBorders>
          </w:tcPr>
          <w:p>
            <w:pPr>
              <w:jc w:val="right"/>
              <w:ind w:right="68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w:t>
            </w:r>
          </w:p>
        </w:tc>
        <w:tc>
          <w:tcPr>
            <w:tcW w:w="40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97</w:t>
            </w:r>
          </w:p>
        </w:tc>
        <w:tc>
          <w:tcPr>
            <w:tcW w:w="40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7"/>
        </w:trPr>
        <w:tc>
          <w:tcPr>
            <w:tcW w:w="4340" w:type="dxa"/>
            <w:vAlign w:val="bottom"/>
          </w:tcPr>
          <w:p>
            <w:pPr>
              <w:spacing w:after="0"/>
              <w:rPr>
                <w:sz w:val="20"/>
                <w:szCs w:val="20"/>
                <w:color w:val="auto"/>
              </w:rPr>
            </w:pPr>
            <w:r>
              <w:rPr>
                <w:rFonts w:ascii="Arial" w:cs="Arial" w:eastAsia="Arial" w:hAnsi="Arial"/>
                <w:sz w:val="18"/>
                <w:szCs w:val="18"/>
                <w:color w:val="auto"/>
              </w:rPr>
              <w:t>Future income tax benefit recognized</w:t>
            </w:r>
          </w:p>
        </w:tc>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Commitments and Contingencies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are subject to various federal, state, local and foreign government requirements relating to the protection of the environment. We believe that, as a general matter, our policies, practices and procedures are properly designed to prevent unreasonable risk of environmental damage and personal injury and that our handling, manufacture, use and disposal of hazardous substances are in accordance with environmental and safety laws and regulations. However, mainly because of past operations and operations of predecessor companies, we, like other companies engaged in similar businesses, have incurred remedial response and voluntary cleanup costs for site contamination and are a party to lawsuits and claims associated with environmental and safety matters, including past production of products containing hazardous substances. Additional lawsuits, claims and costs involving environmental matters are likely to continue to arise in the future.</w:t>
      </w:r>
    </w:p>
    <w:p>
      <w:pPr>
        <w:spacing w:after="0" w:line="19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With respect to environmental matters involving site contamination, we continually conduct studies, individually or jointly with other potentially responsible parties, to determine the feasibility of various remedial techniques. It is our policy to record appropriate liabilities for environmental matters when remedial efforts or damage claim payments are probable and the costs can be reasonably estimated. Such liabilities are based on our best estimate of the undiscounted future costs required to complete the remedial work. The recorded liabilities are adjusted periodically as remediation efforts progress or as additional technical, regulatory or legal information becomes available. Given the uncertainties regarding the status of laws, regulations, enforcement policies, the impact of other potentially responsible parties, technology and information related to individual sites, we do not believe it is possible to develop an estimate of the range of reasonably possible environmental loss in excess of</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recorded liabilities. We expect to fund expenditures for these matters from operating cash flow. The timing of cash expenditures depends on a number of factors, including the timing of remedial investigations and feasibility studies, the timing of litigation and settlements of remediation liability, personal injury and property damage claims, regulatory approval of cleanup projects, remedial techniques to be utilized and agreements with other parties.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concerning our recorded liabilities for environmental costs:</w:t>
      </w:r>
    </w:p>
    <w:p>
      <w:pPr>
        <w:spacing w:after="0" w:line="240"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86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8"/>
          </w:tcPr>
          <w:p>
            <w:pPr>
              <w:jc w:val="center"/>
              <w:ind w:right="410"/>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5"/>
                <w:szCs w:val="15"/>
                <w:color w:val="auto"/>
              </w:rPr>
            </w:pPr>
          </w:p>
        </w:tc>
      </w:tr>
      <w:tr>
        <w:trPr>
          <w:trHeight w:val="196"/>
        </w:trPr>
        <w:tc>
          <w:tcPr>
            <w:tcW w:w="86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ind w:right="413"/>
              <w:spacing w:after="0"/>
              <w:rPr>
                <w:sz w:val="20"/>
                <w:szCs w:val="20"/>
                <w:color w:val="auto"/>
              </w:rPr>
            </w:pPr>
            <w:r>
              <w:rPr>
                <w:rFonts w:ascii="Arial" w:cs="Arial" w:eastAsia="Arial" w:hAnsi="Arial"/>
                <w:sz w:val="14"/>
                <w:szCs w:val="14"/>
                <w:b w:val="1"/>
                <w:bCs w:val="1"/>
                <w:color w:val="auto"/>
              </w:rPr>
              <w:t>2014</w:t>
            </w:r>
          </w:p>
        </w:tc>
      </w:tr>
      <w:tr>
        <w:trPr>
          <w:trHeight w:val="196"/>
        </w:trPr>
        <w:tc>
          <w:tcPr>
            <w:tcW w:w="5900" w:type="dxa"/>
            <w:vAlign w:val="bottom"/>
            <w:tcBorders>
              <w:top w:val="single" w:sz="8" w:color="E5FFFF"/>
            </w:tcBorders>
            <w:gridSpan w:val="2"/>
            <w:shd w:val="clear" w:color="auto" w:fill="E5FFFF"/>
          </w:tcPr>
          <w:p>
            <w:pPr>
              <w:ind w:left="40"/>
              <w:spacing w:after="0" w:line="196" w:lineRule="exact"/>
              <w:rPr>
                <w:sz w:val="20"/>
                <w:szCs w:val="20"/>
                <w:color w:val="auto"/>
              </w:rPr>
            </w:pPr>
            <w:r>
              <w:rPr>
                <w:rFonts w:ascii="Arial" w:cs="Arial" w:eastAsia="Arial" w:hAnsi="Arial"/>
                <w:sz w:val="18"/>
                <w:szCs w:val="18"/>
                <w:color w:val="auto"/>
              </w:rPr>
              <w:t>Beginning of year</w:t>
            </w:r>
          </w:p>
        </w:tc>
        <w:tc>
          <w:tcPr>
            <w:tcW w:w="400" w:type="dxa"/>
            <w:vAlign w:val="bottom"/>
            <w:tcBorders>
              <w:top w:val="single" w:sz="8" w:color="E5FFFF"/>
            </w:tcBorders>
            <w:shd w:val="clear" w:color="auto" w:fill="E5FFFF"/>
          </w:tcPr>
          <w:p>
            <w:pPr>
              <w:spacing w:after="0"/>
              <w:rPr>
                <w:sz w:val="17"/>
                <w:szCs w:val="17"/>
                <w:color w:val="auto"/>
              </w:rPr>
            </w:pPr>
          </w:p>
        </w:tc>
        <w:tc>
          <w:tcPr>
            <w:tcW w:w="340" w:type="dxa"/>
            <w:vAlign w:val="bottom"/>
            <w:tcBorders>
              <w:top w:val="single" w:sz="8" w:color="auto"/>
            </w:tcBorders>
            <w:shd w:val="clear" w:color="auto" w:fill="E5FF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518</w:t>
            </w:r>
          </w:p>
        </w:tc>
        <w:tc>
          <w:tcPr>
            <w:tcW w:w="80" w:type="dxa"/>
            <w:vAlign w:val="bottom"/>
            <w:tcBorders>
              <w:top w:val="single" w:sz="8" w:color="auto"/>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700" w:type="dxa"/>
            <w:vAlign w:val="bottom"/>
            <w:tcBorders>
              <w:top w:val="single" w:sz="8" w:color="auto"/>
            </w:tcBorders>
            <w:shd w:val="clear" w:color="auto" w:fill="E5FFFF"/>
          </w:tcPr>
          <w:p>
            <w:pPr>
              <w:jc w:val="right"/>
              <w:ind w:right="519"/>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E5FFFF"/>
          </w:tcPr>
          <w:p>
            <w:pPr>
              <w:spacing w:after="0"/>
              <w:rPr>
                <w:sz w:val="17"/>
                <w:szCs w:val="17"/>
                <w:color w:val="auto"/>
              </w:rPr>
            </w:pPr>
          </w:p>
        </w:tc>
        <w:tc>
          <w:tcPr>
            <w:tcW w:w="480" w:type="dxa"/>
            <w:vAlign w:val="bottom"/>
            <w:tcBorders>
              <w:top w:val="single" w:sz="8" w:color="auto"/>
            </w:tcBorders>
            <w:gridSpan w:val="2"/>
            <w:shd w:val="clear" w:color="auto" w:fill="E5FFFF"/>
          </w:tcPr>
          <w:p>
            <w:pPr>
              <w:jc w:val="right"/>
              <w:ind w:right="45"/>
              <w:spacing w:after="0" w:line="196" w:lineRule="exact"/>
              <w:rPr>
                <w:sz w:val="20"/>
                <w:szCs w:val="20"/>
                <w:color w:val="auto"/>
              </w:rPr>
            </w:pPr>
            <w:r>
              <w:rPr>
                <w:rFonts w:ascii="Arial" w:cs="Arial" w:eastAsia="Arial" w:hAnsi="Arial"/>
                <w:sz w:val="18"/>
                <w:szCs w:val="18"/>
                <w:color w:val="auto"/>
              </w:rPr>
              <w:t>591</w:t>
            </w:r>
          </w:p>
        </w:tc>
        <w:tc>
          <w:tcPr>
            <w:tcW w:w="6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E5FFFF"/>
            </w:tcBorders>
            <w:shd w:val="clear" w:color="auto" w:fill="E5FFFF"/>
          </w:tcPr>
          <w:p>
            <w:pPr>
              <w:spacing w:after="0"/>
              <w:rPr>
                <w:sz w:val="17"/>
                <w:szCs w:val="17"/>
                <w:color w:val="auto"/>
              </w:rPr>
            </w:pPr>
          </w:p>
        </w:tc>
        <w:tc>
          <w:tcPr>
            <w:tcW w:w="440" w:type="dxa"/>
            <w:vAlign w:val="bottom"/>
            <w:tcBorders>
              <w:top w:val="single" w:sz="8" w:color="auto"/>
            </w:tcBorders>
            <w:shd w:val="clear" w:color="auto" w:fill="E5FF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643</w:t>
            </w:r>
          </w:p>
        </w:tc>
      </w:tr>
      <w:tr>
        <w:trPr>
          <w:trHeight w:val="202"/>
        </w:trPr>
        <w:tc>
          <w:tcPr>
            <w:tcW w:w="5900" w:type="dxa"/>
            <w:vAlign w:val="bottom"/>
            <w:gridSpan w:val="2"/>
          </w:tcPr>
          <w:p>
            <w:pPr>
              <w:spacing w:after="0" w:line="201" w:lineRule="exact"/>
              <w:rPr>
                <w:sz w:val="20"/>
                <w:szCs w:val="20"/>
                <w:color w:val="auto"/>
              </w:rPr>
            </w:pPr>
            <w:r>
              <w:rPr>
                <w:rFonts w:ascii="Arial" w:cs="Arial" w:eastAsia="Arial" w:hAnsi="Arial"/>
                <w:sz w:val="18"/>
                <w:szCs w:val="18"/>
                <w:color w:val="auto"/>
              </w:rPr>
              <w:t>Accruals for environmental matters deemed probable and reasonably</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90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estimable</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195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45"/>
              <w:spacing w:after="0" w:line="203" w:lineRule="exact"/>
              <w:rPr>
                <w:sz w:val="20"/>
                <w:szCs w:val="20"/>
                <w:color w:val="auto"/>
              </w:rPr>
            </w:pPr>
            <w:r>
              <w:rPr>
                <w:rFonts w:ascii="Arial" w:cs="Arial" w:eastAsia="Arial" w:hAnsi="Arial"/>
                <w:sz w:val="18"/>
                <w:szCs w:val="18"/>
                <w:color w:val="auto"/>
              </w:rPr>
              <w:t>194</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ind w:right="33"/>
              <w:spacing w:after="0" w:line="203" w:lineRule="exact"/>
              <w:rPr>
                <w:sz w:val="20"/>
                <w:szCs w:val="20"/>
                <w:color w:val="auto"/>
              </w:rPr>
            </w:pPr>
            <w:r>
              <w:rPr>
                <w:rFonts w:ascii="Arial" w:cs="Arial" w:eastAsia="Arial" w:hAnsi="Arial"/>
                <w:sz w:val="18"/>
                <w:szCs w:val="18"/>
                <w:color w:val="auto"/>
              </w:rPr>
              <w:t>268</w:t>
            </w:r>
          </w:p>
        </w:tc>
      </w:tr>
      <w:tr>
        <w:trPr>
          <w:trHeight w:val="203"/>
        </w:trPr>
        <w:tc>
          <w:tcPr>
            <w:tcW w:w="5900" w:type="dxa"/>
            <w:vAlign w:val="bottom"/>
            <w:gridSpan w:val="2"/>
            <w:shd w:val="clear" w:color="auto" w:fill="E5FFFF"/>
          </w:tcPr>
          <w:p>
            <w:pPr>
              <w:ind w:left="40"/>
              <w:spacing w:after="0" w:line="202" w:lineRule="exact"/>
              <w:rPr>
                <w:sz w:val="20"/>
                <w:szCs w:val="20"/>
                <w:color w:val="auto"/>
              </w:rPr>
            </w:pPr>
            <w:r>
              <w:rPr>
                <w:rFonts w:ascii="Arial" w:cs="Arial" w:eastAsia="Arial" w:hAnsi="Arial"/>
                <w:sz w:val="18"/>
                <w:szCs w:val="18"/>
                <w:color w:val="auto"/>
              </w:rPr>
              <w:t>Environmental liability payments</w:t>
            </w:r>
          </w:p>
        </w:tc>
        <w:tc>
          <w:tcPr>
            <w:tcW w:w="4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96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(228)</w:t>
            </w:r>
          </w:p>
        </w:tc>
        <w:tc>
          <w:tcPr>
            <w:tcW w:w="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48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w w:val="95"/>
              </w:rPr>
              <w:t>(273)</w:t>
            </w:r>
          </w:p>
        </w:tc>
        <w:tc>
          <w:tcPr>
            <w:tcW w:w="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(321)</w:t>
            </w:r>
          </w:p>
        </w:tc>
      </w:tr>
      <w:tr>
        <w:trPr>
          <w:trHeight w:val="216"/>
        </w:trPr>
        <w:tc>
          <w:tcPr>
            <w:tcW w:w="5900" w:type="dxa"/>
            <w:vAlign w:val="bottom"/>
            <w:tcBorders>
              <w:bottom w:val="single" w:sz="8" w:color="E5FFFF"/>
            </w:tcBorders>
            <w:gridSpan w:val="2"/>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E5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E5FFFF"/>
            </w:tcBorders>
          </w:tcPr>
          <w:p>
            <w:pPr>
              <w:spacing w:after="0"/>
              <w:rPr>
                <w:sz w:val="18"/>
                <w:szCs w:val="18"/>
                <w:color w:val="auto"/>
              </w:rPr>
            </w:pPr>
          </w:p>
        </w:tc>
        <w:tc>
          <w:tcPr>
            <w:tcW w:w="280" w:type="dxa"/>
            <w:vAlign w:val="bottom"/>
            <w:tcBorders>
              <w:bottom w:val="single" w:sz="8" w:color="E5FF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8"/>
                <w:szCs w:val="18"/>
                <w:color w:val="auto"/>
              </w:rPr>
              <w:t>6</w:t>
            </w:r>
          </w:p>
        </w:tc>
        <w:tc>
          <w:tcPr>
            <w:tcW w:w="60" w:type="dxa"/>
            <w:vAlign w:val="bottom"/>
            <w:tcBorders>
              <w:bottom w:val="single" w:sz="8" w:color="E5FFFF"/>
            </w:tcBorders>
          </w:tcPr>
          <w:p>
            <w:pPr>
              <w:spacing w:after="0"/>
              <w:rPr>
                <w:sz w:val="18"/>
                <w:szCs w:val="18"/>
                <w:color w:val="auto"/>
              </w:rPr>
            </w:pPr>
          </w:p>
        </w:tc>
        <w:tc>
          <w:tcPr>
            <w:tcW w:w="260" w:type="dxa"/>
            <w:vAlign w:val="bottom"/>
            <w:tcBorders>
              <w:bottom w:val="single" w:sz="8" w:color="E5FF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w:t>
            </w:r>
          </w:p>
        </w:tc>
      </w:tr>
      <w:tr>
        <w:trPr>
          <w:trHeight w:val="210"/>
        </w:trPr>
        <w:tc>
          <w:tcPr>
            <w:tcW w:w="5900" w:type="dxa"/>
            <w:vAlign w:val="bottom"/>
            <w:gridSpan w:val="2"/>
            <w:shd w:val="clear" w:color="auto" w:fill="E5FFFF"/>
          </w:tcPr>
          <w:p>
            <w:pPr>
              <w:ind w:left="40"/>
              <w:spacing w:after="0" w:line="197" w:lineRule="exact"/>
              <w:rPr>
                <w:sz w:val="20"/>
                <w:szCs w:val="20"/>
                <w:color w:val="auto"/>
              </w:rPr>
            </w:pPr>
            <w:r>
              <w:rPr>
                <w:rFonts w:ascii="Arial" w:cs="Arial" w:eastAsia="Arial" w:hAnsi="Arial"/>
                <w:sz w:val="18"/>
                <w:szCs w:val="18"/>
                <w:color w:val="auto"/>
              </w:rPr>
              <w:t>End of year</w:t>
            </w:r>
          </w:p>
        </w:tc>
        <w:tc>
          <w:tcPr>
            <w:tcW w:w="740" w:type="dxa"/>
            <w:vAlign w:val="bottom"/>
            <w:gridSpan w:val="2"/>
            <w:shd w:val="clear" w:color="auto" w:fill="E5FF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511</w:t>
            </w:r>
          </w:p>
        </w:tc>
        <w:tc>
          <w:tcPr>
            <w:tcW w:w="8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519"/>
              <w:spacing w:after="0"/>
              <w:rPr>
                <w:sz w:val="20"/>
                <w:szCs w:val="20"/>
                <w:color w:val="auto"/>
              </w:rPr>
            </w:pPr>
            <w:r>
              <w:rPr>
                <w:rFonts w:ascii="Arial" w:cs="Arial" w:eastAsia="Arial" w:hAnsi="Arial"/>
                <w:sz w:val="18"/>
                <w:szCs w:val="18"/>
                <w:color w:val="auto"/>
              </w:rPr>
              <w:t>$</w:t>
            </w:r>
          </w:p>
        </w:tc>
        <w:tc>
          <w:tcPr>
            <w:tcW w:w="120" w:type="dxa"/>
            <w:vAlign w:val="bottom"/>
            <w:shd w:val="clear" w:color="auto" w:fill="E5FFFF"/>
          </w:tcPr>
          <w:p>
            <w:pPr>
              <w:spacing w:after="0"/>
              <w:rPr>
                <w:sz w:val="18"/>
                <w:szCs w:val="18"/>
                <w:color w:val="auto"/>
              </w:rPr>
            </w:pPr>
          </w:p>
        </w:tc>
        <w:tc>
          <w:tcPr>
            <w:tcW w:w="480" w:type="dxa"/>
            <w:vAlign w:val="bottom"/>
            <w:gridSpan w:val="2"/>
            <w:shd w:val="clear" w:color="auto" w:fill="E5FFFF"/>
          </w:tcPr>
          <w:p>
            <w:pPr>
              <w:jc w:val="right"/>
              <w:ind w:right="45"/>
              <w:spacing w:after="0"/>
              <w:rPr>
                <w:sz w:val="20"/>
                <w:szCs w:val="20"/>
                <w:color w:val="auto"/>
              </w:rPr>
            </w:pPr>
            <w:r>
              <w:rPr>
                <w:rFonts w:ascii="Arial" w:cs="Arial" w:eastAsia="Arial" w:hAnsi="Arial"/>
                <w:sz w:val="18"/>
                <w:szCs w:val="18"/>
                <w:color w:val="auto"/>
              </w:rPr>
              <w:t>518</w:t>
            </w:r>
          </w:p>
        </w:tc>
        <w:tc>
          <w:tcPr>
            <w:tcW w:w="60" w:type="dxa"/>
            <w:vAlign w:val="bottom"/>
            <w:shd w:val="clear" w:color="auto" w:fill="E5FFFF"/>
          </w:tcPr>
          <w:p>
            <w:pPr>
              <w:spacing w:after="0"/>
              <w:rPr>
                <w:sz w:val="18"/>
                <w:szCs w:val="18"/>
                <w:color w:val="auto"/>
              </w:rPr>
            </w:pPr>
          </w:p>
        </w:tc>
        <w:tc>
          <w:tcPr>
            <w:tcW w:w="700" w:type="dxa"/>
            <w:vAlign w:val="bottom"/>
            <w:gridSpan w:val="2"/>
            <w:shd w:val="clear" w:color="auto" w:fill="E5FF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33"/>
              <w:spacing w:after="0"/>
              <w:rPr>
                <w:sz w:val="20"/>
                <w:szCs w:val="20"/>
                <w:color w:val="auto"/>
              </w:rPr>
            </w:pPr>
            <w:r>
              <w:rPr>
                <w:rFonts w:ascii="Arial" w:cs="Arial" w:eastAsia="Arial" w:hAnsi="Arial"/>
                <w:sz w:val="18"/>
                <w:szCs w:val="18"/>
                <w:color w:val="auto"/>
              </w:rPr>
              <w:t>591</w:t>
            </w:r>
          </w:p>
        </w:tc>
      </w:tr>
      <w:tr>
        <w:trPr>
          <w:trHeight w:val="20"/>
        </w:trPr>
        <w:tc>
          <w:tcPr>
            <w:tcW w:w="860" w:type="dxa"/>
            <w:vAlign w:val="bottom"/>
            <w:tcBorders>
              <w:top w:val="single" w:sz="8" w:color="E5FFFF"/>
            </w:tcBorders>
          </w:tcPr>
          <w:p>
            <w:pPr>
              <w:spacing w:after="0" w:line="20" w:lineRule="exact"/>
              <w:rPr>
                <w:sz w:val="1"/>
                <w:szCs w:val="1"/>
                <w:color w:val="auto"/>
              </w:rPr>
            </w:pPr>
          </w:p>
        </w:tc>
        <w:tc>
          <w:tcPr>
            <w:tcW w:w="5440" w:type="dxa"/>
            <w:vAlign w:val="bottom"/>
            <w:tcBorders>
              <w:top w:val="single" w:sz="8" w:color="E5FFFF"/>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E5FF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399"/>
        </w:trPr>
        <w:tc>
          <w:tcPr>
            <w:tcW w:w="6640" w:type="dxa"/>
            <w:vAlign w:val="bottom"/>
            <w:gridSpan w:val="4"/>
          </w:tcPr>
          <w:p>
            <w:pPr>
              <w:ind w:left="360"/>
              <w:spacing w:after="0"/>
              <w:rPr>
                <w:sz w:val="20"/>
                <w:szCs w:val="20"/>
                <w:color w:val="auto"/>
              </w:rPr>
            </w:pPr>
            <w:r>
              <w:rPr>
                <w:rFonts w:ascii="Arial" w:cs="Arial" w:eastAsia="Arial" w:hAnsi="Arial"/>
                <w:sz w:val="18"/>
                <w:szCs w:val="18"/>
                <w:color w:val="auto"/>
              </w:rPr>
              <w:t>Environmental liabilities are included in the following balance sheet accounts: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r>
      <w:tr>
        <w:trPr>
          <w:trHeight w:val="210"/>
        </w:trPr>
        <w:tc>
          <w:tcPr>
            <w:tcW w:w="860" w:type="dxa"/>
            <w:vAlign w:val="bottom"/>
          </w:tcPr>
          <w:p>
            <w:pPr>
              <w:spacing w:after="0"/>
              <w:rPr>
                <w:sz w:val="18"/>
                <w:szCs w:val="18"/>
                <w:color w:val="auto"/>
              </w:rPr>
            </w:pPr>
          </w:p>
        </w:tc>
        <w:tc>
          <w:tcPr>
            <w:tcW w:w="5040" w:type="dxa"/>
            <w:vAlign w:val="bottom"/>
            <w:tcBorders>
              <w:bottom w:val="single" w:sz="8" w:color="E5FFFF"/>
            </w:tcBorders>
          </w:tcPr>
          <w:p>
            <w:pPr>
              <w:spacing w:after="0"/>
              <w:rPr>
                <w:sz w:val="18"/>
                <w:szCs w:val="18"/>
                <w:color w:val="auto"/>
              </w:rPr>
            </w:pPr>
          </w:p>
        </w:tc>
        <w:tc>
          <w:tcPr>
            <w:tcW w:w="400" w:type="dxa"/>
            <w:vAlign w:val="bottom"/>
            <w:tcBorders>
              <w:bottom w:val="single" w:sz="8" w:color="E5FFFF"/>
            </w:tcBorders>
          </w:tcPr>
          <w:p>
            <w:pPr>
              <w:spacing w:after="0"/>
              <w:rPr>
                <w:sz w:val="18"/>
                <w:szCs w:val="18"/>
                <w:color w:val="auto"/>
              </w:rPr>
            </w:pPr>
          </w:p>
        </w:tc>
        <w:tc>
          <w:tcPr>
            <w:tcW w:w="340" w:type="dxa"/>
            <w:vAlign w:val="bottom"/>
            <w:tcBorders>
              <w:bottom w:val="single" w:sz="8" w:color="E5FFFF"/>
            </w:tcBorders>
          </w:tcPr>
          <w:p>
            <w:pPr>
              <w:spacing w:after="0"/>
              <w:rPr>
                <w:sz w:val="18"/>
                <w:szCs w:val="18"/>
                <w:color w:val="auto"/>
              </w:rPr>
            </w:pPr>
          </w:p>
        </w:tc>
        <w:tc>
          <w:tcPr>
            <w:tcW w:w="880" w:type="dxa"/>
            <w:vAlign w:val="bottom"/>
            <w:tcBorders>
              <w:bottom w:val="single" w:sz="8" w:color="E5FF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E5FFFF"/>
            </w:tcBorders>
          </w:tcPr>
          <w:p>
            <w:pPr>
              <w:spacing w:after="0"/>
              <w:rPr>
                <w:sz w:val="18"/>
                <w:szCs w:val="18"/>
                <w:color w:val="auto"/>
              </w:rPr>
            </w:pPr>
          </w:p>
        </w:tc>
        <w:tc>
          <w:tcPr>
            <w:tcW w:w="16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b w:val="1"/>
                <w:bCs w:val="1"/>
                <w:color w:val="auto"/>
              </w:rPr>
              <w:t>2015</w:t>
            </w:r>
          </w:p>
        </w:tc>
        <w:tc>
          <w:tcPr>
            <w:tcW w:w="860" w:type="dxa"/>
            <w:vAlign w:val="bottom"/>
          </w:tcPr>
          <w:p>
            <w:pPr>
              <w:spacing w:after="0"/>
              <w:rPr>
                <w:sz w:val="18"/>
                <w:szCs w:val="18"/>
                <w:color w:val="auto"/>
              </w:rPr>
            </w:pPr>
          </w:p>
        </w:tc>
      </w:tr>
      <w:tr>
        <w:trPr>
          <w:trHeight w:val="196"/>
        </w:trPr>
        <w:tc>
          <w:tcPr>
            <w:tcW w:w="860" w:type="dxa"/>
            <w:vAlign w:val="bottom"/>
          </w:tcPr>
          <w:p>
            <w:pPr>
              <w:spacing w:after="0"/>
              <w:rPr>
                <w:sz w:val="17"/>
                <w:szCs w:val="17"/>
                <w:color w:val="auto"/>
              </w:rPr>
            </w:pPr>
          </w:p>
        </w:tc>
        <w:tc>
          <w:tcPr>
            <w:tcW w:w="5040" w:type="dxa"/>
            <w:vAlign w:val="bottom"/>
            <w:shd w:val="clear" w:color="auto" w:fill="E5FFFF"/>
          </w:tcPr>
          <w:p>
            <w:pPr>
              <w:ind w:left="20"/>
              <w:spacing w:after="0" w:line="196" w:lineRule="exact"/>
              <w:rPr>
                <w:sz w:val="20"/>
                <w:szCs w:val="20"/>
                <w:color w:val="auto"/>
              </w:rPr>
            </w:pPr>
            <w:r>
              <w:rPr>
                <w:rFonts w:ascii="Arial" w:cs="Arial" w:eastAsia="Arial" w:hAnsi="Arial"/>
                <w:sz w:val="18"/>
                <w:szCs w:val="18"/>
                <w:color w:val="auto"/>
              </w:rPr>
              <w:t>Accrued liabilities</w:t>
            </w:r>
          </w:p>
        </w:tc>
        <w:tc>
          <w:tcPr>
            <w:tcW w:w="4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120" w:type="dxa"/>
            <w:vAlign w:val="bottom"/>
            <w:gridSpan w:val="2"/>
            <w:shd w:val="clear" w:color="auto" w:fill="E5FFFF"/>
          </w:tcPr>
          <w:p>
            <w:pPr>
              <w:jc w:val="right"/>
              <w:ind w:right="2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252</w:t>
            </w:r>
          </w:p>
        </w:tc>
        <w:tc>
          <w:tcPr>
            <w:tcW w:w="1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320" w:type="dxa"/>
            <w:vAlign w:val="bottom"/>
            <w:shd w:val="clear" w:color="auto" w:fill="E5FFFF"/>
          </w:tcPr>
          <w:p>
            <w:pPr>
              <w:jc w:val="right"/>
              <w:ind w:right="165"/>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E5FFFF"/>
          </w:tcPr>
          <w:p>
            <w:pPr>
              <w:spacing w:after="0"/>
              <w:rPr>
                <w:sz w:val="17"/>
                <w:szCs w:val="17"/>
                <w:color w:val="auto"/>
              </w:rPr>
            </w:pPr>
          </w:p>
        </w:tc>
        <w:tc>
          <w:tcPr>
            <w:tcW w:w="700" w:type="dxa"/>
            <w:vAlign w:val="bottom"/>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253</w:t>
            </w:r>
          </w:p>
        </w:tc>
        <w:tc>
          <w:tcPr>
            <w:tcW w:w="860" w:type="dxa"/>
            <w:vAlign w:val="bottom"/>
          </w:tcPr>
          <w:p>
            <w:pPr>
              <w:spacing w:after="0"/>
              <w:rPr>
                <w:sz w:val="17"/>
                <w:szCs w:val="17"/>
                <w:color w:val="auto"/>
              </w:rPr>
            </w:pPr>
          </w:p>
        </w:tc>
      </w:tr>
      <w:tr>
        <w:trPr>
          <w:trHeight w:val="216"/>
        </w:trPr>
        <w:tc>
          <w:tcPr>
            <w:tcW w:w="860" w:type="dxa"/>
            <w:vAlign w:val="bottom"/>
          </w:tcPr>
          <w:p>
            <w:pPr>
              <w:spacing w:after="0"/>
              <w:rPr>
                <w:sz w:val="18"/>
                <w:szCs w:val="18"/>
                <w:color w:val="auto"/>
              </w:rPr>
            </w:pPr>
          </w:p>
        </w:tc>
        <w:tc>
          <w:tcPr>
            <w:tcW w:w="5040" w:type="dxa"/>
            <w:vAlign w:val="bottom"/>
            <w:tcBorders>
              <w:bottom w:val="single" w:sz="8" w:color="E5FFFF"/>
            </w:tcBorders>
          </w:tcPr>
          <w:p>
            <w:pPr>
              <w:ind w:left="20"/>
              <w:spacing w:after="0"/>
              <w:rPr>
                <w:sz w:val="20"/>
                <w:szCs w:val="20"/>
                <w:color w:val="auto"/>
              </w:rPr>
            </w:pPr>
            <w:r>
              <w:rPr>
                <w:rFonts w:ascii="Arial" w:cs="Arial" w:eastAsia="Arial" w:hAnsi="Arial"/>
                <w:sz w:val="18"/>
                <w:szCs w:val="18"/>
                <w:color w:val="auto"/>
              </w:rPr>
              <w:t>Other liabilities</w:t>
            </w:r>
          </w:p>
        </w:tc>
        <w:tc>
          <w:tcPr>
            <w:tcW w:w="400" w:type="dxa"/>
            <w:vAlign w:val="bottom"/>
            <w:tcBorders>
              <w:bottom w:val="single" w:sz="8" w:color="E5FFFF"/>
            </w:tcBorders>
          </w:tcPr>
          <w:p>
            <w:pPr>
              <w:spacing w:after="0"/>
              <w:rPr>
                <w:sz w:val="18"/>
                <w:szCs w:val="18"/>
                <w:color w:val="auto"/>
              </w:rPr>
            </w:pPr>
          </w:p>
        </w:tc>
        <w:tc>
          <w:tcPr>
            <w:tcW w:w="340" w:type="dxa"/>
            <w:vAlign w:val="bottom"/>
            <w:tcBorders>
              <w:bottom w:val="single" w:sz="8" w:color="E5FFFF"/>
            </w:tcBorders>
          </w:tcPr>
          <w:p>
            <w:pPr>
              <w:spacing w:after="0"/>
              <w:rPr>
                <w:sz w:val="18"/>
                <w:szCs w:val="18"/>
                <w:color w:val="auto"/>
              </w:rPr>
            </w:pPr>
          </w:p>
        </w:tc>
        <w:tc>
          <w:tcPr>
            <w:tcW w:w="880" w:type="dxa"/>
            <w:vAlign w:val="bottom"/>
            <w:tcBorders>
              <w:bottom w:val="single" w:sz="8" w:color="E5FF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E5FFFF"/>
            </w:tcBorders>
          </w:tcPr>
          <w:p>
            <w:pPr>
              <w:spacing w:after="0"/>
              <w:rPr>
                <w:sz w:val="18"/>
                <w:szCs w:val="18"/>
                <w:color w:val="auto"/>
              </w:rPr>
            </w:pPr>
          </w:p>
        </w:tc>
        <w:tc>
          <w:tcPr>
            <w:tcW w:w="16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265</w:t>
            </w:r>
          </w:p>
        </w:tc>
        <w:tc>
          <w:tcPr>
            <w:tcW w:w="860" w:type="dxa"/>
            <w:vAlign w:val="bottom"/>
          </w:tcPr>
          <w:p>
            <w:pPr>
              <w:spacing w:after="0"/>
              <w:rPr>
                <w:sz w:val="18"/>
                <w:szCs w:val="18"/>
                <w:color w:val="auto"/>
              </w:rPr>
            </w:pPr>
          </w:p>
        </w:tc>
      </w:tr>
      <w:tr>
        <w:trPr>
          <w:trHeight w:val="223"/>
        </w:trPr>
        <w:tc>
          <w:tcPr>
            <w:tcW w:w="860" w:type="dxa"/>
            <w:vAlign w:val="bottom"/>
          </w:tcPr>
          <w:p>
            <w:pPr>
              <w:spacing w:after="0"/>
              <w:rPr>
                <w:sz w:val="19"/>
                <w:szCs w:val="19"/>
                <w:color w:val="auto"/>
              </w:rPr>
            </w:pPr>
          </w:p>
        </w:tc>
        <w:tc>
          <w:tcPr>
            <w:tcW w:w="5040" w:type="dxa"/>
            <w:vAlign w:val="bottom"/>
            <w:shd w:val="clear" w:color="auto" w:fill="E5FFFF"/>
          </w:tcPr>
          <w:p>
            <w:pPr>
              <w:spacing w:after="0"/>
              <w:rPr>
                <w:sz w:val="19"/>
                <w:szCs w:val="19"/>
                <w:color w:val="auto"/>
              </w:rPr>
            </w:pPr>
          </w:p>
        </w:tc>
        <w:tc>
          <w:tcPr>
            <w:tcW w:w="40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000" w:type="dxa"/>
            <w:vAlign w:val="bottom"/>
            <w:gridSpan w:val="3"/>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E5FFFF"/>
          </w:tcPr>
          <w:p>
            <w:pPr>
              <w:spacing w:after="0"/>
              <w:rPr>
                <w:sz w:val="19"/>
                <w:szCs w:val="19"/>
                <w:color w:val="auto"/>
              </w:rPr>
            </w:pPr>
          </w:p>
        </w:tc>
        <w:tc>
          <w:tcPr>
            <w:tcW w:w="480" w:type="dxa"/>
            <w:vAlign w:val="bottom"/>
            <w:gridSpan w:val="2"/>
            <w:shd w:val="clear" w:color="auto" w:fill="E5FFFF"/>
          </w:tcPr>
          <w:p>
            <w:pPr>
              <w:jc w:val="right"/>
              <w:ind w:right="165"/>
              <w:spacing w:after="0"/>
              <w:rPr>
                <w:sz w:val="20"/>
                <w:szCs w:val="20"/>
                <w:color w:val="auto"/>
              </w:rPr>
            </w:pPr>
            <w:r>
              <w:rPr>
                <w:rFonts w:ascii="Arial" w:cs="Arial" w:eastAsia="Arial" w:hAnsi="Arial"/>
                <w:sz w:val="18"/>
                <w:szCs w:val="18"/>
                <w:color w:val="auto"/>
              </w:rPr>
              <w:t>$</w:t>
            </w:r>
          </w:p>
        </w:tc>
        <w:tc>
          <w:tcPr>
            <w:tcW w:w="60" w:type="dxa"/>
            <w:vAlign w:val="bottom"/>
            <w:shd w:val="clear" w:color="auto" w:fill="E5FFFF"/>
          </w:tcPr>
          <w:p>
            <w:pPr>
              <w:spacing w:after="0"/>
              <w:rPr>
                <w:sz w:val="19"/>
                <w:szCs w:val="19"/>
                <w:color w:val="auto"/>
              </w:rPr>
            </w:pPr>
          </w:p>
        </w:tc>
        <w:tc>
          <w:tcPr>
            <w:tcW w:w="7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518</w:t>
            </w:r>
          </w:p>
        </w:tc>
        <w:tc>
          <w:tcPr>
            <w:tcW w:w="860" w:type="dxa"/>
            <w:vAlign w:val="bottom"/>
          </w:tcPr>
          <w:p>
            <w:pPr>
              <w:spacing w:after="0"/>
              <w:rPr>
                <w:sz w:val="19"/>
                <w:szCs w:val="19"/>
                <w:color w:val="auto"/>
              </w:rPr>
            </w:pPr>
          </w:p>
        </w:tc>
      </w:tr>
      <w:tr>
        <w:trPr>
          <w:trHeight w:val="20"/>
        </w:trPr>
        <w:tc>
          <w:tcPr>
            <w:tcW w:w="860" w:type="dxa"/>
            <w:vAlign w:val="bottom"/>
          </w:tcPr>
          <w:p>
            <w:pPr>
              <w:spacing w:after="0" w:line="20" w:lineRule="exact"/>
              <w:rPr>
                <w:sz w:val="1"/>
                <w:szCs w:val="1"/>
                <w:color w:val="auto"/>
              </w:rPr>
            </w:pPr>
          </w:p>
        </w:tc>
        <w:tc>
          <w:tcPr>
            <w:tcW w:w="5040" w:type="dxa"/>
            <w:vAlign w:val="bottom"/>
            <w:tcBorders>
              <w:top w:val="single" w:sz="8" w:color="E5FFFF"/>
            </w:tcBorders>
          </w:tcPr>
          <w:p>
            <w:pPr>
              <w:spacing w:after="0" w:line="20" w:lineRule="exact"/>
              <w:rPr>
                <w:sz w:val="1"/>
                <w:szCs w:val="1"/>
                <w:color w:val="auto"/>
              </w:rPr>
            </w:pPr>
          </w:p>
        </w:tc>
        <w:tc>
          <w:tcPr>
            <w:tcW w:w="400" w:type="dxa"/>
            <w:vAlign w:val="bottom"/>
            <w:tcBorders>
              <w:top w:val="single" w:sz="8" w:color="E5FFFF"/>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88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do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our consolidated results of operations and operating cash flows in the periods recognized or paid. However, considering our past experience and existing reserves, we do not expect that environmental matters will have a material adverse effect on our consolidated financial position.</w:t>
      </w:r>
    </w:p>
    <w:p>
      <w:pPr>
        <w:spacing w:after="0" w:line="16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b w:val="1"/>
          <w:bCs w:val="1"/>
          <w:i w:val="1"/>
          <w:iCs w:val="1"/>
          <w:color w:val="auto"/>
        </w:rPr>
        <w:t>Onondaga Lake, Syracuse, NY</w:t>
      </w:r>
      <w:r>
        <w:rPr>
          <w:rFonts w:ascii="Arial" w:cs="Arial" w:eastAsia="Arial" w:hAnsi="Arial"/>
          <w:sz w:val="18"/>
          <w:szCs w:val="18"/>
          <w:color w:val="auto"/>
        </w:rPr>
        <w:t>—In 2016, we largely completed a dredging/capping remedy of Onondaga Lake pursuant to a consent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decree approved by the United States District Court for the Northern District of New York in January 2007. Some additional long-term monitoring and maintenance activities will continue, as required by the consent decree. Honeywell is also conducting remedial investigations and activities at other sites in Syracuse. We have recorded reserves for these investigations and activities where appropriate, consistent with the accounting policy described above.</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Honeywell has entered into a cooperative agreement with potential natural resource trustees to assess alleged natural resource damages relating to this site. It is not possible to predict the outcome or duration of this assessment, or the amounts of, or responsibility for, any damages.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Matters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Honeywell is a defendant in asbestos related personal injury actions related to two predecessor companies:</w:t>
      </w:r>
    </w:p>
    <w:p>
      <w:pPr>
        <w:spacing w:after="0" w:line="198" w:lineRule="exact"/>
        <w:rPr>
          <w:sz w:val="20"/>
          <w:szCs w:val="20"/>
          <w:color w:val="auto"/>
        </w:rPr>
      </w:pPr>
    </w:p>
    <w:p>
      <w:pPr>
        <w:jc w:val="both"/>
        <w:ind w:left="700" w:hanging="341"/>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North American Refractories Company (NARCO), which was sold in 1986, produced refractory products (bricks and cement used in high temperature applications). Claimants consist largely of individuals who allege exposure to NARCO asbestos-containing refractory products in an occupational setting.</w:t>
      </w:r>
    </w:p>
    <w:p>
      <w:pPr>
        <w:spacing w:after="0" w:line="189" w:lineRule="exact"/>
        <w:rPr>
          <w:rFonts w:ascii="Arial" w:cs="Arial" w:eastAsia="Arial" w:hAnsi="Arial"/>
          <w:sz w:val="18"/>
          <w:szCs w:val="18"/>
          <w:color w:val="auto"/>
        </w:rPr>
      </w:pPr>
    </w:p>
    <w:p>
      <w:pPr>
        <w:jc w:val="both"/>
        <w:ind w:left="700" w:hanging="341"/>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Bendix Friction Materials (Bendix) business, which was sold in 2014, manufactured automotive brake parts that contained chrysotile asbestos in an encapsulated form. Claimants consist largely of individuals who allege exposure to asbestos from brakes from either performing or being in the vicinity of individuals who performed brake replacements.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information concerning NARCO and Bendix asbestos related balances: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340" w:type="dxa"/>
            <w:vAlign w:val="bottom"/>
          </w:tcPr>
          <w:p>
            <w:pPr>
              <w:spacing w:after="0"/>
              <w:rPr>
                <w:sz w:val="20"/>
                <w:szCs w:val="20"/>
                <w:color w:val="auto"/>
              </w:rPr>
            </w:pPr>
            <w:r>
              <w:rPr>
                <w:rFonts w:ascii="Arial" w:cs="Arial" w:eastAsia="Arial" w:hAnsi="Arial"/>
                <w:sz w:val="18"/>
                <w:szCs w:val="18"/>
                <w:b w:val="1"/>
                <w:bCs w:val="1"/>
                <w:color w:val="auto"/>
              </w:rPr>
              <w:t>Asbestos Related Liabilities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69"/>
        </w:trPr>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7"/>
          </w:tcPr>
          <w:p>
            <w:pPr>
              <w:jc w:val="center"/>
              <w:ind w:right="30"/>
              <w:spacing w:after="0"/>
              <w:rPr>
                <w:sz w:val="20"/>
                <w:szCs w:val="20"/>
                <w:color w:val="auto"/>
              </w:rPr>
            </w:pPr>
            <w:r>
              <w:rPr>
                <w:rFonts w:ascii="Arial" w:cs="Arial" w:eastAsia="Arial" w:hAnsi="Arial"/>
                <w:sz w:val="18"/>
                <w:szCs w:val="18"/>
                <w:b w:val="1"/>
                <w:bCs w:val="1"/>
                <w:color w:val="auto"/>
                <w:w w:val="99"/>
              </w:rPr>
              <w:t>Year Ended December 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8"/>
          </w:tcPr>
          <w:p>
            <w:pPr>
              <w:jc w:val="center"/>
              <w:ind w:right="200"/>
              <w:spacing w:after="0"/>
              <w:rPr>
                <w:sz w:val="20"/>
                <w:szCs w:val="20"/>
                <w:color w:val="auto"/>
              </w:rPr>
            </w:pPr>
            <w:r>
              <w:rPr>
                <w:rFonts w:ascii="Arial" w:cs="Arial" w:eastAsia="Arial" w:hAnsi="Arial"/>
                <w:sz w:val="18"/>
                <w:szCs w:val="18"/>
                <w:b w:val="1"/>
                <w:bCs w:val="1"/>
                <w:color w:val="auto"/>
                <w:w w:val="99"/>
              </w:rPr>
              <w:t>Year Ended December 31,</w:t>
            </w:r>
          </w:p>
        </w:tc>
        <w:tc>
          <w:tcPr>
            <w:tcW w:w="140" w:type="dxa"/>
            <w:vAlign w:val="bottom"/>
          </w:tcPr>
          <w:p>
            <w:pPr>
              <w:spacing w:after="0"/>
              <w:rPr>
                <w:sz w:val="24"/>
                <w:szCs w:val="24"/>
                <w:color w:val="auto"/>
              </w:rPr>
            </w:pPr>
          </w:p>
        </w:tc>
        <w:tc>
          <w:tcPr>
            <w:tcW w:w="2420" w:type="dxa"/>
            <w:vAlign w:val="bottom"/>
            <w:gridSpan w:val="8"/>
          </w:tcPr>
          <w:p>
            <w:pPr>
              <w:jc w:val="center"/>
              <w:ind w:right="50"/>
              <w:spacing w:after="0"/>
              <w:rPr>
                <w:sz w:val="20"/>
                <w:szCs w:val="20"/>
                <w:color w:val="auto"/>
              </w:rPr>
            </w:pPr>
            <w:r>
              <w:rPr>
                <w:rFonts w:ascii="Arial" w:cs="Arial" w:eastAsia="Arial" w:hAnsi="Arial"/>
                <w:sz w:val="18"/>
                <w:szCs w:val="18"/>
                <w:b w:val="1"/>
                <w:bCs w:val="1"/>
                <w:color w:val="auto"/>
                <w:w w:val="99"/>
              </w:rPr>
              <w:t>Year Ended December 31,</w:t>
            </w:r>
          </w:p>
        </w:tc>
      </w:tr>
      <w:tr>
        <w:trPr>
          <w:trHeight w:val="225"/>
        </w:trPr>
        <w:tc>
          <w:tcPr>
            <w:tcW w:w="3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2016</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2014</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r>
      <w:tr>
        <w:trPr>
          <w:trHeight w:val="210"/>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Bendix</w:t>
            </w:r>
          </w:p>
        </w:tc>
        <w:tc>
          <w:tcPr>
            <w:tcW w:w="12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NARCO</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Bendix</w:t>
            </w:r>
          </w:p>
        </w:tc>
        <w:tc>
          <w:tcPr>
            <w:tcW w:w="12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NARCO</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880" w:type="dxa"/>
            <w:vAlign w:val="bottom"/>
            <w:gridSpan w:val="3"/>
          </w:tcPr>
          <w:p>
            <w:pPr>
              <w:ind w:left="80"/>
              <w:spacing w:after="0"/>
              <w:rPr>
                <w:sz w:val="20"/>
                <w:szCs w:val="20"/>
                <w:color w:val="auto"/>
              </w:rPr>
            </w:pPr>
            <w:r>
              <w:rPr>
                <w:rFonts w:ascii="Arial" w:cs="Arial" w:eastAsia="Arial" w:hAnsi="Arial"/>
                <w:sz w:val="18"/>
                <w:szCs w:val="18"/>
                <w:b w:val="1"/>
                <w:bCs w:val="1"/>
                <w:color w:val="auto"/>
              </w:rPr>
              <w:t>Bendix</w:t>
            </w:r>
          </w:p>
        </w:tc>
        <w:tc>
          <w:tcPr>
            <w:tcW w:w="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NARCO</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b w:val="1"/>
                <w:bCs w:val="1"/>
                <w:color w:val="auto"/>
              </w:rPr>
              <w:t>Total</w:t>
            </w:r>
          </w:p>
        </w:tc>
      </w:tr>
      <w:tr>
        <w:trPr>
          <w:trHeight w:val="196"/>
        </w:trPr>
        <w:tc>
          <w:tcPr>
            <w:tcW w:w="334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Beginning of year</w:t>
            </w:r>
          </w:p>
        </w:tc>
        <w:tc>
          <w:tcPr>
            <w:tcW w:w="1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622</w:t>
            </w:r>
          </w:p>
        </w:tc>
        <w:tc>
          <w:tcPr>
            <w:tcW w:w="12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921</w:t>
            </w:r>
          </w:p>
        </w:tc>
        <w:tc>
          <w:tcPr>
            <w:tcW w:w="12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1,543</w:t>
            </w:r>
          </w:p>
        </w:tc>
        <w:tc>
          <w:tcPr>
            <w:tcW w:w="12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623</w:t>
            </w:r>
          </w:p>
        </w:tc>
        <w:tc>
          <w:tcPr>
            <w:tcW w:w="12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929</w:t>
            </w:r>
          </w:p>
        </w:tc>
        <w:tc>
          <w:tcPr>
            <w:tcW w:w="10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1,552</w:t>
            </w:r>
          </w:p>
        </w:tc>
        <w:tc>
          <w:tcPr>
            <w:tcW w:w="12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656</w:t>
            </w:r>
          </w:p>
        </w:tc>
        <w:tc>
          <w:tcPr>
            <w:tcW w:w="10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955</w:t>
            </w:r>
          </w:p>
        </w:tc>
        <w:tc>
          <w:tcPr>
            <w:tcW w:w="12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1,611</w:t>
            </w:r>
          </w:p>
        </w:tc>
      </w:tr>
      <w:tr>
        <w:trPr>
          <w:trHeight w:val="203"/>
        </w:trPr>
        <w:tc>
          <w:tcPr>
            <w:tcW w:w="3340" w:type="dxa"/>
            <w:vAlign w:val="bottom"/>
          </w:tcPr>
          <w:p>
            <w:pPr>
              <w:spacing w:after="0" w:line="202" w:lineRule="exact"/>
              <w:rPr>
                <w:sz w:val="20"/>
                <w:szCs w:val="20"/>
                <w:color w:val="auto"/>
              </w:rPr>
            </w:pPr>
            <w:r>
              <w:rPr>
                <w:rFonts w:ascii="Arial" w:cs="Arial" w:eastAsia="Arial" w:hAnsi="Arial"/>
                <w:sz w:val="18"/>
                <w:szCs w:val="18"/>
                <w:color w:val="auto"/>
              </w:rPr>
              <w:t>Accrual for update to estimated liability</w:t>
            </w:r>
          </w:p>
        </w:tc>
        <w:tc>
          <w:tcPr>
            <w:tcW w:w="100" w:type="dxa"/>
            <w:vAlign w:val="bottom"/>
          </w:tcPr>
          <w:p>
            <w:pPr>
              <w:spacing w:after="0"/>
              <w:rPr>
                <w:sz w:val="17"/>
                <w:szCs w:val="17"/>
                <w:color w:val="auto"/>
              </w:rPr>
            </w:pPr>
          </w:p>
        </w:tc>
        <w:tc>
          <w:tcPr>
            <w:tcW w:w="7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203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199</w:t>
            </w:r>
          </w:p>
        </w:tc>
      </w:tr>
      <w:tr>
        <w:trPr>
          <w:trHeight w:val="202"/>
        </w:trPr>
        <w:tc>
          <w:tcPr>
            <w:tcW w:w="33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Change in estimated cost of future</w:t>
            </w:r>
          </w:p>
        </w:tc>
        <w:tc>
          <w:tcPr>
            <w:tcW w:w="10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6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6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6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640" w:type="dxa"/>
            <w:vAlign w:val="bottom"/>
            <w:shd w:val="clear" w:color="auto" w:fill="E5FFFF"/>
          </w:tcPr>
          <w:p>
            <w:pPr>
              <w:spacing w:after="0"/>
              <w:rPr>
                <w:sz w:val="17"/>
                <w:szCs w:val="17"/>
                <w:color w:val="auto"/>
              </w:rPr>
            </w:pPr>
          </w:p>
        </w:tc>
      </w:tr>
      <w:tr>
        <w:trPr>
          <w:trHeight w:val="203"/>
        </w:trPr>
        <w:tc>
          <w:tcPr>
            <w:tcW w:w="3340" w:type="dxa"/>
            <w:vAlign w:val="bottom"/>
            <w:shd w:val="clear" w:color="auto" w:fill="E5FFFF"/>
          </w:tcPr>
          <w:p>
            <w:pPr>
              <w:ind w:left="180"/>
              <w:spacing w:after="0" w:line="203" w:lineRule="exact"/>
              <w:rPr>
                <w:sz w:val="20"/>
                <w:szCs w:val="20"/>
                <w:color w:val="auto"/>
              </w:rPr>
            </w:pPr>
            <w:r>
              <w:rPr>
                <w:rFonts w:ascii="Arial" w:cs="Arial" w:eastAsia="Arial" w:hAnsi="Arial"/>
                <w:sz w:val="18"/>
                <w:szCs w:val="18"/>
                <w:color w:val="auto"/>
              </w:rPr>
              <w:t>claims</w:t>
            </w:r>
          </w:p>
        </w:tc>
        <w:tc>
          <w:tcPr>
            <w:tcW w:w="10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30"/>
              <w:spacing w:after="0" w:line="203" w:lineRule="exact"/>
              <w:rPr>
                <w:sz w:val="20"/>
                <w:szCs w:val="20"/>
                <w:color w:val="auto"/>
              </w:rPr>
            </w:pPr>
            <w:r>
              <w:rPr>
                <w:rFonts w:ascii="Arial" w:cs="Arial" w:eastAsia="Arial" w:hAnsi="Arial"/>
                <w:sz w:val="18"/>
                <w:szCs w:val="18"/>
                <w:color w:val="auto"/>
              </w:rPr>
              <w:t>13</w:t>
            </w:r>
          </w:p>
        </w:tc>
        <w:tc>
          <w:tcPr>
            <w:tcW w:w="1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660" w:type="dxa"/>
            <w:vAlign w:val="bottom"/>
            <w:shd w:val="clear" w:color="auto" w:fill="E5FFFF"/>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660" w:type="dxa"/>
            <w:vAlign w:val="bottom"/>
            <w:shd w:val="clear" w:color="auto" w:fill="E5FFFF"/>
          </w:tcPr>
          <w:p>
            <w:pPr>
              <w:jc w:val="right"/>
              <w:ind w:right="30"/>
              <w:spacing w:after="0" w:line="203" w:lineRule="exact"/>
              <w:rPr>
                <w:sz w:val="20"/>
                <w:szCs w:val="20"/>
                <w:color w:val="auto"/>
              </w:rPr>
            </w:pPr>
            <w:r>
              <w:rPr>
                <w:rFonts w:ascii="Arial" w:cs="Arial" w:eastAsia="Arial" w:hAnsi="Arial"/>
                <w:sz w:val="18"/>
                <w:szCs w:val="18"/>
                <w:color w:val="auto"/>
              </w:rPr>
              <w:t>13</w:t>
            </w:r>
          </w:p>
        </w:tc>
        <w:tc>
          <w:tcPr>
            <w:tcW w:w="1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700" w:type="dxa"/>
            <w:vAlign w:val="bottom"/>
            <w:shd w:val="clear" w:color="auto" w:fill="E5FFFF"/>
          </w:tcPr>
          <w:p>
            <w:pPr>
              <w:jc w:val="right"/>
              <w:ind w:right="10"/>
              <w:spacing w:after="0" w:line="203" w:lineRule="exact"/>
              <w:rPr>
                <w:sz w:val="20"/>
                <w:szCs w:val="20"/>
                <w:color w:val="auto"/>
              </w:rPr>
            </w:pPr>
            <w:r>
              <w:rPr>
                <w:rFonts w:ascii="Arial" w:cs="Arial" w:eastAsia="Arial" w:hAnsi="Arial"/>
                <w:sz w:val="18"/>
                <w:szCs w:val="18"/>
                <w:color w:val="auto"/>
              </w:rPr>
              <w:t>11</w:t>
            </w:r>
          </w:p>
        </w:tc>
        <w:tc>
          <w:tcPr>
            <w:tcW w:w="1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640" w:type="dxa"/>
            <w:vAlign w:val="bottom"/>
            <w:shd w:val="clear" w:color="auto" w:fill="E5FFFF"/>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640" w:type="dxa"/>
            <w:vAlign w:val="bottom"/>
            <w:shd w:val="clear" w:color="auto" w:fill="E5FFFF"/>
          </w:tcPr>
          <w:p>
            <w:pPr>
              <w:jc w:val="right"/>
              <w:ind w:right="10"/>
              <w:spacing w:after="0" w:line="203" w:lineRule="exact"/>
              <w:rPr>
                <w:sz w:val="20"/>
                <w:szCs w:val="20"/>
                <w:color w:val="auto"/>
              </w:rPr>
            </w:pPr>
            <w:r>
              <w:rPr>
                <w:rFonts w:ascii="Arial" w:cs="Arial" w:eastAsia="Arial" w:hAnsi="Arial"/>
                <w:sz w:val="18"/>
                <w:szCs w:val="18"/>
                <w:color w:val="auto"/>
              </w:rPr>
              <w:t>11</w:t>
            </w:r>
          </w:p>
        </w:tc>
        <w:tc>
          <w:tcPr>
            <w:tcW w:w="1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64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(1)</w:t>
            </w:r>
          </w:p>
        </w:tc>
        <w:tc>
          <w:tcPr>
            <w:tcW w:w="1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620" w:type="dxa"/>
            <w:vAlign w:val="bottom"/>
            <w:shd w:val="clear" w:color="auto" w:fill="E5FFFF"/>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64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(1)</w:t>
            </w: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Update of expected resolution values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3340" w:type="dxa"/>
            <w:vAlign w:val="bottom"/>
          </w:tcPr>
          <w:p>
            <w:pPr>
              <w:ind w:left="180"/>
              <w:spacing w:after="0" w:line="203" w:lineRule="exact"/>
              <w:rPr>
                <w:sz w:val="20"/>
                <w:szCs w:val="20"/>
                <w:color w:val="auto"/>
              </w:rPr>
            </w:pPr>
            <w:r>
              <w:rPr>
                <w:rFonts w:ascii="Arial" w:cs="Arial" w:eastAsia="Arial" w:hAnsi="Arial"/>
                <w:sz w:val="18"/>
                <w:szCs w:val="18"/>
                <w:color w:val="auto"/>
              </w:rPr>
              <w:t>for pending claims</w:t>
            </w:r>
          </w:p>
        </w:tc>
        <w:tc>
          <w:tcPr>
            <w:tcW w:w="100" w:type="dxa"/>
            <w:vAlign w:val="bottom"/>
          </w:tcPr>
          <w:p>
            <w:pPr>
              <w:spacing w:after="0"/>
              <w:rPr>
                <w:sz w:val="17"/>
                <w:szCs w:val="17"/>
                <w:color w:val="auto"/>
              </w:rPr>
            </w:pPr>
          </w:p>
        </w:tc>
        <w:tc>
          <w:tcPr>
            <w:tcW w:w="720" w:type="dxa"/>
            <w:vAlign w:val="bottom"/>
          </w:tcPr>
          <w:p>
            <w:pPr>
              <w:jc w:val="right"/>
              <w:ind w:right="30"/>
              <w:spacing w:after="0" w:line="203"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30"/>
              <w:spacing w:after="0" w:line="203"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10"/>
              <w:spacing w:after="0" w:line="203"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0"/>
              <w:spacing w:after="0" w:line="203"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30"/>
              <w:spacing w:after="0" w:line="203"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w:t>
            </w:r>
          </w:p>
        </w:tc>
      </w:tr>
      <w:tr>
        <w:trPr>
          <w:trHeight w:val="216"/>
        </w:trPr>
        <w:tc>
          <w:tcPr>
            <w:tcW w:w="3340" w:type="dxa"/>
            <w:vAlign w:val="bottom"/>
            <w:shd w:val="clear" w:color="auto" w:fill="E5FFFF"/>
          </w:tcPr>
          <w:p>
            <w:pPr>
              <w:spacing w:after="0"/>
              <w:rPr>
                <w:sz w:val="20"/>
                <w:szCs w:val="20"/>
                <w:color w:val="auto"/>
              </w:rPr>
            </w:pPr>
            <w:r>
              <w:rPr>
                <w:rFonts w:ascii="Arial" w:cs="Arial" w:eastAsia="Arial" w:hAnsi="Arial"/>
                <w:sz w:val="18"/>
                <w:szCs w:val="18"/>
                <w:color w:val="auto"/>
              </w:rPr>
              <w:t>Asbestos related liability payments</w:t>
            </w:r>
          </w:p>
        </w:tc>
        <w:tc>
          <w:tcPr>
            <w:tcW w:w="10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E5FFFF"/>
          </w:tcPr>
          <w:p>
            <w:pPr>
              <w:spacing w:after="0"/>
              <w:rPr>
                <w:sz w:val="18"/>
                <w:szCs w:val="18"/>
                <w:color w:val="auto"/>
              </w:rPr>
            </w:pPr>
          </w:p>
        </w:tc>
        <w:tc>
          <w:tcPr>
            <w:tcW w:w="100" w:type="dxa"/>
            <w:vAlign w:val="bottom"/>
            <w:tcBorders>
              <w:bottom w:val="single" w:sz="8" w:color="auto"/>
            </w:tcBorders>
            <w:shd w:val="clear" w:color="auto" w:fill="E5FFFF"/>
          </w:tcPr>
          <w:p>
            <w:pPr>
              <w:spacing w:after="0"/>
              <w:rPr>
                <w:sz w:val="18"/>
                <w:szCs w:val="18"/>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(259)</w:t>
            </w:r>
          </w:p>
        </w:tc>
      </w:tr>
      <w:tr>
        <w:trPr>
          <w:trHeight w:val="210"/>
        </w:trPr>
        <w:tc>
          <w:tcPr>
            <w:tcW w:w="3340" w:type="dxa"/>
            <w:vAlign w:val="bottom"/>
          </w:tcPr>
          <w:p>
            <w:pPr>
              <w:spacing w:after="0" w:line="197" w:lineRule="exact"/>
              <w:rPr>
                <w:sz w:val="20"/>
                <w:szCs w:val="20"/>
                <w:color w:val="auto"/>
              </w:rPr>
            </w:pPr>
            <w:r>
              <w:rPr>
                <w:rFonts w:ascii="Arial" w:cs="Arial" w:eastAsia="Arial" w:hAnsi="Arial"/>
                <w:sz w:val="18"/>
                <w:szCs w:val="18"/>
                <w:color w:val="auto"/>
              </w:rPr>
              <w:t>End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641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919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1,560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921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1,543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929</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1,552</w:t>
            </w:r>
          </w:p>
        </w:tc>
      </w:tr>
      <w:tr>
        <w:trPr>
          <w:trHeight w:val="20"/>
        </w:trPr>
        <w:tc>
          <w:tcPr>
            <w:tcW w:w="3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100" w:type="dxa"/>
            <w:vAlign w:val="bottom"/>
            <w:gridSpan w:val="6"/>
          </w:tcPr>
          <w:p>
            <w:pPr>
              <w:spacing w:after="0"/>
              <w:rPr>
                <w:sz w:val="20"/>
                <w:szCs w:val="20"/>
                <w:color w:val="auto"/>
              </w:rPr>
            </w:pPr>
            <w:r>
              <w:rPr>
                <w:rFonts w:ascii="Arial" w:cs="Arial" w:eastAsia="Arial" w:hAnsi="Arial"/>
                <w:sz w:val="18"/>
                <w:szCs w:val="18"/>
                <w:b w:val="1"/>
                <w:bCs w:val="1"/>
                <w:color w:val="auto"/>
              </w:rPr>
              <w:t>Insurance Recoveries for Asbestos Related Liabilities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23"/>
        </w:trPr>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7"/>
          </w:tcPr>
          <w:p>
            <w:pPr>
              <w:jc w:val="center"/>
              <w:ind w:right="30"/>
              <w:spacing w:after="0"/>
              <w:rPr>
                <w:sz w:val="20"/>
                <w:szCs w:val="20"/>
                <w:color w:val="auto"/>
              </w:rPr>
            </w:pPr>
            <w:r>
              <w:rPr>
                <w:rFonts w:ascii="Arial" w:cs="Arial" w:eastAsia="Arial" w:hAnsi="Arial"/>
                <w:sz w:val="18"/>
                <w:szCs w:val="18"/>
                <w:b w:val="1"/>
                <w:bCs w:val="1"/>
                <w:color w:val="auto"/>
                <w:w w:val="99"/>
              </w:rPr>
              <w:t>Year Ended December 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8"/>
          </w:tcPr>
          <w:p>
            <w:pPr>
              <w:jc w:val="center"/>
              <w:ind w:right="200"/>
              <w:spacing w:after="0"/>
              <w:rPr>
                <w:sz w:val="20"/>
                <w:szCs w:val="20"/>
                <w:color w:val="auto"/>
              </w:rPr>
            </w:pPr>
            <w:r>
              <w:rPr>
                <w:rFonts w:ascii="Arial" w:cs="Arial" w:eastAsia="Arial" w:hAnsi="Arial"/>
                <w:sz w:val="18"/>
                <w:szCs w:val="18"/>
                <w:b w:val="1"/>
                <w:bCs w:val="1"/>
                <w:color w:val="auto"/>
                <w:w w:val="99"/>
              </w:rPr>
              <w:t>Year Ended December 31,</w:t>
            </w:r>
          </w:p>
        </w:tc>
        <w:tc>
          <w:tcPr>
            <w:tcW w:w="140" w:type="dxa"/>
            <w:vAlign w:val="bottom"/>
          </w:tcPr>
          <w:p>
            <w:pPr>
              <w:spacing w:after="0"/>
              <w:rPr>
                <w:sz w:val="24"/>
                <w:szCs w:val="24"/>
                <w:color w:val="auto"/>
              </w:rPr>
            </w:pPr>
          </w:p>
        </w:tc>
        <w:tc>
          <w:tcPr>
            <w:tcW w:w="2420" w:type="dxa"/>
            <w:vAlign w:val="bottom"/>
            <w:gridSpan w:val="8"/>
          </w:tcPr>
          <w:p>
            <w:pPr>
              <w:jc w:val="center"/>
              <w:ind w:right="50"/>
              <w:spacing w:after="0"/>
              <w:rPr>
                <w:sz w:val="20"/>
                <w:szCs w:val="20"/>
                <w:color w:val="auto"/>
              </w:rPr>
            </w:pPr>
            <w:r>
              <w:rPr>
                <w:rFonts w:ascii="Arial" w:cs="Arial" w:eastAsia="Arial" w:hAnsi="Arial"/>
                <w:sz w:val="18"/>
                <w:szCs w:val="18"/>
                <w:b w:val="1"/>
                <w:bCs w:val="1"/>
                <w:color w:val="auto"/>
                <w:w w:val="99"/>
              </w:rPr>
              <w:t>Year Ended December 31,</w:t>
            </w:r>
          </w:p>
        </w:tc>
      </w:tr>
      <w:tr>
        <w:trPr>
          <w:trHeight w:val="225"/>
        </w:trPr>
        <w:tc>
          <w:tcPr>
            <w:tcW w:w="3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2016</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2014</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r>
      <w:tr>
        <w:trPr>
          <w:trHeight w:val="210"/>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Bendix</w:t>
            </w:r>
          </w:p>
        </w:tc>
        <w:tc>
          <w:tcPr>
            <w:tcW w:w="12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NARCO</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Bendix</w:t>
            </w:r>
          </w:p>
        </w:tc>
        <w:tc>
          <w:tcPr>
            <w:tcW w:w="12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NARCO</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880" w:type="dxa"/>
            <w:vAlign w:val="bottom"/>
            <w:gridSpan w:val="3"/>
          </w:tcPr>
          <w:p>
            <w:pPr>
              <w:ind w:left="80"/>
              <w:spacing w:after="0"/>
              <w:rPr>
                <w:sz w:val="20"/>
                <w:szCs w:val="20"/>
                <w:color w:val="auto"/>
              </w:rPr>
            </w:pPr>
            <w:r>
              <w:rPr>
                <w:rFonts w:ascii="Arial" w:cs="Arial" w:eastAsia="Arial" w:hAnsi="Arial"/>
                <w:sz w:val="18"/>
                <w:szCs w:val="18"/>
                <w:b w:val="1"/>
                <w:bCs w:val="1"/>
                <w:color w:val="auto"/>
              </w:rPr>
              <w:t>Bendix</w:t>
            </w:r>
          </w:p>
        </w:tc>
        <w:tc>
          <w:tcPr>
            <w:tcW w:w="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NARCO</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b w:val="1"/>
                <w:bCs w:val="1"/>
                <w:color w:val="auto"/>
              </w:rPr>
              <w:t>Total</w:t>
            </w:r>
          </w:p>
        </w:tc>
      </w:tr>
      <w:tr>
        <w:trPr>
          <w:trHeight w:val="196"/>
        </w:trPr>
        <w:tc>
          <w:tcPr>
            <w:tcW w:w="334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Beginning of year</w:t>
            </w:r>
          </w:p>
        </w:tc>
        <w:tc>
          <w:tcPr>
            <w:tcW w:w="1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124</w:t>
            </w:r>
          </w:p>
        </w:tc>
        <w:tc>
          <w:tcPr>
            <w:tcW w:w="12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325</w:t>
            </w:r>
          </w:p>
        </w:tc>
        <w:tc>
          <w:tcPr>
            <w:tcW w:w="12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449</w:t>
            </w:r>
          </w:p>
        </w:tc>
        <w:tc>
          <w:tcPr>
            <w:tcW w:w="12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135</w:t>
            </w:r>
          </w:p>
        </w:tc>
        <w:tc>
          <w:tcPr>
            <w:tcW w:w="12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350</w:t>
            </w:r>
          </w:p>
        </w:tc>
        <w:tc>
          <w:tcPr>
            <w:tcW w:w="10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485</w:t>
            </w:r>
          </w:p>
        </w:tc>
        <w:tc>
          <w:tcPr>
            <w:tcW w:w="12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141</w:t>
            </w:r>
          </w:p>
        </w:tc>
        <w:tc>
          <w:tcPr>
            <w:tcW w:w="10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531</w:t>
            </w:r>
          </w:p>
        </w:tc>
        <w:tc>
          <w:tcPr>
            <w:tcW w:w="140" w:type="dxa"/>
            <w:vAlign w:val="bottom"/>
            <w:tcBorders>
              <w:top w:val="single" w:sz="8" w:color="E5FFFF"/>
            </w:tcBorders>
            <w:gridSpan w:val="2"/>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672</w:t>
            </w: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Probable insurance recoveries related</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3340" w:type="dxa"/>
            <w:vAlign w:val="bottom"/>
          </w:tcPr>
          <w:p>
            <w:pPr>
              <w:ind w:left="180"/>
              <w:spacing w:after="0" w:line="203" w:lineRule="exact"/>
              <w:rPr>
                <w:sz w:val="20"/>
                <w:szCs w:val="20"/>
                <w:color w:val="auto"/>
              </w:rPr>
            </w:pPr>
            <w:r>
              <w:rPr>
                <w:rFonts w:ascii="Arial" w:cs="Arial" w:eastAsia="Arial" w:hAnsi="Arial"/>
                <w:sz w:val="18"/>
                <w:szCs w:val="18"/>
                <w:color w:val="auto"/>
              </w:rPr>
              <w:t>to estimated liability</w:t>
            </w:r>
          </w:p>
        </w:tc>
        <w:tc>
          <w:tcPr>
            <w:tcW w:w="100" w:type="dxa"/>
            <w:vAlign w:val="bottom"/>
          </w:tcPr>
          <w:p>
            <w:pPr>
              <w:spacing w:after="0"/>
              <w:rPr>
                <w:sz w:val="17"/>
                <w:szCs w:val="17"/>
                <w:color w:val="auto"/>
              </w:rPr>
            </w:pPr>
          </w:p>
        </w:tc>
        <w:tc>
          <w:tcPr>
            <w:tcW w:w="720" w:type="dxa"/>
            <w:vAlign w:val="bottom"/>
          </w:tcPr>
          <w:p>
            <w:pPr>
              <w:jc w:val="right"/>
              <w:ind w:right="30"/>
              <w:spacing w:after="0" w:line="203" w:lineRule="exact"/>
              <w:rPr>
                <w:sz w:val="20"/>
                <w:szCs w:val="20"/>
                <w:color w:val="auto"/>
              </w:rPr>
            </w:pPr>
            <w:r>
              <w:rPr>
                <w:rFonts w:ascii="Arial" w:cs="Arial" w:eastAsia="Arial" w:hAnsi="Arial"/>
                <w:sz w:val="18"/>
                <w:szCs w:val="18"/>
                <w:color w:val="auto"/>
              </w:rPr>
              <w:t>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30"/>
              <w:spacing w:after="0" w:line="203" w:lineRule="exact"/>
              <w:rPr>
                <w:sz w:val="20"/>
                <w:szCs w:val="20"/>
                <w:color w:val="auto"/>
              </w:rPr>
            </w:pPr>
            <w:r>
              <w:rPr>
                <w:rFonts w:ascii="Arial" w:cs="Arial" w:eastAsia="Arial" w:hAnsi="Arial"/>
                <w:sz w:val="18"/>
                <w:szCs w:val="18"/>
                <w:color w:val="auto"/>
              </w:rPr>
              <w:t>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30"/>
              <w:spacing w:after="0" w:line="203" w:lineRule="exact"/>
              <w:rPr>
                <w:sz w:val="20"/>
                <w:szCs w:val="20"/>
                <w:color w:val="auto"/>
              </w:rPr>
            </w:pPr>
            <w:r>
              <w:rPr>
                <w:rFonts w:ascii="Arial" w:cs="Arial" w:eastAsia="Arial" w:hAnsi="Arial"/>
                <w:sz w:val="18"/>
                <w:szCs w:val="18"/>
                <w:color w:val="auto"/>
              </w:rPr>
              <w:t>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24</w:t>
            </w:r>
          </w:p>
        </w:tc>
      </w:tr>
      <w:tr>
        <w:trPr>
          <w:trHeight w:val="202"/>
        </w:trPr>
        <w:tc>
          <w:tcPr>
            <w:tcW w:w="33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Insurance receipts for asbestos related</w:t>
            </w:r>
          </w:p>
        </w:tc>
        <w:tc>
          <w:tcPr>
            <w:tcW w:w="10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6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6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6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640" w:type="dxa"/>
            <w:vAlign w:val="bottom"/>
            <w:shd w:val="clear" w:color="auto" w:fill="E5FFFF"/>
          </w:tcPr>
          <w:p>
            <w:pPr>
              <w:spacing w:after="0"/>
              <w:rPr>
                <w:sz w:val="17"/>
                <w:szCs w:val="17"/>
                <w:color w:val="auto"/>
              </w:rPr>
            </w:pPr>
          </w:p>
        </w:tc>
      </w:tr>
      <w:tr>
        <w:trPr>
          <w:trHeight w:val="203"/>
        </w:trPr>
        <w:tc>
          <w:tcPr>
            <w:tcW w:w="3340" w:type="dxa"/>
            <w:vAlign w:val="bottom"/>
            <w:shd w:val="clear" w:color="auto" w:fill="E5FFFF"/>
          </w:tcPr>
          <w:p>
            <w:pPr>
              <w:ind w:left="180"/>
              <w:spacing w:after="0" w:line="203" w:lineRule="exact"/>
              <w:rPr>
                <w:sz w:val="20"/>
                <w:szCs w:val="20"/>
                <w:color w:val="auto"/>
              </w:rPr>
            </w:pPr>
            <w:r>
              <w:rPr>
                <w:rFonts w:ascii="Arial" w:cs="Arial" w:eastAsia="Arial" w:hAnsi="Arial"/>
                <w:sz w:val="18"/>
                <w:szCs w:val="18"/>
                <w:color w:val="auto"/>
              </w:rPr>
              <w:t>liabilities</w:t>
            </w:r>
          </w:p>
        </w:tc>
        <w:tc>
          <w:tcPr>
            <w:tcW w:w="100" w:type="dxa"/>
            <w:vAlign w:val="bottom"/>
            <w:shd w:val="clear" w:color="auto" w:fill="E5FFFF"/>
          </w:tcPr>
          <w:p>
            <w:pPr>
              <w:spacing w:after="0"/>
              <w:rPr>
                <w:sz w:val="17"/>
                <w:szCs w:val="17"/>
                <w:color w:val="auto"/>
              </w:rPr>
            </w:pPr>
          </w:p>
        </w:tc>
        <w:tc>
          <w:tcPr>
            <w:tcW w:w="72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(37)</w:t>
            </w:r>
          </w:p>
        </w:tc>
        <w:tc>
          <w:tcPr>
            <w:tcW w:w="1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66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(6)</w:t>
            </w:r>
          </w:p>
        </w:tc>
        <w:tc>
          <w:tcPr>
            <w:tcW w:w="1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66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(43)</w:t>
            </w:r>
          </w:p>
        </w:tc>
        <w:tc>
          <w:tcPr>
            <w:tcW w:w="1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70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(33)</w:t>
            </w:r>
          </w:p>
        </w:tc>
        <w:tc>
          <w:tcPr>
            <w:tcW w:w="1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64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(30)</w:t>
            </w:r>
          </w:p>
        </w:tc>
        <w:tc>
          <w:tcPr>
            <w:tcW w:w="1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64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(63)</w:t>
            </w:r>
          </w:p>
        </w:tc>
        <w:tc>
          <w:tcPr>
            <w:tcW w:w="1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64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(24)</w:t>
            </w:r>
          </w:p>
        </w:tc>
        <w:tc>
          <w:tcPr>
            <w:tcW w:w="1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62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(187)</w:t>
            </w:r>
          </w:p>
        </w:tc>
        <w:tc>
          <w:tcPr>
            <w:tcW w:w="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64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(211)</w:t>
            </w: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Insurance receivables settlements and</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3340" w:type="dxa"/>
            <w:vAlign w:val="bottom"/>
          </w:tcPr>
          <w:p>
            <w:pPr>
              <w:ind w:left="180"/>
              <w:spacing w:after="0" w:line="203" w:lineRule="exact"/>
              <w:rPr>
                <w:sz w:val="20"/>
                <w:szCs w:val="20"/>
                <w:color w:val="auto"/>
              </w:rPr>
            </w:pPr>
            <w:r>
              <w:rPr>
                <w:rFonts w:ascii="Arial" w:cs="Arial" w:eastAsia="Arial" w:hAnsi="Arial"/>
                <w:sz w:val="18"/>
                <w:szCs w:val="18"/>
                <w:color w:val="auto"/>
              </w:rPr>
              <w:t>write offs</w:t>
            </w:r>
          </w:p>
        </w:tc>
        <w:tc>
          <w:tcPr>
            <w:tcW w:w="100" w:type="dxa"/>
            <w:vAlign w:val="bottom"/>
          </w:tcPr>
          <w:p>
            <w:pPr>
              <w:spacing w:after="0"/>
              <w:rPr>
                <w:sz w:val="17"/>
                <w:szCs w:val="17"/>
                <w:color w:val="auto"/>
              </w:rPr>
            </w:pPr>
          </w:p>
        </w:tc>
        <w:tc>
          <w:tcPr>
            <w:tcW w:w="720" w:type="dxa"/>
            <w:vAlign w:val="bottom"/>
          </w:tcPr>
          <w:p>
            <w:pPr>
              <w:jc w:val="right"/>
              <w:ind w:right="30"/>
              <w:spacing w:after="0" w:line="203"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30"/>
              <w:spacing w:after="0" w:line="203"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10"/>
              <w:spacing w:after="0" w:line="203"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30"/>
              <w:spacing w:after="0" w:line="203"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0"/>
              <w:spacing w:after="0" w:line="203"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0"/>
              <w:spacing w:after="0" w:line="203"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10"/>
              <w:spacing w:after="0" w:line="203" w:lineRule="exact"/>
              <w:rPr>
                <w:sz w:val="20"/>
                <w:szCs w:val="20"/>
                <w:color w:val="auto"/>
              </w:rPr>
            </w:pPr>
            <w:r>
              <w:rPr>
                <w:rFonts w:ascii="Arial" w:cs="Arial" w:eastAsia="Arial" w:hAnsi="Arial"/>
                <w:sz w:val="18"/>
                <w:szCs w:val="18"/>
                <w:color w:val="auto"/>
              </w:rPr>
              <w:t>1</w:t>
            </w:r>
          </w:p>
        </w:tc>
      </w:tr>
      <w:tr>
        <w:trPr>
          <w:trHeight w:val="216"/>
        </w:trPr>
        <w:tc>
          <w:tcPr>
            <w:tcW w:w="3340" w:type="dxa"/>
            <w:vAlign w:val="bottom"/>
            <w:shd w:val="clear" w:color="auto" w:fill="E5FF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66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66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E5FFFF"/>
          </w:tcPr>
          <w:p>
            <w:pPr>
              <w:spacing w:after="0"/>
              <w:rPr>
                <w:sz w:val="18"/>
                <w:szCs w:val="18"/>
                <w:color w:val="auto"/>
              </w:rPr>
            </w:pPr>
          </w:p>
        </w:tc>
        <w:tc>
          <w:tcPr>
            <w:tcW w:w="100" w:type="dxa"/>
            <w:vAlign w:val="bottom"/>
            <w:tcBorders>
              <w:bottom w:val="single" w:sz="8" w:color="auto"/>
            </w:tcBorders>
            <w:shd w:val="clear" w:color="auto" w:fill="E5FFFF"/>
          </w:tcPr>
          <w:p>
            <w:pPr>
              <w:spacing w:after="0"/>
              <w:rPr>
                <w:sz w:val="18"/>
                <w:szCs w:val="18"/>
                <w:color w:val="auto"/>
              </w:rPr>
            </w:pPr>
          </w:p>
        </w:tc>
        <w:tc>
          <w:tcPr>
            <w:tcW w:w="70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64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3340" w:type="dxa"/>
            <w:vAlign w:val="bottom"/>
          </w:tcPr>
          <w:p>
            <w:pPr>
              <w:spacing w:after="0" w:line="197" w:lineRule="exact"/>
              <w:rPr>
                <w:sz w:val="20"/>
                <w:szCs w:val="20"/>
                <w:color w:val="auto"/>
              </w:rPr>
            </w:pPr>
            <w:r>
              <w:rPr>
                <w:rFonts w:ascii="Arial" w:cs="Arial" w:eastAsia="Arial" w:hAnsi="Arial"/>
                <w:sz w:val="18"/>
                <w:szCs w:val="18"/>
                <w:color w:val="auto"/>
              </w:rPr>
              <w:t>End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121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319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440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325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485</w:t>
            </w:r>
          </w:p>
        </w:tc>
      </w:tr>
      <w:tr>
        <w:trPr>
          <w:trHeight w:val="20"/>
        </w:trPr>
        <w:tc>
          <w:tcPr>
            <w:tcW w:w="3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NARCO and Bendix asbestos related balances are included in the following balance sheet accounts:</w:t>
      </w:r>
    </w:p>
    <w:p>
      <w:pPr>
        <w:spacing w:after="0" w:line="280" w:lineRule="exact"/>
        <w:rPr>
          <w:sz w:val="20"/>
          <w:szCs w:val="20"/>
          <w:color w:val="auto"/>
        </w:rPr>
      </w:pPr>
    </w:p>
    <w:tbl>
      <w:tblPr>
        <w:tblLayout w:type="fixed"/>
        <w:tblInd w:w="980" w:type="dxa"/>
        <w:tblCellMar>
          <w:top w:w="0" w:type="dxa"/>
          <w:left w:w="0" w:type="dxa"/>
          <w:bottom w:w="0" w:type="dxa"/>
          <w:right w:w="0" w:type="dxa"/>
        </w:tblCellMar>
      </w:tblPr>
      <w:tr>
        <w:trPr>
          <w:trHeight w:val="175"/>
        </w:trPr>
        <w:tc>
          <w:tcPr>
            <w:tcW w:w="54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r>
      <w:tr>
        <w:trPr>
          <w:trHeight w:val="196"/>
        </w:trPr>
        <w:tc>
          <w:tcPr>
            <w:tcW w:w="54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2015</w:t>
            </w:r>
          </w:p>
        </w:tc>
      </w:tr>
      <w:tr>
        <w:trPr>
          <w:trHeight w:val="196"/>
        </w:trPr>
        <w:tc>
          <w:tcPr>
            <w:tcW w:w="54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48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color w:val="auto"/>
              </w:rPr>
              <w:t>Other current assets</w:t>
            </w:r>
          </w:p>
        </w:tc>
        <w:tc>
          <w:tcPr>
            <w:tcW w:w="1660" w:type="dxa"/>
            <w:vAlign w:val="bottom"/>
            <w:gridSpan w:val="2"/>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23</w:t>
            </w:r>
          </w:p>
        </w:tc>
        <w:tc>
          <w:tcPr>
            <w:tcW w:w="280" w:type="dxa"/>
            <w:vAlign w:val="bottom"/>
            <w:shd w:val="clear" w:color="auto" w:fill="E5FFFF"/>
          </w:tcPr>
          <w:p>
            <w:pPr>
              <w:spacing w:after="0"/>
              <w:rPr>
                <w:sz w:val="17"/>
                <w:szCs w:val="17"/>
                <w:color w:val="auto"/>
              </w:rPr>
            </w:pPr>
          </w:p>
        </w:tc>
        <w:tc>
          <w:tcPr>
            <w:tcW w:w="360" w:type="dxa"/>
            <w:vAlign w:val="bottom"/>
            <w:shd w:val="clear" w:color="auto" w:fill="E5FFFF"/>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23</w:t>
            </w:r>
          </w:p>
        </w:tc>
      </w:tr>
      <w:tr>
        <w:trPr>
          <w:trHeight w:val="216"/>
        </w:trPr>
        <w:tc>
          <w:tcPr>
            <w:tcW w:w="5480" w:type="dxa"/>
            <w:vAlign w:val="bottom"/>
            <w:tcBorders>
              <w:bottom w:val="single" w:sz="8" w:color="E5FFFF"/>
            </w:tcBorders>
          </w:tcPr>
          <w:p>
            <w:pPr>
              <w:ind w:left="40"/>
              <w:spacing w:after="0"/>
              <w:rPr>
                <w:sz w:val="20"/>
                <w:szCs w:val="20"/>
                <w:color w:val="auto"/>
              </w:rPr>
            </w:pPr>
            <w:r>
              <w:rPr>
                <w:rFonts w:ascii="Arial" w:cs="Arial" w:eastAsia="Arial" w:hAnsi="Arial"/>
                <w:sz w:val="18"/>
                <w:szCs w:val="18"/>
                <w:color w:val="auto"/>
              </w:rPr>
              <w:t>Insurance recoveries for asbestos related liabilities</w:t>
            </w:r>
          </w:p>
        </w:tc>
        <w:tc>
          <w:tcPr>
            <w:tcW w:w="140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417</w:t>
            </w:r>
          </w:p>
        </w:tc>
        <w:tc>
          <w:tcPr>
            <w:tcW w:w="280" w:type="dxa"/>
            <w:vAlign w:val="bottom"/>
            <w:tcBorders>
              <w:bottom w:val="single" w:sz="8" w:color="E5F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r>
      <w:tr>
        <w:trPr>
          <w:trHeight w:val="223"/>
        </w:trPr>
        <w:tc>
          <w:tcPr>
            <w:tcW w:w="5480" w:type="dxa"/>
            <w:vAlign w:val="bottom"/>
            <w:tcBorders>
              <w:bottom w:val="single" w:sz="8" w:color="E5FFFF"/>
            </w:tcBorders>
            <w:shd w:val="clear" w:color="auto" w:fill="E5FFFF"/>
          </w:tcPr>
          <w:p>
            <w:pPr>
              <w:spacing w:after="0"/>
              <w:rPr>
                <w:sz w:val="19"/>
                <w:szCs w:val="19"/>
                <w:color w:val="auto"/>
              </w:rPr>
            </w:pPr>
          </w:p>
        </w:tc>
        <w:tc>
          <w:tcPr>
            <w:tcW w:w="1400" w:type="dxa"/>
            <w:vAlign w:val="bottom"/>
            <w:tcBorders>
              <w:bottom w:val="single" w:sz="8" w:color="E5FFFF"/>
            </w:tcBorders>
            <w:shd w:val="clear" w:color="auto" w:fill="E5FFFF"/>
          </w:tcPr>
          <w:p>
            <w:pPr>
              <w:spacing w:after="0"/>
              <w:rPr>
                <w:sz w:val="19"/>
                <w:szCs w:val="19"/>
                <w:color w:val="auto"/>
              </w:rPr>
            </w:pPr>
          </w:p>
        </w:tc>
        <w:tc>
          <w:tcPr>
            <w:tcW w:w="260" w:type="dxa"/>
            <w:vAlign w:val="bottom"/>
            <w:tcBorders>
              <w:bottom w:val="single" w:sz="8" w:color="auto"/>
            </w:tcBorders>
            <w:shd w:val="clear" w:color="auto" w:fill="E5FF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440</w:t>
            </w:r>
          </w:p>
        </w:tc>
        <w:tc>
          <w:tcPr>
            <w:tcW w:w="280" w:type="dxa"/>
            <w:vAlign w:val="bottom"/>
            <w:tcBorders>
              <w:bottom w:val="single" w:sz="8" w:color="E5FFFF"/>
            </w:tcBorders>
            <w:shd w:val="clear" w:color="auto" w:fill="E5FFFF"/>
          </w:tcPr>
          <w:p>
            <w:pPr>
              <w:spacing w:after="0"/>
              <w:rPr>
                <w:sz w:val="19"/>
                <w:szCs w:val="19"/>
                <w:color w:val="auto"/>
              </w:rPr>
            </w:pPr>
          </w:p>
        </w:tc>
        <w:tc>
          <w:tcPr>
            <w:tcW w:w="360" w:type="dxa"/>
            <w:vAlign w:val="bottom"/>
            <w:tcBorders>
              <w:bottom w:val="single" w:sz="8" w:color="auto"/>
            </w:tcBorders>
            <w:shd w:val="clear" w:color="auto" w:fill="E5FF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449</w:t>
            </w:r>
          </w:p>
        </w:tc>
      </w:tr>
      <w:tr>
        <w:trPr>
          <w:trHeight w:val="20"/>
        </w:trPr>
        <w:tc>
          <w:tcPr>
            <w:tcW w:w="5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99"/>
        </w:trPr>
        <w:tc>
          <w:tcPr>
            <w:tcW w:w="548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16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546</w:t>
            </w:r>
          </w:p>
        </w:tc>
        <w:tc>
          <w:tcPr>
            <w:tcW w:w="28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16"/>
        </w:trPr>
        <w:tc>
          <w:tcPr>
            <w:tcW w:w="5480" w:type="dxa"/>
            <w:vAlign w:val="bottom"/>
            <w:shd w:val="clear" w:color="auto" w:fill="E5FFFF"/>
          </w:tcPr>
          <w:p>
            <w:pPr>
              <w:ind w:left="40"/>
              <w:spacing w:after="0"/>
              <w:rPr>
                <w:sz w:val="20"/>
                <w:szCs w:val="20"/>
                <w:color w:val="auto"/>
              </w:rPr>
            </w:pPr>
            <w:r>
              <w:rPr>
                <w:rFonts w:ascii="Arial" w:cs="Arial" w:eastAsia="Arial" w:hAnsi="Arial"/>
                <w:sz w:val="18"/>
                <w:szCs w:val="18"/>
                <w:color w:val="auto"/>
              </w:rPr>
              <w:t>Asbestos related liabilities</w:t>
            </w:r>
          </w:p>
        </w:tc>
        <w:tc>
          <w:tcPr>
            <w:tcW w:w="140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1,014</w:t>
            </w:r>
          </w:p>
        </w:tc>
        <w:tc>
          <w:tcPr>
            <w:tcW w:w="280" w:type="dxa"/>
            <w:vAlign w:val="bottom"/>
            <w:shd w:val="clear" w:color="auto" w:fill="E5FFFF"/>
          </w:tcPr>
          <w:p>
            <w:pPr>
              <w:spacing w:after="0"/>
              <w:rPr>
                <w:sz w:val="18"/>
                <w:szCs w:val="18"/>
                <w:color w:val="auto"/>
              </w:rPr>
            </w:pPr>
          </w:p>
        </w:tc>
        <w:tc>
          <w:tcPr>
            <w:tcW w:w="36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1,251</w:t>
            </w:r>
          </w:p>
        </w:tc>
      </w:tr>
      <w:tr>
        <w:trPr>
          <w:trHeight w:val="223"/>
        </w:trPr>
        <w:tc>
          <w:tcPr>
            <w:tcW w:w="5480" w:type="dxa"/>
            <w:vAlign w:val="bottom"/>
          </w:tcPr>
          <w:p>
            <w:pPr>
              <w:spacing w:after="0"/>
              <w:rPr>
                <w:sz w:val="19"/>
                <w:szCs w:val="19"/>
                <w:color w:val="auto"/>
              </w:rPr>
            </w:pPr>
          </w:p>
        </w:tc>
        <w:tc>
          <w:tcPr>
            <w:tcW w:w="16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1,560</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1,543</w:t>
            </w:r>
          </w:p>
        </w:tc>
      </w:tr>
      <w:tr>
        <w:trPr>
          <w:trHeight w:val="20"/>
        </w:trPr>
        <w:tc>
          <w:tcPr>
            <w:tcW w:w="5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b w:val="1"/>
          <w:bCs w:val="1"/>
          <w:i w:val="1"/>
          <w:iCs w:val="1"/>
          <w:color w:val="auto"/>
        </w:rPr>
        <w:t xml:space="preserve">NARCO Products </w:t>
      </w:r>
      <w:r>
        <w:rPr>
          <w:rFonts w:ascii="Arial" w:cs="Arial" w:eastAsia="Arial" w:hAnsi="Arial"/>
          <w:sz w:val="18"/>
          <w:szCs w:val="18"/>
          <w:color w:val="auto"/>
        </w:rPr>
        <w:t>–In connection with NARCO’s emergence from bankruptcy on April 30, 2013, a federally authorized 524(g) trust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(NARCO Trust) was established for the evaluation and resolution of all existing</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and future NARCO asbestos claims. Both Honeywell and NARCO are protected by a permanent channeling injunction barring all present and future individual actions in state or federal courts and requiring all asbestos related claims based on exposure to NARCO asbestos-containing products to be made against the NARCO Trust. The NARCO Trust reviews submitted claims and determines award amounts in accordance with established Trust Distribution Procedures approved by the Bankruptcy Court which set forth the criteria claimants must meet to qualify for compensation including, among other things, exposure and medical criteria that determine the award amount. In addition, Honeywell provided, and continues to provide, input to the design of control procedures for processing NARCO claims, and has on-going audit rights to review and monitor the claims processors’ adherence to the established requirements of the Trust Distribution Procedures.</w:t>
      </w:r>
    </w:p>
    <w:p>
      <w:pPr>
        <w:spacing w:after="0" w:line="19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Honeywell is obligated to fund NARCO asbestos claims submitted to the NARCO Trust which qualify for payment under the Trust Distribution Procedures (Annual Contribution Claims), subject to annual caps of $140 million in the years 2017 and 2018 and $145 million for each year thereafter. However, the initial $100 million of claims processed through the NARCO Trust (the Initial Claims Amount) will not count against the annual cap and any unused portion of the Initial Claims Amount will roll over to subsequent years until fully utilized. In 2015, Honeywell filed suit against the NARCO Trust in Bankruptcy Court alleging breach of certain provisions of the Trust Agreement and Trust Distribution Procedures. The parties agreed to dismiss the proceeding without prejudice pursuant to an 18 month Standstill Agreement that expires in October 2017. Claims processing will continue during this period subject to a defined dispute resolution process. As of December 31, 2016, Honeywell has not made any payments to the NARCO Trust for Annual Contribution Claims.</w:t>
      </w:r>
    </w:p>
    <w:p>
      <w:pPr>
        <w:spacing w:after="0" w:line="19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Honeywell is also responsible for payments due to claimants pursuant to settlement agreements reached during the pendency of the NARCO bankruptcy proceedings that provide for the right to submit claims to the NARCO Trust subject to qualification under the terms of the settlement agreements and Trust Distribution Procedures criteria (Pre-established Unliquidated Claims), which amounts are estimated at $ 150 million and are expected to be paid during the initial years of trust operations ($5 million of which has been paid since the effective date of the NARCO Trust). Such payments are not subject to the annual cap described above.</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Our consolidated financial statements reflect an estimated liability for pre-established unliquidated claims ($145 million), unsettled claims pending as of the time NARCO filed for bankruptcy protection ($31 million) and for the estimated value of future NARCO asbestos claims expected to be asserted against the NARCO Trust ($743 million). The estimate of future NARCO claims is based on a commonly accepted methodology used by numerous bankruptcy courts addressing 524(g) trusts and also reflects disputes concerning implementation of the Trust Distribution Procedures by the NARCO Trust, a lack of sufficient trust claims processing experience, as well as the stay of all NARCO asbestos claims which remained in place throughout NARCO’s Chapter 11 case. Some critical assumptions underlying this commonly accepted methodology include claims filing rates, disease criteria and payment values contained in the Trust Distribution Procedures, estimated approval rates of claims submitted to the NARCO Trust and epidemiological studies estimating disease instances. The estimated value of future NARCO claims was originally established at the time of the NARCO Chapter 11 filing reflecting claims expected to be asserted against NARCO over a fifteen year period. This projection resulted in a range of estimated liability of $743 million to $961 million. We believe that no amount within this range is a better estimate than any other amount and accordingly, we have recorded the minimum amount in the range.</w:t>
      </w:r>
    </w:p>
    <w:p>
      <w:pPr>
        <w:spacing w:after="0" w:line="19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Our insurance receivable corresponding to the estimated liability for pending and future NARCO asbestos claims reflects coverage which reimburses Honeywell for portions of NARCO-related indemnity and defense costs and is provided by a large number of insurance policies written by dozens of insurance companies in both the domestic insurance market and the London excess market. We conduct analyses to estimate the probable amount of insurance that is recoverable for asbestos claims. While the substantial majority of our insurance carriers are solvent, some of our individual carriers are insolvent, which has been considered in our analysis of probable recoveries. We made judgments concerning insurance coverage that we believe are reasonable and consistent with our historical dealings and our knowledge of any pertinent solvency issues surrounding insurers.</w:t>
      </w:r>
    </w:p>
    <w:p>
      <w:pPr>
        <w:spacing w:after="0" w:line="19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Projecting future events is subject to many uncertainties that could cause the NARCO-related asbestos liabilities or assets to be higher or lower than those projected and recorded. Given the uncertainties, we review our estimates periodically, and update them based on our experience and other relevant factors. Similarly, we will reevaluate our projections concerning our probable insurance recoveries in light of any changes to the projected liability or other developments that may impact insurance recoveries.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HONEYWELL INTERNATIONAL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Bendix Products</w:t>
      </w:r>
      <w:r>
        <w:rPr>
          <w:rFonts w:ascii="Arial" w:cs="Arial" w:eastAsia="Arial" w:hAnsi="Arial"/>
          <w:sz w:val="19"/>
          <w:szCs w:val="19"/>
          <w:color w:val="auto"/>
        </w:rPr>
        <w:t>—</w:t>
      </w:r>
      <w:r>
        <w:rPr>
          <w:rFonts w:ascii="Arial" w:cs="Arial" w:eastAsia="Arial" w:hAnsi="Arial"/>
          <w:sz w:val="17"/>
          <w:szCs w:val="17"/>
          <w:color w:val="auto"/>
        </w:rPr>
        <w:t>The following tables present information regarding Bendix related asbestos claims activity</w:t>
      </w:r>
      <w:r>
        <w:rPr>
          <w:rFonts w:ascii="Arial" w:cs="Arial" w:eastAsia="Arial" w:hAnsi="Arial"/>
          <w:sz w:val="19"/>
          <w:szCs w:val="19"/>
          <w:color w:val="auto"/>
        </w:rPr>
        <w:t>:</w:t>
      </w:r>
    </w:p>
    <w:p>
      <w:pPr>
        <w:sectPr>
          <w:pgSz w:w="11900" w:h="16838" w:orient="portrait"/>
          <w:cols w:equalWidth="0" w:num="1">
            <w:col w:w="11420"/>
          </w:cols>
          <w:pgMar w:left="240" w:top="400" w:right="2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Claims Activity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Claims Unresolved at the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517640"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17640" cy="12890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Claims Filed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Claims Resolved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51764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Claims Unresolved at the end of year</w:t>
      </w:r>
    </w:p>
    <w:p>
      <w:pPr>
        <w:spacing w:after="0" w:line="200" w:lineRule="exact"/>
        <w:rPr>
          <w:sz w:val="20"/>
          <w:szCs w:val="20"/>
          <w:color w:val="auto"/>
        </w:rPr>
      </w:pPr>
    </w:p>
    <w:p>
      <w:pPr>
        <w:spacing w:after="0" w:line="310" w:lineRule="exact"/>
        <w:rPr>
          <w:sz w:val="20"/>
          <w:szCs w:val="20"/>
          <w:color w:val="auto"/>
        </w:rPr>
      </w:pPr>
    </w:p>
    <w:p>
      <w:pPr>
        <w:jc w:val="right"/>
        <w:ind w:right="3240"/>
        <w:spacing w:after="0"/>
        <w:rPr>
          <w:sz w:val="20"/>
          <w:szCs w:val="20"/>
          <w:color w:val="auto"/>
        </w:rPr>
      </w:pPr>
      <w:r>
        <w:rPr>
          <w:rFonts w:ascii="Arial" w:cs="Arial" w:eastAsia="Arial" w:hAnsi="Arial"/>
          <w:sz w:val="14"/>
          <w:szCs w:val="14"/>
          <w:b w:val="1"/>
          <w:bCs w:val="1"/>
          <w:u w:val="single" w:color="auto"/>
          <w:color w:val="auto"/>
        </w:rPr>
        <w:t>Disease Distribution of Unresolved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411480" cy="4286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11480" cy="4286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Years Ended</w:t>
      </w:r>
    </w:p>
    <w:p>
      <w:pPr>
        <w:spacing w:after="0" w:line="19"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17494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ind w:left="460"/>
        <w:spacing w:after="0"/>
        <w:tabs>
          <w:tab w:leader="none" w:pos="196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8255</wp:posOffset>
            </wp:positionV>
            <wp:extent cx="17494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jc w:val="right"/>
              <w:ind w:right="10"/>
              <w:spacing w:after="0"/>
              <w:rPr>
                <w:sz w:val="20"/>
                <w:szCs w:val="20"/>
                <w:color w:val="auto"/>
              </w:rPr>
            </w:pPr>
            <w:r>
              <w:rPr>
                <w:rFonts w:ascii="Arial" w:cs="Arial" w:eastAsia="Arial" w:hAnsi="Arial"/>
                <w:sz w:val="18"/>
                <w:szCs w:val="18"/>
                <w:color w:val="auto"/>
              </w:rPr>
              <w:t>7,779</w:t>
            </w:r>
          </w:p>
        </w:tc>
        <w:tc>
          <w:tcPr>
            <w:tcW w:w="300" w:type="dxa"/>
            <w:vAlign w:val="bottom"/>
          </w:tcPr>
          <w:p>
            <w:pPr>
              <w:spacing w:after="0"/>
              <w:rPr>
                <w:sz w:val="17"/>
                <w:szCs w:val="17"/>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9,267</w:t>
            </w:r>
          </w:p>
        </w:tc>
      </w:tr>
      <w:tr>
        <w:trPr>
          <w:trHeight w:val="216"/>
        </w:trPr>
        <w:tc>
          <w:tcPr>
            <w:tcW w:w="1240" w:type="dxa"/>
            <w:vAlign w:val="bottom"/>
          </w:tcPr>
          <w:p>
            <w:pPr>
              <w:jc w:val="right"/>
              <w:ind w:right="10"/>
              <w:spacing w:after="0"/>
              <w:rPr>
                <w:sz w:val="20"/>
                <w:szCs w:val="20"/>
                <w:color w:val="auto"/>
              </w:rPr>
            </w:pPr>
            <w:r>
              <w:rPr>
                <w:rFonts w:ascii="Arial" w:cs="Arial" w:eastAsia="Arial" w:hAnsi="Arial"/>
                <w:sz w:val="18"/>
                <w:szCs w:val="18"/>
                <w:color w:val="auto"/>
              </w:rPr>
              <w:t>2,830</w:t>
            </w:r>
          </w:p>
        </w:tc>
        <w:tc>
          <w:tcPr>
            <w:tcW w:w="3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2,862</w:t>
            </w:r>
          </w:p>
        </w:tc>
      </w:tr>
      <w:tr>
        <w:trPr>
          <w:trHeight w:val="203"/>
        </w:trPr>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(2,885)</w:t>
            </w:r>
          </w:p>
        </w:tc>
        <w:tc>
          <w:tcPr>
            <w:tcW w:w="300" w:type="dxa"/>
            <w:vAlign w:val="bottom"/>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(4,350)</w:t>
            </w:r>
          </w:p>
        </w:tc>
      </w:tr>
      <w:tr>
        <w:trPr>
          <w:trHeight w:val="210"/>
        </w:trPr>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7,724</w:t>
            </w:r>
          </w:p>
        </w:tc>
        <w:tc>
          <w:tcPr>
            <w:tcW w:w="300" w:type="dxa"/>
            <w:vAlign w:val="bottom"/>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7,779</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8890</wp:posOffset>
            </wp:positionV>
            <wp:extent cx="17322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35" w:lineRule="exact"/>
        <w:rPr>
          <w:sz w:val="20"/>
          <w:szCs w:val="20"/>
          <w:color w:val="auto"/>
        </w:rPr>
      </w:pPr>
    </w:p>
    <w:p>
      <w:pPr>
        <w:ind w:left="480"/>
        <w:spacing w:after="0"/>
        <w:tabs>
          <w:tab w:leader="none" w:pos="196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8890</wp:posOffset>
            </wp:positionV>
            <wp:extent cx="17322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00" w:space="720"/>
            <w:col w:w="3900"/>
          </w:cols>
          <w:pgMar w:left="240" w:top="400" w:right="239" w:bottom="1440"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shd w:val="clear" w:color="auto" w:fill="E5FFFF"/>
          </w:tcPr>
          <w:p>
            <w:pPr>
              <w:ind w:left="700"/>
              <w:spacing w:after="0"/>
              <w:rPr>
                <w:sz w:val="20"/>
                <w:szCs w:val="20"/>
                <w:color w:val="auto"/>
              </w:rPr>
            </w:pPr>
            <w:r>
              <w:rPr>
                <w:rFonts w:ascii="Arial" w:cs="Arial" w:eastAsia="Arial" w:hAnsi="Arial"/>
                <w:sz w:val="18"/>
                <w:szCs w:val="18"/>
                <w:color w:val="auto"/>
              </w:rPr>
              <w:t>Mesothelioma and Other Cancer Claims</w:t>
            </w:r>
          </w:p>
        </w:tc>
        <w:tc>
          <w:tcPr>
            <w:tcW w:w="122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3,490</w:t>
            </w:r>
          </w:p>
        </w:tc>
        <w:tc>
          <w:tcPr>
            <w:tcW w:w="300" w:type="dxa"/>
            <w:vAlign w:val="bottom"/>
            <w:shd w:val="clear" w:color="auto" w:fill="E5FFFF"/>
          </w:tcPr>
          <w:p>
            <w:pPr>
              <w:spacing w:after="0"/>
              <w:rPr>
                <w:sz w:val="18"/>
                <w:szCs w:val="18"/>
                <w:color w:val="auto"/>
              </w:rPr>
            </w:pPr>
          </w:p>
        </w:tc>
        <w:tc>
          <w:tcPr>
            <w:tcW w:w="122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3,772</w:t>
            </w:r>
          </w:p>
        </w:tc>
      </w:tr>
      <w:tr>
        <w:trPr>
          <w:trHeight w:val="216"/>
        </w:trPr>
        <w:tc>
          <w:tcPr>
            <w:tcW w:w="7540" w:type="dxa"/>
            <w:vAlign w:val="bottom"/>
            <w:tcBorders>
              <w:bottom w:val="single" w:sz="8" w:color="E5FFFF"/>
            </w:tcBorders>
          </w:tcPr>
          <w:p>
            <w:pPr>
              <w:ind w:left="700"/>
              <w:spacing w:after="0"/>
              <w:rPr>
                <w:sz w:val="20"/>
                <w:szCs w:val="20"/>
                <w:color w:val="auto"/>
              </w:rPr>
            </w:pPr>
            <w:r>
              <w:rPr>
                <w:rFonts w:ascii="Arial" w:cs="Arial" w:eastAsia="Arial" w:hAnsi="Arial"/>
                <w:sz w:val="18"/>
                <w:szCs w:val="18"/>
                <w:color w:val="auto"/>
              </w:rPr>
              <w:t>Nonmalignant Claims</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4,234</w:t>
            </w:r>
          </w:p>
        </w:tc>
        <w:tc>
          <w:tcPr>
            <w:tcW w:w="30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4,007</w:t>
            </w:r>
          </w:p>
        </w:tc>
      </w:tr>
      <w:tr>
        <w:trPr>
          <w:trHeight w:val="210"/>
        </w:trPr>
        <w:tc>
          <w:tcPr>
            <w:tcW w:w="7540" w:type="dxa"/>
            <w:vAlign w:val="bottom"/>
            <w:tcBorders>
              <w:bottom w:val="single" w:sz="8" w:color="E5FFFF"/>
            </w:tcBorders>
            <w:shd w:val="clear" w:color="auto" w:fill="E5FFFF"/>
          </w:tcPr>
          <w:p>
            <w:pPr>
              <w:ind w:left="700"/>
              <w:spacing w:after="0" w:line="197" w:lineRule="exact"/>
              <w:rPr>
                <w:sz w:val="20"/>
                <w:szCs w:val="20"/>
                <w:color w:val="auto"/>
              </w:rPr>
            </w:pPr>
            <w:r>
              <w:rPr>
                <w:rFonts w:ascii="Arial" w:cs="Arial" w:eastAsia="Arial" w:hAnsi="Arial"/>
                <w:sz w:val="18"/>
                <w:szCs w:val="18"/>
                <w:color w:val="auto"/>
              </w:rPr>
              <w:t>Total Claims</w:t>
            </w:r>
          </w:p>
        </w:tc>
        <w:tc>
          <w:tcPr>
            <w:tcW w:w="122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7,724</w:t>
            </w:r>
          </w:p>
        </w:tc>
        <w:tc>
          <w:tcPr>
            <w:tcW w:w="300" w:type="dxa"/>
            <w:vAlign w:val="bottom"/>
            <w:tcBorders>
              <w:bottom w:val="single" w:sz="8" w:color="E5FFFF"/>
            </w:tcBorders>
            <w:shd w:val="clear" w:color="auto" w:fill="E5FFFF"/>
          </w:tcPr>
          <w:p>
            <w:pPr>
              <w:spacing w:after="0"/>
              <w:rPr>
                <w:sz w:val="18"/>
                <w:szCs w:val="18"/>
                <w:color w:val="auto"/>
              </w:rPr>
            </w:pPr>
          </w:p>
        </w:tc>
        <w:tc>
          <w:tcPr>
            <w:tcW w:w="122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7,779</w:t>
            </w:r>
          </w:p>
        </w:tc>
      </w:tr>
      <w:tr>
        <w:trPr>
          <w:trHeight w:val="20"/>
        </w:trPr>
        <w:tc>
          <w:tcPr>
            <w:tcW w:w="75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Honeywell has experienced average resolution values per claim excluding legal costs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rPr>
              <w:t>Years Ended December 31,</w:t>
            </w: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83"/>
        </w:trPr>
        <w:tc>
          <w:tcPr>
            <w:tcW w:w="4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2012</w:t>
            </w:r>
          </w:p>
        </w:tc>
      </w:tr>
      <w:tr>
        <w:trPr>
          <w:trHeight w:val="384"/>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(in whole dollars)</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Malignant claims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44,000</w:t>
            </w:r>
          </w:p>
        </w:tc>
        <w:tc>
          <w:tcPr>
            <w:tcW w:w="12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9"/>
              <w:spacing w:after="0" w:line="202" w:lineRule="exact"/>
              <w:rPr>
                <w:sz w:val="20"/>
                <w:szCs w:val="20"/>
                <w:color w:val="auto"/>
              </w:rPr>
            </w:pPr>
            <w:r>
              <w:rPr>
                <w:rFonts w:ascii="Arial" w:cs="Arial" w:eastAsia="Arial" w:hAnsi="Arial"/>
                <w:sz w:val="18"/>
                <w:szCs w:val="18"/>
                <w:color w:val="auto"/>
              </w:rPr>
              <w:t>44,000</w:t>
            </w:r>
          </w:p>
        </w:tc>
        <w:tc>
          <w:tcPr>
            <w:tcW w:w="4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53,500</w:t>
            </w:r>
          </w:p>
        </w:tc>
        <w:tc>
          <w:tcPr>
            <w:tcW w:w="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51,000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49,000</w:t>
            </w:r>
          </w:p>
        </w:tc>
      </w:tr>
      <w:tr>
        <w:trPr>
          <w:trHeight w:val="217"/>
        </w:trPr>
        <w:tc>
          <w:tcPr>
            <w:tcW w:w="4120" w:type="dxa"/>
            <w:vAlign w:val="bottom"/>
          </w:tcPr>
          <w:p>
            <w:pPr>
              <w:spacing w:after="0"/>
              <w:rPr>
                <w:sz w:val="20"/>
                <w:szCs w:val="20"/>
                <w:color w:val="auto"/>
              </w:rPr>
            </w:pPr>
            <w:r>
              <w:rPr>
                <w:rFonts w:ascii="Arial" w:cs="Arial" w:eastAsia="Arial" w:hAnsi="Arial"/>
                <w:sz w:val="18"/>
                <w:szCs w:val="18"/>
                <w:color w:val="auto"/>
              </w:rPr>
              <w:t>Nonmalignant claims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4,485</w:t>
            </w:r>
          </w:p>
        </w:tc>
        <w:tc>
          <w:tcPr>
            <w:tcW w:w="1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9"/>
              <w:spacing w:after="0"/>
              <w:rPr>
                <w:sz w:val="20"/>
                <w:szCs w:val="20"/>
                <w:color w:val="auto"/>
              </w:rPr>
            </w:pPr>
            <w:r>
              <w:rPr>
                <w:rFonts w:ascii="Arial" w:cs="Arial" w:eastAsia="Arial" w:hAnsi="Arial"/>
                <w:sz w:val="18"/>
                <w:szCs w:val="18"/>
                <w:color w:val="auto"/>
              </w:rPr>
              <w:t>100</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120</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850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1,400</w:t>
            </w: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not possible to predict whether resolution values for Bendix-related asbestos claims will increase, decrease or stabilize in the</w:t>
      </w:r>
    </w:p>
    <w:p>
      <w:pPr>
        <w:spacing w:after="0"/>
        <w:rPr>
          <w:sz w:val="20"/>
          <w:szCs w:val="20"/>
          <w:color w:val="auto"/>
        </w:rPr>
      </w:pPr>
      <w:r>
        <w:rPr>
          <w:rFonts w:ascii="Arial" w:cs="Arial" w:eastAsia="Arial" w:hAnsi="Arial"/>
          <w:sz w:val="18"/>
          <w:szCs w:val="18"/>
          <w:color w:val="auto"/>
        </w:rPr>
        <w:t>future.</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consolidated financial statements reflect an estimated liability for resolution of pending (claims actually filed as of the financial statement date) and future Bendix-related asbestos claims. We have valued Bendix pending and future claims using average resolution values for the previous five years. We update the resolution values used to estimate the cost of Bendix pending and future claims during the fourth quarter each year.</w:t>
      </w:r>
    </w:p>
    <w:p>
      <w:pPr>
        <w:spacing w:after="0" w:line="18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liability for future claims represents the estimated value of future asbestos related bodily injury claims expected to be asserted against Bendix over the next five years. Such estimated cost of future Bendix-related asbestos claims is based on historic claims filing experience and dismissal rates, disease classifications, and resolution values in the tort system for the previous five years. In light of the uncertainties inherent in making long-term projections, as well as certain factors unique to friction product asbestos claims, we do not believe that we have a reasonable basis for estimating asbestos claims beyond the next five years. The methodology used to estimate the liability for future claims is similar to that used to estimate the liability for future NARCO-related asbestos claims.</w:t>
      </w:r>
    </w:p>
    <w:p>
      <w:pPr>
        <w:spacing w:after="0" w:line="19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insurance receivable corresponding to the liability for settlement of pending and future Bendix asbestos claims reflects coverage which is provided by a large number of insurance policies written by dozens of insurance companies in both the domestic insurance market and the London excess market. Based on our ongoing analysis of the probable insurance recovery, insurance receivables are recorded in the financial statements simultaneous with the recording of the estimated liability for the underlying asbestos claims. This determination is based on our analysis of the underlying insurance policies, our historical experience with our insurers, our ongoing review of the solvency of our insurers, judicial determinations relevant to our insurance programs, and our consideration of the impacts of any settlements reached with our insurers.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19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Honeywell believes it has sufficient insurance coverage and reserves to cover all pending Bendix-related asbestos claims and Bendix-related asbestos claims estimated to be filed within the next five years. Although it is impossible to predict the outcome of either pending or future Bendix-related asbestos claims, we do not believe that such claims would have a material adverse effect on our consolidated financial position in light of our insurance coverage and our prior experience in resolving such claims. If the rate and types of claims filed, the average resolution value of such claims and the period of time over which claim settlements are paid (collectively, the Variable Claims Factors) do not substantially change, Honeywell would not expect future Bendix-related asbestos claims to have a material adverse effect on our results of operations or operating cash flows in any fiscal year. No assurances can be given, however, that the Variable Claims Factors will not change.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are subject to a number of other lawsuits, investigations and disputes (some of which involve substantial amounts claimed) arising out of the conduct of our business, including matters relating to commercial transactions, government contracts, product liability, prior acquisitions and divestitures, employee benefit plans, intellectual property, and environmental, health and safety matters. We recognize a liability for any contingency that is probable of occurrence and reasonably estimable. We continually assess the likelihood of adverse judgments of outcomes in these matters, as well as potential ranges of possible losses (taking into consideration any insurance recoveries), based on a careful analysis of each matter with the assistance of outside legal counsel and, if applicable, other experts. Included in these other matters are the following:</w:t>
      </w:r>
    </w:p>
    <w:p>
      <w:pPr>
        <w:spacing w:after="0" w:line="16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b w:val="1"/>
          <w:bCs w:val="1"/>
          <w:i w:val="1"/>
          <w:iCs w:val="1"/>
          <w:color w:val="auto"/>
        </w:rPr>
        <w:t>Honeywell v. United Auto Workers (UAW) et. al</w:t>
      </w:r>
      <w:r>
        <w:rPr>
          <w:rFonts w:ascii="Arial" w:cs="Arial" w:eastAsia="Arial" w:hAnsi="Arial"/>
          <w:sz w:val="18"/>
          <w:szCs w:val="18"/>
          <w:color w:val="auto"/>
        </w:rPr>
        <w:t>—In July 2011, Honeywell filed an action in federal court (District of New Jersey)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against the UAW and all former employees who retired under a series of Master Collective Bargaining Agreements (MCBAs) between Honeywell and the UAW seeking a declaratory judgment that certain express limitations on its obligation to contribute toward the healthcare coverage of such retirees (the CAPS) set forth in the MCBAs may be implemented, effective January 1, 2012. The UAW and certain retiree defendants filed a mirror suit in the Eastern District of Michigan alleging that the MCBAs do not provide for CAPS on the Company’s liability for healthcare coverage. The New Jersey action was dismissed and Honeywell subsequently answered the UAW’s complaint in Michigan and asserted counterclaims for fraudulent inducement, negligent misrepresentation and breach of implied warranty. The UAW filed a motion to dismiss these counterclaims. The court dismissed Honeywell’s fraudulent inducement and negligent misrepresentation claims, but let stand the claim for breach of implied warranty. In the second quarter of 2014, the parties agreed to stay the proceedings with respect to those retirees who retired before the initial inclusions of the CAPS in the 2003 MCBA until the Supreme Court decided the </w:t>
      </w:r>
      <w:r>
        <w:rPr>
          <w:rFonts w:ascii="Arial" w:cs="Arial" w:eastAsia="Arial" w:hAnsi="Arial"/>
          <w:sz w:val="18"/>
          <w:szCs w:val="18"/>
          <w:i w:val="1"/>
          <w:iCs w:val="1"/>
          <w:color w:val="auto"/>
        </w:rPr>
        <w:t>M&amp;G Polymers USA, LLC v.</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Tackett </w:t>
      </w:r>
      <w:r>
        <w:rPr>
          <w:rFonts w:ascii="Arial" w:cs="Arial" w:eastAsia="Arial" w:hAnsi="Arial"/>
          <w:sz w:val="18"/>
          <w:szCs w:val="18"/>
          <w:color w:val="auto"/>
        </w:rPr>
        <w:t>case.</w:t>
      </w:r>
      <w:r>
        <w:rPr>
          <w:rFonts w:ascii="Arial" w:cs="Arial" w:eastAsia="Arial" w:hAnsi="Arial"/>
          <w:sz w:val="18"/>
          <w:szCs w:val="18"/>
          <w:i w:val="1"/>
          <w:iCs w:val="1"/>
          <w:color w:val="auto"/>
        </w:rPr>
        <w:t xml:space="preserve"> </w:t>
      </w:r>
      <w:r>
        <w:rPr>
          <w:rFonts w:ascii="Arial" w:cs="Arial" w:eastAsia="Arial" w:hAnsi="Arial"/>
          <w:sz w:val="18"/>
          <w:szCs w:val="18"/>
          <w:color w:val="auto"/>
        </w:rPr>
        <w:t>In a ruling on January 26, 2015, the Supreme Court held that retiree health insurance benefits provided in collective bargaining</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do not carry an inference that they are vested or guaranteed to continue for life and that the “vesting” issue must be decided pursuant to ordinary principles of contract law. The stay of the proceedings has been lifted and the case is again proceeding. Based on the Supreme Court’s ruling, Honeywell is confident that the CAPS will be upheld and that its liability for healthcare coverage premiums with respect to the putative class will be limited as negotiated and expressly set forth in the applicable MCBAs. In the event of an adverse ruling, however, Honeywell’s other postretirement benefits for pre-2003 retirees would increase by approximately $129 million, reflecting the estimated value of these CAPS.</w:t>
      </w:r>
    </w:p>
    <w:p>
      <w:pPr>
        <w:spacing w:after="0" w:line="19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December 2013, the UAW and certain of the plaintiffs filed a motion for partial summary judgment with respect to those retirees who retired after the initial inclusion of the CAPS in the 2003 MCBA. The UAW sought a ruling that the 2003 MCBA did not limit Honeywell’s obligation to contribute to healthcare coverage for the post-2003 retirees. That motion remains pending. Honeywell is confident that the Court will find that the 2003 MCBA does, in fact, limit Honeywell’s retiree healthcare obligation for post-2003 retirees. In the event of an adverse ruling, however, Honeywell’s other postretirement benefits for post-2003 retirees would increase by approximately $95 million, reflecting the estimated value of these CAPS.</w:t>
      </w:r>
    </w:p>
    <w:p>
      <w:pPr>
        <w:spacing w:after="0" w:line="17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b w:val="1"/>
          <w:bCs w:val="1"/>
          <w:i w:val="1"/>
          <w:iCs w:val="1"/>
          <w:color w:val="auto"/>
        </w:rPr>
        <w:t xml:space="preserve">Joint Strike Fighter Investigation - </w:t>
      </w:r>
      <w:r>
        <w:rPr>
          <w:rFonts w:ascii="Arial" w:cs="Arial" w:eastAsia="Arial" w:hAnsi="Arial"/>
          <w:sz w:val="18"/>
          <w:szCs w:val="18"/>
          <w:color w:val="auto"/>
        </w:rPr>
        <w:t>In 2013 the Company received subpoenas from the Department of Justice requesting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primarily to parts manufactured in the United Kingdom and China used in the F-35 fighter jet. The Company is cooperating fully with the investigation. While we believe that Honeywell has complied with all relevant U.S. laws and regulations regarding the manufacture of these sensors, it is not possible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1" w:lineRule="exact"/>
        <w:rPr>
          <w:sz w:val="20"/>
          <w:szCs w:val="20"/>
          <w:color w:val="auto"/>
        </w:rPr>
      </w:pPr>
    </w:p>
    <w:p>
      <w:pPr>
        <w:ind w:left="4120"/>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 predict the outcome of the investigation or what action, if any, may result from it.</w:t>
      </w:r>
    </w:p>
    <w:p>
      <w:pPr>
        <w:spacing w:after="0" w:line="19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Given the uncertainty inherent in litigation and investigations (including the specific matters referenced above), we do not believe it is possible to develop estimates of reasonably possible loss in excess of current accruals for these matters (other than as specifically set forth above). Considering our past experience and existing accruals, we do not expect the outcome of these matters, either individually or in the aggregate, to have a material adverse effect on our consolidated financial position. Because most contingencies are resolved over long periods of time, potential liabilities are subject to change due to new developments, changes in settlement strategy or the impact of evidentiary requirements, which could cause us to pay damage awards or settlements (or become subject to equitable remedies) that could have a material adverse effect on our results of operations or operating cash flows in the periods recognized or paid.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 and Guarantees</w:t>
      </w:r>
    </w:p>
    <w:p>
      <w:pPr>
        <w:spacing w:after="0" w:line="22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the normal course of business we issue product warranties and product performance guarantees. We accrue for the estimated cost of product warranties and performance guarantees based on contract terms and historical experience at the time of sale. Adjustments to initial obligations for warranties and guarantees are made as changes to the obligations become reasonably estimable. The following table summarizes information concerning our recorded obligations for product warranties and product performance guarantees.</w:t>
      </w: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Years Ended December 31,</w:t>
            </w:r>
          </w:p>
        </w:tc>
        <w:tc>
          <w:tcPr>
            <w:tcW w:w="980" w:type="dxa"/>
            <w:vAlign w:val="bottom"/>
            <w:tcBorders>
              <w:bottom w:val="single" w:sz="8" w:color="auto"/>
            </w:tcBorders>
          </w:tcPr>
          <w:p>
            <w:pPr>
              <w:spacing w:after="0"/>
              <w:rPr>
                <w:sz w:val="15"/>
                <w:szCs w:val="15"/>
                <w:color w:val="auto"/>
              </w:rPr>
            </w:pPr>
          </w:p>
        </w:tc>
      </w:tr>
      <w:tr>
        <w:trPr>
          <w:trHeight w:val="183"/>
        </w:trPr>
        <w:tc>
          <w:tcPr>
            <w:tcW w:w="5660" w:type="dxa"/>
            <w:vAlign w:val="bottom"/>
          </w:tcPr>
          <w:p>
            <w:pPr>
              <w:spacing w:after="0"/>
              <w:rPr>
                <w:sz w:val="15"/>
                <w:szCs w:val="15"/>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2014</w:t>
            </w:r>
          </w:p>
        </w:tc>
      </w:tr>
      <w:tr>
        <w:trPr>
          <w:trHeight w:val="196"/>
        </w:trPr>
        <w:tc>
          <w:tcPr>
            <w:tcW w:w="566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Beginning of year</w:t>
            </w:r>
          </w:p>
        </w:tc>
        <w:tc>
          <w:tcPr>
            <w:tcW w:w="1080" w:type="dxa"/>
            <w:vAlign w:val="bottom"/>
            <w:tcBorders>
              <w:top w:val="single" w:sz="8" w:color="E5FFFF"/>
            </w:tcBorders>
            <w:shd w:val="clear" w:color="auto" w:fill="E5FFFF"/>
          </w:tcPr>
          <w:p>
            <w:pPr>
              <w:spacing w:after="0"/>
              <w:rPr>
                <w:sz w:val="17"/>
                <w:szCs w:val="17"/>
                <w:color w:val="auto"/>
              </w:rPr>
            </w:pPr>
          </w:p>
        </w:tc>
        <w:tc>
          <w:tcPr>
            <w:tcW w:w="800" w:type="dxa"/>
            <w:vAlign w:val="bottom"/>
            <w:tcBorders>
              <w:top w:val="single" w:sz="8" w:color="auto"/>
            </w:tcBorders>
            <w:shd w:val="clear" w:color="auto" w:fill="E5FFFF"/>
          </w:tcPr>
          <w:p>
            <w:pPr>
              <w:jc w:val="right"/>
              <w:ind w:right="64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416</w:t>
            </w:r>
          </w:p>
        </w:tc>
        <w:tc>
          <w:tcPr>
            <w:tcW w:w="12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403</w:t>
            </w:r>
          </w:p>
        </w:tc>
        <w:tc>
          <w:tcPr>
            <w:tcW w:w="100" w:type="dxa"/>
            <w:vAlign w:val="bottom"/>
            <w:tcBorders>
              <w:top w:val="single" w:sz="8" w:color="E5FFFF"/>
            </w:tcBorders>
            <w:shd w:val="clear" w:color="auto" w:fill="E5FFFF"/>
          </w:tcPr>
          <w:p>
            <w:pPr>
              <w:spacing w:after="0"/>
              <w:rPr>
                <w:sz w:val="17"/>
                <w:szCs w:val="17"/>
                <w:color w:val="auto"/>
              </w:rPr>
            </w:pPr>
          </w:p>
        </w:tc>
        <w:tc>
          <w:tcPr>
            <w:tcW w:w="320" w:type="dxa"/>
            <w:vAlign w:val="bottom"/>
            <w:tcBorders>
              <w:top w:val="single" w:sz="8" w:color="auto"/>
            </w:tcBorders>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405</w:t>
            </w: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Accruals for warranties/guarantees issued during the year</w:t>
            </w: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326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206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225</w:t>
            </w:r>
          </w:p>
        </w:tc>
      </w:tr>
      <w:tr>
        <w:trPr>
          <w:trHeight w:val="203"/>
        </w:trPr>
        <w:tc>
          <w:tcPr>
            <w:tcW w:w="56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Adjustment of pre-existing warranties/guarantees</w:t>
            </w:r>
          </w:p>
        </w:tc>
        <w:tc>
          <w:tcPr>
            <w:tcW w:w="108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4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(40)</w:t>
            </w:r>
          </w:p>
        </w:tc>
        <w:tc>
          <w:tcPr>
            <w:tcW w:w="1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13</w:t>
            </w:r>
          </w:p>
        </w:tc>
        <w:tc>
          <w:tcPr>
            <w:tcW w:w="1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9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(34)</w:t>
            </w:r>
          </w:p>
        </w:tc>
      </w:tr>
      <w:tr>
        <w:trPr>
          <w:trHeight w:val="216"/>
        </w:trPr>
        <w:tc>
          <w:tcPr>
            <w:tcW w:w="56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Settlement of warranty/guarantee claims</w:t>
            </w:r>
          </w:p>
        </w:tc>
        <w:tc>
          <w:tcPr>
            <w:tcW w:w="1080" w:type="dxa"/>
            <w:vAlign w:val="bottom"/>
            <w:tcBorders>
              <w:bottom w:val="single" w:sz="8" w:color="E5FF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(215)</w:t>
            </w:r>
          </w:p>
        </w:tc>
        <w:tc>
          <w:tcPr>
            <w:tcW w:w="12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r>
      <w:tr>
        <w:trPr>
          <w:trHeight w:val="210"/>
        </w:trPr>
        <w:tc>
          <w:tcPr>
            <w:tcW w:w="566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End of year</w:t>
            </w:r>
          </w:p>
        </w:tc>
        <w:tc>
          <w:tcPr>
            <w:tcW w:w="1880" w:type="dxa"/>
            <w:vAlign w:val="bottom"/>
            <w:gridSpan w:val="2"/>
            <w:shd w:val="clear" w:color="auto" w:fill="E5FFFF"/>
          </w:tcPr>
          <w:p>
            <w:pPr>
              <w:jc w:val="right"/>
              <w:ind w:right="645"/>
              <w:spacing w:after="0"/>
              <w:rPr>
                <w:sz w:val="20"/>
                <w:szCs w:val="20"/>
                <w:color w:val="auto"/>
              </w:rPr>
            </w:pPr>
            <w:r>
              <w:rPr>
                <w:rFonts w:ascii="Arial" w:cs="Arial" w:eastAsia="Arial" w:hAnsi="Arial"/>
                <w:sz w:val="18"/>
                <w:szCs w:val="18"/>
                <w:color w:val="auto"/>
              </w:rPr>
              <w:t>$</w:t>
            </w:r>
          </w:p>
        </w:tc>
        <w:tc>
          <w:tcPr>
            <w:tcW w:w="48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487</w:t>
            </w:r>
          </w:p>
        </w:tc>
        <w:tc>
          <w:tcPr>
            <w:tcW w:w="400" w:type="dxa"/>
            <w:vAlign w:val="bottom"/>
            <w:gridSpan w:val="2"/>
            <w:shd w:val="clear" w:color="auto" w:fill="E5FFFF"/>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FFFF"/>
          </w:tcPr>
          <w:p>
            <w:pPr>
              <w:jc w:val="right"/>
              <w:ind w:right="33"/>
              <w:spacing w:after="0"/>
              <w:rPr>
                <w:sz w:val="20"/>
                <w:szCs w:val="20"/>
                <w:color w:val="auto"/>
              </w:rPr>
            </w:pPr>
            <w:r>
              <w:rPr>
                <w:rFonts w:ascii="Arial" w:cs="Arial" w:eastAsia="Arial" w:hAnsi="Arial"/>
                <w:sz w:val="18"/>
                <w:szCs w:val="18"/>
                <w:color w:val="auto"/>
              </w:rPr>
              <w:t>416</w:t>
            </w:r>
          </w:p>
        </w:tc>
        <w:tc>
          <w:tcPr>
            <w:tcW w:w="420" w:type="dxa"/>
            <w:vAlign w:val="bottom"/>
            <w:gridSpan w:val="2"/>
            <w:shd w:val="clear" w:color="auto" w:fill="E5FF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E5FFFF"/>
          </w:tcPr>
          <w:p>
            <w:pPr>
              <w:jc w:val="right"/>
              <w:ind w:right="33"/>
              <w:spacing w:after="0"/>
              <w:rPr>
                <w:sz w:val="20"/>
                <w:szCs w:val="20"/>
                <w:color w:val="auto"/>
              </w:rPr>
            </w:pPr>
            <w:r>
              <w:rPr>
                <w:rFonts w:ascii="Arial" w:cs="Arial" w:eastAsia="Arial" w:hAnsi="Arial"/>
                <w:sz w:val="18"/>
                <w:szCs w:val="18"/>
                <w:color w:val="auto"/>
              </w:rPr>
              <w:t>403</w:t>
            </w:r>
          </w:p>
        </w:tc>
      </w:tr>
      <w:tr>
        <w:trPr>
          <w:trHeight w:val="20"/>
        </w:trPr>
        <w:tc>
          <w:tcPr>
            <w:tcW w:w="5660" w:type="dxa"/>
            <w:vAlign w:val="bottom"/>
            <w:tcBorders>
              <w:top w:val="single" w:sz="8" w:color="E5FFFF"/>
            </w:tcBorders>
          </w:tcPr>
          <w:p>
            <w:pPr>
              <w:spacing w:after="0" w:line="20" w:lineRule="exact"/>
              <w:rPr>
                <w:sz w:val="1"/>
                <w:szCs w:val="1"/>
                <w:color w:val="auto"/>
              </w:rPr>
            </w:pPr>
          </w:p>
        </w:tc>
        <w:tc>
          <w:tcPr>
            <w:tcW w:w="1080" w:type="dxa"/>
            <w:vAlign w:val="bottom"/>
            <w:tcBorders>
              <w:top w:val="single" w:sz="8" w:color="E5FF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 warranties and product performance guarantees are included in the following balance sheet accounts:</w:t>
      </w:r>
    </w:p>
    <w:p>
      <w:pPr>
        <w:spacing w:after="0" w:line="280"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47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5"/>
                <w:szCs w:val="15"/>
                <w:color w:val="auto"/>
              </w:rPr>
            </w:pPr>
          </w:p>
        </w:tc>
      </w:tr>
      <w:tr>
        <w:trPr>
          <w:trHeight w:val="196"/>
        </w:trPr>
        <w:tc>
          <w:tcPr>
            <w:tcW w:w="4760" w:type="dxa"/>
            <w:vAlign w:val="bottom"/>
          </w:tcPr>
          <w:p>
            <w:pPr>
              <w:spacing w:after="0"/>
              <w:rPr>
                <w:sz w:val="17"/>
                <w:szCs w:val="17"/>
                <w:color w:val="auto"/>
              </w:rPr>
            </w:pPr>
          </w:p>
        </w:tc>
        <w:tc>
          <w:tcPr>
            <w:tcW w:w="42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ind w:right="414"/>
              <w:spacing w:after="0"/>
              <w:rPr>
                <w:sz w:val="20"/>
                <w:szCs w:val="20"/>
                <w:color w:val="auto"/>
              </w:rPr>
            </w:pPr>
            <w:r>
              <w:rPr>
                <w:rFonts w:ascii="Arial" w:cs="Arial" w:eastAsia="Arial" w:hAnsi="Arial"/>
                <w:sz w:val="14"/>
                <w:szCs w:val="14"/>
                <w:b w:val="1"/>
                <w:bCs w:val="1"/>
                <w:color w:val="auto"/>
              </w:rPr>
              <w:t>2015</w:t>
            </w:r>
          </w:p>
        </w:tc>
      </w:tr>
      <w:tr>
        <w:trPr>
          <w:trHeight w:val="196"/>
        </w:trPr>
        <w:tc>
          <w:tcPr>
            <w:tcW w:w="476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Accrued liabilities</w:t>
            </w:r>
          </w:p>
        </w:tc>
        <w:tc>
          <w:tcPr>
            <w:tcW w:w="3380" w:type="dxa"/>
            <w:vAlign w:val="bottom"/>
            <w:tcBorders>
              <w:top w:val="single" w:sz="8" w:color="E5FFFF"/>
            </w:tcBorders>
            <w:shd w:val="clear" w:color="auto" w:fill="E5FFFF"/>
          </w:tcPr>
          <w:p>
            <w:pPr>
              <w:spacing w:after="0"/>
              <w:rPr>
                <w:sz w:val="17"/>
                <w:szCs w:val="17"/>
                <w:color w:val="auto"/>
              </w:rPr>
            </w:pPr>
          </w:p>
        </w:tc>
        <w:tc>
          <w:tcPr>
            <w:tcW w:w="840" w:type="dxa"/>
            <w:vAlign w:val="bottom"/>
            <w:tcBorders>
              <w:top w:val="single" w:sz="8" w:color="auto"/>
            </w:tcBorders>
            <w:shd w:val="clear" w:color="auto" w:fill="E5FFFF"/>
          </w:tcPr>
          <w:p>
            <w:pPr>
              <w:jc w:val="right"/>
              <w:ind w:right="68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E5FFFF"/>
          </w:tcPr>
          <w:p>
            <w:pPr>
              <w:ind w:left="40"/>
              <w:spacing w:after="0" w:line="196" w:lineRule="exact"/>
              <w:rPr>
                <w:sz w:val="20"/>
                <w:szCs w:val="20"/>
                <w:color w:val="auto"/>
              </w:rPr>
            </w:pPr>
            <w:r>
              <w:rPr>
                <w:rFonts w:ascii="Arial" w:cs="Arial" w:eastAsia="Arial" w:hAnsi="Arial"/>
                <w:sz w:val="18"/>
                <w:szCs w:val="18"/>
                <w:color w:val="auto"/>
              </w:rPr>
              <w:t>351</w:t>
            </w:r>
          </w:p>
        </w:tc>
        <w:tc>
          <w:tcPr>
            <w:tcW w:w="100" w:type="dxa"/>
            <w:vAlign w:val="bottom"/>
            <w:tcBorders>
              <w:top w:val="single" w:sz="8" w:color="E5FFFF"/>
            </w:tcBorders>
            <w:shd w:val="clear" w:color="auto" w:fill="E5FFFF"/>
          </w:tcPr>
          <w:p>
            <w:pPr>
              <w:spacing w:after="0"/>
              <w:rPr>
                <w:sz w:val="17"/>
                <w:szCs w:val="17"/>
                <w:color w:val="auto"/>
              </w:rPr>
            </w:pPr>
          </w:p>
        </w:tc>
        <w:tc>
          <w:tcPr>
            <w:tcW w:w="440" w:type="dxa"/>
            <w:vAlign w:val="bottom"/>
            <w:tcBorders>
              <w:top w:val="single" w:sz="8" w:color="auto"/>
            </w:tcBorders>
            <w:shd w:val="clear" w:color="auto" w:fill="E5FF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355</w:t>
            </w:r>
          </w:p>
        </w:tc>
      </w:tr>
      <w:tr>
        <w:trPr>
          <w:trHeight w:val="216"/>
        </w:trPr>
        <w:tc>
          <w:tcPr>
            <w:tcW w:w="47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Other liabilities</w:t>
            </w:r>
          </w:p>
        </w:tc>
        <w:tc>
          <w:tcPr>
            <w:tcW w:w="3380" w:type="dxa"/>
            <w:vAlign w:val="bottom"/>
            <w:tcBorders>
              <w:bottom w:val="single" w:sz="8" w:color="E5FF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E5FF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61</w:t>
            </w:r>
          </w:p>
        </w:tc>
      </w:tr>
      <w:tr>
        <w:trPr>
          <w:trHeight w:val="223"/>
        </w:trPr>
        <w:tc>
          <w:tcPr>
            <w:tcW w:w="4760" w:type="dxa"/>
            <w:vAlign w:val="bottom"/>
            <w:shd w:val="clear" w:color="auto" w:fill="E5FFFF"/>
          </w:tcPr>
          <w:p>
            <w:pPr>
              <w:spacing w:after="0"/>
              <w:rPr>
                <w:sz w:val="19"/>
                <w:szCs w:val="19"/>
                <w:color w:val="auto"/>
              </w:rPr>
            </w:pPr>
          </w:p>
        </w:tc>
        <w:tc>
          <w:tcPr>
            <w:tcW w:w="4220" w:type="dxa"/>
            <w:vAlign w:val="bottom"/>
            <w:gridSpan w:val="2"/>
            <w:shd w:val="clear" w:color="auto" w:fill="E5FFFF"/>
          </w:tcPr>
          <w:p>
            <w:pPr>
              <w:jc w:val="right"/>
              <w:ind w:right="685"/>
              <w:spacing w:after="0"/>
              <w:rPr>
                <w:sz w:val="20"/>
                <w:szCs w:val="20"/>
                <w:color w:val="auto"/>
              </w:rPr>
            </w:pPr>
            <w:r>
              <w:rPr>
                <w:rFonts w:ascii="Arial" w:cs="Arial" w:eastAsia="Arial" w:hAnsi="Arial"/>
                <w:sz w:val="18"/>
                <w:szCs w:val="18"/>
                <w:color w:val="auto"/>
              </w:rPr>
              <w:t>$</w:t>
            </w:r>
          </w:p>
        </w:tc>
        <w:tc>
          <w:tcPr>
            <w:tcW w:w="460" w:type="dxa"/>
            <w:vAlign w:val="bottom"/>
            <w:shd w:val="clear" w:color="auto" w:fill="E5FFFF"/>
          </w:tcPr>
          <w:p>
            <w:pPr>
              <w:ind w:left="40"/>
              <w:spacing w:after="0"/>
              <w:rPr>
                <w:sz w:val="20"/>
                <w:szCs w:val="20"/>
                <w:color w:val="auto"/>
              </w:rPr>
            </w:pPr>
            <w:r>
              <w:rPr>
                <w:rFonts w:ascii="Arial" w:cs="Arial" w:eastAsia="Arial" w:hAnsi="Arial"/>
                <w:sz w:val="18"/>
                <w:szCs w:val="18"/>
                <w:color w:val="auto"/>
              </w:rPr>
              <w:t>487</w:t>
            </w:r>
          </w:p>
        </w:tc>
        <w:tc>
          <w:tcPr>
            <w:tcW w:w="540" w:type="dxa"/>
            <w:vAlign w:val="bottom"/>
            <w:gridSpan w:val="2"/>
            <w:shd w:val="clear" w:color="auto" w:fill="E5FF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34"/>
              <w:spacing w:after="0"/>
              <w:rPr>
                <w:sz w:val="20"/>
                <w:szCs w:val="20"/>
                <w:color w:val="auto"/>
              </w:rPr>
            </w:pPr>
            <w:r>
              <w:rPr>
                <w:rFonts w:ascii="Arial" w:cs="Arial" w:eastAsia="Arial" w:hAnsi="Arial"/>
                <w:sz w:val="18"/>
                <w:szCs w:val="18"/>
                <w:color w:val="auto"/>
              </w:rPr>
              <w:t>416</w:t>
            </w:r>
          </w:p>
        </w:tc>
      </w:tr>
      <w:tr>
        <w:trPr>
          <w:trHeight w:val="20"/>
        </w:trPr>
        <w:tc>
          <w:tcPr>
            <w:tcW w:w="4760" w:type="dxa"/>
            <w:vAlign w:val="bottom"/>
            <w:tcBorders>
              <w:top w:val="single" w:sz="8" w:color="E5FFFF"/>
            </w:tcBorders>
          </w:tcPr>
          <w:p>
            <w:pPr>
              <w:spacing w:after="0" w:line="20" w:lineRule="exact"/>
              <w:rPr>
                <w:sz w:val="1"/>
                <w:szCs w:val="1"/>
                <w:color w:val="auto"/>
              </w:rPr>
            </w:pPr>
          </w:p>
        </w:tc>
        <w:tc>
          <w:tcPr>
            <w:tcW w:w="3380" w:type="dxa"/>
            <w:vAlign w:val="bottom"/>
            <w:tcBorders>
              <w:top w:val="single" w:sz="8" w:color="E5FF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Pension and Other Postretirement Benefits</w:t>
      </w:r>
    </w:p>
    <w:p>
      <w:pPr>
        <w:spacing w:after="0" w:line="22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sponsor both funded and unfunded U.S. and non-U.S. defined benefit pension plans covering the majority of our employees and retirees. Pension benefits for many of our U.S. employees are provided through non-contributory, qualified and non-qualified defined benefit plans. All non-union hourly and salaried employees joining Honeywell for the first time after December 31, 2012, are not eligible to participate in Honeywell’s U.S. defined benefit pension plans. We also sponsor defined benefit pension plans which cover non-U.S. employees who are not U.S. citizens, in certain jurisdictions, principally the UK, Netherlands, Germany, and Canada. Other pension plans outside of the U.S. are not material to the Company either individually or in the aggregate.</w:t>
      </w:r>
    </w:p>
    <w:p>
      <w:pPr>
        <w:spacing w:after="0" w:line="19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also sponsor postretirement benefit plans that provide health care benefits and life insurance coverage mainly to U.S. eligible retirees. None of Honeywell’s U.S. employees are eligible for a retiree medical subsidy from the Company. In addition, more than 80% of Honeywell’s U.S. retirees either have no Company subsidy or have a fixed-dollar subsidy amount. This significantly limits our exposure to the impact of future health care cost increases. The retiree medical and life insurance plans are not funded. Claims and expenses are paid from our operating cash flow.</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158"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The following tables summarize the balance sheet impact, including the benefit obligations, assets and funded status associated with our significant pension and other postretirement benefit plans.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Pension Benefits</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69"/>
        </w:trPr>
        <w:tc>
          <w:tcPr>
            <w:tcW w:w="6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U.S. Plans</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Non-U.S. Plans</w:t>
            </w:r>
          </w:p>
        </w:tc>
        <w:tc>
          <w:tcPr>
            <w:tcW w:w="680" w:type="dxa"/>
            <w:vAlign w:val="bottom"/>
            <w:tcBorders>
              <w:bottom w:val="single" w:sz="8" w:color="auto"/>
            </w:tcBorders>
          </w:tcPr>
          <w:p>
            <w:pPr>
              <w:spacing w:after="0"/>
              <w:rPr>
                <w:sz w:val="14"/>
                <w:szCs w:val="14"/>
                <w:color w:val="auto"/>
              </w:rPr>
            </w:pPr>
          </w:p>
        </w:tc>
      </w:tr>
      <w:tr>
        <w:trPr>
          <w:trHeight w:val="169"/>
        </w:trPr>
        <w:tc>
          <w:tcPr>
            <w:tcW w:w="6180" w:type="dxa"/>
            <w:vAlign w:val="bottom"/>
            <w:tcBorders>
              <w:bottom w:val="single" w:sz="8" w:color="E5FF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E5FF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E5FF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E5FFFF"/>
            </w:tcBorders>
          </w:tcPr>
          <w:p>
            <w:pPr>
              <w:spacing w:after="0"/>
              <w:rPr>
                <w:sz w:val="14"/>
                <w:szCs w:val="14"/>
                <w:color w:val="auto"/>
              </w:rPr>
            </w:pPr>
          </w:p>
        </w:tc>
        <w:tc>
          <w:tcPr>
            <w:tcW w:w="100" w:type="dxa"/>
            <w:vAlign w:val="bottom"/>
            <w:tcBorders>
              <w:bottom w:val="single" w:sz="8" w:color="E5FF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2015</w:t>
            </w:r>
          </w:p>
        </w:tc>
      </w:tr>
      <w:tr>
        <w:trPr>
          <w:trHeight w:val="196"/>
        </w:trPr>
        <w:tc>
          <w:tcPr>
            <w:tcW w:w="61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Change in benefit obligation:</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r>
      <w:tr>
        <w:trPr>
          <w:trHeight w:val="203"/>
        </w:trPr>
        <w:tc>
          <w:tcPr>
            <w:tcW w:w="6180" w:type="dxa"/>
            <w:vAlign w:val="bottom"/>
          </w:tcPr>
          <w:p>
            <w:pPr>
              <w:ind w:left="180"/>
              <w:spacing w:after="0" w:line="202" w:lineRule="exact"/>
              <w:rPr>
                <w:sz w:val="20"/>
                <w:szCs w:val="20"/>
                <w:color w:val="auto"/>
              </w:rPr>
            </w:pPr>
            <w:r>
              <w:rPr>
                <w:rFonts w:ascii="Arial" w:cs="Arial" w:eastAsia="Arial" w:hAnsi="Arial"/>
                <w:sz w:val="18"/>
                <w:szCs w:val="18"/>
                <w:color w:val="auto"/>
              </w:rPr>
              <w:t>Benefit obligation at beginning of year</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17,298</w:t>
            </w:r>
          </w:p>
        </w:tc>
        <w:tc>
          <w:tcPr>
            <w:tcW w:w="24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18,035</w:t>
            </w:r>
          </w:p>
        </w:tc>
        <w:tc>
          <w:tcPr>
            <w:tcW w:w="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6,338</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6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5,761</w:t>
            </w:r>
          </w:p>
        </w:tc>
      </w:tr>
      <w:tr>
        <w:trPr>
          <w:trHeight w:val="203"/>
        </w:trPr>
        <w:tc>
          <w:tcPr>
            <w:tcW w:w="61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Service cost</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191</w:t>
            </w:r>
          </w:p>
        </w:tc>
        <w:tc>
          <w:tcPr>
            <w:tcW w:w="2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223</w:t>
            </w:r>
          </w:p>
        </w:tc>
        <w:tc>
          <w:tcPr>
            <w:tcW w:w="2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47</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51</w:t>
            </w:r>
          </w:p>
        </w:tc>
      </w:tr>
      <w:tr>
        <w:trPr>
          <w:trHeight w:val="203"/>
        </w:trPr>
        <w:tc>
          <w:tcPr>
            <w:tcW w:w="6180" w:type="dxa"/>
            <w:vAlign w:val="bottom"/>
          </w:tcPr>
          <w:p>
            <w:pPr>
              <w:ind w:left="180"/>
              <w:spacing w:after="0" w:line="202" w:lineRule="exact"/>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17"/>
                <w:szCs w:val="17"/>
                <w:color w:val="auto"/>
              </w:rPr>
            </w:pP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600</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696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179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177</w:t>
            </w:r>
          </w:p>
        </w:tc>
      </w:tr>
      <w:tr>
        <w:trPr>
          <w:trHeight w:val="203"/>
        </w:trPr>
        <w:tc>
          <w:tcPr>
            <w:tcW w:w="61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Plan amendments</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(429)</w:t>
            </w:r>
          </w:p>
        </w:tc>
        <w:tc>
          <w:tcPr>
            <w:tcW w:w="2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w:t>
            </w:r>
          </w:p>
        </w:tc>
      </w:tr>
      <w:tr>
        <w:trPr>
          <w:trHeight w:val="203"/>
        </w:trPr>
        <w:tc>
          <w:tcPr>
            <w:tcW w:w="6180" w:type="dxa"/>
            <w:vAlign w:val="bottom"/>
          </w:tcPr>
          <w:p>
            <w:pPr>
              <w:ind w:left="180"/>
              <w:spacing w:after="0" w:line="202" w:lineRule="exact"/>
              <w:rPr>
                <w:sz w:val="20"/>
                <w:szCs w:val="20"/>
                <w:color w:val="auto"/>
              </w:rPr>
            </w:pPr>
            <w:r>
              <w:rPr>
                <w:rFonts w:ascii="Arial" w:cs="Arial" w:eastAsia="Arial" w:hAnsi="Arial"/>
                <w:sz w:val="18"/>
                <w:szCs w:val="18"/>
                <w:color w:val="auto"/>
              </w:rPr>
              <w:t>Actuarial (gains) losses</w:t>
            </w:r>
          </w:p>
        </w:tc>
        <w:tc>
          <w:tcPr>
            <w:tcW w:w="260" w:type="dxa"/>
            <w:vAlign w:val="bottom"/>
          </w:tcPr>
          <w:p>
            <w:pPr>
              <w:spacing w:after="0"/>
              <w:rPr>
                <w:sz w:val="17"/>
                <w:szCs w:val="17"/>
                <w:color w:val="auto"/>
              </w:rPr>
            </w:pP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448</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(269)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1,125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(178)</w:t>
            </w:r>
          </w:p>
        </w:tc>
      </w:tr>
      <w:tr>
        <w:trPr>
          <w:trHeight w:val="203"/>
        </w:trPr>
        <w:tc>
          <w:tcPr>
            <w:tcW w:w="61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Acquisitions</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61</w:t>
            </w:r>
          </w:p>
        </w:tc>
        <w:tc>
          <w:tcPr>
            <w:tcW w:w="2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6</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1,137</w:t>
            </w:r>
          </w:p>
        </w:tc>
      </w:tr>
      <w:tr>
        <w:trPr>
          <w:trHeight w:val="203"/>
        </w:trPr>
        <w:tc>
          <w:tcPr>
            <w:tcW w:w="6180" w:type="dxa"/>
            <w:vAlign w:val="bottom"/>
          </w:tcPr>
          <w:p>
            <w:pPr>
              <w:ind w:left="180"/>
              <w:spacing w:after="0" w:line="202" w:lineRule="exact"/>
              <w:rPr>
                <w:sz w:val="20"/>
                <w:szCs w:val="20"/>
                <w:color w:val="auto"/>
              </w:rPr>
            </w:pPr>
            <w:r>
              <w:rPr>
                <w:rFonts w:ascii="Arial" w:cs="Arial" w:eastAsia="Arial" w:hAnsi="Arial"/>
                <w:sz w:val="18"/>
                <w:szCs w:val="18"/>
                <w:color w:val="auto"/>
              </w:rPr>
              <w:t>Benefits paid</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(1,135)</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(1,027)</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(243)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(199)</w:t>
            </w:r>
          </w:p>
        </w:tc>
      </w:tr>
      <w:tr>
        <w:trPr>
          <w:trHeight w:val="203"/>
        </w:trPr>
        <w:tc>
          <w:tcPr>
            <w:tcW w:w="61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Settlements and curtailments</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(50)</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03"/>
        </w:trPr>
        <w:tc>
          <w:tcPr>
            <w:tcW w:w="6180" w:type="dxa"/>
            <w:vAlign w:val="bottom"/>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260" w:type="dxa"/>
            <w:vAlign w:val="bottom"/>
          </w:tcPr>
          <w:p>
            <w:pPr>
              <w:spacing w:after="0"/>
              <w:rPr>
                <w:sz w:val="17"/>
                <w:szCs w:val="17"/>
                <w:color w:val="auto"/>
              </w:rPr>
            </w:pP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(930)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(417)</w:t>
            </w:r>
          </w:p>
        </w:tc>
      </w:tr>
      <w:tr>
        <w:trPr>
          <w:trHeight w:val="216"/>
        </w:trPr>
        <w:tc>
          <w:tcPr>
            <w:tcW w:w="61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12</w:t>
            </w:r>
          </w:p>
        </w:tc>
        <w:tc>
          <w:tcPr>
            <w:tcW w:w="240" w:type="dxa"/>
            <w:vAlign w:val="bottom"/>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8</w:t>
            </w:r>
          </w:p>
        </w:tc>
        <w:tc>
          <w:tcPr>
            <w:tcW w:w="22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11</w:t>
            </w:r>
          </w:p>
        </w:tc>
        <w:tc>
          <w:tcPr>
            <w:tcW w:w="220" w:type="dxa"/>
            <w:vAlign w:val="bottom"/>
            <w:shd w:val="clear" w:color="auto" w:fill="E5FFFF"/>
          </w:tcPr>
          <w:p>
            <w:pPr>
              <w:spacing w:after="0"/>
              <w:rPr>
                <w:sz w:val="18"/>
                <w:szCs w:val="18"/>
                <w:color w:val="auto"/>
              </w:rPr>
            </w:pPr>
          </w:p>
        </w:tc>
        <w:tc>
          <w:tcPr>
            <w:tcW w:w="100" w:type="dxa"/>
            <w:vAlign w:val="bottom"/>
            <w:tcBorders>
              <w:bottom w:val="single" w:sz="8" w:color="auto"/>
            </w:tcBorders>
            <w:shd w:val="clear" w:color="auto" w:fill="E5FFFF"/>
          </w:tcPr>
          <w:p>
            <w:pPr>
              <w:spacing w:after="0"/>
              <w:rPr>
                <w:sz w:val="18"/>
                <w:szCs w:val="18"/>
                <w:color w:val="auto"/>
              </w:rPr>
            </w:pPr>
          </w:p>
        </w:tc>
        <w:tc>
          <w:tcPr>
            <w:tcW w:w="340" w:type="dxa"/>
            <w:vAlign w:val="bottom"/>
            <w:tcBorders>
              <w:bottom w:val="single" w:sz="8" w:color="auto"/>
            </w:tcBorders>
            <w:shd w:val="clear" w:color="auto" w:fill="E5FFFF"/>
          </w:tcPr>
          <w:p>
            <w:pPr>
              <w:spacing w:after="0"/>
              <w:rPr>
                <w:sz w:val="18"/>
                <w:szCs w:val="18"/>
                <w:color w:val="auto"/>
              </w:rPr>
            </w:pPr>
          </w:p>
        </w:tc>
        <w:tc>
          <w:tcPr>
            <w:tcW w:w="68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17</w:t>
            </w:r>
          </w:p>
        </w:tc>
      </w:tr>
      <w:tr>
        <w:trPr>
          <w:trHeight w:val="196"/>
        </w:trPr>
        <w:tc>
          <w:tcPr>
            <w:tcW w:w="6180" w:type="dxa"/>
            <w:vAlign w:val="bottom"/>
            <w:tcBorders>
              <w:bottom w:val="single" w:sz="8" w:color="E5FFFF"/>
            </w:tcBorders>
          </w:tcPr>
          <w:p>
            <w:pPr>
              <w:ind w:left="180"/>
              <w:spacing w:after="0" w:line="196" w:lineRule="exact"/>
              <w:rPr>
                <w:sz w:val="20"/>
                <w:szCs w:val="20"/>
                <w:color w:val="auto"/>
              </w:rPr>
            </w:pPr>
            <w:r>
              <w:rPr>
                <w:rFonts w:ascii="Arial" w:cs="Arial" w:eastAsia="Arial" w:hAnsi="Arial"/>
                <w:sz w:val="18"/>
                <w:szCs w:val="18"/>
                <w:color w:val="auto"/>
              </w:rPr>
              <w:t>Benefit obligation at end of year</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17,414</w:t>
            </w:r>
          </w:p>
        </w:tc>
        <w:tc>
          <w:tcPr>
            <w:tcW w:w="240" w:type="dxa"/>
            <w:vAlign w:val="bottom"/>
            <w:tcBorders>
              <w:bottom w:val="single" w:sz="8" w:color="E5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17,298</w:t>
            </w:r>
          </w:p>
        </w:tc>
        <w:tc>
          <w:tcPr>
            <w:tcW w:w="220" w:type="dxa"/>
            <w:vAlign w:val="bottom"/>
            <w:tcBorders>
              <w:bottom w:val="single" w:sz="8" w:color="E5FF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6,483</w:t>
            </w:r>
          </w:p>
        </w:tc>
        <w:tc>
          <w:tcPr>
            <w:tcW w:w="220" w:type="dxa"/>
            <w:vAlign w:val="bottom"/>
            <w:tcBorders>
              <w:bottom w:val="single" w:sz="8" w:color="E5FF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6,338</w:t>
            </w:r>
          </w:p>
        </w:tc>
      </w:tr>
      <w:tr>
        <w:trPr>
          <w:trHeight w:val="196"/>
        </w:trPr>
        <w:tc>
          <w:tcPr>
            <w:tcW w:w="61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Change in plan assets:</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r>
      <w:tr>
        <w:trPr>
          <w:trHeight w:val="203"/>
        </w:trPr>
        <w:tc>
          <w:tcPr>
            <w:tcW w:w="6180" w:type="dxa"/>
            <w:vAlign w:val="bottom"/>
          </w:tcPr>
          <w:p>
            <w:pPr>
              <w:ind w:left="180"/>
              <w:spacing w:after="0" w:line="202" w:lineRule="exact"/>
              <w:rPr>
                <w:sz w:val="20"/>
                <w:szCs w:val="20"/>
                <w:color w:val="auto"/>
              </w:rPr>
            </w:pPr>
            <w:r>
              <w:rPr>
                <w:rFonts w:ascii="Arial" w:cs="Arial" w:eastAsia="Arial" w:hAnsi="Arial"/>
                <w:sz w:val="18"/>
                <w:szCs w:val="18"/>
                <w:color w:val="auto"/>
              </w:rPr>
              <w:t>Fair value of plan assets at beginning of year</w:t>
            </w:r>
          </w:p>
        </w:tc>
        <w:tc>
          <w:tcPr>
            <w:tcW w:w="260" w:type="dxa"/>
            <w:vAlign w:val="bottom"/>
          </w:tcPr>
          <w:p>
            <w:pPr>
              <w:spacing w:after="0"/>
              <w:rPr>
                <w:sz w:val="17"/>
                <w:szCs w:val="17"/>
                <w:color w:val="auto"/>
              </w:rPr>
            </w:pP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16,349</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17,066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6,117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5,333</w:t>
            </w:r>
          </w:p>
        </w:tc>
      </w:tr>
      <w:tr>
        <w:trPr>
          <w:trHeight w:val="203"/>
        </w:trPr>
        <w:tc>
          <w:tcPr>
            <w:tcW w:w="61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Actual return on plan assets</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1,554</w:t>
            </w:r>
          </w:p>
        </w:tc>
        <w:tc>
          <w:tcPr>
            <w:tcW w:w="2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233</w:t>
            </w:r>
          </w:p>
        </w:tc>
        <w:tc>
          <w:tcPr>
            <w:tcW w:w="2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1,006</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154</w:t>
            </w:r>
          </w:p>
        </w:tc>
      </w:tr>
      <w:tr>
        <w:trPr>
          <w:trHeight w:val="203"/>
        </w:trPr>
        <w:tc>
          <w:tcPr>
            <w:tcW w:w="6180" w:type="dxa"/>
            <w:vAlign w:val="bottom"/>
          </w:tcPr>
          <w:p>
            <w:pPr>
              <w:ind w:left="180"/>
              <w:spacing w:after="0" w:line="202" w:lineRule="exact"/>
              <w:rPr>
                <w:sz w:val="20"/>
                <w:szCs w:val="20"/>
                <w:color w:val="auto"/>
              </w:rPr>
            </w:pPr>
            <w:r>
              <w:rPr>
                <w:rFonts w:ascii="Arial" w:cs="Arial" w:eastAsia="Arial" w:hAnsi="Arial"/>
                <w:sz w:val="18"/>
                <w:szCs w:val="18"/>
                <w:color w:val="auto"/>
              </w:rPr>
              <w:t>Company contributions</w:t>
            </w:r>
          </w:p>
        </w:tc>
        <w:tc>
          <w:tcPr>
            <w:tcW w:w="260" w:type="dxa"/>
            <w:vAlign w:val="bottom"/>
          </w:tcPr>
          <w:p>
            <w:pPr>
              <w:spacing w:after="0"/>
              <w:rPr>
                <w:sz w:val="17"/>
                <w:szCs w:val="17"/>
                <w:color w:val="auto"/>
              </w:rPr>
            </w:pP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36</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186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147</w:t>
            </w:r>
          </w:p>
        </w:tc>
      </w:tr>
      <w:tr>
        <w:trPr>
          <w:trHeight w:val="203"/>
        </w:trPr>
        <w:tc>
          <w:tcPr>
            <w:tcW w:w="61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Acquisitions</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43</w:t>
            </w:r>
          </w:p>
        </w:tc>
        <w:tc>
          <w:tcPr>
            <w:tcW w:w="2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1,036</w:t>
            </w:r>
          </w:p>
        </w:tc>
      </w:tr>
      <w:tr>
        <w:trPr>
          <w:trHeight w:val="203"/>
        </w:trPr>
        <w:tc>
          <w:tcPr>
            <w:tcW w:w="6180" w:type="dxa"/>
            <w:vAlign w:val="bottom"/>
          </w:tcPr>
          <w:p>
            <w:pPr>
              <w:ind w:left="180"/>
              <w:spacing w:after="0" w:line="202" w:lineRule="exact"/>
              <w:rPr>
                <w:sz w:val="20"/>
                <w:szCs w:val="20"/>
                <w:color w:val="auto"/>
              </w:rPr>
            </w:pPr>
            <w:r>
              <w:rPr>
                <w:rFonts w:ascii="Arial" w:cs="Arial" w:eastAsia="Arial" w:hAnsi="Arial"/>
                <w:sz w:val="18"/>
                <w:szCs w:val="18"/>
                <w:color w:val="auto"/>
              </w:rPr>
              <w:t>Benefits paid</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(1,135)</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(1,027)</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(243)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(199)</w:t>
            </w:r>
          </w:p>
        </w:tc>
      </w:tr>
      <w:tr>
        <w:trPr>
          <w:trHeight w:val="203"/>
        </w:trPr>
        <w:tc>
          <w:tcPr>
            <w:tcW w:w="61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(957)</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(361)</w:t>
            </w:r>
          </w:p>
        </w:tc>
      </w:tr>
      <w:tr>
        <w:trPr>
          <w:trHeight w:val="216"/>
        </w:trPr>
        <w:tc>
          <w:tcPr>
            <w:tcW w:w="618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E5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w:t>
            </w:r>
          </w:p>
        </w:tc>
      </w:tr>
      <w:tr>
        <w:trPr>
          <w:trHeight w:val="196"/>
        </w:trPr>
        <w:tc>
          <w:tcPr>
            <w:tcW w:w="6180" w:type="dxa"/>
            <w:vAlign w:val="bottom"/>
            <w:shd w:val="clear" w:color="auto" w:fill="E5FFFF"/>
          </w:tcPr>
          <w:p>
            <w:pPr>
              <w:ind w:left="180"/>
              <w:spacing w:after="0" w:line="196" w:lineRule="exact"/>
              <w:rPr>
                <w:sz w:val="20"/>
                <w:szCs w:val="20"/>
                <w:color w:val="auto"/>
              </w:rPr>
            </w:pPr>
            <w:r>
              <w:rPr>
                <w:rFonts w:ascii="Arial" w:cs="Arial" w:eastAsia="Arial" w:hAnsi="Arial"/>
                <w:sz w:val="18"/>
                <w:szCs w:val="18"/>
                <w:color w:val="auto"/>
              </w:rPr>
              <w:t>Fair value of plan assets at end of year</w:t>
            </w:r>
          </w:p>
        </w:tc>
        <w:tc>
          <w:tcPr>
            <w:tcW w:w="260" w:type="dxa"/>
            <w:vAlign w:val="bottom"/>
            <w:tcBorders>
              <w:bottom w:val="single" w:sz="8" w:color="auto"/>
            </w:tcBorders>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16,814</w:t>
            </w:r>
          </w:p>
        </w:tc>
        <w:tc>
          <w:tcPr>
            <w:tcW w:w="240" w:type="dxa"/>
            <w:vAlign w:val="bottom"/>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16,349</w:t>
            </w:r>
          </w:p>
        </w:tc>
        <w:tc>
          <w:tcPr>
            <w:tcW w:w="22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6,120</w:t>
            </w:r>
          </w:p>
        </w:tc>
        <w:tc>
          <w:tcPr>
            <w:tcW w:w="220" w:type="dxa"/>
            <w:vAlign w:val="bottom"/>
            <w:shd w:val="clear" w:color="auto" w:fill="E5FFFF"/>
          </w:tcPr>
          <w:p>
            <w:pPr>
              <w:spacing w:after="0"/>
              <w:rPr>
                <w:sz w:val="17"/>
                <w:szCs w:val="17"/>
                <w:color w:val="auto"/>
              </w:rPr>
            </w:pPr>
          </w:p>
        </w:tc>
        <w:tc>
          <w:tcPr>
            <w:tcW w:w="100" w:type="dxa"/>
            <w:vAlign w:val="bottom"/>
            <w:tcBorders>
              <w:bottom w:val="single" w:sz="8" w:color="auto"/>
            </w:tcBorders>
            <w:shd w:val="clear" w:color="auto" w:fill="E5FFFF"/>
          </w:tcPr>
          <w:p>
            <w:pPr>
              <w:spacing w:after="0"/>
              <w:rPr>
                <w:sz w:val="17"/>
                <w:szCs w:val="17"/>
                <w:color w:val="auto"/>
              </w:rPr>
            </w:pPr>
          </w:p>
        </w:tc>
        <w:tc>
          <w:tcPr>
            <w:tcW w:w="340" w:type="dxa"/>
            <w:vAlign w:val="bottom"/>
            <w:tcBorders>
              <w:bottom w:val="single" w:sz="8" w:color="auto"/>
            </w:tcBorders>
            <w:shd w:val="clear" w:color="auto" w:fill="E5FFFF"/>
          </w:tcPr>
          <w:p>
            <w:pPr>
              <w:spacing w:after="0"/>
              <w:rPr>
                <w:sz w:val="17"/>
                <w:szCs w:val="17"/>
                <w:color w:val="auto"/>
              </w:rPr>
            </w:pPr>
          </w:p>
        </w:tc>
        <w:tc>
          <w:tcPr>
            <w:tcW w:w="68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6,117</w:t>
            </w:r>
          </w:p>
        </w:tc>
      </w:tr>
      <w:tr>
        <w:trPr>
          <w:trHeight w:val="250"/>
        </w:trPr>
        <w:tc>
          <w:tcPr>
            <w:tcW w:w="6180" w:type="dxa"/>
            <w:vAlign w:val="bottom"/>
          </w:tcPr>
          <w:p>
            <w:pPr>
              <w:spacing w:after="0" w:line="197" w:lineRule="exact"/>
              <w:rPr>
                <w:sz w:val="20"/>
                <w:szCs w:val="20"/>
                <w:color w:val="auto"/>
              </w:rPr>
            </w:pPr>
            <w:r>
              <w:rPr>
                <w:rFonts w:ascii="Arial" w:cs="Arial" w:eastAsia="Arial" w:hAnsi="Arial"/>
                <w:sz w:val="18"/>
                <w:szCs w:val="18"/>
                <w:color w:val="auto"/>
              </w:rPr>
              <w:t>Funded status of plans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(600)</w:t>
            </w:r>
          </w:p>
        </w:tc>
        <w:tc>
          <w:tcPr>
            <w:tcW w:w="2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(949)</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183"/>
        </w:trPr>
        <w:tc>
          <w:tcPr>
            <w:tcW w:w="6180" w:type="dxa"/>
            <w:vAlign w:val="bottom"/>
            <w:tcBorders>
              <w:top w:val="single" w:sz="8" w:color="E5FFFF"/>
            </w:tcBorders>
            <w:shd w:val="clear" w:color="auto" w:fill="E5FFFF"/>
          </w:tcPr>
          <w:p>
            <w:pPr>
              <w:spacing w:after="0" w:line="183" w:lineRule="exact"/>
              <w:rPr>
                <w:sz w:val="20"/>
                <w:szCs w:val="20"/>
                <w:color w:val="auto"/>
              </w:rPr>
            </w:pPr>
            <w:r>
              <w:rPr>
                <w:rFonts w:ascii="Arial" w:cs="Arial" w:eastAsia="Arial" w:hAnsi="Arial"/>
                <w:sz w:val="18"/>
                <w:szCs w:val="18"/>
                <w:color w:val="auto"/>
              </w:rPr>
              <w:t>Amounts recognized in Consolidated Balance Sheet consist of:</w:t>
            </w:r>
          </w:p>
        </w:tc>
        <w:tc>
          <w:tcPr>
            <w:tcW w:w="260" w:type="dxa"/>
            <w:vAlign w:val="bottom"/>
            <w:tcBorders>
              <w:top w:val="single" w:sz="8" w:color="auto"/>
            </w:tcBorders>
            <w:shd w:val="clear" w:color="auto" w:fill="E5FFFF"/>
          </w:tcPr>
          <w:p>
            <w:pPr>
              <w:spacing w:after="0"/>
              <w:rPr>
                <w:sz w:val="15"/>
                <w:szCs w:val="15"/>
                <w:color w:val="auto"/>
              </w:rPr>
            </w:pPr>
          </w:p>
        </w:tc>
        <w:tc>
          <w:tcPr>
            <w:tcW w:w="900" w:type="dxa"/>
            <w:vAlign w:val="bottom"/>
            <w:tcBorders>
              <w:top w:val="single" w:sz="8" w:color="auto"/>
            </w:tcBorders>
            <w:shd w:val="clear" w:color="auto" w:fill="E5FFFF"/>
          </w:tcPr>
          <w:p>
            <w:pPr>
              <w:spacing w:after="0"/>
              <w:rPr>
                <w:sz w:val="15"/>
                <w:szCs w:val="15"/>
                <w:color w:val="auto"/>
              </w:rPr>
            </w:pPr>
          </w:p>
        </w:tc>
        <w:tc>
          <w:tcPr>
            <w:tcW w:w="240" w:type="dxa"/>
            <w:vAlign w:val="bottom"/>
            <w:tcBorders>
              <w:top w:val="single" w:sz="8" w:color="E5FFFF"/>
            </w:tcBorders>
            <w:shd w:val="clear" w:color="auto" w:fill="E5FFFF"/>
          </w:tcPr>
          <w:p>
            <w:pPr>
              <w:spacing w:after="0"/>
              <w:rPr>
                <w:sz w:val="15"/>
                <w:szCs w:val="15"/>
                <w:color w:val="auto"/>
              </w:rPr>
            </w:pPr>
          </w:p>
        </w:tc>
        <w:tc>
          <w:tcPr>
            <w:tcW w:w="320" w:type="dxa"/>
            <w:vAlign w:val="bottom"/>
            <w:tcBorders>
              <w:top w:val="single" w:sz="8" w:color="auto"/>
            </w:tcBorders>
            <w:shd w:val="clear" w:color="auto" w:fill="E5FFFF"/>
          </w:tcPr>
          <w:p>
            <w:pPr>
              <w:spacing w:after="0"/>
              <w:rPr>
                <w:sz w:val="15"/>
                <w:szCs w:val="15"/>
                <w:color w:val="auto"/>
              </w:rPr>
            </w:pPr>
          </w:p>
        </w:tc>
        <w:tc>
          <w:tcPr>
            <w:tcW w:w="84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260" w:type="dxa"/>
            <w:vAlign w:val="bottom"/>
            <w:tcBorders>
              <w:top w:val="single" w:sz="8" w:color="auto"/>
            </w:tcBorders>
            <w:shd w:val="clear" w:color="auto" w:fill="E5FFFF"/>
          </w:tcPr>
          <w:p>
            <w:pPr>
              <w:spacing w:after="0"/>
              <w:rPr>
                <w:sz w:val="15"/>
                <w:szCs w:val="15"/>
                <w:color w:val="auto"/>
              </w:rPr>
            </w:pPr>
          </w:p>
        </w:tc>
        <w:tc>
          <w:tcPr>
            <w:tcW w:w="86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00" w:type="dxa"/>
            <w:vAlign w:val="bottom"/>
            <w:tcBorders>
              <w:top w:val="single" w:sz="8" w:color="auto"/>
            </w:tcBorders>
            <w:shd w:val="clear" w:color="auto" w:fill="E5FFFF"/>
          </w:tcPr>
          <w:p>
            <w:pPr>
              <w:spacing w:after="0"/>
              <w:rPr>
                <w:sz w:val="15"/>
                <w:szCs w:val="15"/>
                <w:color w:val="auto"/>
              </w:rPr>
            </w:pPr>
          </w:p>
        </w:tc>
        <w:tc>
          <w:tcPr>
            <w:tcW w:w="340" w:type="dxa"/>
            <w:vAlign w:val="bottom"/>
            <w:tcBorders>
              <w:top w:val="single" w:sz="8" w:color="auto"/>
            </w:tcBorders>
            <w:shd w:val="clear" w:color="auto" w:fill="E5FFFF"/>
          </w:tcPr>
          <w:p>
            <w:pPr>
              <w:spacing w:after="0"/>
              <w:rPr>
                <w:sz w:val="15"/>
                <w:szCs w:val="15"/>
                <w:color w:val="auto"/>
              </w:rPr>
            </w:pPr>
          </w:p>
        </w:tc>
        <w:tc>
          <w:tcPr>
            <w:tcW w:w="680" w:type="dxa"/>
            <w:vAlign w:val="bottom"/>
            <w:tcBorders>
              <w:top w:val="single" w:sz="8" w:color="auto"/>
            </w:tcBorders>
            <w:shd w:val="clear" w:color="auto" w:fill="E5FFFF"/>
          </w:tcPr>
          <w:p>
            <w:pPr>
              <w:spacing w:after="0"/>
              <w:rPr>
                <w:sz w:val="15"/>
                <w:szCs w:val="15"/>
                <w:color w:val="auto"/>
              </w:rPr>
            </w:pPr>
          </w:p>
        </w:tc>
      </w:tr>
      <w:tr>
        <w:trPr>
          <w:trHeight w:val="243"/>
        </w:trPr>
        <w:tc>
          <w:tcPr>
            <w:tcW w:w="6180" w:type="dxa"/>
            <w:vAlign w:val="bottom"/>
          </w:tcPr>
          <w:p>
            <w:pPr>
              <w:ind w:left="180"/>
              <w:spacing w:after="0" w:line="243" w:lineRule="exact"/>
              <w:rPr>
                <w:sz w:val="20"/>
                <w:szCs w:val="20"/>
                <w:color w:val="auto"/>
              </w:rPr>
            </w:pPr>
            <w:r>
              <w:rPr>
                <w:rFonts w:ascii="Arial" w:cs="Arial" w:eastAsia="Arial" w:hAnsi="Arial"/>
                <w:sz w:val="17"/>
                <w:szCs w:val="17"/>
                <w:color w:val="auto"/>
              </w:rPr>
              <w:t>Prepaid pension benefit cost</w:t>
            </w:r>
            <w:r>
              <w:rPr>
                <w:rFonts w:ascii="Arial" w:cs="Arial" w:eastAsia="Arial" w:hAnsi="Arial"/>
                <w:sz w:val="28"/>
                <w:szCs w:val="28"/>
                <w:color w:val="auto"/>
                <w:vertAlign w:val="superscript"/>
              </w:rPr>
              <w:t>(1)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427</w:t>
            </w:r>
          </w:p>
        </w:tc>
      </w:tr>
      <w:tr>
        <w:trPr>
          <w:trHeight w:val="243"/>
        </w:trPr>
        <w:tc>
          <w:tcPr>
            <w:tcW w:w="6180" w:type="dxa"/>
            <w:vAlign w:val="bottom"/>
            <w:shd w:val="clear" w:color="auto" w:fill="E5FFFF"/>
          </w:tcPr>
          <w:p>
            <w:pPr>
              <w:ind w:left="180"/>
              <w:spacing w:after="0" w:line="243" w:lineRule="exact"/>
              <w:rPr>
                <w:sz w:val="20"/>
                <w:szCs w:val="20"/>
                <w:color w:val="auto"/>
              </w:rPr>
            </w:pPr>
            <w:r>
              <w:rPr>
                <w:rFonts w:ascii="Arial" w:cs="Arial" w:eastAsia="Arial" w:hAnsi="Arial"/>
                <w:sz w:val="17"/>
                <w:szCs w:val="17"/>
                <w:color w:val="auto"/>
              </w:rPr>
              <w:t>Accrued pension liabilities - current</w:t>
            </w:r>
            <w:r>
              <w:rPr>
                <w:rFonts w:ascii="Arial" w:cs="Arial" w:eastAsia="Arial" w:hAnsi="Arial"/>
                <w:sz w:val="28"/>
                <w:szCs w:val="28"/>
                <w:color w:val="auto"/>
                <w:vertAlign w:val="superscript"/>
              </w:rPr>
              <w:t>(2)</w:t>
            </w:r>
          </w:p>
        </w:tc>
        <w:tc>
          <w:tcPr>
            <w:tcW w:w="26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w:t>
            </w:r>
          </w:p>
        </w:tc>
      </w:tr>
      <w:tr>
        <w:trPr>
          <w:trHeight w:val="257"/>
        </w:trPr>
        <w:tc>
          <w:tcPr>
            <w:tcW w:w="6180" w:type="dxa"/>
            <w:vAlign w:val="bottom"/>
            <w:tcBorders>
              <w:bottom w:val="single" w:sz="8" w:color="E5FFFF"/>
            </w:tcBorders>
          </w:tcPr>
          <w:p>
            <w:pPr>
              <w:ind w:left="180"/>
              <w:spacing w:after="0" w:line="256" w:lineRule="exact"/>
              <w:rPr>
                <w:sz w:val="20"/>
                <w:szCs w:val="20"/>
                <w:color w:val="auto"/>
              </w:rPr>
            </w:pPr>
            <w:r>
              <w:rPr>
                <w:rFonts w:ascii="Arial" w:cs="Arial" w:eastAsia="Arial" w:hAnsi="Arial"/>
                <w:sz w:val="18"/>
                <w:szCs w:val="18"/>
                <w:color w:val="auto"/>
              </w:rPr>
              <w:t>Accrued pension liabilities - noncurrent</w:t>
            </w:r>
            <w:r>
              <w:rPr>
                <w:rFonts w:ascii="Arial" w:cs="Arial" w:eastAsia="Arial" w:hAnsi="Arial"/>
                <w:sz w:val="29"/>
                <w:szCs w:val="29"/>
                <w:color w:val="auto"/>
                <w:vertAlign w:val="superscript"/>
              </w:rPr>
              <w:t>(3)</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240" w:type="dxa"/>
            <w:vAlign w:val="bottom"/>
            <w:tcBorders>
              <w:bottom w:val="single" w:sz="8" w:color="E5FF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220" w:type="dxa"/>
            <w:vAlign w:val="bottom"/>
            <w:tcBorders>
              <w:bottom w:val="single" w:sz="8" w:color="E5FF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220" w:type="dxa"/>
            <w:vAlign w:val="bottom"/>
            <w:tcBorders>
              <w:bottom w:val="single" w:sz="8" w:color="E5FF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r>
      <w:tr>
        <w:trPr>
          <w:trHeight w:val="210"/>
        </w:trPr>
        <w:tc>
          <w:tcPr>
            <w:tcW w:w="618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Net amount recognized</w:t>
            </w:r>
          </w:p>
        </w:tc>
        <w:tc>
          <w:tcPr>
            <w:tcW w:w="260" w:type="dxa"/>
            <w:vAlign w:val="bottom"/>
            <w:shd w:val="clear" w:color="auto" w:fill="E5FF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(600)</w:t>
            </w:r>
          </w:p>
        </w:tc>
        <w:tc>
          <w:tcPr>
            <w:tcW w:w="240" w:type="dxa"/>
            <w:vAlign w:val="bottom"/>
            <w:shd w:val="clear" w:color="auto" w:fill="E5FFFF"/>
          </w:tcPr>
          <w:p>
            <w:pPr>
              <w:spacing w:after="0"/>
              <w:rPr>
                <w:sz w:val="18"/>
                <w:szCs w:val="18"/>
                <w:color w:val="auto"/>
              </w:rPr>
            </w:pPr>
          </w:p>
        </w:tc>
        <w:tc>
          <w:tcPr>
            <w:tcW w:w="320" w:type="dxa"/>
            <w:vAlign w:val="bottom"/>
            <w:shd w:val="clear" w:color="auto" w:fill="E5FF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(949)</w:t>
            </w:r>
          </w:p>
        </w:tc>
        <w:tc>
          <w:tcPr>
            <w:tcW w:w="48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(363)</w:t>
            </w:r>
          </w:p>
        </w:tc>
        <w:tc>
          <w:tcPr>
            <w:tcW w:w="3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8"/>
                <w:szCs w:val="18"/>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(221)</w:t>
            </w:r>
          </w:p>
        </w:tc>
      </w:tr>
      <w:tr>
        <w:trPr>
          <w:trHeight w:val="20"/>
        </w:trPr>
        <w:tc>
          <w:tcPr>
            <w:tcW w:w="618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280" w:hanging="272"/>
        <w:spacing w:after="0"/>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Included in Other assets on Consolidated Balance Sheet</w:t>
      </w:r>
    </w:p>
    <w:p>
      <w:pPr>
        <w:ind w:left="280" w:hanging="272"/>
        <w:spacing w:after="0" w:line="234" w:lineRule="auto"/>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Included in Accrued liabilities on Consolidated Balance Sheet</w:t>
      </w:r>
    </w:p>
    <w:p>
      <w:pPr>
        <w:ind w:left="280" w:hanging="272"/>
        <w:spacing w:after="0"/>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Included in Other liabilities - noncurrent on Consolidated Balance Sheet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70" w:name="page71"/>
    <w:bookmarkEnd w:id="70"/>
    <w:p>
      <w:pPr>
        <w:jc w:val="center"/>
        <w:ind w:right="60"/>
        <w:spacing w:after="0"/>
        <w:rPr>
          <w:sz w:val="20"/>
          <w:szCs w:val="20"/>
          <w:color w:val="auto"/>
        </w:rPr>
      </w:pPr>
      <w:r>
        <w:rPr>
          <w:rFonts w:ascii="Arial" w:cs="Arial" w:eastAsia="Arial" w:hAnsi="Arial"/>
          <w:sz w:val="18"/>
          <w:szCs w:val="18"/>
          <w:b w:val="1"/>
          <w:bCs w:val="1"/>
          <w:color w:val="auto"/>
        </w:rPr>
        <w:t>HONEYWELL INTERNATIONAL INC.</w:t>
      </w:r>
    </w:p>
    <w:p>
      <w:pPr>
        <w:spacing w:after="0" w:line="1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3120" w:type="dxa"/>
            <w:vAlign w:val="bottom"/>
            <w:tcBorders>
              <w:bottom w:val="single" w:sz="8" w:color="auto"/>
            </w:tcBorders>
            <w:gridSpan w:val="5"/>
          </w:tcPr>
          <w:p>
            <w:pPr>
              <w:jc w:val="right"/>
              <w:ind w:right="431"/>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56"/>
        </w:trPr>
        <w:tc>
          <w:tcPr>
            <w:tcW w:w="7700" w:type="dxa"/>
            <w:vAlign w:val="bottom"/>
            <w:tcBorders>
              <w:bottom w:val="single" w:sz="8" w:color="E5FFFF"/>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E5FF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770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Change in benefit obligation:</w:t>
            </w:r>
          </w:p>
        </w:tc>
        <w:tc>
          <w:tcPr>
            <w:tcW w:w="92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80"/>
              <w:spacing w:after="0" w:line="202" w:lineRule="exact"/>
              <w:rPr>
                <w:sz w:val="20"/>
                <w:szCs w:val="20"/>
                <w:color w:val="auto"/>
              </w:rPr>
            </w:pPr>
            <w:r>
              <w:rPr>
                <w:rFonts w:ascii="Arial" w:cs="Arial" w:eastAsia="Arial" w:hAnsi="Arial"/>
                <w:sz w:val="18"/>
                <w:szCs w:val="18"/>
                <w:color w:val="auto"/>
              </w:rPr>
              <w:t>Benefit obligation at beginning of year</w:t>
            </w:r>
          </w:p>
        </w:tc>
        <w:tc>
          <w:tcPr>
            <w:tcW w:w="920" w:type="dxa"/>
            <w:vAlign w:val="bottom"/>
          </w:tcPr>
          <w:p>
            <w:pPr>
              <w:jc w:val="right"/>
              <w:ind w:right="736"/>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569</w:t>
            </w:r>
          </w:p>
        </w:tc>
        <w:tc>
          <w:tcPr>
            <w:tcW w:w="140" w:type="dxa"/>
            <w:vAlign w:val="bottom"/>
          </w:tcPr>
          <w:p>
            <w:pPr>
              <w:spacing w:after="0"/>
              <w:rPr>
                <w:sz w:val="17"/>
                <w:szCs w:val="17"/>
                <w:color w:val="auto"/>
              </w:rPr>
            </w:pP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03"/>
        </w:trPr>
        <w:tc>
          <w:tcPr>
            <w:tcW w:w="770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Service cost</w:t>
            </w:r>
          </w:p>
        </w:tc>
        <w:tc>
          <w:tcPr>
            <w:tcW w:w="920" w:type="dxa"/>
            <w:vAlign w:val="bottom"/>
            <w:shd w:val="clear" w:color="auto" w:fill="E5FFFF"/>
          </w:tcPr>
          <w:p>
            <w:pPr>
              <w:spacing w:after="0"/>
              <w:rPr>
                <w:sz w:val="17"/>
                <w:szCs w:val="17"/>
                <w:color w:val="auto"/>
              </w:rPr>
            </w:pPr>
          </w:p>
        </w:tc>
        <w:tc>
          <w:tcPr>
            <w:tcW w:w="540" w:type="dxa"/>
            <w:vAlign w:val="bottom"/>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1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700" w:type="dxa"/>
            <w:vAlign w:val="bottom"/>
          </w:tcPr>
          <w:p>
            <w:pPr>
              <w:ind w:left="180"/>
              <w:spacing w:after="0" w:line="202" w:lineRule="exact"/>
              <w:rPr>
                <w:sz w:val="20"/>
                <w:szCs w:val="20"/>
                <w:color w:val="auto"/>
              </w:rPr>
            </w:pPr>
            <w:r>
              <w:rPr>
                <w:rFonts w:ascii="Arial" w:cs="Arial" w:eastAsia="Arial" w:hAnsi="Arial"/>
                <w:sz w:val="18"/>
                <w:szCs w:val="18"/>
                <w:color w:val="auto"/>
              </w:rPr>
              <w:t>Interest cost</w:t>
            </w:r>
          </w:p>
        </w:tc>
        <w:tc>
          <w:tcPr>
            <w:tcW w:w="920" w:type="dxa"/>
            <w:vAlign w:val="bottom"/>
          </w:tcPr>
          <w:p>
            <w:pPr>
              <w:spacing w:after="0"/>
              <w:rPr>
                <w:sz w:val="17"/>
                <w:szCs w:val="17"/>
                <w:color w:val="auto"/>
              </w:rPr>
            </w:pPr>
          </w:p>
        </w:tc>
        <w:tc>
          <w:tcPr>
            <w:tcW w:w="5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20</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7700" w:type="dxa"/>
            <w:vAlign w:val="bottom"/>
            <w:shd w:val="clear" w:color="auto" w:fill="E5FFFF"/>
          </w:tcPr>
          <w:p>
            <w:pPr>
              <w:ind w:left="180"/>
              <w:spacing w:after="0" w:line="243" w:lineRule="exact"/>
              <w:rPr>
                <w:sz w:val="20"/>
                <w:szCs w:val="20"/>
                <w:color w:val="auto"/>
              </w:rPr>
            </w:pPr>
            <w:r>
              <w:rPr>
                <w:rFonts w:ascii="Arial" w:cs="Arial" w:eastAsia="Arial" w:hAnsi="Arial"/>
                <w:sz w:val="17"/>
                <w:szCs w:val="17"/>
                <w:color w:val="auto"/>
              </w:rPr>
              <w:t>Plan amendments</w:t>
            </w:r>
            <w:r>
              <w:rPr>
                <w:rFonts w:ascii="Arial" w:cs="Arial" w:eastAsia="Arial" w:hAnsi="Arial"/>
                <w:sz w:val="28"/>
                <w:szCs w:val="28"/>
                <w:color w:val="auto"/>
                <w:vertAlign w:val="superscript"/>
              </w:rPr>
              <w:t>(1)</w:t>
            </w:r>
          </w:p>
        </w:tc>
        <w:tc>
          <w:tcPr>
            <w:tcW w:w="920" w:type="dxa"/>
            <w:vAlign w:val="bottom"/>
            <w:shd w:val="clear" w:color="auto" w:fill="E5FFFF"/>
          </w:tcPr>
          <w:p>
            <w:pPr>
              <w:spacing w:after="0"/>
              <w:rPr>
                <w:sz w:val="21"/>
                <w:szCs w:val="21"/>
                <w:color w:val="auto"/>
              </w:rPr>
            </w:pPr>
          </w:p>
        </w:tc>
        <w:tc>
          <w:tcPr>
            <w:tcW w:w="540" w:type="dxa"/>
            <w:vAlign w:val="bottom"/>
            <w:shd w:val="clear" w:color="auto" w:fill="E5FFFF"/>
          </w:tcPr>
          <w:p>
            <w:pPr>
              <w:jc w:val="right"/>
              <w:ind w:right="7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1160" w:type="dxa"/>
            <w:vAlign w:val="bottom"/>
            <w:shd w:val="clear" w:color="auto" w:fill="E5FFFF"/>
          </w:tcPr>
          <w:p>
            <w:pPr>
              <w:jc w:val="right"/>
              <w:ind w:right="51"/>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3"/>
        </w:trPr>
        <w:tc>
          <w:tcPr>
            <w:tcW w:w="7700" w:type="dxa"/>
            <w:vAlign w:val="bottom"/>
          </w:tcPr>
          <w:p>
            <w:pPr>
              <w:ind w:left="180"/>
              <w:spacing w:after="0" w:line="202" w:lineRule="exact"/>
              <w:rPr>
                <w:sz w:val="20"/>
                <w:szCs w:val="20"/>
                <w:color w:val="auto"/>
              </w:rPr>
            </w:pPr>
            <w:r>
              <w:rPr>
                <w:rFonts w:ascii="Arial" w:cs="Arial" w:eastAsia="Arial" w:hAnsi="Arial"/>
                <w:sz w:val="18"/>
                <w:szCs w:val="18"/>
                <w:color w:val="auto"/>
              </w:rPr>
              <w:t>Actuarial (gains) losses</w:t>
            </w:r>
          </w:p>
        </w:tc>
        <w:tc>
          <w:tcPr>
            <w:tcW w:w="920" w:type="dxa"/>
            <w:vAlign w:val="bottom"/>
          </w:tcPr>
          <w:p>
            <w:pPr>
              <w:spacing w:after="0"/>
              <w:rPr>
                <w:sz w:val="17"/>
                <w:szCs w:val="17"/>
                <w:color w:val="auto"/>
              </w:rPr>
            </w:pPr>
          </w:p>
        </w:tc>
        <w:tc>
          <w:tcPr>
            <w:tcW w:w="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3"/>
        </w:trPr>
        <w:tc>
          <w:tcPr>
            <w:tcW w:w="770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Benefits paid</w:t>
            </w:r>
          </w:p>
        </w:tc>
        <w:tc>
          <w:tcPr>
            <w:tcW w:w="920" w:type="dxa"/>
            <w:vAlign w:val="bottom"/>
            <w:tcBorders>
              <w:bottom w:val="single" w:sz="8" w:color="auto"/>
            </w:tcBorders>
            <w:shd w:val="clear" w:color="auto" w:fill="E5FFFF"/>
          </w:tcPr>
          <w:p>
            <w:pPr>
              <w:spacing w:after="0"/>
              <w:rPr>
                <w:sz w:val="17"/>
                <w:szCs w:val="17"/>
                <w:color w:val="auto"/>
              </w:rPr>
            </w:pPr>
          </w:p>
        </w:tc>
        <w:tc>
          <w:tcPr>
            <w:tcW w:w="540" w:type="dxa"/>
            <w:vAlign w:val="bottom"/>
            <w:tcBorders>
              <w:bottom w:val="single" w:sz="8" w:color="auto"/>
            </w:tcBorders>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(93)</w:t>
            </w:r>
          </w:p>
        </w:tc>
        <w:tc>
          <w:tcPr>
            <w:tcW w:w="140" w:type="dxa"/>
            <w:vAlign w:val="bottom"/>
            <w:shd w:val="clear" w:color="auto" w:fill="E5FFFF"/>
          </w:tcPr>
          <w:p>
            <w:pPr>
              <w:spacing w:after="0"/>
              <w:rPr>
                <w:sz w:val="17"/>
                <w:szCs w:val="17"/>
                <w:color w:val="auto"/>
              </w:rPr>
            </w:pPr>
          </w:p>
        </w:tc>
        <w:tc>
          <w:tcPr>
            <w:tcW w:w="360" w:type="dxa"/>
            <w:vAlign w:val="bottom"/>
            <w:tcBorders>
              <w:bottom w:val="single" w:sz="8" w:color="auto"/>
            </w:tcBorders>
            <w:shd w:val="clear" w:color="auto" w:fill="E5FFFF"/>
          </w:tcPr>
          <w:p>
            <w:pPr>
              <w:spacing w:after="0"/>
              <w:rPr>
                <w:sz w:val="17"/>
                <w:szCs w:val="17"/>
                <w:color w:val="auto"/>
              </w:rPr>
            </w:pPr>
          </w:p>
        </w:tc>
        <w:tc>
          <w:tcPr>
            <w:tcW w:w="1160" w:type="dxa"/>
            <w:vAlign w:val="bottom"/>
            <w:tcBorders>
              <w:bottom w:val="single" w:sz="8" w:color="auto"/>
            </w:tcBorders>
            <w:shd w:val="clear" w:color="auto" w:fill="E5FFFF"/>
          </w:tcPr>
          <w:p>
            <w:pPr>
              <w:jc w:val="right"/>
              <w:ind w:right="51"/>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E5FFFF"/>
            </w:tcBorders>
          </w:tcPr>
          <w:p>
            <w:pPr>
              <w:ind w:left="180"/>
              <w:spacing w:after="0" w:line="196" w:lineRule="exact"/>
              <w:rPr>
                <w:sz w:val="20"/>
                <w:szCs w:val="20"/>
                <w:color w:val="auto"/>
              </w:rPr>
            </w:pPr>
            <w:r>
              <w:rPr>
                <w:rFonts w:ascii="Arial" w:cs="Arial" w:eastAsia="Arial" w:hAnsi="Arial"/>
                <w:sz w:val="18"/>
                <w:szCs w:val="18"/>
                <w:color w:val="auto"/>
              </w:rPr>
              <w:t>Benefit obligation at end of year</w:t>
            </w:r>
          </w:p>
        </w:tc>
        <w:tc>
          <w:tcPr>
            <w:tcW w:w="9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492</w:t>
            </w:r>
          </w:p>
        </w:tc>
        <w:tc>
          <w:tcPr>
            <w:tcW w:w="140" w:type="dxa"/>
            <w:vAlign w:val="bottom"/>
            <w:tcBorders>
              <w:bottom w:val="single" w:sz="8" w:color="E5FF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1"/>
              <w:spacing w:after="0" w:line="196" w:lineRule="exact"/>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196"/>
        </w:trPr>
        <w:tc>
          <w:tcPr>
            <w:tcW w:w="770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Change in plan assets:</w:t>
            </w:r>
          </w:p>
        </w:tc>
        <w:tc>
          <w:tcPr>
            <w:tcW w:w="92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80"/>
              <w:spacing w:after="0" w:line="202" w:lineRule="exact"/>
              <w:rPr>
                <w:sz w:val="20"/>
                <w:szCs w:val="20"/>
                <w:color w:val="auto"/>
              </w:rPr>
            </w:pPr>
            <w:r>
              <w:rPr>
                <w:rFonts w:ascii="Arial" w:cs="Arial" w:eastAsia="Arial" w:hAnsi="Arial"/>
                <w:sz w:val="18"/>
                <w:szCs w:val="18"/>
                <w:color w:val="auto"/>
              </w:rPr>
              <w:t>Fair value of plan assets at beginning of year</w:t>
            </w:r>
          </w:p>
        </w:tc>
        <w:tc>
          <w:tcPr>
            <w:tcW w:w="920" w:type="dxa"/>
            <w:vAlign w:val="bottom"/>
          </w:tcPr>
          <w:p>
            <w:pPr>
              <w:spacing w:after="0"/>
              <w:rPr>
                <w:sz w:val="17"/>
                <w:szCs w:val="17"/>
                <w:color w:val="auto"/>
              </w:rPr>
            </w:pPr>
          </w:p>
        </w:tc>
        <w:tc>
          <w:tcPr>
            <w:tcW w:w="5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70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Actual return on plan assets</w:t>
            </w:r>
          </w:p>
        </w:tc>
        <w:tc>
          <w:tcPr>
            <w:tcW w:w="920" w:type="dxa"/>
            <w:vAlign w:val="bottom"/>
            <w:shd w:val="clear" w:color="auto" w:fill="E5FFFF"/>
          </w:tcPr>
          <w:p>
            <w:pPr>
              <w:spacing w:after="0"/>
              <w:rPr>
                <w:sz w:val="17"/>
                <w:szCs w:val="17"/>
                <w:color w:val="auto"/>
              </w:rPr>
            </w:pPr>
          </w:p>
        </w:tc>
        <w:tc>
          <w:tcPr>
            <w:tcW w:w="540" w:type="dxa"/>
            <w:vAlign w:val="bottom"/>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1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700" w:type="dxa"/>
            <w:vAlign w:val="bottom"/>
          </w:tcPr>
          <w:p>
            <w:pPr>
              <w:ind w:left="180"/>
              <w:spacing w:after="0" w:line="202" w:lineRule="exact"/>
              <w:rPr>
                <w:sz w:val="20"/>
                <w:szCs w:val="20"/>
                <w:color w:val="auto"/>
              </w:rPr>
            </w:pPr>
            <w:r>
              <w:rPr>
                <w:rFonts w:ascii="Arial" w:cs="Arial" w:eastAsia="Arial" w:hAnsi="Arial"/>
                <w:sz w:val="18"/>
                <w:szCs w:val="18"/>
                <w:color w:val="auto"/>
              </w:rPr>
              <w:t>Company contributions</w:t>
            </w:r>
          </w:p>
        </w:tc>
        <w:tc>
          <w:tcPr>
            <w:tcW w:w="920" w:type="dxa"/>
            <w:vAlign w:val="bottom"/>
          </w:tcPr>
          <w:p>
            <w:pPr>
              <w:spacing w:after="0"/>
              <w:rPr>
                <w:sz w:val="17"/>
                <w:szCs w:val="17"/>
                <w:color w:val="auto"/>
              </w:rPr>
            </w:pPr>
          </w:p>
        </w:tc>
        <w:tc>
          <w:tcPr>
            <w:tcW w:w="5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70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Benefits paid</w:t>
            </w:r>
          </w:p>
        </w:tc>
        <w:tc>
          <w:tcPr>
            <w:tcW w:w="920" w:type="dxa"/>
            <w:vAlign w:val="bottom"/>
            <w:tcBorders>
              <w:bottom w:val="single" w:sz="8" w:color="auto"/>
            </w:tcBorders>
            <w:shd w:val="clear" w:color="auto" w:fill="E5FFFF"/>
          </w:tcPr>
          <w:p>
            <w:pPr>
              <w:spacing w:after="0"/>
              <w:rPr>
                <w:sz w:val="17"/>
                <w:szCs w:val="17"/>
                <w:color w:val="auto"/>
              </w:rPr>
            </w:pPr>
          </w:p>
        </w:tc>
        <w:tc>
          <w:tcPr>
            <w:tcW w:w="540" w:type="dxa"/>
            <w:vAlign w:val="bottom"/>
            <w:tcBorders>
              <w:bottom w:val="single" w:sz="8" w:color="auto"/>
            </w:tcBorders>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E5FFFF"/>
          </w:tcPr>
          <w:p>
            <w:pPr>
              <w:spacing w:after="0"/>
              <w:rPr>
                <w:sz w:val="17"/>
                <w:szCs w:val="17"/>
                <w:color w:val="auto"/>
              </w:rPr>
            </w:pPr>
          </w:p>
        </w:tc>
        <w:tc>
          <w:tcPr>
            <w:tcW w:w="360" w:type="dxa"/>
            <w:vAlign w:val="bottom"/>
            <w:tcBorders>
              <w:bottom w:val="single" w:sz="8" w:color="auto"/>
            </w:tcBorders>
            <w:shd w:val="clear" w:color="auto" w:fill="E5FFFF"/>
          </w:tcPr>
          <w:p>
            <w:pPr>
              <w:spacing w:after="0"/>
              <w:rPr>
                <w:sz w:val="17"/>
                <w:szCs w:val="17"/>
                <w:color w:val="auto"/>
              </w:rPr>
            </w:pPr>
          </w:p>
        </w:tc>
        <w:tc>
          <w:tcPr>
            <w:tcW w:w="1160" w:type="dxa"/>
            <w:vAlign w:val="bottom"/>
            <w:tcBorders>
              <w:bottom w:val="single" w:sz="8" w:color="auto"/>
            </w:tcBorders>
            <w:shd w:val="clear" w:color="auto" w:fill="E5FFFF"/>
          </w:tcPr>
          <w:p>
            <w:pPr>
              <w:jc w:val="right"/>
              <w:ind w:right="1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E5FFFF"/>
            </w:tcBorders>
          </w:tcPr>
          <w:p>
            <w:pPr>
              <w:ind w:left="180"/>
              <w:spacing w:after="0" w:line="196" w:lineRule="exact"/>
              <w:rPr>
                <w:sz w:val="20"/>
                <w:szCs w:val="20"/>
                <w:color w:val="auto"/>
              </w:rPr>
            </w:pPr>
            <w:r>
              <w:rPr>
                <w:rFonts w:ascii="Arial" w:cs="Arial" w:eastAsia="Arial" w:hAnsi="Arial"/>
                <w:sz w:val="18"/>
                <w:szCs w:val="18"/>
                <w:color w:val="auto"/>
              </w:rPr>
              <w:t>Fair value of plan assets at end of year</w:t>
            </w:r>
          </w:p>
        </w:tc>
        <w:tc>
          <w:tcPr>
            <w:tcW w:w="9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E5FF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1"/>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700" w:type="dxa"/>
            <w:vAlign w:val="bottom"/>
            <w:tcBorders>
              <w:bottom w:val="single" w:sz="8" w:color="E5FFFF"/>
            </w:tcBorders>
            <w:shd w:val="clear" w:color="auto" w:fill="E5FFFF"/>
          </w:tcPr>
          <w:p>
            <w:pPr>
              <w:spacing w:after="0" w:line="197" w:lineRule="exact"/>
              <w:rPr>
                <w:sz w:val="20"/>
                <w:szCs w:val="20"/>
                <w:color w:val="auto"/>
              </w:rPr>
            </w:pPr>
            <w:r>
              <w:rPr>
                <w:rFonts w:ascii="Arial" w:cs="Arial" w:eastAsia="Arial" w:hAnsi="Arial"/>
                <w:sz w:val="18"/>
                <w:szCs w:val="18"/>
                <w:color w:val="auto"/>
              </w:rPr>
              <w:t>Funded status of plans</w:t>
            </w:r>
          </w:p>
        </w:tc>
        <w:tc>
          <w:tcPr>
            <w:tcW w:w="920" w:type="dxa"/>
            <w:vAlign w:val="bottom"/>
            <w:tcBorders>
              <w:bottom w:val="single" w:sz="8" w:color="auto"/>
            </w:tcBorders>
            <w:shd w:val="clear" w:color="auto" w:fill="E5FFFF"/>
          </w:tcPr>
          <w:p>
            <w:pPr>
              <w:jc w:val="right"/>
              <w:ind w:right="73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w w:val="99"/>
              </w:rPr>
              <w:t>(492)</w:t>
            </w:r>
          </w:p>
        </w:tc>
        <w:tc>
          <w:tcPr>
            <w:tcW w:w="140" w:type="dxa"/>
            <w:vAlign w:val="bottom"/>
            <w:tcBorders>
              <w:bottom w:val="single" w:sz="8" w:color="E5FFFF"/>
            </w:tcBorders>
            <w:shd w:val="clear" w:color="auto" w:fill="E5FFFF"/>
          </w:tcPr>
          <w:p>
            <w:pPr>
              <w:spacing w:after="0"/>
              <w:rPr>
                <w:sz w:val="18"/>
                <w:szCs w:val="18"/>
                <w:color w:val="auto"/>
              </w:rPr>
            </w:pPr>
          </w:p>
        </w:tc>
        <w:tc>
          <w:tcPr>
            <w:tcW w:w="360" w:type="dxa"/>
            <w:vAlign w:val="bottom"/>
            <w:tcBorders>
              <w:bottom w:val="single" w:sz="8" w:color="auto"/>
            </w:tcBorders>
            <w:shd w:val="clear" w:color="auto" w:fill="E5FF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E5FFFF"/>
          </w:tcPr>
          <w:p>
            <w:pPr>
              <w:jc w:val="right"/>
              <w:ind w:right="51"/>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Amounts recognized in Consolidated Balance Sheet consist of:</w:t>
            </w: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7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Accrued liabilities</w:t>
            </w:r>
          </w:p>
        </w:tc>
        <w:tc>
          <w:tcPr>
            <w:tcW w:w="920" w:type="dxa"/>
            <w:vAlign w:val="bottom"/>
            <w:shd w:val="clear" w:color="auto" w:fill="E5FFFF"/>
          </w:tcPr>
          <w:p>
            <w:pPr>
              <w:jc w:val="right"/>
              <w:ind w:right="736"/>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(62)</w:t>
            </w:r>
          </w:p>
        </w:tc>
        <w:tc>
          <w:tcPr>
            <w:tcW w:w="140" w:type="dxa"/>
            <w:vAlign w:val="bottom"/>
            <w:shd w:val="clear" w:color="auto" w:fill="E5FFFF"/>
          </w:tcPr>
          <w:p>
            <w:pPr>
              <w:spacing w:after="0"/>
              <w:rPr>
                <w:sz w:val="17"/>
                <w:szCs w:val="17"/>
                <w:color w:val="auto"/>
              </w:rPr>
            </w:pPr>
          </w:p>
        </w:tc>
        <w:tc>
          <w:tcPr>
            <w:tcW w:w="360" w:type="dxa"/>
            <w:vAlign w:val="bottom"/>
            <w:shd w:val="clear" w:color="auto" w:fill="E5FFFF"/>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E5FFFF"/>
          </w:tcPr>
          <w:p>
            <w:pPr>
              <w:jc w:val="right"/>
              <w:ind w:right="51"/>
              <w:spacing w:after="0" w:line="20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7700" w:type="dxa"/>
            <w:vAlign w:val="bottom"/>
            <w:tcBorders>
              <w:bottom w:val="single" w:sz="8" w:color="E5FFFF"/>
            </w:tcBorders>
          </w:tcPr>
          <w:p>
            <w:pPr>
              <w:ind w:left="180"/>
              <w:spacing w:after="0" w:line="243" w:lineRule="exact"/>
              <w:rPr>
                <w:sz w:val="20"/>
                <w:szCs w:val="20"/>
                <w:color w:val="auto"/>
              </w:rPr>
            </w:pPr>
            <w:r>
              <w:rPr>
                <w:rFonts w:ascii="Arial" w:cs="Arial" w:eastAsia="Arial" w:hAnsi="Arial"/>
                <w:sz w:val="17"/>
                <w:szCs w:val="17"/>
                <w:color w:val="auto"/>
              </w:rPr>
              <w:t>Postretirement benefit obligations other than pensions</w:t>
            </w:r>
            <w:r>
              <w:rPr>
                <w:rFonts w:ascii="Arial" w:cs="Arial" w:eastAsia="Arial" w:hAnsi="Arial"/>
                <w:sz w:val="28"/>
                <w:szCs w:val="28"/>
                <w:color w:val="auto"/>
                <w:vertAlign w:val="superscript"/>
              </w:rPr>
              <w:t>(2)</w:t>
            </w:r>
          </w:p>
        </w:tc>
        <w:tc>
          <w:tcPr>
            <w:tcW w:w="9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(430)</w:t>
            </w:r>
          </w:p>
        </w:tc>
        <w:tc>
          <w:tcPr>
            <w:tcW w:w="140" w:type="dxa"/>
            <w:vAlign w:val="bottom"/>
            <w:tcBorders>
              <w:bottom w:val="single" w:sz="8" w:color="E5FF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Net amount recognized</w:t>
            </w:r>
          </w:p>
        </w:tc>
        <w:tc>
          <w:tcPr>
            <w:tcW w:w="920" w:type="dxa"/>
            <w:vAlign w:val="bottom"/>
            <w:tcBorders>
              <w:bottom w:val="single" w:sz="8" w:color="auto"/>
            </w:tcBorders>
            <w:shd w:val="clear" w:color="auto" w:fill="E5FFFF"/>
          </w:tcPr>
          <w:p>
            <w:pPr>
              <w:jc w:val="right"/>
              <w:ind w:right="736"/>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99"/>
              </w:rPr>
              <w:t>(492)</w:t>
            </w:r>
          </w:p>
        </w:tc>
        <w:tc>
          <w:tcPr>
            <w:tcW w:w="140" w:type="dxa"/>
            <w:vAlign w:val="bottom"/>
            <w:tcBorders>
              <w:bottom w:val="single" w:sz="8" w:color="E5FFFF"/>
            </w:tcBorders>
            <w:shd w:val="clear" w:color="auto" w:fill="E5FFFF"/>
          </w:tcPr>
          <w:p>
            <w:pPr>
              <w:spacing w:after="0"/>
              <w:rPr>
                <w:sz w:val="17"/>
                <w:szCs w:val="17"/>
                <w:color w:val="auto"/>
              </w:rPr>
            </w:pPr>
          </w:p>
        </w:tc>
        <w:tc>
          <w:tcPr>
            <w:tcW w:w="360" w:type="dxa"/>
            <w:vAlign w:val="bottom"/>
            <w:tcBorders>
              <w:bottom w:val="single" w:sz="8" w:color="auto"/>
            </w:tcBorders>
            <w:shd w:val="clear" w:color="auto" w:fill="E5FF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E5FFFF"/>
          </w:tcPr>
          <w:p>
            <w:pPr>
              <w:jc w:val="right"/>
              <w:ind w:right="51"/>
              <w:spacing w:after="0" w:line="196" w:lineRule="exact"/>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60" w:right="480" w:hanging="4"/>
        <w:spacing w:after="0" w:line="246" w:lineRule="auto"/>
        <w:tabs>
          <w:tab w:leader="none" w:pos="93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2015, elimination of retiree medical insurance coverage for certain retirees. Amount recognized as part of net postretirement benefit cost over the expected future lifetime of the remaining participants in the plan.</w:t>
      </w:r>
    </w:p>
    <w:p>
      <w:pPr>
        <w:spacing w:after="0" w:line="21" w:lineRule="exact"/>
        <w:rPr>
          <w:rFonts w:ascii="Arial" w:cs="Arial" w:eastAsia="Arial" w:hAnsi="Arial"/>
          <w:sz w:val="18"/>
          <w:szCs w:val="18"/>
          <w:color w:val="auto"/>
        </w:rPr>
      </w:pPr>
    </w:p>
    <w:p>
      <w:pPr>
        <w:ind w:left="920" w:hanging="264"/>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Excludes non-U.S. plans of $43 million and $42 million in 2016 and 2015.</w:t>
      </w:r>
    </w:p>
    <w:p>
      <w:pPr>
        <w:spacing w:after="0" w:line="198" w:lineRule="exact"/>
        <w:rPr>
          <w:sz w:val="20"/>
          <w:szCs w:val="20"/>
          <w:color w:val="auto"/>
        </w:rPr>
      </w:pPr>
    </w:p>
    <w:p>
      <w:pPr>
        <w:ind w:right="1140" w:firstLine="648"/>
        <w:spacing w:after="0" w:line="246" w:lineRule="auto"/>
        <w:rPr>
          <w:sz w:val="20"/>
          <w:szCs w:val="20"/>
          <w:color w:val="auto"/>
        </w:rPr>
      </w:pPr>
      <w:r>
        <w:rPr>
          <w:rFonts w:ascii="Arial" w:cs="Arial" w:eastAsia="Arial" w:hAnsi="Arial"/>
          <w:sz w:val="18"/>
          <w:szCs w:val="18"/>
          <w:color w:val="auto"/>
        </w:rPr>
        <w:t>Amounts recognized in accumulated other comprehensive (income) loss associated with our significant pension and other postretirement benefit plans at December 31, 2016 and 2015 are as follows:</w:t>
      </w:r>
    </w:p>
    <w:p>
      <w:pPr>
        <w:spacing w:after="0" w:line="252"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50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7"/>
          </w:tcPr>
          <w:p>
            <w:pPr>
              <w:jc w:val="right"/>
              <w:ind w:right="700"/>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223"/>
        </w:trPr>
        <w:tc>
          <w:tcPr>
            <w:tcW w:w="5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7"/>
          </w:tcPr>
          <w:p>
            <w:pPr>
              <w:ind w:left="600"/>
              <w:spacing w:after="0"/>
              <w:rPr>
                <w:sz w:val="20"/>
                <w:szCs w:val="20"/>
                <w:color w:val="auto"/>
              </w:rPr>
            </w:pPr>
            <w:r>
              <w:rPr>
                <w:rFonts w:ascii="Arial" w:cs="Arial" w:eastAsia="Arial" w:hAnsi="Arial"/>
                <w:sz w:val="14"/>
                <w:szCs w:val="14"/>
                <w:b w:val="1"/>
                <w:bCs w:val="1"/>
                <w:color w:val="auto"/>
              </w:rPr>
              <w:t>U.S. Plans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5"/>
          </w:tcPr>
          <w:p>
            <w:pPr>
              <w:jc w:val="right"/>
              <w:ind w:right="574"/>
              <w:spacing w:after="0"/>
              <w:rPr>
                <w:sz w:val="20"/>
                <w:szCs w:val="20"/>
                <w:color w:val="auto"/>
              </w:rPr>
            </w:pPr>
            <w:r>
              <w:rPr>
                <w:rFonts w:ascii="Arial" w:cs="Arial" w:eastAsia="Arial" w:hAnsi="Arial"/>
                <w:sz w:val="14"/>
                <w:szCs w:val="14"/>
                <w:b w:val="1"/>
                <w:bCs w:val="1"/>
                <w:color w:val="auto"/>
              </w:rPr>
              <w:t>Non-U.S. Plans</w:t>
            </w:r>
          </w:p>
        </w:tc>
      </w:tr>
      <w:tr>
        <w:trPr>
          <w:trHeight w:val="223"/>
        </w:trPr>
        <w:tc>
          <w:tcPr>
            <w:tcW w:w="500" w:type="dxa"/>
            <w:vAlign w:val="bottom"/>
            <w:tcBorders>
              <w:bottom w:val="single" w:sz="8" w:color="E5FFFF"/>
            </w:tcBorders>
          </w:tcPr>
          <w:p>
            <w:pPr>
              <w:spacing w:after="0"/>
              <w:rPr>
                <w:sz w:val="19"/>
                <w:szCs w:val="19"/>
                <w:color w:val="auto"/>
              </w:rPr>
            </w:pPr>
          </w:p>
        </w:tc>
        <w:tc>
          <w:tcPr>
            <w:tcW w:w="5360" w:type="dxa"/>
            <w:vAlign w:val="bottom"/>
            <w:tcBorders>
              <w:bottom w:val="single" w:sz="8" w:color="E5FF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E5FF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E5FFFF"/>
            </w:tcBorders>
          </w:tcPr>
          <w:p>
            <w:pPr>
              <w:spacing w:after="0"/>
              <w:rPr>
                <w:sz w:val="19"/>
                <w:szCs w:val="19"/>
                <w:color w:val="auto"/>
              </w:rPr>
            </w:pPr>
          </w:p>
        </w:tc>
        <w:tc>
          <w:tcPr>
            <w:tcW w:w="200" w:type="dxa"/>
            <w:vAlign w:val="bottom"/>
            <w:tcBorders>
              <w:bottom w:val="single" w:sz="8" w:color="E5FF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bottom w:val="single" w:sz="8" w:color="E5FFFF"/>
            </w:tcBorders>
          </w:tcPr>
          <w:p>
            <w:pPr>
              <w:spacing w:after="0"/>
              <w:rPr>
                <w:sz w:val="19"/>
                <w:szCs w:val="19"/>
                <w:color w:val="auto"/>
              </w:rPr>
            </w:pPr>
          </w:p>
        </w:tc>
        <w:tc>
          <w:tcPr>
            <w:tcW w:w="120" w:type="dxa"/>
            <w:vAlign w:val="bottom"/>
            <w:tcBorders>
              <w:top w:val="single" w:sz="8" w:color="auto"/>
              <w:bottom w:val="single" w:sz="8" w:color="E5FF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r>
      <w:tr>
        <w:trPr>
          <w:trHeight w:val="196"/>
        </w:trPr>
        <w:tc>
          <w:tcPr>
            <w:tcW w:w="5860" w:type="dxa"/>
            <w:vAlign w:val="bottom"/>
            <w:gridSpan w:val="2"/>
            <w:shd w:val="clear" w:color="auto" w:fill="E5FFFF"/>
          </w:tcPr>
          <w:p>
            <w:pPr>
              <w:spacing w:after="0" w:line="196" w:lineRule="exact"/>
              <w:rPr>
                <w:sz w:val="20"/>
                <w:szCs w:val="20"/>
                <w:color w:val="auto"/>
              </w:rPr>
            </w:pPr>
            <w:r>
              <w:rPr>
                <w:rFonts w:ascii="Arial" w:cs="Arial" w:eastAsia="Arial" w:hAnsi="Arial"/>
                <w:sz w:val="18"/>
                <w:szCs w:val="18"/>
                <w:color w:val="auto"/>
              </w:rPr>
              <w:t>Prior service (credit)</w:t>
            </w:r>
          </w:p>
        </w:tc>
        <w:tc>
          <w:tcPr>
            <w:tcW w:w="240" w:type="dxa"/>
            <w:vAlign w:val="bottom"/>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(312)</w:t>
            </w:r>
          </w:p>
        </w:tc>
        <w:tc>
          <w:tcPr>
            <w:tcW w:w="220" w:type="dxa"/>
            <w:vAlign w:val="bottom"/>
            <w:shd w:val="clear" w:color="auto" w:fill="E5FFFF"/>
          </w:tcPr>
          <w:p>
            <w:pPr>
              <w:spacing w:after="0"/>
              <w:rPr>
                <w:sz w:val="17"/>
                <w:szCs w:val="17"/>
                <w:color w:val="auto"/>
              </w:rPr>
            </w:pPr>
          </w:p>
        </w:tc>
        <w:tc>
          <w:tcPr>
            <w:tcW w:w="160" w:type="dxa"/>
            <w:vAlign w:val="bottom"/>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(355)</w:t>
            </w: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60" w:type="dxa"/>
            <w:vAlign w:val="bottom"/>
            <w:gridSpan w:val="2"/>
            <w:shd w:val="clear" w:color="auto" w:fill="E5FFFF"/>
          </w:tcPr>
          <w:p>
            <w:pPr>
              <w:jc w:val="right"/>
              <w:ind w:right="85"/>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(11)</w:t>
            </w:r>
          </w:p>
        </w:tc>
        <w:tc>
          <w:tcPr>
            <w:tcW w:w="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16"/>
        </w:trPr>
        <w:tc>
          <w:tcPr>
            <w:tcW w:w="5860" w:type="dxa"/>
            <w:vAlign w:val="bottom"/>
            <w:tcBorders>
              <w:bottom w:val="single" w:sz="8" w:color="E5FFFF"/>
            </w:tcBorders>
            <w:gridSpan w:val="2"/>
          </w:tcPr>
          <w:p>
            <w:pPr>
              <w:spacing w:after="0"/>
              <w:rPr>
                <w:sz w:val="20"/>
                <w:szCs w:val="20"/>
                <w:color w:val="auto"/>
              </w:rPr>
            </w:pPr>
            <w:r>
              <w:rPr>
                <w:rFonts w:ascii="Arial" w:cs="Arial" w:eastAsia="Arial" w:hAnsi="Arial"/>
                <w:sz w:val="18"/>
                <w:szCs w:val="18"/>
                <w:color w:val="auto"/>
              </w:rPr>
              <w:t>Net actuarial loss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1,099</w:t>
            </w:r>
          </w:p>
        </w:tc>
        <w:tc>
          <w:tcPr>
            <w:tcW w:w="220" w:type="dxa"/>
            <w:vAlign w:val="bottom"/>
            <w:tcBorders>
              <w:bottom w:val="single" w:sz="8" w:color="E5FF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1,005</w:t>
            </w:r>
          </w:p>
        </w:tc>
        <w:tc>
          <w:tcPr>
            <w:tcW w:w="2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582</w:t>
            </w:r>
          </w:p>
        </w:tc>
        <w:tc>
          <w:tcPr>
            <w:tcW w:w="80" w:type="dxa"/>
            <w:vAlign w:val="bottom"/>
            <w:tcBorders>
              <w:bottom w:val="single" w:sz="8" w:color="E5FFFF"/>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464</w:t>
            </w:r>
          </w:p>
        </w:tc>
      </w:tr>
      <w:tr>
        <w:trPr>
          <w:trHeight w:val="196"/>
        </w:trPr>
        <w:tc>
          <w:tcPr>
            <w:tcW w:w="5860" w:type="dxa"/>
            <w:vAlign w:val="bottom"/>
            <w:tcBorders>
              <w:bottom w:val="single" w:sz="8" w:color="E5FFFF"/>
            </w:tcBorders>
            <w:gridSpan w:val="2"/>
            <w:shd w:val="clear" w:color="auto" w:fill="E5FFFF"/>
          </w:tcPr>
          <w:p>
            <w:pPr>
              <w:spacing w:after="0" w:line="196" w:lineRule="exact"/>
              <w:rPr>
                <w:sz w:val="20"/>
                <w:szCs w:val="20"/>
                <w:color w:val="auto"/>
              </w:rPr>
            </w:pPr>
            <w:r>
              <w:rPr>
                <w:rFonts w:ascii="Arial" w:cs="Arial" w:eastAsia="Arial" w:hAnsi="Arial"/>
                <w:sz w:val="18"/>
                <w:szCs w:val="18"/>
                <w:color w:val="auto"/>
              </w:rPr>
              <w:t>Net amount recognized</w:t>
            </w:r>
          </w:p>
        </w:tc>
        <w:tc>
          <w:tcPr>
            <w:tcW w:w="240" w:type="dxa"/>
            <w:vAlign w:val="bottom"/>
            <w:tcBorders>
              <w:bottom w:val="single" w:sz="8" w:color="auto"/>
            </w:tcBorders>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E5FFFF"/>
          </w:tcPr>
          <w:p>
            <w:pPr>
              <w:jc w:val="right"/>
              <w:ind w:right="17"/>
              <w:spacing w:after="0" w:line="196" w:lineRule="exact"/>
              <w:rPr>
                <w:sz w:val="20"/>
                <w:szCs w:val="20"/>
                <w:color w:val="auto"/>
              </w:rPr>
            </w:pPr>
            <w:r>
              <w:rPr>
                <w:rFonts w:ascii="Arial" w:cs="Arial" w:eastAsia="Arial" w:hAnsi="Arial"/>
                <w:sz w:val="18"/>
                <w:szCs w:val="18"/>
                <w:color w:val="auto"/>
              </w:rPr>
              <w:t>787</w:t>
            </w:r>
          </w:p>
        </w:tc>
        <w:tc>
          <w:tcPr>
            <w:tcW w:w="220" w:type="dxa"/>
            <w:vAlign w:val="bottom"/>
            <w:tcBorders>
              <w:bottom w:val="single" w:sz="8" w:color="E5FFFF"/>
            </w:tcBorders>
            <w:shd w:val="clear" w:color="auto" w:fill="E5FFFF"/>
          </w:tcPr>
          <w:p>
            <w:pPr>
              <w:spacing w:after="0"/>
              <w:rPr>
                <w:sz w:val="17"/>
                <w:szCs w:val="17"/>
                <w:color w:val="auto"/>
              </w:rPr>
            </w:pPr>
          </w:p>
        </w:tc>
        <w:tc>
          <w:tcPr>
            <w:tcW w:w="160" w:type="dxa"/>
            <w:vAlign w:val="bottom"/>
            <w:tcBorders>
              <w:bottom w:val="single" w:sz="8" w:color="auto"/>
            </w:tcBorders>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E5FFFF"/>
          </w:tcPr>
          <w:p>
            <w:pPr>
              <w:jc w:val="right"/>
              <w:ind w:right="37"/>
              <w:spacing w:after="0" w:line="196" w:lineRule="exact"/>
              <w:rPr>
                <w:sz w:val="20"/>
                <w:szCs w:val="20"/>
                <w:color w:val="auto"/>
              </w:rPr>
            </w:pPr>
            <w:r>
              <w:rPr>
                <w:rFonts w:ascii="Arial" w:cs="Arial" w:eastAsia="Arial" w:hAnsi="Arial"/>
                <w:sz w:val="18"/>
                <w:szCs w:val="18"/>
                <w:color w:val="auto"/>
              </w:rPr>
              <w:t>650</w:t>
            </w:r>
          </w:p>
        </w:tc>
        <w:tc>
          <w:tcPr>
            <w:tcW w:w="20" w:type="dxa"/>
            <w:vAlign w:val="bottom"/>
            <w:tcBorders>
              <w:bottom w:val="single" w:sz="8" w:color="E5FFFF"/>
            </w:tcBorders>
            <w:shd w:val="clear" w:color="auto" w:fill="E5FFFF"/>
          </w:tcPr>
          <w:p>
            <w:pPr>
              <w:spacing w:after="0"/>
              <w:rPr>
                <w:sz w:val="17"/>
                <w:szCs w:val="17"/>
                <w:color w:val="auto"/>
              </w:rPr>
            </w:pPr>
          </w:p>
        </w:tc>
        <w:tc>
          <w:tcPr>
            <w:tcW w:w="200" w:type="dxa"/>
            <w:vAlign w:val="bottom"/>
            <w:tcBorders>
              <w:bottom w:val="single" w:sz="8" w:color="E5FFFF"/>
            </w:tcBorders>
            <w:shd w:val="clear" w:color="auto" w:fill="E5FFFF"/>
          </w:tcPr>
          <w:p>
            <w:pPr>
              <w:spacing w:after="0"/>
              <w:rPr>
                <w:sz w:val="17"/>
                <w:szCs w:val="17"/>
                <w:color w:val="auto"/>
              </w:rPr>
            </w:pPr>
          </w:p>
        </w:tc>
        <w:tc>
          <w:tcPr>
            <w:tcW w:w="260" w:type="dxa"/>
            <w:vAlign w:val="bottom"/>
            <w:tcBorders>
              <w:bottom w:val="single" w:sz="8" w:color="auto"/>
            </w:tcBorders>
            <w:gridSpan w:val="2"/>
            <w:shd w:val="clear" w:color="auto" w:fill="E5FFFF"/>
          </w:tcPr>
          <w:p>
            <w:pPr>
              <w:jc w:val="right"/>
              <w:ind w:right="85"/>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E5FFFF"/>
          </w:tcPr>
          <w:p>
            <w:pPr>
              <w:jc w:val="right"/>
              <w:ind w:right="36"/>
              <w:spacing w:after="0" w:line="196" w:lineRule="exact"/>
              <w:rPr>
                <w:sz w:val="20"/>
                <w:szCs w:val="20"/>
                <w:color w:val="auto"/>
              </w:rPr>
            </w:pPr>
            <w:r>
              <w:rPr>
                <w:rFonts w:ascii="Arial" w:cs="Arial" w:eastAsia="Arial" w:hAnsi="Arial"/>
                <w:sz w:val="18"/>
                <w:szCs w:val="18"/>
                <w:color w:val="auto"/>
              </w:rPr>
              <w:t>571</w:t>
            </w:r>
          </w:p>
        </w:tc>
        <w:tc>
          <w:tcPr>
            <w:tcW w:w="80" w:type="dxa"/>
            <w:vAlign w:val="bottom"/>
            <w:tcBorders>
              <w:bottom w:val="single" w:sz="8" w:color="E5FFFF"/>
            </w:tcBorders>
            <w:shd w:val="clear" w:color="auto" w:fill="E5FFFF"/>
          </w:tcPr>
          <w:p>
            <w:pPr>
              <w:spacing w:after="0"/>
              <w:rPr>
                <w:sz w:val="17"/>
                <w:szCs w:val="17"/>
                <w:color w:val="auto"/>
              </w:rPr>
            </w:pPr>
          </w:p>
        </w:tc>
        <w:tc>
          <w:tcPr>
            <w:tcW w:w="120" w:type="dxa"/>
            <w:vAlign w:val="bottom"/>
            <w:tcBorders>
              <w:bottom w:val="single" w:sz="8" w:color="E5FFFF"/>
            </w:tcBorders>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442</w:t>
            </w:r>
          </w:p>
        </w:tc>
      </w:tr>
      <w:tr>
        <w:trPr>
          <w:trHeight w:val="20"/>
        </w:trPr>
        <w:tc>
          <w:tcPr>
            <w:tcW w:w="5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53"/>
        </w:trPr>
        <w:tc>
          <w:tcPr>
            <w:tcW w:w="5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4"/>
                <w:szCs w:val="14"/>
                <w:b w:val="1"/>
                <w:bCs w:val="1"/>
                <w:color w:val="auto"/>
              </w:rPr>
              <w:t>Other Postretirement Benefits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7"/>
        </w:trPr>
        <w:tc>
          <w:tcPr>
            <w:tcW w:w="500" w:type="dxa"/>
            <w:vAlign w:val="bottom"/>
          </w:tcPr>
          <w:p>
            <w:pPr>
              <w:spacing w:after="0"/>
              <w:rPr>
                <w:sz w:val="20"/>
                <w:szCs w:val="20"/>
                <w:color w:val="auto"/>
              </w:rPr>
            </w:pPr>
          </w:p>
        </w:tc>
        <w:tc>
          <w:tcPr>
            <w:tcW w:w="5360" w:type="dxa"/>
            <w:vAlign w:val="bottom"/>
            <w:tcBorders>
              <w:bottom w:val="single" w:sz="8" w:color="E5FFFF"/>
            </w:tcBorders>
          </w:tcPr>
          <w:p>
            <w:pPr>
              <w:spacing w:after="0"/>
              <w:rPr>
                <w:sz w:val="20"/>
                <w:szCs w:val="20"/>
                <w:color w:val="auto"/>
              </w:rPr>
            </w:pPr>
          </w:p>
        </w:tc>
        <w:tc>
          <w:tcPr>
            <w:tcW w:w="240" w:type="dxa"/>
            <w:vAlign w:val="bottom"/>
            <w:tcBorders>
              <w:bottom w:val="single" w:sz="8" w:color="E5FFFF"/>
            </w:tcBorders>
          </w:tcPr>
          <w:p>
            <w:pPr>
              <w:spacing w:after="0"/>
              <w:rPr>
                <w:sz w:val="20"/>
                <w:szCs w:val="20"/>
                <w:color w:val="auto"/>
              </w:rPr>
            </w:pPr>
          </w:p>
        </w:tc>
        <w:tc>
          <w:tcPr>
            <w:tcW w:w="840" w:type="dxa"/>
            <w:vAlign w:val="bottom"/>
            <w:tcBorders>
              <w:bottom w:val="single" w:sz="8" w:color="E5FFFF"/>
            </w:tcBorders>
          </w:tcPr>
          <w:p>
            <w:pPr>
              <w:spacing w:after="0"/>
              <w:rPr>
                <w:sz w:val="20"/>
                <w:szCs w:val="20"/>
                <w:color w:val="auto"/>
              </w:rPr>
            </w:pPr>
          </w:p>
        </w:tc>
        <w:tc>
          <w:tcPr>
            <w:tcW w:w="220" w:type="dxa"/>
            <w:vAlign w:val="bottom"/>
            <w:tcBorders>
              <w:bottom w:val="single" w:sz="8" w:color="E5FFFF"/>
            </w:tcBorders>
          </w:tcPr>
          <w:p>
            <w:pPr>
              <w:spacing w:after="0"/>
              <w:rPr>
                <w:sz w:val="20"/>
                <w:szCs w:val="20"/>
                <w:color w:val="auto"/>
              </w:rPr>
            </w:pPr>
          </w:p>
        </w:tc>
        <w:tc>
          <w:tcPr>
            <w:tcW w:w="20" w:type="dxa"/>
            <w:vAlign w:val="bottom"/>
            <w:tcBorders>
              <w:bottom w:val="single" w:sz="8" w:color="E5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E5FFFF"/>
            </w:tcBorders>
          </w:tcPr>
          <w:p>
            <w:pPr>
              <w:spacing w:after="0"/>
              <w:rPr>
                <w:sz w:val="20"/>
                <w:szCs w:val="20"/>
                <w:color w:val="auto"/>
              </w:rPr>
            </w:pPr>
          </w:p>
        </w:tc>
        <w:tc>
          <w:tcPr>
            <w:tcW w:w="80" w:type="dxa"/>
            <w:vAlign w:val="bottom"/>
            <w:tcBorders>
              <w:bottom w:val="single" w:sz="8" w:color="E5FF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196"/>
        </w:trPr>
        <w:tc>
          <w:tcPr>
            <w:tcW w:w="500" w:type="dxa"/>
            <w:vAlign w:val="bottom"/>
          </w:tcPr>
          <w:p>
            <w:pPr>
              <w:spacing w:after="0"/>
              <w:rPr>
                <w:sz w:val="17"/>
                <w:szCs w:val="17"/>
                <w:color w:val="auto"/>
              </w:rPr>
            </w:pPr>
          </w:p>
        </w:tc>
        <w:tc>
          <w:tcPr>
            <w:tcW w:w="53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Prior service (credit)</w:t>
            </w:r>
          </w:p>
        </w:tc>
        <w:tc>
          <w:tcPr>
            <w:tcW w:w="24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240" w:type="dxa"/>
            <w:vAlign w:val="bottom"/>
            <w:gridSpan w:val="2"/>
            <w:shd w:val="clear" w:color="auto" w:fill="E5FFFF"/>
          </w:tcPr>
          <w:p>
            <w:pPr>
              <w:spacing w:after="0"/>
              <w:rPr>
                <w:sz w:val="17"/>
                <w:szCs w:val="17"/>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(393)</w:t>
            </w: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80" w:type="dxa"/>
            <w:vAlign w:val="bottom"/>
            <w:shd w:val="clear" w:color="auto" w:fill="E5FF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5FFFF"/>
          </w:tcPr>
          <w:p>
            <w:pPr>
              <w:jc w:val="right"/>
              <w:ind w:right="20"/>
              <w:spacing w:after="0" w:line="196" w:lineRule="exact"/>
              <w:rPr>
                <w:sz w:val="20"/>
                <w:szCs w:val="20"/>
                <w:color w:val="auto"/>
              </w:rPr>
            </w:pPr>
            <w:r>
              <w:rPr>
                <w:rFonts w:ascii="Arial" w:cs="Arial" w:eastAsia="Arial" w:hAnsi="Arial"/>
                <w:sz w:val="18"/>
                <w:szCs w:val="18"/>
                <w:color w:val="auto"/>
              </w:rPr>
              <w:t>(496)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53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Net actuarial loss</w:t>
            </w:r>
          </w:p>
        </w:tc>
        <w:tc>
          <w:tcPr>
            <w:tcW w:w="240" w:type="dxa"/>
            <w:vAlign w:val="bottom"/>
            <w:tcBorders>
              <w:bottom w:val="single" w:sz="8" w:color="E5FFFF"/>
            </w:tcBorders>
          </w:tcPr>
          <w:p>
            <w:pPr>
              <w:spacing w:after="0"/>
              <w:rPr>
                <w:sz w:val="18"/>
                <w:szCs w:val="18"/>
                <w:color w:val="auto"/>
              </w:rPr>
            </w:pPr>
          </w:p>
        </w:tc>
        <w:tc>
          <w:tcPr>
            <w:tcW w:w="84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500" w:type="dxa"/>
            <w:vAlign w:val="bottom"/>
          </w:tcPr>
          <w:p>
            <w:pPr>
              <w:spacing w:after="0"/>
              <w:rPr>
                <w:sz w:val="18"/>
                <w:szCs w:val="18"/>
                <w:color w:val="auto"/>
              </w:rPr>
            </w:pPr>
          </w:p>
        </w:tc>
        <w:tc>
          <w:tcPr>
            <w:tcW w:w="536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Net amount recognized</w:t>
            </w:r>
          </w:p>
        </w:tc>
        <w:tc>
          <w:tcPr>
            <w:tcW w:w="24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38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(257)</w:t>
            </w:r>
          </w:p>
        </w:tc>
        <w:tc>
          <w:tcPr>
            <w:tcW w:w="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60" w:type="dxa"/>
            <w:vAlign w:val="bottom"/>
            <w:gridSpan w:val="2"/>
            <w:shd w:val="clear" w:color="auto" w:fill="E5FFFF"/>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536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84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The components of net periodic benefit (income) cost and other amounts recognized in other comprehensive (income) loss for our significant pension and other postretirement benefit plans include the following components:</w:t>
      </w:r>
    </w:p>
    <w:p>
      <w:pPr>
        <w:spacing w:after="0" w:line="15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80"/>
          </w:cols>
          <w:pgMar w:left="240" w:top="400" w:right="17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Pension Benefits</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Periodic Benefit Cost</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 Plans</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Non-U.S. Plans</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152"/>
              <w:spacing w:after="0" w:line="129"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54"/>
              <w:spacing w:after="0" w:line="129"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173"/>
              <w:spacing w:after="0" w:line="129"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132"/>
              <w:spacing w:after="0" w:line="129"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152"/>
              <w:spacing w:after="0" w:line="129"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152"/>
              <w:spacing w:after="0" w:line="129" w:lineRule="exact"/>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0"/>
        </w:trPr>
        <w:tc>
          <w:tcPr>
            <w:tcW w:w="1740" w:type="dxa"/>
            <w:vAlign w:val="bottom"/>
            <w:tcBorders>
              <w:top w:val="single" w:sz="8" w:color="auto"/>
              <w:bottom w:val="single" w:sz="8" w:color="E5FFFF"/>
            </w:tcBorders>
          </w:tcPr>
          <w:p>
            <w:pPr>
              <w:spacing w:after="0" w:line="20" w:lineRule="exact"/>
              <w:rPr>
                <w:sz w:val="1"/>
                <w:szCs w:val="1"/>
                <w:color w:val="auto"/>
              </w:rPr>
            </w:pPr>
          </w:p>
        </w:tc>
        <w:tc>
          <w:tcPr>
            <w:tcW w:w="780" w:type="dxa"/>
            <w:vAlign w:val="bottom"/>
            <w:tcBorders>
              <w:bottom w:val="single" w:sz="8" w:color="E5FFFF"/>
            </w:tcBorders>
          </w:tcPr>
          <w:p>
            <w:pPr>
              <w:spacing w:after="0" w:line="20" w:lineRule="exact"/>
              <w:rPr>
                <w:sz w:val="1"/>
                <w:szCs w:val="1"/>
                <w:color w:val="auto"/>
              </w:rPr>
            </w:pPr>
          </w:p>
        </w:tc>
        <w:tc>
          <w:tcPr>
            <w:tcW w:w="2300" w:type="dxa"/>
            <w:vAlign w:val="bottom"/>
            <w:tcBorders>
              <w:bottom w:val="single" w:sz="8" w:color="E5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E5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E5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E5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E5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E5FFFF"/>
            </w:tcBorders>
          </w:tcPr>
          <w:p>
            <w:pPr>
              <w:spacing w:after="0" w:line="20" w:lineRule="exact"/>
              <w:rPr>
                <w:sz w:val="1"/>
                <w:szCs w:val="1"/>
                <w:color w:val="auto"/>
              </w:rPr>
            </w:pPr>
          </w:p>
        </w:tc>
        <w:tc>
          <w:tcPr>
            <w:tcW w:w="20" w:type="dxa"/>
            <w:vAlign w:val="bottom"/>
            <w:tcBorders>
              <w:bottom w:val="single" w:sz="8" w:color="E5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20" w:type="dxa"/>
            <w:vAlign w:val="bottom"/>
            <w:gridSpan w:val="3"/>
            <w:shd w:val="clear" w:color="auto" w:fill="E5FFFF"/>
          </w:tcPr>
          <w:p>
            <w:pPr>
              <w:spacing w:after="0" w:line="183" w:lineRule="exact"/>
              <w:rPr>
                <w:sz w:val="20"/>
                <w:szCs w:val="20"/>
                <w:color w:val="auto"/>
              </w:rPr>
            </w:pPr>
            <w:r>
              <w:rPr>
                <w:rFonts w:ascii="Arial" w:cs="Arial" w:eastAsia="Arial" w:hAnsi="Arial"/>
                <w:sz w:val="18"/>
                <w:szCs w:val="18"/>
                <w:color w:val="auto"/>
              </w:rPr>
              <w:t>Service cost</w:t>
            </w:r>
          </w:p>
        </w:tc>
        <w:tc>
          <w:tcPr>
            <w:tcW w:w="200" w:type="dxa"/>
            <w:vAlign w:val="bottom"/>
            <w:shd w:val="clear" w:color="auto" w:fill="E5FFFF"/>
          </w:tcPr>
          <w:p>
            <w:pPr>
              <w:jc w:val="right"/>
              <w:ind w:right="10"/>
              <w:spacing w:after="0" w:line="183"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E5FFFF"/>
          </w:tcPr>
          <w:p>
            <w:pPr>
              <w:jc w:val="right"/>
              <w:ind w:right="32"/>
              <w:spacing w:after="0" w:line="183" w:lineRule="exact"/>
              <w:rPr>
                <w:sz w:val="20"/>
                <w:szCs w:val="20"/>
                <w:color w:val="auto"/>
              </w:rPr>
            </w:pPr>
            <w:r>
              <w:rPr>
                <w:rFonts w:ascii="Arial" w:cs="Arial" w:eastAsia="Arial" w:hAnsi="Arial"/>
                <w:sz w:val="18"/>
                <w:szCs w:val="18"/>
                <w:color w:val="auto"/>
              </w:rPr>
              <w:t>191</w:t>
            </w:r>
          </w:p>
        </w:tc>
        <w:tc>
          <w:tcPr>
            <w:tcW w:w="240" w:type="dxa"/>
            <w:vAlign w:val="bottom"/>
            <w:shd w:val="clear" w:color="auto" w:fill="E5FFFF"/>
          </w:tcPr>
          <w:p>
            <w:pPr>
              <w:spacing w:after="0"/>
              <w:rPr>
                <w:sz w:val="15"/>
                <w:szCs w:val="15"/>
                <w:color w:val="auto"/>
              </w:rPr>
            </w:pPr>
          </w:p>
        </w:tc>
        <w:tc>
          <w:tcPr>
            <w:tcW w:w="100" w:type="dxa"/>
            <w:vAlign w:val="bottom"/>
            <w:shd w:val="clear" w:color="auto" w:fill="E5FFFF"/>
          </w:tcPr>
          <w:p>
            <w:pPr>
              <w:jc w:val="right"/>
              <w:spacing w:after="0" w:line="183"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E5FFFF"/>
          </w:tcPr>
          <w:p>
            <w:pPr>
              <w:jc w:val="right"/>
              <w:ind w:right="34"/>
              <w:spacing w:after="0" w:line="183" w:lineRule="exact"/>
              <w:rPr>
                <w:sz w:val="20"/>
                <w:szCs w:val="20"/>
                <w:color w:val="auto"/>
              </w:rPr>
            </w:pPr>
            <w:r>
              <w:rPr>
                <w:rFonts w:ascii="Arial" w:cs="Arial" w:eastAsia="Arial" w:hAnsi="Arial"/>
                <w:sz w:val="18"/>
                <w:szCs w:val="18"/>
                <w:color w:val="auto"/>
              </w:rPr>
              <w:t>223</w:t>
            </w:r>
          </w:p>
        </w:tc>
        <w:tc>
          <w:tcPr>
            <w:tcW w:w="240" w:type="dxa"/>
            <w:vAlign w:val="bottom"/>
            <w:shd w:val="clear" w:color="auto" w:fill="E5FFFF"/>
          </w:tcPr>
          <w:p>
            <w:pPr>
              <w:spacing w:after="0"/>
              <w:rPr>
                <w:sz w:val="15"/>
                <w:szCs w:val="15"/>
                <w:color w:val="auto"/>
              </w:rPr>
            </w:pPr>
          </w:p>
        </w:tc>
        <w:tc>
          <w:tcPr>
            <w:tcW w:w="200" w:type="dxa"/>
            <w:vAlign w:val="bottom"/>
            <w:shd w:val="clear" w:color="auto" w:fill="E5FFFF"/>
          </w:tcPr>
          <w:p>
            <w:pPr>
              <w:jc w:val="right"/>
              <w:ind w:right="10"/>
              <w:spacing w:after="0" w:line="183"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E5FFFF"/>
          </w:tcPr>
          <w:p>
            <w:pPr>
              <w:jc w:val="right"/>
              <w:ind w:right="53"/>
              <w:spacing w:after="0" w:line="183" w:lineRule="exact"/>
              <w:rPr>
                <w:sz w:val="20"/>
                <w:szCs w:val="20"/>
                <w:color w:val="auto"/>
              </w:rPr>
            </w:pPr>
            <w:r>
              <w:rPr>
                <w:rFonts w:ascii="Arial" w:cs="Arial" w:eastAsia="Arial" w:hAnsi="Arial"/>
                <w:sz w:val="18"/>
                <w:szCs w:val="18"/>
                <w:color w:val="auto"/>
              </w:rPr>
              <w:t>241</w:t>
            </w:r>
          </w:p>
        </w:tc>
        <w:tc>
          <w:tcPr>
            <w:tcW w:w="220" w:type="dxa"/>
            <w:vAlign w:val="bottom"/>
            <w:shd w:val="clear" w:color="auto" w:fill="E5FFFF"/>
          </w:tcPr>
          <w:p>
            <w:pPr>
              <w:spacing w:after="0"/>
              <w:rPr>
                <w:sz w:val="15"/>
                <w:szCs w:val="15"/>
                <w:color w:val="auto"/>
              </w:rPr>
            </w:pPr>
          </w:p>
        </w:tc>
        <w:tc>
          <w:tcPr>
            <w:tcW w:w="200" w:type="dxa"/>
            <w:vAlign w:val="bottom"/>
            <w:shd w:val="clear" w:color="auto" w:fill="E5FFFF"/>
          </w:tcPr>
          <w:p>
            <w:pPr>
              <w:jc w:val="right"/>
              <w:ind w:right="10"/>
              <w:spacing w:after="0" w:line="183"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E5FFFF"/>
          </w:tcPr>
          <w:p>
            <w:pPr>
              <w:jc w:val="right"/>
              <w:ind w:right="12"/>
              <w:spacing w:after="0" w:line="183" w:lineRule="exact"/>
              <w:rPr>
                <w:sz w:val="20"/>
                <w:szCs w:val="20"/>
                <w:color w:val="auto"/>
              </w:rPr>
            </w:pPr>
            <w:r>
              <w:rPr>
                <w:rFonts w:ascii="Arial" w:cs="Arial" w:eastAsia="Arial" w:hAnsi="Arial"/>
                <w:sz w:val="18"/>
                <w:szCs w:val="18"/>
                <w:color w:val="auto"/>
              </w:rPr>
              <w:t>47</w:t>
            </w:r>
          </w:p>
        </w:tc>
        <w:tc>
          <w:tcPr>
            <w:tcW w:w="220" w:type="dxa"/>
            <w:vAlign w:val="bottom"/>
            <w:shd w:val="clear" w:color="auto" w:fill="E5FFFF"/>
          </w:tcPr>
          <w:p>
            <w:pPr>
              <w:spacing w:after="0"/>
              <w:rPr>
                <w:sz w:val="15"/>
                <w:szCs w:val="15"/>
                <w:color w:val="auto"/>
              </w:rPr>
            </w:pPr>
          </w:p>
        </w:tc>
        <w:tc>
          <w:tcPr>
            <w:tcW w:w="200" w:type="dxa"/>
            <w:vAlign w:val="bottom"/>
            <w:shd w:val="clear" w:color="auto" w:fill="E5FFFF"/>
          </w:tcPr>
          <w:p>
            <w:pPr>
              <w:jc w:val="right"/>
              <w:ind w:right="10"/>
              <w:spacing w:after="0" w:line="183"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E5FFFF"/>
          </w:tcPr>
          <w:p>
            <w:pPr>
              <w:jc w:val="right"/>
              <w:ind w:right="32"/>
              <w:spacing w:after="0" w:line="183" w:lineRule="exact"/>
              <w:rPr>
                <w:sz w:val="20"/>
                <w:szCs w:val="20"/>
                <w:color w:val="auto"/>
              </w:rPr>
            </w:pPr>
            <w:r>
              <w:rPr>
                <w:rFonts w:ascii="Arial" w:cs="Arial" w:eastAsia="Arial" w:hAnsi="Arial"/>
                <w:sz w:val="18"/>
                <w:szCs w:val="18"/>
                <w:color w:val="auto"/>
              </w:rPr>
              <w:t>51</w:t>
            </w:r>
          </w:p>
        </w:tc>
        <w:tc>
          <w:tcPr>
            <w:tcW w:w="20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180" w:type="dxa"/>
            <w:vAlign w:val="bottom"/>
            <w:shd w:val="clear" w:color="auto" w:fill="E5FF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E5FFFF"/>
          </w:tcPr>
          <w:p>
            <w:pPr>
              <w:jc w:val="right"/>
              <w:ind w:right="12"/>
              <w:spacing w:after="0" w:line="183"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4820" w:type="dxa"/>
            <w:vAlign w:val="bottom"/>
            <w:gridSpan w:val="3"/>
          </w:tcPr>
          <w:p>
            <w:pPr>
              <w:spacing w:after="0" w:line="202" w:lineRule="exact"/>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600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696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771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179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177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3"/>
        </w:trPr>
        <w:tc>
          <w:tcPr>
            <w:tcW w:w="482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200" w:type="dxa"/>
            <w:vAlign w:val="bottom"/>
            <w:shd w:val="clear" w:color="auto" w:fill="E5FFFF"/>
          </w:tcPr>
          <w:p>
            <w:pPr>
              <w:spacing w:after="0"/>
              <w:rPr>
                <w:sz w:val="17"/>
                <w:szCs w:val="17"/>
                <w:color w:val="auto"/>
              </w:rPr>
            </w:pPr>
          </w:p>
        </w:tc>
        <w:tc>
          <w:tcPr>
            <w:tcW w:w="7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(1,226)</w:t>
            </w:r>
          </w:p>
        </w:tc>
        <w:tc>
          <w:tcPr>
            <w:tcW w:w="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(1,278)</w:t>
            </w:r>
          </w:p>
        </w:tc>
        <w:tc>
          <w:tcPr>
            <w:tcW w:w="2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(1,257)</w:t>
            </w: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(377)</w:t>
            </w: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(358)</w:t>
            </w: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3"/>
        </w:trPr>
        <w:tc>
          <w:tcPr>
            <w:tcW w:w="4820" w:type="dxa"/>
            <w:vAlign w:val="bottom"/>
            <w:gridSpan w:val="3"/>
          </w:tcPr>
          <w:p>
            <w:pPr>
              <w:spacing w:after="0" w:line="202" w:lineRule="exact"/>
              <w:rPr>
                <w:sz w:val="20"/>
                <w:szCs w:val="20"/>
                <w:color w:val="auto"/>
              </w:rPr>
            </w:pPr>
            <w:r>
              <w:rPr>
                <w:rFonts w:ascii="Arial" w:cs="Arial" w:eastAsia="Arial" w:hAnsi="Arial"/>
                <w:sz w:val="18"/>
                <w:szCs w:val="18"/>
                <w:color w:val="auto"/>
              </w:rPr>
              <w:t>Amortization of transition obligation</w:t>
            </w:r>
          </w:p>
        </w:tc>
        <w:tc>
          <w:tcPr>
            <w:tcW w:w="20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482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Amortization of prior service (credit) cost</w:t>
            </w:r>
          </w:p>
        </w:tc>
        <w:tc>
          <w:tcPr>
            <w:tcW w:w="200" w:type="dxa"/>
            <w:vAlign w:val="bottom"/>
            <w:shd w:val="clear" w:color="auto" w:fill="E5FFFF"/>
          </w:tcPr>
          <w:p>
            <w:pPr>
              <w:spacing w:after="0"/>
              <w:rPr>
                <w:sz w:val="17"/>
                <w:szCs w:val="17"/>
                <w:color w:val="auto"/>
              </w:rPr>
            </w:pPr>
          </w:p>
        </w:tc>
        <w:tc>
          <w:tcPr>
            <w:tcW w:w="7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(43)</w:t>
            </w:r>
          </w:p>
        </w:tc>
        <w:tc>
          <w:tcPr>
            <w:tcW w:w="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13</w:t>
            </w:r>
          </w:p>
        </w:tc>
        <w:tc>
          <w:tcPr>
            <w:tcW w:w="2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53"/>
              <w:spacing w:after="0" w:line="202" w:lineRule="exact"/>
              <w:rPr>
                <w:sz w:val="20"/>
                <w:szCs w:val="20"/>
                <w:color w:val="auto"/>
              </w:rPr>
            </w:pPr>
            <w:r>
              <w:rPr>
                <w:rFonts w:ascii="Arial" w:cs="Arial" w:eastAsia="Arial" w:hAnsi="Arial"/>
                <w:sz w:val="18"/>
                <w:szCs w:val="18"/>
                <w:color w:val="auto"/>
              </w:rPr>
              <w:t>23</w:t>
            </w: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w:t>
            </w: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w:t>
            </w: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4820" w:type="dxa"/>
            <w:vAlign w:val="bottom"/>
            <w:gridSpan w:val="3"/>
          </w:tcPr>
          <w:p>
            <w:pPr>
              <w:spacing w:after="0" w:line="202" w:lineRule="exact"/>
              <w:rPr>
                <w:sz w:val="20"/>
                <w:szCs w:val="20"/>
                <w:color w:val="auto"/>
              </w:rPr>
            </w:pPr>
            <w:r>
              <w:rPr>
                <w:rFonts w:ascii="Arial" w:cs="Arial" w:eastAsia="Arial" w:hAnsi="Arial"/>
                <w:sz w:val="18"/>
                <w:szCs w:val="18"/>
                <w:color w:val="auto"/>
              </w:rPr>
              <w:t>Recognition of actuarial losses</w:t>
            </w:r>
          </w:p>
        </w:tc>
        <w:tc>
          <w:tcPr>
            <w:tcW w:w="20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246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Settlements and curtailments</w:t>
            </w:r>
          </w:p>
        </w:tc>
        <w:tc>
          <w:tcPr>
            <w:tcW w:w="20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shd w:val="clear" w:color="auto" w:fill="E5FFFF"/>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FFFF"/>
          </w:tcPr>
          <w:p>
            <w:pPr>
              <w:spacing w:after="0"/>
              <w:rPr>
                <w:sz w:val="18"/>
                <w:szCs w:val="18"/>
                <w:color w:val="auto"/>
              </w:rPr>
            </w:pPr>
          </w:p>
        </w:tc>
        <w:tc>
          <w:tcPr>
            <w:tcW w:w="100" w:type="dxa"/>
            <w:vAlign w:val="bottom"/>
            <w:tcBorders>
              <w:bottom w:val="single" w:sz="8" w:color="auto"/>
            </w:tcBorders>
            <w:shd w:val="clear" w:color="auto" w:fill="E5FFFF"/>
          </w:tcPr>
          <w:p>
            <w:pPr>
              <w:spacing w:after="0"/>
              <w:rPr>
                <w:sz w:val="18"/>
                <w:szCs w:val="18"/>
                <w:color w:val="auto"/>
              </w:rPr>
            </w:pPr>
          </w:p>
        </w:tc>
        <w:tc>
          <w:tcPr>
            <w:tcW w:w="820" w:type="dxa"/>
            <w:vAlign w:val="bottom"/>
            <w:tcBorders>
              <w:bottom w:val="single" w:sz="8" w:color="auto"/>
            </w:tcBorders>
            <w:shd w:val="clear" w:color="auto" w:fill="E5FFFF"/>
          </w:tcPr>
          <w:p>
            <w:pPr>
              <w:jc w:val="right"/>
              <w:ind w:right="34"/>
              <w:spacing w:after="0"/>
              <w:rPr>
                <w:sz w:val="20"/>
                <w:szCs w:val="20"/>
                <w:color w:val="auto"/>
              </w:rPr>
            </w:pPr>
            <w:r>
              <w:rPr>
                <w:rFonts w:ascii="Arial" w:cs="Arial" w:eastAsia="Arial" w:hAnsi="Arial"/>
                <w:sz w:val="18"/>
                <w:szCs w:val="18"/>
                <w:color w:val="auto"/>
              </w:rPr>
              <w:t>8</w:t>
            </w:r>
          </w:p>
        </w:tc>
        <w:tc>
          <w:tcPr>
            <w:tcW w:w="24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740" w:type="dxa"/>
            <w:vAlign w:val="bottom"/>
            <w:tcBorders>
              <w:bottom w:val="single" w:sz="8" w:color="auto"/>
            </w:tcBorders>
            <w:shd w:val="clear" w:color="auto" w:fill="E5FFFF"/>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700" w:type="dxa"/>
            <w:vAlign w:val="bottom"/>
            <w:tcBorders>
              <w:bottom w:val="single" w:sz="8" w:color="auto"/>
            </w:tcBorders>
            <w:shd w:val="clear" w:color="auto" w:fill="E5FFFF"/>
          </w:tcPr>
          <w:p>
            <w:pPr>
              <w:jc w:val="right"/>
              <w:ind w:right="32"/>
              <w:spacing w:after="0"/>
              <w:rPr>
                <w:sz w:val="20"/>
                <w:szCs w:val="20"/>
                <w:color w:val="auto"/>
              </w:rPr>
            </w:pPr>
            <w:r>
              <w:rPr>
                <w:rFonts w:ascii="Arial" w:cs="Arial" w:eastAsia="Arial" w:hAnsi="Arial"/>
                <w:sz w:val="18"/>
                <w:szCs w:val="18"/>
                <w:color w:val="auto"/>
              </w:rPr>
              <w:t>2</w:t>
            </w:r>
          </w:p>
        </w:tc>
        <w:tc>
          <w:tcPr>
            <w:tcW w:w="2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70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820" w:type="dxa"/>
            <w:vAlign w:val="bottom"/>
            <w:gridSpan w:val="3"/>
          </w:tcPr>
          <w:p>
            <w:pPr>
              <w:spacing w:after="0" w:line="197" w:lineRule="exact"/>
              <w:rPr>
                <w:sz w:val="20"/>
                <w:szCs w:val="20"/>
                <w:color w:val="auto"/>
              </w:rPr>
            </w:pPr>
            <w:r>
              <w:rPr>
                <w:rFonts w:ascii="Arial" w:cs="Arial" w:eastAsia="Arial" w:hAnsi="Arial"/>
                <w:sz w:val="18"/>
                <w:szCs w:val="18"/>
                <w:color w:val="auto"/>
              </w:rPr>
              <w:t>Net periodic benefit (income) cost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(451)</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(286)</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(196)</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85</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4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Other Changes in Plan Assets and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82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820" w:type="dxa"/>
            <w:vAlign w:val="bottom"/>
            <w:gridSpan w:val="3"/>
          </w:tcPr>
          <w:p>
            <w:pPr>
              <w:spacing w:after="0"/>
              <w:rPr>
                <w:sz w:val="20"/>
                <w:szCs w:val="20"/>
                <w:color w:val="auto"/>
              </w:rPr>
            </w:pPr>
            <w:r>
              <w:rPr>
                <w:rFonts w:ascii="Arial" w:cs="Arial" w:eastAsia="Arial" w:hAnsi="Arial"/>
                <w:sz w:val="14"/>
                <w:szCs w:val="14"/>
                <w:b w:val="1"/>
                <w:bCs w:val="1"/>
                <w:color w:val="auto"/>
              </w:rPr>
              <w:t>Benefits Obligations Recognized in</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 Plans</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Non-U.S. Plans</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Other Comprehensive (Income) Loss</w:t>
            </w:r>
          </w:p>
        </w:tc>
        <w:tc>
          <w:tcPr>
            <w:tcW w:w="200" w:type="dxa"/>
            <w:vAlign w:val="bottom"/>
          </w:tcPr>
          <w:p>
            <w:pPr>
              <w:spacing w:after="0"/>
              <w:rPr>
                <w:sz w:val="15"/>
                <w:szCs w:val="15"/>
                <w:color w:val="auto"/>
              </w:rPr>
            </w:pPr>
          </w:p>
        </w:tc>
        <w:tc>
          <w:tcPr>
            <w:tcW w:w="720" w:type="dxa"/>
            <w:vAlign w:val="bottom"/>
          </w:tcPr>
          <w:p>
            <w:pPr>
              <w:jc w:val="right"/>
              <w:ind w:right="212"/>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14"/>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33"/>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center"/>
              <w:ind w:right="132"/>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0"/>
        </w:trPr>
        <w:tc>
          <w:tcPr>
            <w:tcW w:w="2520" w:type="dxa"/>
            <w:vAlign w:val="bottom"/>
            <w:tcBorders>
              <w:top w:val="single" w:sz="8" w:color="auto"/>
            </w:tcBorders>
            <w:gridSpan w:val="2"/>
            <w:shd w:val="clear" w:color="auto" w:fill="E5FFFF"/>
          </w:tcPr>
          <w:p>
            <w:pPr>
              <w:spacing w:after="0" w:line="189" w:lineRule="exact"/>
              <w:rPr>
                <w:sz w:val="20"/>
                <w:szCs w:val="20"/>
                <w:color w:val="auto"/>
              </w:rPr>
            </w:pPr>
            <w:r>
              <w:rPr>
                <w:rFonts w:ascii="Arial" w:cs="Arial" w:eastAsia="Arial" w:hAnsi="Arial"/>
                <w:sz w:val="18"/>
                <w:szCs w:val="18"/>
                <w:color w:val="auto"/>
              </w:rPr>
              <w:t>Actuarial losses</w:t>
            </w:r>
          </w:p>
        </w:tc>
        <w:tc>
          <w:tcPr>
            <w:tcW w:w="2300" w:type="dxa"/>
            <w:vAlign w:val="bottom"/>
            <w:tcBorders>
              <w:top w:val="single" w:sz="8" w:color="E5FFFF"/>
            </w:tcBorders>
            <w:shd w:val="clear" w:color="auto" w:fill="E5FFFF"/>
          </w:tcPr>
          <w:p>
            <w:pPr>
              <w:spacing w:after="0"/>
              <w:rPr>
                <w:sz w:val="16"/>
                <w:szCs w:val="16"/>
                <w:color w:val="auto"/>
              </w:rPr>
            </w:pPr>
          </w:p>
        </w:tc>
        <w:tc>
          <w:tcPr>
            <w:tcW w:w="200" w:type="dxa"/>
            <w:vAlign w:val="bottom"/>
            <w:tcBorders>
              <w:top w:val="single" w:sz="8" w:color="auto"/>
            </w:tcBorders>
            <w:shd w:val="clear" w:color="auto" w:fill="E5FF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E5FFFF"/>
          </w:tcPr>
          <w:p>
            <w:pPr>
              <w:jc w:val="right"/>
              <w:ind w:right="32"/>
              <w:spacing w:after="0" w:line="189" w:lineRule="exact"/>
              <w:rPr>
                <w:sz w:val="20"/>
                <w:szCs w:val="20"/>
                <w:color w:val="auto"/>
              </w:rPr>
            </w:pPr>
            <w:r>
              <w:rPr>
                <w:rFonts w:ascii="Arial" w:cs="Arial" w:eastAsia="Arial" w:hAnsi="Arial"/>
                <w:sz w:val="18"/>
                <w:szCs w:val="18"/>
                <w:color w:val="auto"/>
              </w:rPr>
              <w:t>121</w:t>
            </w:r>
          </w:p>
        </w:tc>
        <w:tc>
          <w:tcPr>
            <w:tcW w:w="240" w:type="dxa"/>
            <w:vAlign w:val="bottom"/>
            <w:tcBorders>
              <w:top w:val="single" w:sz="8" w:color="E5FFFF"/>
            </w:tcBorders>
            <w:shd w:val="clear" w:color="auto" w:fill="E5FFFF"/>
          </w:tcPr>
          <w:p>
            <w:pPr>
              <w:spacing w:after="0"/>
              <w:rPr>
                <w:sz w:val="16"/>
                <w:szCs w:val="16"/>
                <w:color w:val="auto"/>
              </w:rPr>
            </w:pPr>
          </w:p>
        </w:tc>
        <w:tc>
          <w:tcPr>
            <w:tcW w:w="100" w:type="dxa"/>
            <w:vAlign w:val="bottom"/>
            <w:tcBorders>
              <w:top w:val="single" w:sz="8" w:color="auto"/>
            </w:tcBorders>
            <w:shd w:val="clear" w:color="auto" w:fill="E5FFFF"/>
          </w:tcPr>
          <w:p>
            <w:pPr>
              <w:jc w:val="right"/>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E5FFFF"/>
          </w:tcPr>
          <w:p>
            <w:pPr>
              <w:jc w:val="right"/>
              <w:ind w:right="34"/>
              <w:spacing w:after="0" w:line="189" w:lineRule="exact"/>
              <w:rPr>
                <w:sz w:val="20"/>
                <w:szCs w:val="20"/>
                <w:color w:val="auto"/>
              </w:rPr>
            </w:pPr>
            <w:r>
              <w:rPr>
                <w:rFonts w:ascii="Arial" w:cs="Arial" w:eastAsia="Arial" w:hAnsi="Arial"/>
                <w:sz w:val="18"/>
                <w:szCs w:val="18"/>
                <w:color w:val="auto"/>
              </w:rPr>
              <w:t>775</w:t>
            </w:r>
          </w:p>
        </w:tc>
        <w:tc>
          <w:tcPr>
            <w:tcW w:w="240" w:type="dxa"/>
            <w:vAlign w:val="bottom"/>
            <w:tcBorders>
              <w:top w:val="single" w:sz="8" w:color="E5FFFF"/>
            </w:tcBorders>
            <w:shd w:val="clear" w:color="auto" w:fill="E5FFFF"/>
          </w:tcPr>
          <w:p>
            <w:pPr>
              <w:spacing w:after="0"/>
              <w:rPr>
                <w:sz w:val="16"/>
                <w:szCs w:val="16"/>
                <w:color w:val="auto"/>
              </w:rPr>
            </w:pPr>
          </w:p>
        </w:tc>
        <w:tc>
          <w:tcPr>
            <w:tcW w:w="200" w:type="dxa"/>
            <w:vAlign w:val="bottom"/>
            <w:tcBorders>
              <w:top w:val="single" w:sz="8" w:color="auto"/>
            </w:tcBorders>
            <w:shd w:val="clear" w:color="auto" w:fill="E5FF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E5FFFF"/>
          </w:tcPr>
          <w:p>
            <w:pPr>
              <w:jc w:val="right"/>
              <w:ind w:right="53"/>
              <w:spacing w:after="0" w:line="189" w:lineRule="exact"/>
              <w:rPr>
                <w:sz w:val="20"/>
                <w:szCs w:val="20"/>
                <w:color w:val="auto"/>
              </w:rPr>
            </w:pPr>
            <w:r>
              <w:rPr>
                <w:rFonts w:ascii="Arial" w:cs="Arial" w:eastAsia="Arial" w:hAnsi="Arial"/>
                <w:sz w:val="18"/>
                <w:szCs w:val="18"/>
                <w:color w:val="auto"/>
              </w:rPr>
              <w:t>1,686</w:t>
            </w:r>
          </w:p>
        </w:tc>
        <w:tc>
          <w:tcPr>
            <w:tcW w:w="220" w:type="dxa"/>
            <w:vAlign w:val="bottom"/>
            <w:tcBorders>
              <w:top w:val="single" w:sz="8" w:color="E5FFFF"/>
            </w:tcBorders>
            <w:shd w:val="clear" w:color="auto" w:fill="E5FFFF"/>
          </w:tcPr>
          <w:p>
            <w:pPr>
              <w:spacing w:after="0"/>
              <w:rPr>
                <w:sz w:val="16"/>
                <w:szCs w:val="16"/>
                <w:color w:val="auto"/>
              </w:rPr>
            </w:pPr>
          </w:p>
        </w:tc>
        <w:tc>
          <w:tcPr>
            <w:tcW w:w="200" w:type="dxa"/>
            <w:vAlign w:val="bottom"/>
            <w:tcBorders>
              <w:top w:val="single" w:sz="8" w:color="auto"/>
            </w:tcBorders>
            <w:shd w:val="clear" w:color="auto" w:fill="E5FF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E5FFFF"/>
          </w:tcPr>
          <w:p>
            <w:pPr>
              <w:jc w:val="right"/>
              <w:ind w:right="12"/>
              <w:spacing w:after="0" w:line="189" w:lineRule="exact"/>
              <w:rPr>
                <w:sz w:val="20"/>
                <w:szCs w:val="20"/>
                <w:color w:val="auto"/>
              </w:rPr>
            </w:pPr>
            <w:r>
              <w:rPr>
                <w:rFonts w:ascii="Arial" w:cs="Arial" w:eastAsia="Arial" w:hAnsi="Arial"/>
                <w:sz w:val="18"/>
                <w:szCs w:val="18"/>
                <w:color w:val="auto"/>
              </w:rPr>
              <w:t>447</w:t>
            </w:r>
          </w:p>
        </w:tc>
        <w:tc>
          <w:tcPr>
            <w:tcW w:w="220" w:type="dxa"/>
            <w:vAlign w:val="bottom"/>
            <w:tcBorders>
              <w:top w:val="single" w:sz="8" w:color="E5FFFF"/>
            </w:tcBorders>
            <w:shd w:val="clear" w:color="auto" w:fill="E5FFFF"/>
          </w:tcPr>
          <w:p>
            <w:pPr>
              <w:spacing w:after="0"/>
              <w:rPr>
                <w:sz w:val="16"/>
                <w:szCs w:val="16"/>
                <w:color w:val="auto"/>
              </w:rPr>
            </w:pPr>
          </w:p>
        </w:tc>
        <w:tc>
          <w:tcPr>
            <w:tcW w:w="200" w:type="dxa"/>
            <w:vAlign w:val="bottom"/>
            <w:tcBorders>
              <w:top w:val="single" w:sz="8" w:color="auto"/>
            </w:tcBorders>
            <w:shd w:val="clear" w:color="auto" w:fill="E5FF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E5FFFF"/>
          </w:tcPr>
          <w:p>
            <w:pPr>
              <w:jc w:val="right"/>
              <w:ind w:right="32"/>
              <w:spacing w:after="0" w:line="189" w:lineRule="exact"/>
              <w:rPr>
                <w:sz w:val="20"/>
                <w:szCs w:val="20"/>
                <w:color w:val="auto"/>
              </w:rPr>
            </w:pPr>
            <w:r>
              <w:rPr>
                <w:rFonts w:ascii="Arial" w:cs="Arial" w:eastAsia="Arial" w:hAnsi="Arial"/>
                <w:sz w:val="18"/>
                <w:szCs w:val="18"/>
                <w:color w:val="auto"/>
              </w:rPr>
              <w:t>27</w:t>
            </w:r>
          </w:p>
        </w:tc>
        <w:tc>
          <w:tcPr>
            <w:tcW w:w="200" w:type="dxa"/>
            <w:vAlign w:val="bottom"/>
            <w:tcBorders>
              <w:top w:val="single" w:sz="8" w:color="E5FFFF"/>
            </w:tcBorders>
            <w:shd w:val="clear" w:color="auto" w:fill="E5FFFF"/>
          </w:tcPr>
          <w:p>
            <w:pPr>
              <w:spacing w:after="0"/>
              <w:rPr>
                <w:sz w:val="16"/>
                <w:szCs w:val="16"/>
                <w:color w:val="auto"/>
              </w:rPr>
            </w:pPr>
          </w:p>
        </w:tc>
        <w:tc>
          <w:tcPr>
            <w:tcW w:w="20" w:type="dxa"/>
            <w:vAlign w:val="bottom"/>
            <w:tcBorders>
              <w:top w:val="single" w:sz="8" w:color="E5FFFF"/>
            </w:tcBorders>
            <w:shd w:val="clear" w:color="auto" w:fill="E5FFFF"/>
          </w:tcPr>
          <w:p>
            <w:pPr>
              <w:spacing w:after="0"/>
              <w:rPr>
                <w:sz w:val="16"/>
                <w:szCs w:val="16"/>
                <w:color w:val="auto"/>
              </w:rPr>
            </w:pPr>
          </w:p>
        </w:tc>
        <w:tc>
          <w:tcPr>
            <w:tcW w:w="180" w:type="dxa"/>
            <w:vAlign w:val="bottom"/>
            <w:tcBorders>
              <w:top w:val="single" w:sz="8" w:color="auto"/>
            </w:tcBorders>
            <w:shd w:val="clear" w:color="auto" w:fill="E5FF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E5FFFF"/>
          </w:tcPr>
          <w:p>
            <w:pPr>
              <w:jc w:val="right"/>
              <w:ind w:right="12"/>
              <w:spacing w:after="0" w:line="189" w:lineRule="exact"/>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3"/>
        </w:trPr>
        <w:tc>
          <w:tcPr>
            <w:tcW w:w="4820" w:type="dxa"/>
            <w:vAlign w:val="bottom"/>
            <w:gridSpan w:val="3"/>
          </w:tcPr>
          <w:p>
            <w:pPr>
              <w:spacing w:after="0" w:line="202" w:lineRule="exact"/>
              <w:rPr>
                <w:sz w:val="20"/>
                <w:szCs w:val="20"/>
                <w:color w:val="auto"/>
              </w:rPr>
            </w:pPr>
            <w:r>
              <w:rPr>
                <w:rFonts w:ascii="Arial" w:cs="Arial" w:eastAsia="Arial" w:hAnsi="Arial"/>
                <w:sz w:val="18"/>
                <w:szCs w:val="18"/>
                <w:color w:val="auto"/>
              </w:rPr>
              <w:t>Prior service (credit)</w:t>
            </w:r>
          </w:p>
        </w:tc>
        <w:tc>
          <w:tcPr>
            <w:tcW w:w="20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(429)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482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Transition obligation recognized during year</w:t>
            </w:r>
          </w:p>
        </w:tc>
        <w:tc>
          <w:tcPr>
            <w:tcW w:w="20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4820" w:type="dxa"/>
            <w:vAlign w:val="bottom"/>
            <w:gridSpan w:val="3"/>
          </w:tcPr>
          <w:p>
            <w:pPr>
              <w:spacing w:after="0" w:line="202" w:lineRule="exact"/>
              <w:rPr>
                <w:sz w:val="20"/>
                <w:szCs w:val="20"/>
                <w:color w:val="auto"/>
              </w:rPr>
            </w:pPr>
            <w:r>
              <w:rPr>
                <w:rFonts w:ascii="Arial" w:cs="Arial" w:eastAsia="Arial" w:hAnsi="Arial"/>
                <w:sz w:val="18"/>
                <w:szCs w:val="18"/>
                <w:color w:val="auto"/>
              </w:rPr>
              <w:t>Prior service (cost) credit recognized during year</w:t>
            </w:r>
          </w:p>
        </w:tc>
        <w:tc>
          <w:tcPr>
            <w:tcW w:w="20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482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Actuarial losses recognized during year</w:t>
            </w:r>
          </w:p>
        </w:tc>
        <w:tc>
          <w:tcPr>
            <w:tcW w:w="200" w:type="dxa"/>
            <w:vAlign w:val="bottom"/>
            <w:shd w:val="clear" w:color="auto" w:fill="E5FFFF"/>
          </w:tcPr>
          <w:p>
            <w:pPr>
              <w:spacing w:after="0"/>
              <w:rPr>
                <w:sz w:val="17"/>
                <w:szCs w:val="17"/>
                <w:color w:val="auto"/>
              </w:rPr>
            </w:pPr>
          </w:p>
        </w:tc>
        <w:tc>
          <w:tcPr>
            <w:tcW w:w="7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(27)</w:t>
            </w:r>
          </w:p>
        </w:tc>
        <w:tc>
          <w:tcPr>
            <w:tcW w:w="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(52)</w:t>
            </w:r>
          </w:p>
        </w:tc>
        <w:tc>
          <w:tcPr>
            <w:tcW w:w="2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(26)</w:t>
            </w: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(246)</w:t>
            </w: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(17)</w:t>
            </w: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E5FFFF"/>
            </w:tcBorders>
            <w:gridSpan w:val="3"/>
          </w:tcPr>
          <w:p>
            <w:pPr>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5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2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0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4820" w:type="dxa"/>
            <w:vAlign w:val="bottom"/>
            <w:gridSpan w:val="3"/>
            <w:shd w:val="clear" w:color="auto" w:fill="E5FFFF"/>
          </w:tcPr>
          <w:p>
            <w:pPr>
              <w:ind w:left="180"/>
              <w:spacing w:after="0"/>
              <w:rPr>
                <w:sz w:val="20"/>
                <w:szCs w:val="20"/>
                <w:color w:val="auto"/>
              </w:rPr>
            </w:pPr>
            <w:r>
              <w:rPr>
                <w:rFonts w:ascii="Arial" w:cs="Arial" w:eastAsia="Arial" w:hAnsi="Arial"/>
                <w:sz w:val="18"/>
                <w:szCs w:val="18"/>
                <w:color w:val="auto"/>
              </w:rPr>
              <w:t>Total recognized in other comprehensive (income) loss</w:t>
            </w:r>
          </w:p>
        </w:tc>
        <w:tc>
          <w:tcPr>
            <w:tcW w:w="2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E5FFFF"/>
          </w:tcPr>
          <w:p>
            <w:pPr>
              <w:spacing w:after="0"/>
              <w:rPr>
                <w:sz w:val="18"/>
                <w:szCs w:val="18"/>
                <w:color w:val="auto"/>
              </w:rPr>
            </w:pPr>
          </w:p>
        </w:tc>
        <w:tc>
          <w:tcPr>
            <w:tcW w:w="1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E5FFFF"/>
          </w:tcPr>
          <w:p>
            <w:pPr>
              <w:jc w:val="right"/>
              <w:ind w:right="34"/>
              <w:spacing w:after="0"/>
              <w:rPr>
                <w:sz w:val="20"/>
                <w:szCs w:val="20"/>
                <w:color w:val="auto"/>
              </w:rPr>
            </w:pPr>
            <w:r>
              <w:rPr>
                <w:rFonts w:ascii="Arial" w:cs="Arial" w:eastAsia="Arial" w:hAnsi="Arial"/>
                <w:sz w:val="18"/>
                <w:szCs w:val="18"/>
                <w:color w:val="auto"/>
              </w:rPr>
              <w:t>281</w:t>
            </w:r>
          </w:p>
        </w:tc>
        <w:tc>
          <w:tcPr>
            <w:tcW w:w="440" w:type="dxa"/>
            <w:vAlign w:val="bottom"/>
            <w:gridSpan w:val="2"/>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FFFF"/>
          </w:tcPr>
          <w:p>
            <w:pPr>
              <w:jc w:val="right"/>
              <w:ind w:right="53"/>
              <w:spacing w:after="0"/>
              <w:rPr>
                <w:sz w:val="20"/>
                <w:szCs w:val="20"/>
                <w:color w:val="auto"/>
              </w:rPr>
            </w:pPr>
            <w:r>
              <w:rPr>
                <w:rFonts w:ascii="Arial" w:cs="Arial" w:eastAsia="Arial" w:hAnsi="Arial"/>
                <w:sz w:val="18"/>
                <w:szCs w:val="18"/>
                <w:color w:val="auto"/>
              </w:rPr>
              <w:t>1,637</w:t>
            </w:r>
          </w:p>
        </w:tc>
        <w:tc>
          <w:tcPr>
            <w:tcW w:w="420" w:type="dxa"/>
            <w:vAlign w:val="bottom"/>
            <w:gridSpan w:val="2"/>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128</w:t>
            </w:r>
          </w:p>
        </w:tc>
        <w:tc>
          <w:tcPr>
            <w:tcW w:w="420" w:type="dxa"/>
            <w:vAlign w:val="bottom"/>
            <w:gridSpan w:val="2"/>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E5FFFF"/>
          </w:tcPr>
          <w:p>
            <w:pPr>
              <w:spacing w:after="0"/>
              <w:rPr>
                <w:sz w:val="18"/>
                <w:szCs w:val="18"/>
                <w:color w:val="auto"/>
              </w:rPr>
            </w:pPr>
          </w:p>
        </w:tc>
        <w:tc>
          <w:tcPr>
            <w:tcW w:w="200" w:type="dxa"/>
            <w:vAlign w:val="bottom"/>
            <w:gridSpan w:val="2"/>
            <w:shd w:val="clear" w:color="auto" w:fill="E5FFFF"/>
          </w:tcPr>
          <w:p>
            <w:pPr>
              <w:jc w:val="right"/>
              <w:ind w:right="25"/>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4820" w:type="dxa"/>
            <w:vAlign w:val="bottom"/>
            <w:tcBorders>
              <w:top w:val="single" w:sz="8" w:color="E5FFFF"/>
              <w:bottom w:val="single" w:sz="8" w:color="E5FFFF"/>
            </w:tcBorders>
            <w:gridSpan w:val="3"/>
            <w:vMerge w:val="restart"/>
          </w:tcPr>
          <w:p>
            <w:pPr>
              <w:ind w:left="180"/>
              <w:spacing w:after="0" w:line="195" w:lineRule="exact"/>
              <w:rPr>
                <w:sz w:val="20"/>
                <w:szCs w:val="20"/>
                <w:color w:val="auto"/>
              </w:rPr>
            </w:pPr>
            <w:r>
              <w:rPr>
                <w:rFonts w:ascii="Arial" w:cs="Arial" w:eastAsia="Arial" w:hAnsi="Arial"/>
                <w:sz w:val="18"/>
                <w:szCs w:val="18"/>
                <w:color w:val="auto"/>
              </w:rPr>
              <w:t>Total recognized in net periodic benefit (income) cost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20" w:type="dxa"/>
            <w:vAlign w:val="bottom"/>
            <w:gridSpan w:val="3"/>
            <w:vMerge w:val="continue"/>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(314)</w:t>
            </w:r>
          </w:p>
        </w:tc>
        <w:tc>
          <w:tcPr>
            <w:tcW w:w="24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44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53"/>
              <w:spacing w:after="0"/>
              <w:rPr>
                <w:sz w:val="20"/>
                <w:szCs w:val="20"/>
                <w:color w:val="auto"/>
              </w:rPr>
            </w:pPr>
            <w:r>
              <w:rPr>
                <w:rFonts w:ascii="Arial" w:cs="Arial" w:eastAsia="Arial" w:hAnsi="Arial"/>
                <w:sz w:val="18"/>
                <w:szCs w:val="18"/>
                <w:color w:val="auto"/>
              </w:rPr>
              <w:t>1,441</w:t>
            </w:r>
          </w:p>
        </w:tc>
        <w:tc>
          <w:tcPr>
            <w:tcW w:w="42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ind w:right="12"/>
              <w:spacing w:after="0"/>
              <w:rPr>
                <w:sz w:val="20"/>
                <w:szCs w:val="20"/>
                <w:color w:val="auto"/>
              </w:rPr>
            </w:pPr>
            <w:r>
              <w:rPr>
                <w:rFonts w:ascii="Arial" w:cs="Arial" w:eastAsia="Arial" w:hAnsi="Arial"/>
                <w:sz w:val="18"/>
                <w:szCs w:val="18"/>
                <w:color w:val="auto"/>
              </w:rPr>
              <w:t>213</w:t>
            </w:r>
          </w:p>
        </w:tc>
        <w:tc>
          <w:tcPr>
            <w:tcW w:w="42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3"/>
                <w:szCs w:val="13"/>
                <w:color w:val="auto"/>
              </w:rPr>
            </w:pPr>
          </w:p>
        </w:tc>
        <w:tc>
          <w:tcPr>
            <w:tcW w:w="200" w:type="dxa"/>
            <w:vAlign w:val="bottom"/>
            <w:gridSpan w:val="2"/>
            <w:vMerge w:val="restart"/>
          </w:tcPr>
          <w:p>
            <w:pPr>
              <w:jc w:val="right"/>
              <w:ind w:right="25"/>
              <w:spacing w:after="0"/>
              <w:rPr>
                <w:sz w:val="20"/>
                <w:szCs w:val="20"/>
                <w:color w:val="auto"/>
              </w:rPr>
            </w:pPr>
            <w:r>
              <w:rPr>
                <w:rFonts w:ascii="Arial" w:cs="Arial" w:eastAsia="Arial" w:hAnsi="Arial"/>
                <w:sz w:val="18"/>
                <w:szCs w:val="18"/>
                <w:color w:val="auto"/>
                <w:w w:val="79"/>
              </w:rPr>
              <w:t>$</w:t>
            </w:r>
          </w:p>
        </w:tc>
        <w:tc>
          <w:tcPr>
            <w:tcW w:w="700" w:type="dxa"/>
            <w:vAlign w:val="bottom"/>
            <w:vMerge w:val="restart"/>
          </w:tcPr>
          <w:p>
            <w:pPr>
              <w:jc w:val="right"/>
              <w:ind w:right="12"/>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190"/>
        </w:trPr>
        <w:tc>
          <w:tcPr>
            <w:tcW w:w="4820" w:type="dxa"/>
            <w:vAlign w:val="bottom"/>
            <w:gridSpan w:val="3"/>
          </w:tcPr>
          <w:p>
            <w:pPr>
              <w:ind w:left="360"/>
              <w:spacing w:after="0" w:line="190" w:lineRule="exact"/>
              <w:rPr>
                <w:sz w:val="20"/>
                <w:szCs w:val="20"/>
                <w:color w:val="auto"/>
              </w:rPr>
            </w:pPr>
            <w:r>
              <w:rPr>
                <w:rFonts w:ascii="Arial" w:cs="Arial" w:eastAsia="Arial" w:hAnsi="Arial"/>
                <w:sz w:val="18"/>
                <w:szCs w:val="18"/>
                <w:color w:val="auto"/>
              </w:rPr>
              <w:t>and other comprehensive (income) loss</w:t>
            </w:r>
          </w:p>
        </w:tc>
        <w:tc>
          <w:tcPr>
            <w:tcW w:w="2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estimated prior service (credit) for pension benefits that will be amortized from accumulated other comprehensive (income) loss into net periodic benefit (income) cost in 2017 are expected to be ($43) million and ($1) million for U.S. and non-U.S. pension plans.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gridSpan w:val="8"/>
          </w:tcPr>
          <w:p>
            <w:pPr>
              <w:jc w:val="right"/>
              <w:ind w:right="65"/>
              <w:spacing w:after="0"/>
              <w:rPr>
                <w:sz w:val="20"/>
                <w:szCs w:val="20"/>
                <w:color w:val="auto"/>
              </w:rPr>
            </w:pPr>
            <w:r>
              <w:rPr>
                <w:rFonts w:ascii="Arial" w:cs="Arial" w:eastAsia="Arial" w:hAnsi="Arial"/>
                <w:sz w:val="14"/>
                <w:szCs w:val="14"/>
                <w:b w:val="1"/>
                <w:bCs w:val="1"/>
                <w:color w:val="auto"/>
              </w:rPr>
              <w:t>Other Postretirement Benefits</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0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Net Periodic Benefit Cost</w:t>
            </w: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7000" w:type="dxa"/>
            <w:vAlign w:val="bottom"/>
            <w:gridSpan w:val="4"/>
            <w:vMerge w:val="continue"/>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234"/>
              <w:spacing w:after="0" w:line="129"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253"/>
              <w:spacing w:after="0" w:line="129" w:lineRule="exact"/>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ind w:right="253"/>
              <w:spacing w:after="0" w:line="129" w:lineRule="exact"/>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Borders>
              <w:top w:val="single" w:sz="8" w:color="auto"/>
              <w:bottom w:val="single" w:sz="8" w:color="E5FFFF"/>
            </w:tcBorders>
          </w:tcPr>
          <w:p>
            <w:pPr>
              <w:spacing w:after="0" w:line="20" w:lineRule="exact"/>
              <w:rPr>
                <w:sz w:val="1"/>
                <w:szCs w:val="1"/>
                <w:color w:val="auto"/>
              </w:rPr>
            </w:pPr>
          </w:p>
        </w:tc>
        <w:tc>
          <w:tcPr>
            <w:tcW w:w="1800" w:type="dxa"/>
            <w:vAlign w:val="bottom"/>
            <w:tcBorders>
              <w:bottom w:val="single" w:sz="8" w:color="E5FFFF"/>
            </w:tcBorders>
          </w:tcPr>
          <w:p>
            <w:pPr>
              <w:spacing w:after="0" w:line="20" w:lineRule="exact"/>
              <w:rPr>
                <w:sz w:val="1"/>
                <w:szCs w:val="1"/>
                <w:color w:val="auto"/>
              </w:rPr>
            </w:pPr>
          </w:p>
        </w:tc>
        <w:tc>
          <w:tcPr>
            <w:tcW w:w="3460" w:type="dxa"/>
            <w:vAlign w:val="bottom"/>
            <w:tcBorders>
              <w:bottom w:val="single" w:sz="8" w:color="E5FFFF"/>
            </w:tcBorders>
          </w:tcPr>
          <w:p>
            <w:pPr>
              <w:spacing w:after="0" w:line="20" w:lineRule="exact"/>
              <w:rPr>
                <w:sz w:val="1"/>
                <w:szCs w:val="1"/>
                <w:color w:val="auto"/>
              </w:rPr>
            </w:pPr>
          </w:p>
        </w:tc>
        <w:tc>
          <w:tcPr>
            <w:tcW w:w="320" w:type="dxa"/>
            <w:vAlign w:val="bottom"/>
            <w:tcBorders>
              <w:bottom w:val="single" w:sz="8" w:color="E5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E5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E5FFFF"/>
            </w:tcBorders>
          </w:tcPr>
          <w:p>
            <w:pPr>
              <w:spacing w:after="0" w:line="20" w:lineRule="exact"/>
              <w:rPr>
                <w:sz w:val="1"/>
                <w:szCs w:val="1"/>
                <w:color w:val="auto"/>
              </w:rPr>
            </w:pPr>
          </w:p>
        </w:tc>
        <w:tc>
          <w:tcPr>
            <w:tcW w:w="20" w:type="dxa"/>
            <w:vAlign w:val="bottom"/>
            <w:tcBorders>
              <w:bottom w:val="single" w:sz="8" w:color="E5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980" w:type="dxa"/>
            <w:vAlign w:val="bottom"/>
            <w:gridSpan w:val="3"/>
            <w:shd w:val="clear" w:color="auto" w:fill="E5FFFF"/>
          </w:tcPr>
          <w:p>
            <w:pPr>
              <w:spacing w:after="0" w:line="183" w:lineRule="exact"/>
              <w:rPr>
                <w:sz w:val="20"/>
                <w:szCs w:val="20"/>
                <w:color w:val="auto"/>
              </w:rPr>
            </w:pPr>
            <w:r>
              <w:rPr>
                <w:rFonts w:ascii="Arial" w:cs="Arial" w:eastAsia="Arial" w:hAnsi="Arial"/>
                <w:sz w:val="18"/>
                <w:szCs w:val="18"/>
                <w:color w:val="auto"/>
              </w:rPr>
              <w:t>Service cost</w:t>
            </w:r>
          </w:p>
        </w:tc>
        <w:tc>
          <w:tcPr>
            <w:tcW w:w="320" w:type="dxa"/>
            <w:vAlign w:val="bottom"/>
            <w:shd w:val="clear" w:color="auto" w:fill="E5FFFF"/>
          </w:tcPr>
          <w:p>
            <w:pPr>
              <w:spacing w:after="0"/>
              <w:rPr>
                <w:sz w:val="15"/>
                <w:szCs w:val="15"/>
                <w:color w:val="auto"/>
              </w:rPr>
            </w:pPr>
          </w:p>
        </w:tc>
        <w:tc>
          <w:tcPr>
            <w:tcW w:w="260" w:type="dxa"/>
            <w:vAlign w:val="bottom"/>
            <w:shd w:val="clear" w:color="auto" w:fill="E5FFFF"/>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spacing w:after="0" w:line="183" w:lineRule="exact"/>
              <w:rPr>
                <w:sz w:val="20"/>
                <w:szCs w:val="20"/>
                <w:color w:val="auto"/>
              </w:rPr>
            </w:pPr>
            <w:r>
              <w:rPr>
                <w:rFonts w:ascii="Arial" w:cs="Arial" w:eastAsia="Arial" w:hAnsi="Arial"/>
                <w:sz w:val="18"/>
                <w:szCs w:val="18"/>
                <w:color w:val="auto"/>
              </w:rPr>
              <w:t>-</w:t>
            </w:r>
          </w:p>
        </w:tc>
        <w:tc>
          <w:tcPr>
            <w:tcW w:w="40" w:type="dxa"/>
            <w:vAlign w:val="bottom"/>
            <w:shd w:val="clear" w:color="auto" w:fill="E5FFFF"/>
          </w:tcPr>
          <w:p>
            <w:pPr>
              <w:spacing w:after="0"/>
              <w:rPr>
                <w:sz w:val="15"/>
                <w:szCs w:val="15"/>
                <w:color w:val="auto"/>
              </w:rPr>
            </w:pPr>
          </w:p>
        </w:tc>
        <w:tc>
          <w:tcPr>
            <w:tcW w:w="360" w:type="dxa"/>
            <w:vAlign w:val="bottom"/>
            <w:shd w:val="clear" w:color="auto" w:fill="E5FFFF"/>
          </w:tcPr>
          <w:p>
            <w:pPr>
              <w:spacing w:after="0"/>
              <w:rPr>
                <w:sz w:val="15"/>
                <w:szCs w:val="15"/>
                <w:color w:val="auto"/>
              </w:rPr>
            </w:pPr>
          </w:p>
        </w:tc>
        <w:tc>
          <w:tcPr>
            <w:tcW w:w="260" w:type="dxa"/>
            <w:vAlign w:val="bottom"/>
            <w:shd w:val="clear" w:color="auto" w:fill="E5FFFF"/>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ind w:right="13"/>
              <w:spacing w:after="0" w:line="183"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220" w:type="dxa"/>
            <w:vAlign w:val="bottom"/>
            <w:shd w:val="clear" w:color="auto" w:fill="E5FF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5FFFF"/>
          </w:tcPr>
          <w:p>
            <w:pPr>
              <w:jc w:val="right"/>
              <w:ind w:right="13"/>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gridSpan w:val="3"/>
          </w:tcPr>
          <w:p>
            <w:pPr>
              <w:spacing w:after="0" w:line="202" w:lineRule="exact"/>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33</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Amortization of prior service (credit)</w:t>
            </w:r>
          </w:p>
        </w:tc>
        <w:tc>
          <w:tcPr>
            <w:tcW w:w="3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(76)</w:t>
            </w:r>
          </w:p>
        </w:tc>
        <w:tc>
          <w:tcPr>
            <w:tcW w:w="4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(30)</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Borders>
              <w:bottom w:val="single" w:sz="8" w:color="E5FFFF"/>
            </w:tcBorders>
            <w:gridSpan w:val="3"/>
          </w:tcPr>
          <w:p>
            <w:pPr>
              <w:spacing w:after="0"/>
              <w:rPr>
                <w:sz w:val="20"/>
                <w:szCs w:val="20"/>
                <w:color w:val="auto"/>
              </w:rPr>
            </w:pPr>
            <w:r>
              <w:rPr>
                <w:rFonts w:ascii="Arial" w:cs="Arial" w:eastAsia="Arial" w:hAnsi="Arial"/>
                <w:sz w:val="18"/>
                <w:szCs w:val="18"/>
                <w:color w:val="auto"/>
              </w:rPr>
              <w:t>Recognition of actuarial losses</w:t>
            </w:r>
          </w:p>
        </w:tc>
        <w:tc>
          <w:tcPr>
            <w:tcW w:w="32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34</w:t>
            </w:r>
          </w:p>
        </w:tc>
        <w:tc>
          <w:tcPr>
            <w:tcW w:w="34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gridSpan w:val="3"/>
            <w:shd w:val="clear" w:color="auto" w:fill="E5FFFF"/>
          </w:tcPr>
          <w:p>
            <w:pPr>
              <w:spacing w:after="0" w:line="197" w:lineRule="exact"/>
              <w:rPr>
                <w:sz w:val="20"/>
                <w:szCs w:val="20"/>
                <w:color w:val="auto"/>
              </w:rPr>
            </w:pPr>
            <w:r>
              <w:rPr>
                <w:rFonts w:ascii="Arial" w:cs="Arial" w:eastAsia="Arial" w:hAnsi="Arial"/>
                <w:sz w:val="18"/>
                <w:szCs w:val="18"/>
                <w:color w:val="auto"/>
              </w:rPr>
              <w:t>Net periodic benefit (income) cost</w:t>
            </w:r>
          </w:p>
        </w:tc>
        <w:tc>
          <w:tcPr>
            <w:tcW w:w="58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(34)</w:t>
            </w:r>
          </w:p>
        </w:tc>
        <w:tc>
          <w:tcPr>
            <w:tcW w:w="660" w:type="dxa"/>
            <w:vAlign w:val="bottom"/>
            <w:gridSpan w:val="3"/>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37</w:t>
            </w:r>
          </w:p>
        </w:tc>
        <w:tc>
          <w:tcPr>
            <w:tcW w:w="340" w:type="dxa"/>
            <w:vAlign w:val="bottom"/>
            <w:shd w:val="clear" w:color="auto" w:fill="E5FFFF"/>
          </w:tcPr>
          <w:p>
            <w:pPr>
              <w:spacing w:after="0"/>
              <w:rPr>
                <w:sz w:val="18"/>
                <w:szCs w:val="18"/>
                <w:color w:val="auto"/>
              </w:rPr>
            </w:pPr>
          </w:p>
        </w:tc>
        <w:tc>
          <w:tcPr>
            <w:tcW w:w="240" w:type="dxa"/>
            <w:vAlign w:val="bottom"/>
            <w:gridSpan w:val="2"/>
            <w:shd w:val="clear" w:color="auto" w:fill="E5FFFF"/>
          </w:tcPr>
          <w:p>
            <w:pPr>
              <w:jc w:val="right"/>
              <w:ind w:right="6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Borders>
              <w:top w:val="single" w:sz="8" w:color="E5FFFF"/>
            </w:tcBorders>
          </w:tcPr>
          <w:p>
            <w:pPr>
              <w:spacing w:after="0" w:line="20" w:lineRule="exact"/>
              <w:rPr>
                <w:sz w:val="1"/>
                <w:szCs w:val="1"/>
                <w:color w:val="auto"/>
              </w:rPr>
            </w:pPr>
          </w:p>
        </w:tc>
        <w:tc>
          <w:tcPr>
            <w:tcW w:w="1800" w:type="dxa"/>
            <w:vAlign w:val="bottom"/>
            <w:tcBorders>
              <w:top w:val="single" w:sz="8" w:color="E5FFFF"/>
            </w:tcBorders>
          </w:tcPr>
          <w:p>
            <w:pPr>
              <w:spacing w:after="0" w:line="20" w:lineRule="exact"/>
              <w:rPr>
                <w:sz w:val="1"/>
                <w:szCs w:val="1"/>
                <w:color w:val="auto"/>
              </w:rPr>
            </w:pPr>
          </w:p>
        </w:tc>
        <w:tc>
          <w:tcPr>
            <w:tcW w:w="346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0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Other Changes in Plan Assets and Benefits Obligations</w:t>
            </w:r>
          </w:p>
        </w:tc>
        <w:tc>
          <w:tcPr>
            <w:tcW w:w="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000" w:type="dxa"/>
            <w:vAlign w:val="bottom"/>
            <w:gridSpan w:val="4"/>
            <w:vMerge w:val="continue"/>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42"/>
        </w:trPr>
        <w:tc>
          <w:tcPr>
            <w:tcW w:w="70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Recognized in Other Comprehensive (Income) Loss</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Borders>
              <w:top w:val="single" w:sz="8" w:color="auto"/>
            </w:tcBorders>
            <w:gridSpan w:val="2"/>
            <w:shd w:val="clear" w:color="auto" w:fill="E5FFFF"/>
          </w:tcPr>
          <w:p>
            <w:pPr>
              <w:spacing w:after="0" w:line="196" w:lineRule="exact"/>
              <w:rPr>
                <w:sz w:val="20"/>
                <w:szCs w:val="20"/>
                <w:color w:val="auto"/>
              </w:rPr>
            </w:pPr>
            <w:r>
              <w:rPr>
                <w:rFonts w:ascii="Arial" w:cs="Arial" w:eastAsia="Arial" w:hAnsi="Arial"/>
                <w:sz w:val="18"/>
                <w:szCs w:val="18"/>
                <w:color w:val="auto"/>
              </w:rPr>
              <w:t>Actuarial (gains) losses</w:t>
            </w:r>
          </w:p>
        </w:tc>
        <w:tc>
          <w:tcPr>
            <w:tcW w:w="3460" w:type="dxa"/>
            <w:vAlign w:val="bottom"/>
            <w:shd w:val="clear" w:color="auto" w:fill="E5FFFF"/>
          </w:tcPr>
          <w:p>
            <w:pPr>
              <w:spacing w:after="0"/>
              <w:rPr>
                <w:sz w:val="17"/>
                <w:szCs w:val="17"/>
                <w:color w:val="auto"/>
              </w:rPr>
            </w:pPr>
          </w:p>
        </w:tc>
        <w:tc>
          <w:tcPr>
            <w:tcW w:w="580" w:type="dxa"/>
            <w:vAlign w:val="bottom"/>
            <w:gridSpan w:val="2"/>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(31)</w:t>
            </w:r>
          </w:p>
        </w:tc>
        <w:tc>
          <w:tcPr>
            <w:tcW w:w="660" w:type="dxa"/>
            <w:vAlign w:val="bottom"/>
            <w:gridSpan w:val="3"/>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(55)</w:t>
            </w:r>
          </w:p>
        </w:tc>
        <w:tc>
          <w:tcPr>
            <w:tcW w:w="340" w:type="dxa"/>
            <w:vAlign w:val="bottom"/>
            <w:shd w:val="clear" w:color="auto" w:fill="E5FFFF"/>
          </w:tcPr>
          <w:p>
            <w:pPr>
              <w:spacing w:after="0"/>
              <w:rPr>
                <w:sz w:val="17"/>
                <w:szCs w:val="17"/>
                <w:color w:val="auto"/>
              </w:rPr>
            </w:pPr>
          </w:p>
        </w:tc>
        <w:tc>
          <w:tcPr>
            <w:tcW w:w="240" w:type="dxa"/>
            <w:vAlign w:val="bottom"/>
            <w:gridSpan w:val="2"/>
            <w:shd w:val="clear" w:color="auto" w:fill="E5FFFF"/>
          </w:tcPr>
          <w:p>
            <w:pPr>
              <w:jc w:val="right"/>
              <w:ind w:right="65"/>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gridSpan w:val="3"/>
          </w:tcPr>
          <w:p>
            <w:pPr>
              <w:spacing w:after="0" w:line="202" w:lineRule="exact"/>
              <w:rPr>
                <w:sz w:val="20"/>
                <w:szCs w:val="20"/>
                <w:color w:val="auto"/>
              </w:rPr>
            </w:pPr>
            <w:r>
              <w:rPr>
                <w:rFonts w:ascii="Arial" w:cs="Arial" w:eastAsia="Arial" w:hAnsi="Arial"/>
                <w:sz w:val="18"/>
                <w:szCs w:val="18"/>
                <w:color w:val="auto"/>
              </w:rPr>
              <w:t>Prior service cost (credit)</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(290)</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Prior service credit recognized during year</w:t>
            </w:r>
          </w:p>
        </w:tc>
        <w:tc>
          <w:tcPr>
            <w:tcW w:w="3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76</w:t>
            </w:r>
          </w:p>
        </w:tc>
        <w:tc>
          <w:tcPr>
            <w:tcW w:w="4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30</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Borders>
              <w:bottom w:val="single" w:sz="8" w:color="E5FFFF"/>
            </w:tcBorders>
            <w:gridSpan w:val="3"/>
          </w:tcPr>
          <w:p>
            <w:pPr>
              <w:spacing w:after="0"/>
              <w:rPr>
                <w:sz w:val="20"/>
                <w:szCs w:val="20"/>
                <w:color w:val="auto"/>
              </w:rPr>
            </w:pPr>
            <w:r>
              <w:rPr>
                <w:rFonts w:ascii="Arial" w:cs="Arial" w:eastAsia="Arial" w:hAnsi="Arial"/>
                <w:sz w:val="18"/>
                <w:szCs w:val="18"/>
                <w:color w:val="auto"/>
              </w:rPr>
              <w:t>Actuarial losses recognized during year</w:t>
            </w:r>
          </w:p>
        </w:tc>
        <w:tc>
          <w:tcPr>
            <w:tcW w:w="32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4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gridSpan w:val="3"/>
            <w:shd w:val="clear" w:color="auto" w:fill="E5FFFF"/>
          </w:tcPr>
          <w:p>
            <w:pPr>
              <w:spacing w:after="0" w:line="197" w:lineRule="exact"/>
              <w:rPr>
                <w:sz w:val="20"/>
                <w:szCs w:val="20"/>
                <w:color w:val="auto"/>
              </w:rPr>
            </w:pPr>
            <w:r>
              <w:rPr>
                <w:rFonts w:ascii="Arial" w:cs="Arial" w:eastAsia="Arial" w:hAnsi="Arial"/>
                <w:sz w:val="18"/>
                <w:szCs w:val="18"/>
                <w:color w:val="auto"/>
              </w:rPr>
              <w:t>Total recognized in other comprehensive (income) loss</w:t>
            </w:r>
          </w:p>
        </w:tc>
        <w:tc>
          <w:tcPr>
            <w:tcW w:w="320" w:type="dxa"/>
            <w:vAlign w:val="bottom"/>
            <w:shd w:val="clear" w:color="auto" w:fill="E5FFFF"/>
          </w:tcPr>
          <w:p>
            <w:pPr>
              <w:spacing w:after="0"/>
              <w:rPr>
                <w:sz w:val="18"/>
                <w:szCs w:val="18"/>
                <w:color w:val="auto"/>
              </w:rPr>
            </w:pPr>
          </w:p>
        </w:tc>
        <w:tc>
          <w:tcPr>
            <w:tcW w:w="260" w:type="dxa"/>
            <w:vAlign w:val="bottom"/>
            <w:shd w:val="clear" w:color="auto" w:fill="E5FF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50</w:t>
            </w:r>
          </w:p>
        </w:tc>
        <w:tc>
          <w:tcPr>
            <w:tcW w:w="4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60" w:type="dxa"/>
            <w:vAlign w:val="bottom"/>
            <w:shd w:val="clear" w:color="auto" w:fill="E5FF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(349)</w:t>
            </w:r>
          </w:p>
        </w:tc>
        <w:tc>
          <w:tcPr>
            <w:tcW w:w="340" w:type="dxa"/>
            <w:vAlign w:val="bottom"/>
            <w:shd w:val="clear" w:color="auto" w:fill="E5FFFF"/>
          </w:tcPr>
          <w:p>
            <w:pPr>
              <w:spacing w:after="0"/>
              <w:rPr>
                <w:sz w:val="18"/>
                <w:szCs w:val="18"/>
                <w:color w:val="auto"/>
              </w:rPr>
            </w:pPr>
          </w:p>
        </w:tc>
        <w:tc>
          <w:tcPr>
            <w:tcW w:w="240" w:type="dxa"/>
            <w:vAlign w:val="bottom"/>
            <w:gridSpan w:val="2"/>
            <w:shd w:val="clear" w:color="auto" w:fill="E5FFFF"/>
          </w:tcPr>
          <w:p>
            <w:pPr>
              <w:jc w:val="right"/>
              <w:ind w:right="6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Borders>
              <w:top w:val="single" w:sz="8" w:color="E5FFFF"/>
              <w:bottom w:val="single" w:sz="8" w:color="E5FFFF"/>
            </w:tcBorders>
            <w:gridSpan w:val="3"/>
            <w:vMerge w:val="restart"/>
          </w:tcPr>
          <w:p>
            <w:pPr>
              <w:spacing w:after="0"/>
              <w:rPr>
                <w:sz w:val="20"/>
                <w:szCs w:val="20"/>
                <w:color w:val="auto"/>
              </w:rPr>
            </w:pPr>
            <w:r>
              <w:rPr>
                <w:rFonts w:ascii="Arial" w:cs="Arial" w:eastAsia="Arial" w:hAnsi="Arial"/>
                <w:sz w:val="18"/>
                <w:szCs w:val="18"/>
                <w:color w:val="auto"/>
              </w:rPr>
              <w:t>Total recognized in net periodic benefit cost and other comprehensive (income) loss</w:t>
            </w:r>
          </w:p>
        </w:tc>
        <w:tc>
          <w:tcPr>
            <w:tcW w:w="32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98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Borders>
              <w:bottom w:val="single" w:sz="8" w:color="auto"/>
            </w:tcBorders>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16</w:t>
            </w:r>
          </w:p>
        </w:tc>
        <w:tc>
          <w:tcPr>
            <w:tcW w:w="4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Borders>
              <w:bottom w:val="single" w:sz="8" w:color="auto"/>
            </w:tcBorders>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(312)</w:t>
            </w:r>
          </w:p>
        </w:tc>
        <w:tc>
          <w:tcPr>
            <w:tcW w:w="3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3"/>
              <w:spacing w:after="0" w:line="18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estimated net loss and prior service (credit) for other postretirement benefits that will be amortized from accumulated other comprehensive (income) loss into net periodic benefit (income) in 2017 are expected to be $14 million and ($70) million.</w:t>
      </w:r>
    </w:p>
    <w:p>
      <w:pPr>
        <w:spacing w:after="0" w:line="183"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Major actuarial assumptions used in determining the benefit obligations and net periodic benefit (income) cost for our significant benefit plans are presented in the following table as weighted averages.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rPr>
              <w:t>Pension Benefits</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U.S. Plans</w:t>
            </w:r>
          </w:p>
        </w:tc>
        <w:tc>
          <w:tcPr>
            <w:tcW w:w="7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Non-U.S. Plans</w:t>
            </w: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00" w:type="dxa"/>
            <w:vAlign w:val="bottom"/>
          </w:tcPr>
          <w:p>
            <w:pPr>
              <w:jc w:val="right"/>
              <w:ind w:right="15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000" w:type="dxa"/>
            <w:vAlign w:val="bottom"/>
            <w:gridSpan w:val="2"/>
          </w:tcPr>
          <w:p>
            <w:pPr>
              <w:jc w:val="right"/>
              <w:ind w:right="156"/>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4"/>
                <w:szCs w:val="14"/>
                <w:color w:val="auto"/>
              </w:rPr>
            </w:pPr>
          </w:p>
        </w:tc>
        <w:tc>
          <w:tcPr>
            <w:tcW w:w="780" w:type="dxa"/>
            <w:vAlign w:val="bottom"/>
          </w:tcPr>
          <w:p>
            <w:pPr>
              <w:jc w:val="right"/>
              <w:ind w:right="154"/>
              <w:spacing w:after="0"/>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4"/>
                <w:szCs w:val="14"/>
                <w:color w:val="auto"/>
              </w:rPr>
            </w:pPr>
          </w:p>
        </w:tc>
        <w:tc>
          <w:tcPr>
            <w:tcW w:w="780" w:type="dxa"/>
            <w:vAlign w:val="bottom"/>
          </w:tcPr>
          <w:p>
            <w:pPr>
              <w:jc w:val="right"/>
              <w:ind w:right="152"/>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4"/>
                <w:szCs w:val="14"/>
                <w:color w:val="auto"/>
              </w:rPr>
            </w:pPr>
          </w:p>
        </w:tc>
        <w:tc>
          <w:tcPr>
            <w:tcW w:w="780" w:type="dxa"/>
            <w:vAlign w:val="bottom"/>
          </w:tcPr>
          <w:p>
            <w:pPr>
              <w:jc w:val="right"/>
              <w:ind w:right="152"/>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40" w:type="dxa"/>
            <w:vAlign w:val="bottom"/>
            <w:tcBorders>
              <w:top w:val="single" w:sz="8" w:color="E5FFFF"/>
            </w:tcBorders>
            <w:shd w:val="clear" w:color="auto" w:fill="E5FFFF"/>
          </w:tcPr>
          <w:p>
            <w:pPr>
              <w:spacing w:after="0" w:line="182" w:lineRule="exact"/>
              <w:rPr>
                <w:sz w:val="20"/>
                <w:szCs w:val="20"/>
                <w:color w:val="auto"/>
              </w:rPr>
            </w:pPr>
            <w:r>
              <w:rPr>
                <w:rFonts w:ascii="Arial" w:cs="Arial" w:eastAsia="Arial" w:hAnsi="Arial"/>
                <w:sz w:val="18"/>
                <w:szCs w:val="18"/>
                <w:color w:val="auto"/>
              </w:rPr>
              <w:t>Actuarial assumptions used to determine benefit</w:t>
            </w:r>
          </w:p>
        </w:tc>
        <w:tc>
          <w:tcPr>
            <w:tcW w:w="800" w:type="dxa"/>
            <w:vAlign w:val="bottom"/>
            <w:tcBorders>
              <w:top w:val="single" w:sz="8" w:color="auto"/>
            </w:tcBorders>
            <w:shd w:val="clear" w:color="auto" w:fill="E5FFFF"/>
          </w:tcPr>
          <w:p>
            <w:pPr>
              <w:spacing w:after="0"/>
              <w:rPr>
                <w:sz w:val="15"/>
                <w:szCs w:val="15"/>
                <w:color w:val="auto"/>
              </w:rPr>
            </w:pPr>
          </w:p>
        </w:tc>
        <w:tc>
          <w:tcPr>
            <w:tcW w:w="160" w:type="dxa"/>
            <w:vAlign w:val="bottom"/>
            <w:tcBorders>
              <w:top w:val="single" w:sz="8" w:color="E5FFFF"/>
            </w:tcBorders>
            <w:shd w:val="clear" w:color="auto" w:fill="E5FFFF"/>
          </w:tcPr>
          <w:p>
            <w:pPr>
              <w:spacing w:after="0"/>
              <w:rPr>
                <w:sz w:val="15"/>
                <w:szCs w:val="15"/>
                <w:color w:val="auto"/>
              </w:rPr>
            </w:pPr>
          </w:p>
        </w:tc>
        <w:tc>
          <w:tcPr>
            <w:tcW w:w="200" w:type="dxa"/>
            <w:vAlign w:val="bottom"/>
            <w:tcBorders>
              <w:top w:val="single" w:sz="8" w:color="E5FFFF"/>
            </w:tcBorders>
            <w:shd w:val="clear" w:color="auto" w:fill="E5FFFF"/>
          </w:tcPr>
          <w:p>
            <w:pPr>
              <w:spacing w:after="0"/>
              <w:rPr>
                <w:sz w:val="15"/>
                <w:szCs w:val="15"/>
                <w:color w:val="auto"/>
              </w:rPr>
            </w:pPr>
          </w:p>
        </w:tc>
        <w:tc>
          <w:tcPr>
            <w:tcW w:w="800" w:type="dxa"/>
            <w:vAlign w:val="bottom"/>
            <w:tcBorders>
              <w:top w:val="single" w:sz="8" w:color="auto"/>
            </w:tcBorders>
            <w:shd w:val="clear" w:color="auto" w:fill="E5FFFF"/>
          </w:tcPr>
          <w:p>
            <w:pPr>
              <w:spacing w:after="0"/>
              <w:rPr>
                <w:sz w:val="15"/>
                <w:szCs w:val="15"/>
                <w:color w:val="auto"/>
              </w:rPr>
            </w:pPr>
          </w:p>
        </w:tc>
        <w:tc>
          <w:tcPr>
            <w:tcW w:w="380" w:type="dxa"/>
            <w:vAlign w:val="bottom"/>
            <w:tcBorders>
              <w:top w:val="single" w:sz="8" w:color="E5FFFF"/>
            </w:tcBorders>
            <w:shd w:val="clear" w:color="auto" w:fill="E5FFFF"/>
          </w:tcPr>
          <w:p>
            <w:pPr>
              <w:spacing w:after="0"/>
              <w:rPr>
                <w:sz w:val="15"/>
                <w:szCs w:val="15"/>
                <w:color w:val="auto"/>
              </w:rPr>
            </w:pPr>
          </w:p>
        </w:tc>
        <w:tc>
          <w:tcPr>
            <w:tcW w:w="780" w:type="dxa"/>
            <w:vAlign w:val="bottom"/>
            <w:tcBorders>
              <w:top w:val="single" w:sz="8" w:color="auto"/>
            </w:tcBorders>
            <w:shd w:val="clear" w:color="auto" w:fill="E5FFFF"/>
          </w:tcPr>
          <w:p>
            <w:pPr>
              <w:spacing w:after="0"/>
              <w:rPr>
                <w:sz w:val="15"/>
                <w:szCs w:val="15"/>
                <w:color w:val="auto"/>
              </w:rPr>
            </w:pPr>
          </w:p>
        </w:tc>
        <w:tc>
          <w:tcPr>
            <w:tcW w:w="380" w:type="dxa"/>
            <w:vAlign w:val="bottom"/>
            <w:tcBorders>
              <w:top w:val="single" w:sz="8" w:color="E5FFFF"/>
            </w:tcBorders>
            <w:shd w:val="clear" w:color="auto" w:fill="E5FFFF"/>
          </w:tcPr>
          <w:p>
            <w:pPr>
              <w:spacing w:after="0"/>
              <w:rPr>
                <w:sz w:val="15"/>
                <w:szCs w:val="15"/>
                <w:color w:val="auto"/>
              </w:rPr>
            </w:pPr>
          </w:p>
        </w:tc>
        <w:tc>
          <w:tcPr>
            <w:tcW w:w="780" w:type="dxa"/>
            <w:vAlign w:val="bottom"/>
            <w:tcBorders>
              <w:top w:val="single" w:sz="8" w:color="auto"/>
            </w:tcBorders>
            <w:shd w:val="clear" w:color="auto" w:fill="E5FFFF"/>
          </w:tcPr>
          <w:p>
            <w:pPr>
              <w:spacing w:after="0"/>
              <w:rPr>
                <w:sz w:val="15"/>
                <w:szCs w:val="15"/>
                <w:color w:val="auto"/>
              </w:rPr>
            </w:pPr>
          </w:p>
        </w:tc>
        <w:tc>
          <w:tcPr>
            <w:tcW w:w="240" w:type="dxa"/>
            <w:vAlign w:val="bottom"/>
            <w:tcBorders>
              <w:top w:val="single" w:sz="8" w:color="E5FFFF"/>
            </w:tcBorders>
            <w:shd w:val="clear" w:color="auto" w:fill="E5FFFF"/>
          </w:tcPr>
          <w:p>
            <w:pPr>
              <w:spacing w:after="0"/>
              <w:rPr>
                <w:sz w:val="15"/>
                <w:szCs w:val="15"/>
                <w:color w:val="auto"/>
              </w:rPr>
            </w:pPr>
          </w:p>
        </w:tc>
        <w:tc>
          <w:tcPr>
            <w:tcW w:w="140" w:type="dxa"/>
            <w:vAlign w:val="bottom"/>
            <w:tcBorders>
              <w:top w:val="single" w:sz="8" w:color="E5FFFF"/>
            </w:tcBorders>
            <w:shd w:val="clear" w:color="auto" w:fill="E5FFFF"/>
          </w:tcPr>
          <w:p>
            <w:pPr>
              <w:spacing w:after="0"/>
              <w:rPr>
                <w:sz w:val="15"/>
                <w:szCs w:val="15"/>
                <w:color w:val="auto"/>
              </w:rPr>
            </w:pPr>
          </w:p>
        </w:tc>
        <w:tc>
          <w:tcPr>
            <w:tcW w:w="780" w:type="dxa"/>
            <w:vAlign w:val="bottom"/>
            <w:tcBorders>
              <w:top w:val="single" w:sz="8" w:color="auto"/>
            </w:tcBorders>
            <w:shd w:val="clear" w:color="auto" w:fill="E5FFFF"/>
          </w:tcPr>
          <w:p>
            <w:pPr>
              <w:spacing w:after="0"/>
              <w:rPr>
                <w:sz w:val="15"/>
                <w:szCs w:val="15"/>
                <w:color w:val="auto"/>
              </w:rPr>
            </w:pPr>
          </w:p>
        </w:tc>
        <w:tc>
          <w:tcPr>
            <w:tcW w:w="380" w:type="dxa"/>
            <w:vAlign w:val="bottom"/>
            <w:tcBorders>
              <w:top w:val="single" w:sz="8" w:color="E5FFFF"/>
            </w:tcBorders>
            <w:shd w:val="clear" w:color="auto" w:fill="E5FFFF"/>
          </w:tcPr>
          <w:p>
            <w:pPr>
              <w:spacing w:after="0"/>
              <w:rPr>
                <w:sz w:val="15"/>
                <w:szCs w:val="15"/>
                <w:color w:val="auto"/>
              </w:rPr>
            </w:pPr>
          </w:p>
        </w:tc>
        <w:tc>
          <w:tcPr>
            <w:tcW w:w="780" w:type="dxa"/>
            <w:vAlign w:val="bottom"/>
            <w:tcBorders>
              <w:top w:val="single" w:sz="8" w:color="auto"/>
            </w:tcBorders>
            <w:shd w:val="clear" w:color="auto" w:fill="E5FFFF"/>
          </w:tcPr>
          <w:p>
            <w:pPr>
              <w:spacing w:after="0"/>
              <w:rPr>
                <w:sz w:val="15"/>
                <w:szCs w:val="15"/>
                <w:color w:val="auto"/>
              </w:rPr>
            </w:pPr>
          </w:p>
        </w:tc>
        <w:tc>
          <w:tcPr>
            <w:tcW w:w="160" w:type="dxa"/>
            <w:vAlign w:val="bottom"/>
            <w:tcBorders>
              <w:top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5FFFF"/>
          </w:tcPr>
          <w:p>
            <w:pPr>
              <w:ind w:left="160"/>
              <w:spacing w:after="0" w:line="203" w:lineRule="exact"/>
              <w:rPr>
                <w:sz w:val="20"/>
                <w:szCs w:val="20"/>
                <w:color w:val="auto"/>
              </w:rPr>
            </w:pPr>
            <w:r>
              <w:rPr>
                <w:rFonts w:ascii="Arial" w:cs="Arial" w:eastAsia="Arial" w:hAnsi="Arial"/>
                <w:sz w:val="18"/>
                <w:szCs w:val="18"/>
                <w:color w:val="auto"/>
              </w:rPr>
              <w:t>obligations as of December 31:</w:t>
            </w:r>
          </w:p>
        </w:tc>
        <w:tc>
          <w:tcPr>
            <w:tcW w:w="8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340"/>
              <w:spacing w:after="0" w:line="202" w:lineRule="exact"/>
              <w:rPr>
                <w:sz w:val="20"/>
                <w:szCs w:val="20"/>
                <w:color w:val="auto"/>
              </w:rPr>
            </w:pPr>
            <w:r>
              <w:rPr>
                <w:rFonts w:ascii="Arial" w:cs="Arial" w:eastAsia="Arial" w:hAnsi="Arial"/>
                <w:sz w:val="18"/>
                <w:szCs w:val="18"/>
                <w:color w:val="auto"/>
              </w:rPr>
              <w:t>Discount rate</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4.20%</w:t>
            </w:r>
          </w:p>
        </w:tc>
        <w:tc>
          <w:tcPr>
            <w:tcW w:w="13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4.46%</w:t>
            </w: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4.08%</w:t>
            </w: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2.51%</w:t>
            </w:r>
          </w:p>
        </w:tc>
        <w:tc>
          <w:tcPr>
            <w:tcW w:w="13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3.49%</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Expected annual rate of compensation increase</w:t>
            </w:r>
          </w:p>
        </w:tc>
        <w:tc>
          <w:tcPr>
            <w:tcW w:w="96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4.50%</w:t>
            </w:r>
          </w:p>
        </w:tc>
        <w:tc>
          <w:tcPr>
            <w:tcW w:w="1380" w:type="dxa"/>
            <w:vAlign w:val="bottom"/>
            <w:gridSpan w:val="3"/>
            <w:shd w:val="clear" w:color="auto" w:fill="E5FFFF"/>
          </w:tcPr>
          <w:p>
            <w:pPr>
              <w:jc w:val="right"/>
              <w:ind w:right="220"/>
              <w:spacing w:after="0" w:line="202" w:lineRule="exact"/>
              <w:rPr>
                <w:sz w:val="20"/>
                <w:szCs w:val="20"/>
                <w:color w:val="auto"/>
              </w:rPr>
            </w:pPr>
            <w:r>
              <w:rPr>
                <w:rFonts w:ascii="Arial" w:cs="Arial" w:eastAsia="Arial" w:hAnsi="Arial"/>
                <w:sz w:val="18"/>
                <w:szCs w:val="18"/>
                <w:color w:val="auto"/>
              </w:rPr>
              <w:t>4.48%</w:t>
            </w:r>
          </w:p>
        </w:tc>
        <w:tc>
          <w:tcPr>
            <w:tcW w:w="1160" w:type="dxa"/>
            <w:vAlign w:val="bottom"/>
            <w:gridSpan w:val="2"/>
            <w:shd w:val="clear" w:color="auto" w:fill="E5FFFF"/>
          </w:tcPr>
          <w:p>
            <w:pPr>
              <w:jc w:val="right"/>
              <w:ind w:right="220"/>
              <w:spacing w:after="0" w:line="202" w:lineRule="exact"/>
              <w:rPr>
                <w:sz w:val="20"/>
                <w:szCs w:val="20"/>
                <w:color w:val="auto"/>
              </w:rPr>
            </w:pPr>
            <w:r>
              <w:rPr>
                <w:rFonts w:ascii="Arial" w:cs="Arial" w:eastAsia="Arial" w:hAnsi="Arial"/>
                <w:sz w:val="18"/>
                <w:szCs w:val="18"/>
                <w:color w:val="auto"/>
              </w:rPr>
              <w:t>4.50%</w:t>
            </w:r>
          </w:p>
        </w:tc>
        <w:tc>
          <w:tcPr>
            <w:tcW w:w="1020" w:type="dxa"/>
            <w:vAlign w:val="bottom"/>
            <w:gridSpan w:val="2"/>
            <w:shd w:val="clear" w:color="auto" w:fill="E5FFFF"/>
          </w:tcPr>
          <w:p>
            <w:pPr>
              <w:jc w:val="right"/>
              <w:ind w:right="80"/>
              <w:spacing w:after="0" w:line="202" w:lineRule="exact"/>
              <w:rPr>
                <w:sz w:val="20"/>
                <w:szCs w:val="20"/>
                <w:color w:val="auto"/>
              </w:rPr>
            </w:pPr>
            <w:r>
              <w:rPr>
                <w:rFonts w:ascii="Arial" w:cs="Arial" w:eastAsia="Arial" w:hAnsi="Arial"/>
                <w:sz w:val="18"/>
                <w:szCs w:val="18"/>
                <w:color w:val="auto"/>
              </w:rPr>
              <w:t>2.17%</w:t>
            </w:r>
          </w:p>
        </w:tc>
        <w:tc>
          <w:tcPr>
            <w:tcW w:w="1300" w:type="dxa"/>
            <w:vAlign w:val="bottom"/>
            <w:gridSpan w:val="3"/>
            <w:shd w:val="clear" w:color="auto" w:fill="E5FFFF"/>
          </w:tcPr>
          <w:p>
            <w:pPr>
              <w:jc w:val="right"/>
              <w:ind w:right="220"/>
              <w:spacing w:after="0" w:line="202" w:lineRule="exact"/>
              <w:rPr>
                <w:sz w:val="20"/>
                <w:szCs w:val="20"/>
                <w:color w:val="auto"/>
              </w:rPr>
            </w:pPr>
            <w:r>
              <w:rPr>
                <w:rFonts w:ascii="Arial" w:cs="Arial" w:eastAsia="Arial" w:hAnsi="Arial"/>
                <w:sz w:val="18"/>
                <w:szCs w:val="18"/>
                <w:color w:val="auto"/>
              </w:rPr>
              <w:t>2.11%</w:t>
            </w:r>
          </w:p>
        </w:tc>
        <w:tc>
          <w:tcPr>
            <w:tcW w:w="94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Actuarial assumptions used to determine net periodic</w:t>
            </w:r>
          </w:p>
        </w:tc>
        <w:tc>
          <w:tcPr>
            <w:tcW w:w="8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5FFFF"/>
          </w:tcPr>
          <w:p>
            <w:pPr>
              <w:ind w:left="160"/>
              <w:spacing w:after="0" w:line="203" w:lineRule="exact"/>
              <w:rPr>
                <w:sz w:val="20"/>
                <w:szCs w:val="20"/>
                <w:color w:val="auto"/>
              </w:rPr>
            </w:pPr>
            <w:r>
              <w:rPr>
                <w:rFonts w:ascii="Arial" w:cs="Arial" w:eastAsia="Arial" w:hAnsi="Arial"/>
                <w:sz w:val="18"/>
                <w:szCs w:val="18"/>
                <w:color w:val="auto"/>
              </w:rPr>
              <w:t>benefit (income) cost for years ended December 31:</w:t>
            </w:r>
          </w:p>
        </w:tc>
        <w:tc>
          <w:tcPr>
            <w:tcW w:w="8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340"/>
              <w:spacing w:after="0" w:line="202" w:lineRule="exact"/>
              <w:rPr>
                <w:sz w:val="20"/>
                <w:szCs w:val="20"/>
                <w:color w:val="auto"/>
              </w:rPr>
            </w:pPr>
            <w:r>
              <w:rPr>
                <w:rFonts w:ascii="Arial" w:cs="Arial" w:eastAsia="Arial" w:hAnsi="Arial"/>
                <w:sz w:val="18"/>
                <w:szCs w:val="18"/>
                <w:color w:val="auto"/>
              </w:rPr>
              <w:t>Discount rate - benefit obligation</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4.46%</w:t>
            </w:r>
          </w:p>
        </w:tc>
        <w:tc>
          <w:tcPr>
            <w:tcW w:w="13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4.08%</w:t>
            </w: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4.89%</w:t>
            </w: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3.49%</w:t>
            </w:r>
          </w:p>
        </w:tc>
        <w:tc>
          <w:tcPr>
            <w:tcW w:w="13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3.26%</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Discount rate - service cost</w:t>
            </w:r>
          </w:p>
        </w:tc>
        <w:tc>
          <w:tcPr>
            <w:tcW w:w="96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4.69%</w:t>
            </w:r>
          </w:p>
        </w:tc>
        <w:tc>
          <w:tcPr>
            <w:tcW w:w="200" w:type="dxa"/>
            <w:vAlign w:val="bottom"/>
            <w:shd w:val="clear" w:color="auto" w:fill="E5FFFF"/>
          </w:tcPr>
          <w:p>
            <w:pPr>
              <w:spacing w:after="0"/>
              <w:rPr>
                <w:sz w:val="17"/>
                <w:szCs w:val="17"/>
                <w:color w:val="auto"/>
              </w:rPr>
            </w:pPr>
          </w:p>
        </w:tc>
        <w:tc>
          <w:tcPr>
            <w:tcW w:w="1180" w:type="dxa"/>
            <w:vAlign w:val="bottom"/>
            <w:gridSpan w:val="2"/>
            <w:shd w:val="clear" w:color="auto" w:fill="E5FFFF"/>
          </w:tcPr>
          <w:p>
            <w:pPr>
              <w:jc w:val="right"/>
              <w:ind w:right="380"/>
              <w:spacing w:after="0" w:line="202" w:lineRule="exact"/>
              <w:rPr>
                <w:sz w:val="20"/>
                <w:szCs w:val="20"/>
                <w:color w:val="auto"/>
              </w:rPr>
            </w:pPr>
            <w:r>
              <w:rPr>
                <w:rFonts w:ascii="Arial" w:cs="Arial" w:eastAsia="Arial" w:hAnsi="Arial"/>
                <w:sz w:val="18"/>
                <w:szCs w:val="18"/>
                <w:color w:val="auto"/>
              </w:rPr>
              <w:t>N/A</w:t>
            </w:r>
          </w:p>
        </w:tc>
        <w:tc>
          <w:tcPr>
            <w:tcW w:w="1160" w:type="dxa"/>
            <w:vAlign w:val="bottom"/>
            <w:gridSpan w:val="2"/>
            <w:shd w:val="clear" w:color="auto" w:fill="E5FFFF"/>
          </w:tcPr>
          <w:p>
            <w:pPr>
              <w:jc w:val="right"/>
              <w:ind w:right="380"/>
              <w:spacing w:after="0" w:line="202" w:lineRule="exact"/>
              <w:rPr>
                <w:sz w:val="20"/>
                <w:szCs w:val="20"/>
                <w:color w:val="auto"/>
              </w:rPr>
            </w:pPr>
            <w:r>
              <w:rPr>
                <w:rFonts w:ascii="Arial" w:cs="Arial" w:eastAsia="Arial" w:hAnsi="Arial"/>
                <w:sz w:val="18"/>
                <w:szCs w:val="18"/>
                <w:color w:val="auto"/>
              </w:rPr>
              <w:t>N/A</w:t>
            </w:r>
          </w:p>
        </w:tc>
        <w:tc>
          <w:tcPr>
            <w:tcW w:w="1020" w:type="dxa"/>
            <w:vAlign w:val="bottom"/>
            <w:gridSpan w:val="2"/>
            <w:shd w:val="clear" w:color="auto" w:fill="E5FFFF"/>
          </w:tcPr>
          <w:p>
            <w:pPr>
              <w:jc w:val="right"/>
              <w:ind w:right="80"/>
              <w:spacing w:after="0" w:line="202" w:lineRule="exact"/>
              <w:rPr>
                <w:sz w:val="20"/>
                <w:szCs w:val="20"/>
                <w:color w:val="auto"/>
              </w:rPr>
            </w:pPr>
            <w:r>
              <w:rPr>
                <w:rFonts w:ascii="Arial" w:cs="Arial" w:eastAsia="Arial" w:hAnsi="Arial"/>
                <w:sz w:val="18"/>
                <w:szCs w:val="18"/>
                <w:color w:val="auto"/>
              </w:rPr>
              <w:t>2.92%</w:t>
            </w:r>
          </w:p>
        </w:tc>
        <w:tc>
          <w:tcPr>
            <w:tcW w:w="140" w:type="dxa"/>
            <w:vAlign w:val="bottom"/>
            <w:shd w:val="clear" w:color="auto" w:fill="E5FFFF"/>
          </w:tcPr>
          <w:p>
            <w:pPr>
              <w:spacing w:after="0"/>
              <w:rPr>
                <w:sz w:val="17"/>
                <w:szCs w:val="17"/>
                <w:color w:val="auto"/>
              </w:rPr>
            </w:pPr>
          </w:p>
        </w:tc>
        <w:tc>
          <w:tcPr>
            <w:tcW w:w="1160" w:type="dxa"/>
            <w:vAlign w:val="bottom"/>
            <w:gridSpan w:val="2"/>
            <w:shd w:val="clear" w:color="auto" w:fill="E5FFFF"/>
          </w:tcPr>
          <w:p>
            <w:pPr>
              <w:jc w:val="right"/>
              <w:ind w:right="380"/>
              <w:spacing w:after="0" w:line="202" w:lineRule="exact"/>
              <w:rPr>
                <w:sz w:val="20"/>
                <w:szCs w:val="20"/>
                <w:color w:val="auto"/>
              </w:rPr>
            </w:pPr>
            <w:r>
              <w:rPr>
                <w:rFonts w:ascii="Arial" w:cs="Arial" w:eastAsia="Arial" w:hAnsi="Arial"/>
                <w:sz w:val="18"/>
                <w:szCs w:val="18"/>
                <w:color w:val="auto"/>
              </w:rPr>
              <w:t>N/A</w:t>
            </w:r>
          </w:p>
        </w:tc>
        <w:tc>
          <w:tcPr>
            <w:tcW w:w="94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340"/>
              <w:spacing w:after="0" w:line="202" w:lineRule="exact"/>
              <w:rPr>
                <w:sz w:val="20"/>
                <w:szCs w:val="20"/>
                <w:color w:val="auto"/>
              </w:rPr>
            </w:pPr>
            <w:r>
              <w:rPr>
                <w:rFonts w:ascii="Arial" w:cs="Arial" w:eastAsia="Arial" w:hAnsi="Arial"/>
                <w:sz w:val="18"/>
                <w:szCs w:val="18"/>
                <w:color w:val="auto"/>
              </w:rPr>
              <w:t>Discount rate - interest cost</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3.59%</w:t>
            </w:r>
          </w:p>
        </w:tc>
        <w:tc>
          <w:tcPr>
            <w:tcW w:w="200" w:type="dxa"/>
            <w:vAlign w:val="bottom"/>
          </w:tcPr>
          <w:p>
            <w:pPr>
              <w:spacing w:after="0"/>
              <w:rPr>
                <w:sz w:val="17"/>
                <w:szCs w:val="17"/>
                <w:color w:val="auto"/>
              </w:rPr>
            </w:pPr>
          </w:p>
        </w:tc>
        <w:tc>
          <w:tcPr>
            <w:tcW w:w="11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N/A</w:t>
            </w:r>
          </w:p>
        </w:tc>
        <w:tc>
          <w:tcPr>
            <w:tcW w:w="11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N/A</w:t>
            </w: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3.07%</w:t>
            </w:r>
          </w:p>
        </w:tc>
        <w:tc>
          <w:tcPr>
            <w:tcW w:w="140" w:type="dxa"/>
            <w:vAlign w:val="bottom"/>
          </w:tcPr>
          <w:p>
            <w:pPr>
              <w:spacing w:after="0"/>
              <w:rPr>
                <w:sz w:val="17"/>
                <w:szCs w:val="17"/>
                <w:color w:val="auto"/>
              </w:rPr>
            </w:pPr>
          </w:p>
        </w:tc>
        <w:tc>
          <w:tcPr>
            <w:tcW w:w="11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Expected rate of return on plan assets</w:t>
            </w:r>
          </w:p>
        </w:tc>
        <w:tc>
          <w:tcPr>
            <w:tcW w:w="96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7.75%</w:t>
            </w:r>
          </w:p>
        </w:tc>
        <w:tc>
          <w:tcPr>
            <w:tcW w:w="1380" w:type="dxa"/>
            <w:vAlign w:val="bottom"/>
            <w:gridSpan w:val="3"/>
            <w:shd w:val="clear" w:color="auto" w:fill="E5FFFF"/>
          </w:tcPr>
          <w:p>
            <w:pPr>
              <w:jc w:val="right"/>
              <w:ind w:right="220"/>
              <w:spacing w:after="0" w:line="202" w:lineRule="exact"/>
              <w:rPr>
                <w:sz w:val="20"/>
                <w:szCs w:val="20"/>
                <w:color w:val="auto"/>
              </w:rPr>
            </w:pPr>
            <w:r>
              <w:rPr>
                <w:rFonts w:ascii="Arial" w:cs="Arial" w:eastAsia="Arial" w:hAnsi="Arial"/>
                <w:sz w:val="18"/>
                <w:szCs w:val="18"/>
                <w:color w:val="auto"/>
              </w:rPr>
              <w:t>7.75%</w:t>
            </w:r>
          </w:p>
        </w:tc>
        <w:tc>
          <w:tcPr>
            <w:tcW w:w="1160" w:type="dxa"/>
            <w:vAlign w:val="bottom"/>
            <w:gridSpan w:val="2"/>
            <w:shd w:val="clear" w:color="auto" w:fill="E5FFFF"/>
          </w:tcPr>
          <w:p>
            <w:pPr>
              <w:jc w:val="right"/>
              <w:ind w:right="220"/>
              <w:spacing w:after="0" w:line="202" w:lineRule="exact"/>
              <w:rPr>
                <w:sz w:val="20"/>
                <w:szCs w:val="20"/>
                <w:color w:val="auto"/>
              </w:rPr>
            </w:pPr>
            <w:r>
              <w:rPr>
                <w:rFonts w:ascii="Arial" w:cs="Arial" w:eastAsia="Arial" w:hAnsi="Arial"/>
                <w:sz w:val="18"/>
                <w:szCs w:val="18"/>
                <w:color w:val="auto"/>
              </w:rPr>
              <w:t>7.75%</w:t>
            </w:r>
          </w:p>
        </w:tc>
        <w:tc>
          <w:tcPr>
            <w:tcW w:w="1020" w:type="dxa"/>
            <w:vAlign w:val="bottom"/>
            <w:gridSpan w:val="2"/>
            <w:shd w:val="clear" w:color="auto" w:fill="E5FFFF"/>
          </w:tcPr>
          <w:p>
            <w:pPr>
              <w:jc w:val="right"/>
              <w:ind w:right="80"/>
              <w:spacing w:after="0" w:line="202" w:lineRule="exact"/>
              <w:rPr>
                <w:sz w:val="20"/>
                <w:szCs w:val="20"/>
                <w:color w:val="auto"/>
              </w:rPr>
            </w:pPr>
            <w:r>
              <w:rPr>
                <w:rFonts w:ascii="Arial" w:cs="Arial" w:eastAsia="Arial" w:hAnsi="Arial"/>
                <w:sz w:val="18"/>
                <w:szCs w:val="18"/>
                <w:color w:val="auto"/>
              </w:rPr>
              <w:t>6.65%</w:t>
            </w:r>
          </w:p>
        </w:tc>
        <w:tc>
          <w:tcPr>
            <w:tcW w:w="1300" w:type="dxa"/>
            <w:vAlign w:val="bottom"/>
            <w:gridSpan w:val="3"/>
            <w:shd w:val="clear" w:color="auto" w:fill="E5FFFF"/>
          </w:tcPr>
          <w:p>
            <w:pPr>
              <w:jc w:val="right"/>
              <w:ind w:right="220"/>
              <w:spacing w:after="0" w:line="202" w:lineRule="exact"/>
              <w:rPr>
                <w:sz w:val="20"/>
                <w:szCs w:val="20"/>
                <w:color w:val="auto"/>
              </w:rPr>
            </w:pPr>
            <w:r>
              <w:rPr>
                <w:rFonts w:ascii="Arial" w:cs="Arial" w:eastAsia="Arial" w:hAnsi="Arial"/>
                <w:sz w:val="18"/>
                <w:szCs w:val="18"/>
                <w:color w:val="auto"/>
              </w:rPr>
              <w:t>6.94%</w:t>
            </w:r>
          </w:p>
        </w:tc>
        <w:tc>
          <w:tcPr>
            <w:tcW w:w="94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Expected annual rate of compensation increase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4.48%</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4.50%</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4.50%</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2.11%</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2.53%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79"/>
              </w:rPr>
              <w:t>73</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40" w:type="dxa"/>
            <w:vAlign w:val="bottom"/>
            <w:tcBorders>
              <w:bottom w:val="single" w:sz="8" w:color="C0C0C0"/>
            </w:tcBorders>
          </w:tcPr>
          <w:p>
            <w:pPr>
              <w:spacing w:after="0"/>
              <w:rPr>
                <w:sz w:val="21"/>
                <w:szCs w:val="21"/>
                <w:color w:val="auto"/>
              </w:rPr>
            </w:pPr>
          </w:p>
        </w:tc>
        <w:tc>
          <w:tcPr>
            <w:tcW w:w="80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200" w:type="dxa"/>
            <w:vAlign w:val="bottom"/>
            <w:tcBorders>
              <w:bottom w:val="single" w:sz="8" w:color="C0C0C0"/>
            </w:tcBorders>
          </w:tcPr>
          <w:p>
            <w:pPr>
              <w:spacing w:after="0"/>
              <w:rPr>
                <w:sz w:val="21"/>
                <w:szCs w:val="21"/>
                <w:color w:val="auto"/>
              </w:rPr>
            </w:pPr>
          </w:p>
        </w:tc>
        <w:tc>
          <w:tcPr>
            <w:tcW w:w="800" w:type="dxa"/>
            <w:vAlign w:val="bottom"/>
            <w:tcBorders>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780" w:type="dxa"/>
            <w:vAlign w:val="bottom"/>
            <w:tcBorders>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78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780" w:type="dxa"/>
            <w:vAlign w:val="bottom"/>
            <w:tcBorders>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78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76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2016</w:t>
            </w:r>
          </w:p>
        </w:tc>
        <w:tc>
          <w:tcPr>
            <w:tcW w:w="90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Actuarial assumptions used to determine benefit obligations as of December 31:</w:t>
            </w:r>
          </w:p>
        </w:tc>
        <w:tc>
          <w:tcPr>
            <w:tcW w:w="80" w:type="dxa"/>
            <w:vAlign w:val="bottom"/>
            <w:shd w:val="clear" w:color="auto" w:fill="E5FFFF"/>
          </w:tcPr>
          <w:p>
            <w:pPr>
              <w:spacing w:after="0"/>
              <w:rPr>
                <w:sz w:val="17"/>
                <w:szCs w:val="17"/>
                <w:color w:val="auto"/>
              </w:rPr>
            </w:pPr>
          </w:p>
        </w:tc>
        <w:tc>
          <w:tcPr>
            <w:tcW w:w="320" w:type="dxa"/>
            <w:vAlign w:val="bottom"/>
            <w:tcBorders>
              <w:top w:val="single" w:sz="8" w:color="auto"/>
            </w:tcBorders>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320" w:type="dxa"/>
            <w:vAlign w:val="bottom"/>
            <w:tcBorders>
              <w:top w:val="single" w:sz="8" w:color="auto"/>
            </w:tcBorders>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320" w:type="dxa"/>
            <w:vAlign w:val="bottom"/>
            <w:tcBorders>
              <w:top w:val="single" w:sz="8" w:color="auto"/>
            </w:tcBorders>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tcPr>
          <w:p>
            <w:pPr>
              <w:ind w:left="160"/>
              <w:spacing w:after="0"/>
              <w:rPr>
                <w:sz w:val="20"/>
                <w:szCs w:val="20"/>
                <w:color w:val="auto"/>
              </w:rPr>
            </w:pPr>
            <w:r>
              <w:rPr>
                <w:rFonts w:ascii="Arial" w:cs="Arial" w:eastAsia="Arial" w:hAnsi="Arial"/>
                <w:sz w:val="18"/>
                <w:szCs w:val="18"/>
                <w:color w:val="auto"/>
              </w:rPr>
              <w:t>Discount rate</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3.65%</w:t>
            </w: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3.80%</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9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0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Actuarial assumptions used to determine net periodic benefit cost for years ended December 31:</w:t>
            </w:r>
          </w:p>
        </w:tc>
        <w:tc>
          <w:tcPr>
            <w:tcW w:w="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tcPr>
          <w:p>
            <w:pPr>
              <w:ind w:left="160"/>
              <w:spacing w:after="0"/>
              <w:rPr>
                <w:sz w:val="20"/>
                <w:szCs w:val="20"/>
                <w:color w:val="auto"/>
              </w:rPr>
            </w:pPr>
            <w:r>
              <w:rPr>
                <w:rFonts w:ascii="Arial" w:cs="Arial" w:eastAsia="Arial" w:hAnsi="Arial"/>
                <w:sz w:val="18"/>
                <w:szCs w:val="18"/>
                <w:color w:val="auto"/>
              </w:rPr>
              <w:t>Discount rate</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3.80%</w:t>
            </w: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3.45%</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discount rate for our U.S. pension and other postretirement benefits plans reflects the current rate at which the associated liabilities could be settled at the measurement date of December 31. To determine discount rates for our U.S. pension and other postretirement benefit plans, we use a modeling process that involves matching the expected cash outflows of our benefit plans to a yield curve constructed from a portfolio of high quality, fixed-income debt instruments. We use the single weighted-average yield of this hypothetical portfolio as a discount rate benchmark. The discount rate used to determine the other postretirement benefit obligation is lower principally due to a shorter expected duration of other postretirement plan obligations as compared to pension plan obligations.</w:t>
      </w:r>
    </w:p>
    <w:p>
      <w:pPr>
        <w:spacing w:after="0" w:line="19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During the fourth quarter of 2015 we changed the methodology used to estimate the service and interest cost components of net periodic benefit (income) cost for our significant pension plans. Previously, we estimated such cost components utilizing a single weighted-average discount rate derived from the yield curve used to measure the pension benefit obligation. The new methodology utilizes a full yield curve approach in the estimation of these cost components by applying the specific spot rates along the yield curve used in the determination of the pension benefit obligation to their underlying projected cash flows and provides a more precise measurement of service and interest costs by improving the correlation between projected cash flows and their corresponding spot rates. The change did not affect the measurement of our pension obligation and was applied prospectively as a change in estimate. For our U.S. pension plans, the single weighted average spot rates used to determine service and interest costs for 2017 are 4.42% and 3.49%.</w:t>
      </w:r>
    </w:p>
    <w:p>
      <w:pPr>
        <w:spacing w:after="0" w:line="19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expected rate of return on U.S. plan assets of 7.75% is a long-term rate based on historical plan asset returns over varying long-term periods combined with current market conditions and broad asset mix considerations. We review the expected rate of return on an annual basis and revise it as appropriate.</w:t>
      </w:r>
    </w:p>
    <w:p>
      <w:pPr>
        <w:spacing w:after="0" w:line="189" w:lineRule="exact"/>
        <w:rPr>
          <w:sz w:val="20"/>
          <w:szCs w:val="20"/>
          <w:color w:val="auto"/>
        </w:rPr>
      </w:pPr>
    </w:p>
    <w:p>
      <w:pPr>
        <w:ind w:right="1960" w:firstLine="648"/>
        <w:spacing w:after="0" w:line="469" w:lineRule="auto"/>
        <w:rPr>
          <w:sz w:val="20"/>
          <w:szCs w:val="20"/>
          <w:color w:val="auto"/>
        </w:rPr>
      </w:pPr>
      <w:r>
        <w:rPr>
          <w:rFonts w:ascii="Arial" w:cs="Arial" w:eastAsia="Arial" w:hAnsi="Arial"/>
          <w:sz w:val="18"/>
          <w:szCs w:val="18"/>
          <w:color w:val="auto"/>
        </w:rPr>
        <w:t xml:space="preserve">For non-U.S. benefit plans actuarial assumptions reflect economic and market factors relevant to each country. </w:t>
      </w:r>
      <w:r>
        <w:rPr>
          <w:rFonts w:ascii="Arial" w:cs="Arial" w:eastAsia="Arial" w:hAnsi="Arial"/>
          <w:sz w:val="18"/>
          <w:szCs w:val="18"/>
          <w:b w:val="1"/>
          <w:bCs w:val="1"/>
          <w:color w:val="auto"/>
        </w:rPr>
        <w:t>Pension Benefits</w:t>
      </w:r>
    </w:p>
    <w:p>
      <w:pPr>
        <w:spacing w:after="0" w:line="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Included in the aggregate data in the tables above are the amounts applicable to our pension plans with accumulated benefit obligations exceeding the fair value of plan assets. Amounts related to such plans were as follows:</w:t>
      </w:r>
    </w:p>
    <w:p>
      <w:pPr>
        <w:spacing w:after="0" w:line="185" w:lineRule="exact"/>
        <w:rPr>
          <w:sz w:val="20"/>
          <w:szCs w:val="20"/>
          <w:color w:val="auto"/>
        </w:rPr>
      </w:pPr>
    </w:p>
    <w:tbl>
      <w:tblPr>
        <w:tblLayout w:type="fixed"/>
        <w:tblInd w:w="8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spacing w:after="0" w:line="155" w:lineRule="exact"/>
              <w:rPr>
                <w:sz w:val="20"/>
                <w:szCs w:val="20"/>
                <w:color w:val="auto"/>
              </w:rPr>
            </w:pPr>
            <w:r>
              <w:rPr>
                <w:rFonts w:ascii="Arial" w:cs="Arial" w:eastAsia="Arial" w:hAnsi="Arial"/>
                <w:sz w:val="14"/>
                <w:szCs w:val="14"/>
                <w:b w:val="1"/>
                <w:bCs w:val="1"/>
                <w:color w:val="auto"/>
              </w:rPr>
              <w:t>U.S. Plans</w:t>
            </w:r>
          </w:p>
        </w:tc>
        <w:tc>
          <w:tcPr>
            <w:tcW w:w="3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5"/>
          </w:tcPr>
          <w:p>
            <w:pPr>
              <w:jc w:val="right"/>
              <w:ind w:right="260"/>
              <w:spacing w:after="0" w:line="155" w:lineRule="exact"/>
              <w:rPr>
                <w:sz w:val="20"/>
                <w:szCs w:val="20"/>
                <w:color w:val="auto"/>
              </w:rPr>
            </w:pPr>
            <w:r>
              <w:rPr>
                <w:rFonts w:ascii="Arial" w:cs="Arial" w:eastAsia="Arial" w:hAnsi="Arial"/>
                <w:sz w:val="14"/>
                <w:szCs w:val="14"/>
                <w:b w:val="1"/>
                <w:bCs w:val="1"/>
                <w:color w:val="auto"/>
              </w:rPr>
              <w:t>Non-U.S. Plans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40" w:type="dxa"/>
            <w:vAlign w:val="bottom"/>
            <w:gridSpan w:val="3"/>
          </w:tcPr>
          <w:p>
            <w:pPr>
              <w:jc w:val="center"/>
              <w:ind w:right="128"/>
              <w:spacing w:after="0" w:line="142" w:lineRule="exact"/>
              <w:rPr>
                <w:sz w:val="20"/>
                <w:szCs w:val="20"/>
                <w:color w:val="auto"/>
              </w:rPr>
            </w:pPr>
            <w:r>
              <w:rPr>
                <w:rFonts w:ascii="Arial" w:cs="Arial" w:eastAsia="Arial" w:hAnsi="Arial"/>
                <w:sz w:val="14"/>
                <w:szCs w:val="14"/>
                <w:b w:val="1"/>
                <w:bCs w:val="1"/>
                <w:color w:val="auto"/>
              </w:rPr>
              <w:t>2016</w:t>
            </w:r>
          </w:p>
        </w:tc>
        <w:tc>
          <w:tcPr>
            <w:tcW w:w="860" w:type="dxa"/>
            <w:vAlign w:val="bottom"/>
            <w:gridSpan w:val="3"/>
          </w:tcPr>
          <w:p>
            <w:pPr>
              <w:jc w:val="center"/>
              <w:ind w:left="94"/>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2"/>
                <w:szCs w:val="12"/>
                <w:color w:val="auto"/>
              </w:rPr>
            </w:pPr>
          </w:p>
        </w:tc>
        <w:tc>
          <w:tcPr>
            <w:tcW w:w="76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Projected benefit obligation</w:t>
            </w:r>
          </w:p>
        </w:tc>
        <w:tc>
          <w:tcPr>
            <w:tcW w:w="2620" w:type="dxa"/>
            <w:vAlign w:val="bottom"/>
            <w:gridSpan w:val="4"/>
            <w:shd w:val="clear" w:color="auto" w:fill="E5FFFF"/>
          </w:tcPr>
          <w:p>
            <w:pPr>
              <w:jc w:val="center"/>
              <w:ind w:left="1490"/>
              <w:spacing w:after="0" w:line="202" w:lineRule="exact"/>
              <w:rPr>
                <w:sz w:val="20"/>
                <w:szCs w:val="20"/>
                <w:color w:val="auto"/>
              </w:rPr>
            </w:pPr>
            <w:r>
              <w:rPr>
                <w:rFonts w:ascii="Arial" w:cs="Arial" w:eastAsia="Arial" w:hAnsi="Arial"/>
                <w:sz w:val="18"/>
                <w:szCs w:val="18"/>
                <w:color w:val="auto"/>
              </w:rPr>
              <w:t>$17,414</w:t>
            </w:r>
          </w:p>
        </w:tc>
        <w:tc>
          <w:tcPr>
            <w:tcW w:w="860" w:type="dxa"/>
            <w:vAlign w:val="bottom"/>
            <w:gridSpan w:val="3"/>
            <w:shd w:val="clear" w:color="auto" w:fill="E5FFFF"/>
          </w:tcPr>
          <w:p>
            <w:pPr>
              <w:jc w:val="center"/>
              <w:ind w:left="94"/>
              <w:spacing w:after="0" w:line="202" w:lineRule="exact"/>
              <w:rPr>
                <w:sz w:val="20"/>
                <w:szCs w:val="20"/>
                <w:color w:val="auto"/>
              </w:rPr>
            </w:pPr>
            <w:r>
              <w:rPr>
                <w:rFonts w:ascii="Arial" w:cs="Arial" w:eastAsia="Arial" w:hAnsi="Arial"/>
                <w:sz w:val="18"/>
                <w:szCs w:val="18"/>
                <w:color w:val="auto"/>
              </w:rPr>
              <w:t>$17,298</w:t>
            </w:r>
          </w:p>
        </w:tc>
        <w:tc>
          <w:tcPr>
            <w:tcW w:w="1140" w:type="dxa"/>
            <w:vAlign w:val="bottom"/>
            <w:gridSpan w:val="4"/>
            <w:shd w:val="clear" w:color="auto" w:fill="E5FFFF"/>
          </w:tcPr>
          <w:p>
            <w:pPr>
              <w:jc w:val="center"/>
              <w:ind w:left="70"/>
              <w:spacing w:after="0" w:line="202" w:lineRule="exact"/>
              <w:rPr>
                <w:sz w:val="20"/>
                <w:szCs w:val="20"/>
                <w:color w:val="auto"/>
              </w:rPr>
            </w:pPr>
            <w:r>
              <w:rPr>
                <w:rFonts w:ascii="Arial" w:cs="Arial" w:eastAsia="Arial" w:hAnsi="Arial"/>
                <w:sz w:val="18"/>
                <w:szCs w:val="18"/>
                <w:color w:val="auto"/>
                <w:w w:val="96"/>
              </w:rPr>
              <w:t>$ 2,294</w:t>
            </w:r>
          </w:p>
        </w:tc>
        <w:tc>
          <w:tcPr>
            <w:tcW w:w="3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w w:val="93"/>
              </w:rPr>
              <w:t>1,624</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spacing w:after="0" w:line="202" w:lineRule="exact"/>
              <w:rPr>
                <w:sz w:val="20"/>
                <w:szCs w:val="20"/>
                <w:color w:val="auto"/>
              </w:rPr>
            </w:pPr>
            <w:r>
              <w:rPr>
                <w:rFonts w:ascii="Arial" w:cs="Arial" w:eastAsia="Arial" w:hAnsi="Arial"/>
                <w:sz w:val="18"/>
                <w:szCs w:val="18"/>
                <w:color w:val="auto"/>
              </w:rPr>
              <w:t>Accumulated benefit obligation</w:t>
            </w:r>
          </w:p>
        </w:tc>
        <w:tc>
          <w:tcPr>
            <w:tcW w:w="2620" w:type="dxa"/>
            <w:vAlign w:val="bottom"/>
            <w:gridSpan w:val="4"/>
          </w:tcPr>
          <w:p>
            <w:pPr>
              <w:jc w:val="center"/>
              <w:ind w:left="1490"/>
              <w:spacing w:after="0" w:line="202" w:lineRule="exact"/>
              <w:rPr>
                <w:sz w:val="20"/>
                <w:szCs w:val="20"/>
                <w:color w:val="auto"/>
              </w:rPr>
            </w:pPr>
            <w:r>
              <w:rPr>
                <w:rFonts w:ascii="Arial" w:cs="Arial" w:eastAsia="Arial" w:hAnsi="Arial"/>
                <w:sz w:val="18"/>
                <w:szCs w:val="18"/>
                <w:color w:val="auto"/>
              </w:rPr>
              <w:t>$17,263</w:t>
            </w:r>
          </w:p>
        </w:tc>
        <w:tc>
          <w:tcPr>
            <w:tcW w:w="860" w:type="dxa"/>
            <w:vAlign w:val="bottom"/>
            <w:gridSpan w:val="3"/>
          </w:tcPr>
          <w:p>
            <w:pPr>
              <w:jc w:val="center"/>
              <w:ind w:left="94"/>
              <w:spacing w:after="0" w:line="202" w:lineRule="exact"/>
              <w:rPr>
                <w:sz w:val="20"/>
                <w:szCs w:val="20"/>
                <w:color w:val="auto"/>
              </w:rPr>
            </w:pPr>
            <w:r>
              <w:rPr>
                <w:rFonts w:ascii="Arial" w:cs="Arial" w:eastAsia="Arial" w:hAnsi="Arial"/>
                <w:sz w:val="18"/>
                <w:szCs w:val="18"/>
                <w:color w:val="auto"/>
              </w:rPr>
              <w:t>$16,899</w:t>
            </w:r>
          </w:p>
        </w:tc>
        <w:tc>
          <w:tcPr>
            <w:tcW w:w="1140" w:type="dxa"/>
            <w:vAlign w:val="bottom"/>
            <w:gridSpan w:val="4"/>
          </w:tcPr>
          <w:p>
            <w:pPr>
              <w:jc w:val="center"/>
              <w:ind w:left="70"/>
              <w:spacing w:after="0" w:line="202" w:lineRule="exact"/>
              <w:rPr>
                <w:sz w:val="20"/>
                <w:szCs w:val="20"/>
                <w:color w:val="auto"/>
              </w:rPr>
            </w:pPr>
            <w:r>
              <w:rPr>
                <w:rFonts w:ascii="Arial" w:cs="Arial" w:eastAsia="Arial" w:hAnsi="Arial"/>
                <w:sz w:val="18"/>
                <w:szCs w:val="18"/>
                <w:color w:val="auto"/>
                <w:w w:val="96"/>
              </w:rPr>
              <w:t>$ 2,220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3"/>
              </w:rPr>
              <w:t>1,574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Fair value of plan assets</w:t>
            </w:r>
          </w:p>
        </w:tc>
        <w:tc>
          <w:tcPr>
            <w:tcW w:w="2620" w:type="dxa"/>
            <w:vAlign w:val="bottom"/>
            <w:gridSpan w:val="4"/>
            <w:shd w:val="clear" w:color="auto" w:fill="E5FFFF"/>
          </w:tcPr>
          <w:p>
            <w:pPr>
              <w:jc w:val="center"/>
              <w:ind w:left="1490"/>
              <w:spacing w:after="0" w:line="202" w:lineRule="exact"/>
              <w:rPr>
                <w:sz w:val="20"/>
                <w:szCs w:val="20"/>
                <w:color w:val="auto"/>
              </w:rPr>
            </w:pPr>
            <w:r>
              <w:rPr>
                <w:rFonts w:ascii="Arial" w:cs="Arial" w:eastAsia="Arial" w:hAnsi="Arial"/>
                <w:sz w:val="18"/>
                <w:szCs w:val="18"/>
                <w:color w:val="auto"/>
              </w:rPr>
              <w:t>$16,814</w:t>
            </w:r>
          </w:p>
        </w:tc>
        <w:tc>
          <w:tcPr>
            <w:tcW w:w="860" w:type="dxa"/>
            <w:vAlign w:val="bottom"/>
            <w:gridSpan w:val="3"/>
            <w:shd w:val="clear" w:color="auto" w:fill="E5FFFF"/>
          </w:tcPr>
          <w:p>
            <w:pPr>
              <w:jc w:val="center"/>
              <w:ind w:left="94"/>
              <w:spacing w:after="0" w:line="202" w:lineRule="exact"/>
              <w:rPr>
                <w:sz w:val="20"/>
                <w:szCs w:val="20"/>
                <w:color w:val="auto"/>
              </w:rPr>
            </w:pPr>
            <w:r>
              <w:rPr>
                <w:rFonts w:ascii="Arial" w:cs="Arial" w:eastAsia="Arial" w:hAnsi="Arial"/>
                <w:sz w:val="18"/>
                <w:szCs w:val="18"/>
                <w:color w:val="auto"/>
              </w:rPr>
              <w:t>$16,349</w:t>
            </w:r>
          </w:p>
        </w:tc>
        <w:tc>
          <w:tcPr>
            <w:tcW w:w="1140" w:type="dxa"/>
            <w:vAlign w:val="bottom"/>
            <w:gridSpan w:val="4"/>
            <w:shd w:val="clear" w:color="auto" w:fill="E5FFFF"/>
          </w:tcPr>
          <w:p>
            <w:pPr>
              <w:jc w:val="center"/>
              <w:ind w:left="70"/>
              <w:spacing w:after="0" w:line="202" w:lineRule="exact"/>
              <w:rPr>
                <w:sz w:val="20"/>
                <w:szCs w:val="20"/>
                <w:color w:val="auto"/>
              </w:rPr>
            </w:pPr>
            <w:r>
              <w:rPr>
                <w:rFonts w:ascii="Arial" w:cs="Arial" w:eastAsia="Arial" w:hAnsi="Arial"/>
                <w:sz w:val="18"/>
                <w:szCs w:val="18"/>
                <w:color w:val="auto"/>
                <w:w w:val="96"/>
              </w:rPr>
              <w:t>$ 1,552</w:t>
            </w:r>
          </w:p>
        </w:tc>
        <w:tc>
          <w:tcPr>
            <w:tcW w:w="3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976</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Accumulated benefit obligation for our U.S. defined benefit pension plans were $17.3 billion and $16.9 billion and for our Non-U.S.</w:t>
      </w:r>
    </w:p>
    <w:p>
      <w:pPr>
        <w:spacing w:after="0"/>
        <w:rPr>
          <w:sz w:val="20"/>
          <w:szCs w:val="20"/>
          <w:color w:val="auto"/>
        </w:rPr>
      </w:pPr>
      <w:r>
        <w:rPr>
          <w:rFonts w:ascii="Arial" w:cs="Arial" w:eastAsia="Arial" w:hAnsi="Arial"/>
          <w:sz w:val="18"/>
          <w:szCs w:val="18"/>
          <w:color w:val="auto"/>
        </w:rPr>
        <w:t>defined benefit pension plans were $6.4 billion and $6.2 billion at December 31, 2016 and 2015.</w:t>
      </w:r>
    </w:p>
    <w:p>
      <w:pPr>
        <w:spacing w:after="0" w:line="198"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Our asset investment strategy for our U.S. pension plans focuses on maintaining a diversified portfolio using various asset classes in order to achieve our long-term investment objectives on a risk adjusted basis. Our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actual invested positions in various securities change over time based on short and longer-term investment opportunities. To achieve our objectives, we have established long-term target allocations as follows: 60%-70% equity securities, 10%-20% fixed income securities and cash, 5%-15% real estate investments, and 10%-20% other types of investments. Equity securities include publicly-traded stock of companies located both inside and outside the United States. Fixed income securities include corporate bonds of companies from diversified industries, mortgage-backed securities, and U.S. Treasuries. Real estate investments include direct investments in commercial properties and investments in real estate funds. Other types of investments include investments in private equity and hedge funds that follow several different strategies. We review our assets on a regular basis to ensure that we are within the targeted asset allocation ranges and, if necessary, asset balances are adjusted back within target allocations.</w:t>
      </w:r>
    </w:p>
    <w:p>
      <w:pPr>
        <w:spacing w:after="0" w:line="19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non-U.S. pension assets are typically managed by decentralized fiduciary committees with the Honeywell Corporate Investments group providing funding and investment guidance. Our non-U.S. investment policies are different for each country as local regulations, funding requirements, and financial and tax considerations are part of the funding and investment allocation process in each country.</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accordance with ASU 2015-07, “Fair Value Measurement (Topic 820)”, certain investments that are measured at fair value using the net asset value (NAV) per share (or its equivalent) practical expedient have not been classified in the fair value hierarchy. The fair value amounts presented in the following tables are intended to permit reconciliation of the fair value hierarchy to the amounts presented for the total pension benefits plan assets.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values of both our U.S. and non-U.S. pension plans assets by asset category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U.S. Plans</w:t>
            </w: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December 31, 2016</w:t>
            </w: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60" w:type="dxa"/>
            <w:vAlign w:val="bottom"/>
            <w:tcBorders>
              <w:bottom w:val="single" w:sz="8" w:color="E5FFFF"/>
            </w:tcBorders>
          </w:tcPr>
          <w:p>
            <w:pPr>
              <w:spacing w:after="0"/>
              <w:rPr>
                <w:sz w:val="19"/>
                <w:szCs w:val="19"/>
                <w:color w:val="auto"/>
              </w:rPr>
            </w:pPr>
          </w:p>
        </w:tc>
        <w:tc>
          <w:tcPr>
            <w:tcW w:w="1920" w:type="dxa"/>
            <w:vAlign w:val="bottom"/>
            <w:tcBorders>
              <w:bottom w:val="single" w:sz="8" w:color="E5FF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E5FF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E5FF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E5FF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260" w:type="dxa"/>
            <w:vAlign w:val="bottom"/>
            <w:shd w:val="clear" w:color="auto" w:fill="E5FFFF"/>
          </w:tcPr>
          <w:p>
            <w:pPr>
              <w:spacing w:after="0"/>
              <w:rPr>
                <w:sz w:val="20"/>
                <w:szCs w:val="20"/>
                <w:color w:val="auto"/>
              </w:rPr>
            </w:pPr>
            <w:r>
              <w:rPr>
                <w:rFonts w:ascii="Arial" w:cs="Arial" w:eastAsia="Arial" w:hAnsi="Arial"/>
                <w:sz w:val="18"/>
                <w:szCs w:val="18"/>
                <w:color w:val="auto"/>
              </w:rPr>
              <w:t>Equities:</w:t>
            </w:r>
          </w:p>
        </w:tc>
        <w:tc>
          <w:tcPr>
            <w:tcW w:w="19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Honeywell common stock</w:t>
            </w:r>
          </w:p>
        </w:tc>
        <w:tc>
          <w:tcPr>
            <w:tcW w:w="2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2,140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2,140</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U.S. equities</w:t>
            </w:r>
          </w:p>
        </w:tc>
        <w:tc>
          <w:tcPr>
            <w:tcW w:w="19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900" w:type="dxa"/>
            <w:vAlign w:val="bottom"/>
            <w:shd w:val="clear" w:color="auto" w:fill="E5FFFF"/>
          </w:tcPr>
          <w:p>
            <w:pPr>
              <w:jc w:val="right"/>
              <w:ind w:right="31"/>
              <w:spacing w:after="0"/>
              <w:rPr>
                <w:sz w:val="20"/>
                <w:szCs w:val="20"/>
                <w:color w:val="auto"/>
              </w:rPr>
            </w:pPr>
            <w:r>
              <w:rPr>
                <w:rFonts w:ascii="Arial" w:cs="Arial" w:eastAsia="Arial" w:hAnsi="Arial"/>
                <w:sz w:val="18"/>
                <w:szCs w:val="18"/>
                <w:color w:val="auto"/>
              </w:rPr>
              <w:t>3,583</w:t>
            </w: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60" w:type="dxa"/>
            <w:vAlign w:val="bottom"/>
            <w:shd w:val="clear" w:color="auto" w:fill="E5FFFF"/>
          </w:tcPr>
          <w:p>
            <w:pPr>
              <w:jc w:val="right"/>
              <w:ind w:right="34"/>
              <w:spacing w:after="0"/>
              <w:rPr>
                <w:sz w:val="20"/>
                <w:szCs w:val="20"/>
                <w:color w:val="auto"/>
              </w:rPr>
            </w:pPr>
            <w:r>
              <w:rPr>
                <w:rFonts w:ascii="Arial" w:cs="Arial" w:eastAsia="Arial" w:hAnsi="Arial"/>
                <w:sz w:val="18"/>
                <w:szCs w:val="18"/>
                <w:color w:val="auto"/>
              </w:rPr>
              <w:t>3,583</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86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2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Non-U.S. equities</w:t>
            </w:r>
          </w:p>
        </w:tc>
        <w:tc>
          <w:tcPr>
            <w:tcW w:w="1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2,069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2,037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Real estate investment trusts</w:t>
            </w:r>
          </w:p>
        </w:tc>
        <w:tc>
          <w:tcPr>
            <w:tcW w:w="19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900" w:type="dxa"/>
            <w:vAlign w:val="bottom"/>
            <w:shd w:val="clear" w:color="auto" w:fill="E5FFFF"/>
          </w:tcPr>
          <w:p>
            <w:pPr>
              <w:jc w:val="right"/>
              <w:ind w:right="31"/>
              <w:spacing w:after="0"/>
              <w:rPr>
                <w:sz w:val="20"/>
                <w:szCs w:val="20"/>
                <w:color w:val="auto"/>
              </w:rPr>
            </w:pPr>
            <w:r>
              <w:rPr>
                <w:rFonts w:ascii="Arial" w:cs="Arial" w:eastAsia="Arial" w:hAnsi="Arial"/>
                <w:sz w:val="18"/>
                <w:szCs w:val="18"/>
                <w:color w:val="auto"/>
              </w:rPr>
              <w:t>203</w:t>
            </w: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60" w:type="dxa"/>
            <w:vAlign w:val="bottom"/>
            <w:shd w:val="clear" w:color="auto" w:fill="E5FFFF"/>
          </w:tcPr>
          <w:p>
            <w:pPr>
              <w:jc w:val="right"/>
              <w:ind w:right="34"/>
              <w:spacing w:after="0"/>
              <w:rPr>
                <w:sz w:val="20"/>
                <w:szCs w:val="20"/>
                <w:color w:val="auto"/>
              </w:rPr>
            </w:pPr>
            <w:r>
              <w:rPr>
                <w:rFonts w:ascii="Arial" w:cs="Arial" w:eastAsia="Arial" w:hAnsi="Arial"/>
                <w:sz w:val="18"/>
                <w:szCs w:val="18"/>
                <w:color w:val="auto"/>
              </w:rPr>
              <w:t>203</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86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2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Fixed income:</w:t>
            </w:r>
          </w:p>
        </w:tc>
        <w:tc>
          <w:tcPr>
            <w:tcW w:w="1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Short term investments</w:t>
            </w:r>
          </w:p>
        </w:tc>
        <w:tc>
          <w:tcPr>
            <w:tcW w:w="19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900" w:type="dxa"/>
            <w:vAlign w:val="bottom"/>
            <w:shd w:val="clear" w:color="auto" w:fill="E5FFFF"/>
          </w:tcPr>
          <w:p>
            <w:pPr>
              <w:jc w:val="right"/>
              <w:ind w:right="31"/>
              <w:spacing w:after="0"/>
              <w:rPr>
                <w:sz w:val="20"/>
                <w:szCs w:val="20"/>
                <w:color w:val="auto"/>
              </w:rPr>
            </w:pPr>
            <w:r>
              <w:rPr>
                <w:rFonts w:ascii="Arial" w:cs="Arial" w:eastAsia="Arial" w:hAnsi="Arial"/>
                <w:sz w:val="18"/>
                <w:szCs w:val="18"/>
                <w:color w:val="auto"/>
              </w:rPr>
              <w:t>1,306</w:t>
            </w: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60" w:type="dxa"/>
            <w:vAlign w:val="bottom"/>
            <w:shd w:val="clear" w:color="auto" w:fill="E5FFFF"/>
          </w:tcPr>
          <w:p>
            <w:pPr>
              <w:jc w:val="right"/>
              <w:ind w:right="34"/>
              <w:spacing w:after="0"/>
              <w:rPr>
                <w:sz w:val="20"/>
                <w:szCs w:val="20"/>
                <w:color w:val="auto"/>
              </w:rPr>
            </w:pPr>
            <w:r>
              <w:rPr>
                <w:rFonts w:ascii="Arial" w:cs="Arial" w:eastAsia="Arial" w:hAnsi="Arial"/>
                <w:sz w:val="18"/>
                <w:szCs w:val="18"/>
                <w:color w:val="auto"/>
              </w:rPr>
              <w:t>1,306</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86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2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Government securities</w:t>
            </w:r>
          </w:p>
        </w:tc>
        <w:tc>
          <w:tcPr>
            <w:tcW w:w="1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305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305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Corporate bonds</w:t>
            </w:r>
          </w:p>
        </w:tc>
        <w:tc>
          <w:tcPr>
            <w:tcW w:w="19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900" w:type="dxa"/>
            <w:vAlign w:val="bottom"/>
            <w:shd w:val="clear" w:color="auto" w:fill="E5FFFF"/>
          </w:tcPr>
          <w:p>
            <w:pPr>
              <w:jc w:val="right"/>
              <w:ind w:right="31"/>
              <w:spacing w:after="0"/>
              <w:rPr>
                <w:sz w:val="20"/>
                <w:szCs w:val="20"/>
                <w:color w:val="auto"/>
              </w:rPr>
            </w:pPr>
            <w:r>
              <w:rPr>
                <w:rFonts w:ascii="Arial" w:cs="Arial" w:eastAsia="Arial" w:hAnsi="Arial"/>
                <w:sz w:val="18"/>
                <w:szCs w:val="18"/>
                <w:color w:val="auto"/>
              </w:rPr>
              <w:t>4,366</w:t>
            </w: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60" w:type="dxa"/>
            <w:vAlign w:val="bottom"/>
            <w:shd w:val="clear" w:color="auto" w:fill="E5FFFF"/>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86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4,366</w:t>
            </w: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2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Mortgage/Asset-backed securities</w:t>
            </w:r>
          </w:p>
        </w:tc>
        <w:tc>
          <w:tcPr>
            <w:tcW w:w="1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617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617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Insurance contracts</w:t>
            </w:r>
          </w:p>
        </w:tc>
        <w:tc>
          <w:tcPr>
            <w:tcW w:w="19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900" w:type="dxa"/>
            <w:vAlign w:val="bottom"/>
            <w:shd w:val="clear" w:color="auto" w:fill="E5FFFF"/>
          </w:tcPr>
          <w:p>
            <w:pPr>
              <w:jc w:val="right"/>
              <w:ind w:right="31"/>
              <w:spacing w:after="0"/>
              <w:rPr>
                <w:sz w:val="20"/>
                <w:szCs w:val="20"/>
                <w:color w:val="auto"/>
              </w:rPr>
            </w:pPr>
            <w:r>
              <w:rPr>
                <w:rFonts w:ascii="Arial" w:cs="Arial" w:eastAsia="Arial" w:hAnsi="Arial"/>
                <w:sz w:val="18"/>
                <w:szCs w:val="18"/>
                <w:color w:val="auto"/>
              </w:rPr>
              <w:t>7</w:t>
            </w: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60" w:type="dxa"/>
            <w:vAlign w:val="bottom"/>
            <w:shd w:val="clear" w:color="auto" w:fill="E5FFFF"/>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86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7</w:t>
            </w: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2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Direct investments:</w:t>
            </w:r>
          </w:p>
        </w:tc>
        <w:tc>
          <w:tcPr>
            <w:tcW w:w="1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Direct private investments</w:t>
            </w:r>
          </w:p>
        </w:tc>
        <w:tc>
          <w:tcPr>
            <w:tcW w:w="19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900" w:type="dxa"/>
            <w:vAlign w:val="bottom"/>
            <w:shd w:val="clear" w:color="auto" w:fill="E5FFFF"/>
          </w:tcPr>
          <w:p>
            <w:pPr>
              <w:jc w:val="right"/>
              <w:ind w:right="31"/>
              <w:spacing w:after="0"/>
              <w:rPr>
                <w:sz w:val="20"/>
                <w:szCs w:val="20"/>
                <w:color w:val="auto"/>
              </w:rPr>
            </w:pPr>
            <w:r>
              <w:rPr>
                <w:rFonts w:ascii="Arial" w:cs="Arial" w:eastAsia="Arial" w:hAnsi="Arial"/>
                <w:sz w:val="18"/>
                <w:szCs w:val="18"/>
                <w:color w:val="auto"/>
              </w:rPr>
              <w:t>609</w:t>
            </w: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60" w:type="dxa"/>
            <w:vAlign w:val="bottom"/>
            <w:shd w:val="clear" w:color="auto" w:fill="E5FFFF"/>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86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2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426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Real estate properties</w:t>
            </w:r>
          </w:p>
        </w:tc>
        <w:tc>
          <w:tcPr>
            <w:tcW w:w="192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664</w:t>
            </w:r>
          </w:p>
        </w:tc>
        <w:tc>
          <w:tcPr>
            <w:tcW w:w="24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0"/>
        </w:trPr>
        <w:tc>
          <w:tcPr>
            <w:tcW w:w="4260" w:type="dxa"/>
            <w:vAlign w:val="bottom"/>
            <w:shd w:val="clear" w:color="auto" w:fill="E5FFFF"/>
          </w:tcPr>
          <w:p>
            <w:pPr>
              <w:spacing w:after="0"/>
              <w:rPr>
                <w:sz w:val="20"/>
                <w:szCs w:val="20"/>
                <w:color w:val="auto"/>
              </w:rPr>
            </w:pPr>
            <w:r>
              <w:rPr>
                <w:rFonts w:ascii="Arial" w:cs="Arial" w:eastAsia="Arial" w:hAnsi="Arial"/>
                <w:sz w:val="18"/>
                <w:szCs w:val="18"/>
                <w:color w:val="auto"/>
              </w:rPr>
              <w:t>Total</w:t>
            </w:r>
          </w:p>
        </w:tc>
        <w:tc>
          <w:tcPr>
            <w:tcW w:w="19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900" w:type="dxa"/>
            <w:vAlign w:val="bottom"/>
            <w:shd w:val="clear" w:color="auto" w:fill="E5FFFF"/>
          </w:tcPr>
          <w:p>
            <w:pPr>
              <w:jc w:val="right"/>
              <w:ind w:right="31"/>
              <w:spacing w:after="0"/>
              <w:rPr>
                <w:sz w:val="20"/>
                <w:szCs w:val="20"/>
                <w:color w:val="auto"/>
              </w:rPr>
            </w:pPr>
            <w:r>
              <w:rPr>
                <w:rFonts w:ascii="Arial" w:cs="Arial" w:eastAsia="Arial" w:hAnsi="Arial"/>
                <w:sz w:val="18"/>
                <w:szCs w:val="18"/>
                <w:color w:val="auto"/>
              </w:rPr>
              <w:t>15,869</w:t>
            </w:r>
          </w:p>
        </w:tc>
        <w:tc>
          <w:tcPr>
            <w:tcW w:w="4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FFFF"/>
          </w:tcPr>
          <w:p>
            <w:pPr>
              <w:jc w:val="right"/>
              <w:ind w:right="34"/>
              <w:spacing w:after="0"/>
              <w:rPr>
                <w:sz w:val="20"/>
                <w:szCs w:val="20"/>
                <w:color w:val="auto"/>
              </w:rPr>
            </w:pPr>
            <w:r>
              <w:rPr>
                <w:rFonts w:ascii="Arial" w:cs="Arial" w:eastAsia="Arial" w:hAnsi="Arial"/>
                <w:sz w:val="18"/>
                <w:szCs w:val="18"/>
                <w:color w:val="auto"/>
              </w:rPr>
              <w:t>9,269</w:t>
            </w:r>
          </w:p>
        </w:tc>
        <w:tc>
          <w:tcPr>
            <w:tcW w:w="48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5,327</w:t>
            </w:r>
          </w:p>
        </w:tc>
        <w:tc>
          <w:tcPr>
            <w:tcW w:w="4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8"/>
                <w:szCs w:val="18"/>
                <w:color w:val="auto"/>
              </w:rPr>
              <w:t>Investments measured at NAV:</w:t>
            </w:r>
          </w:p>
        </w:tc>
        <w:tc>
          <w:tcPr>
            <w:tcW w:w="19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Private funds</w:t>
            </w:r>
          </w:p>
        </w:tc>
        <w:tc>
          <w:tcPr>
            <w:tcW w:w="19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900" w:type="dxa"/>
            <w:vAlign w:val="bottom"/>
            <w:shd w:val="clear" w:color="auto" w:fill="E5FFFF"/>
          </w:tcPr>
          <w:p>
            <w:pPr>
              <w:jc w:val="right"/>
              <w:ind w:right="31"/>
              <w:spacing w:after="0"/>
              <w:rPr>
                <w:sz w:val="20"/>
                <w:szCs w:val="20"/>
                <w:color w:val="auto"/>
              </w:rPr>
            </w:pPr>
            <w:r>
              <w:rPr>
                <w:rFonts w:ascii="Arial" w:cs="Arial" w:eastAsia="Arial" w:hAnsi="Arial"/>
                <w:sz w:val="18"/>
                <w:szCs w:val="18"/>
                <w:color w:val="auto"/>
              </w:rPr>
              <w:t>815</w:t>
            </w: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Real estate funds</w:t>
            </w:r>
          </w:p>
        </w:tc>
        <w:tc>
          <w:tcPr>
            <w:tcW w:w="1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Hedge funds</w:t>
            </w:r>
          </w:p>
        </w:tc>
        <w:tc>
          <w:tcPr>
            <w:tcW w:w="192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20</w:t>
            </w: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2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16,814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920" w:type="dxa"/>
            <w:vAlign w:val="bottom"/>
            <w:vMerge w:val="restart"/>
          </w:tcPr>
          <w:p>
            <w:pPr>
              <w:jc w:val="right"/>
              <w:ind w:right="290"/>
              <w:spacing w:after="0"/>
              <w:rPr>
                <w:sz w:val="20"/>
                <w:szCs w:val="20"/>
                <w:color w:val="auto"/>
              </w:rPr>
            </w:pPr>
            <w:r>
              <w:rPr>
                <w:rFonts w:ascii="Arial" w:cs="Arial" w:eastAsia="Arial" w:hAnsi="Arial"/>
                <w:sz w:val="18"/>
                <w:szCs w:val="18"/>
                <w:color w:val="auto"/>
              </w:rPr>
              <w:t>75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26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60" w:type="dxa"/>
            <w:vAlign w:val="bottom"/>
            <w:tcBorders>
              <w:bottom w:val="single" w:sz="8" w:color="C0C0C0"/>
            </w:tcBorders>
          </w:tcPr>
          <w:p>
            <w:pPr>
              <w:spacing w:after="0"/>
              <w:rPr>
                <w:sz w:val="21"/>
                <w:szCs w:val="21"/>
                <w:color w:val="auto"/>
              </w:rPr>
            </w:pPr>
          </w:p>
        </w:tc>
        <w:tc>
          <w:tcPr>
            <w:tcW w:w="19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90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200" w:type="dxa"/>
            <w:vAlign w:val="bottom"/>
            <w:tcBorders>
              <w:bottom w:val="single" w:sz="8" w:color="C0C0C0"/>
            </w:tcBorders>
          </w:tcPr>
          <w:p>
            <w:pPr>
              <w:spacing w:after="0"/>
              <w:rPr>
                <w:sz w:val="21"/>
                <w:szCs w:val="21"/>
                <w:color w:val="auto"/>
              </w:rPr>
            </w:pPr>
          </w:p>
        </w:tc>
        <w:tc>
          <w:tcPr>
            <w:tcW w:w="96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86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200" w:type="dxa"/>
            <w:vAlign w:val="bottom"/>
            <w:tcBorders>
              <w:bottom w:val="single" w:sz="8" w:color="C0C0C0"/>
            </w:tcBorders>
          </w:tcPr>
          <w:p>
            <w:pPr>
              <w:spacing w:after="0"/>
              <w:rPr>
                <w:sz w:val="21"/>
                <w:szCs w:val="21"/>
                <w:color w:val="auto"/>
              </w:rPr>
            </w:pPr>
          </w:p>
        </w:tc>
        <w:tc>
          <w:tcPr>
            <w:tcW w:w="92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left="434"/>
              <w:spacing w:after="0"/>
              <w:rPr>
                <w:sz w:val="20"/>
                <w:szCs w:val="20"/>
                <w:color w:val="auto"/>
              </w:rPr>
            </w:pPr>
            <w:r>
              <w:rPr>
                <w:rFonts w:ascii="Arial" w:cs="Arial" w:eastAsia="Arial" w:hAnsi="Arial"/>
                <w:sz w:val="14"/>
                <w:szCs w:val="14"/>
                <w:b w:val="1"/>
                <w:bCs w:val="1"/>
                <w:color w:val="auto"/>
              </w:rPr>
              <w:t>U.S. Plans</w:t>
            </w:r>
          </w:p>
        </w:tc>
        <w:tc>
          <w:tcPr>
            <w:tcW w:w="8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4"/>
          </w:tcPr>
          <w:p>
            <w:pPr>
              <w:jc w:val="center"/>
              <w:ind w:right="191"/>
              <w:spacing w:after="0" w:line="155" w:lineRule="exact"/>
              <w:rPr>
                <w:sz w:val="20"/>
                <w:szCs w:val="20"/>
                <w:color w:val="auto"/>
              </w:rPr>
            </w:pPr>
            <w:r>
              <w:rPr>
                <w:rFonts w:ascii="Arial" w:cs="Arial" w:eastAsia="Arial" w:hAnsi="Arial"/>
                <w:sz w:val="14"/>
                <w:szCs w:val="14"/>
                <w:b w:val="1"/>
                <w:bCs w:val="1"/>
                <w:color w:val="auto"/>
              </w:rPr>
              <w:t>December 31, 2015</w:t>
            </w:r>
          </w:p>
        </w:tc>
        <w:tc>
          <w:tcPr>
            <w:tcW w:w="3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260" w:type="dxa"/>
            <w:vAlign w:val="bottom"/>
            <w:tcBorders>
              <w:bottom w:val="single" w:sz="8" w:color="E5FFFF"/>
            </w:tcBorders>
          </w:tcPr>
          <w:p>
            <w:pPr>
              <w:spacing w:after="0"/>
              <w:rPr>
                <w:sz w:val="14"/>
                <w:szCs w:val="14"/>
                <w:color w:val="auto"/>
              </w:rPr>
            </w:pPr>
          </w:p>
        </w:tc>
        <w:tc>
          <w:tcPr>
            <w:tcW w:w="1580" w:type="dxa"/>
            <w:vAlign w:val="bottom"/>
            <w:tcBorders>
              <w:bottom w:val="single" w:sz="8" w:color="E5FF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E5FF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E5FF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6"/>
              </w:rPr>
              <w:t>Level 2</w:t>
            </w:r>
          </w:p>
        </w:tc>
        <w:tc>
          <w:tcPr>
            <w:tcW w:w="340" w:type="dxa"/>
            <w:vAlign w:val="bottom"/>
            <w:tcBorders>
              <w:bottom w:val="single" w:sz="8" w:color="E5FF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2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Equities:</w:t>
            </w:r>
          </w:p>
        </w:tc>
        <w:tc>
          <w:tcPr>
            <w:tcW w:w="15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180"/>
              <w:spacing w:after="0" w:line="202" w:lineRule="exact"/>
              <w:rPr>
                <w:sz w:val="20"/>
                <w:szCs w:val="20"/>
                <w:color w:val="auto"/>
              </w:rPr>
            </w:pPr>
            <w:r>
              <w:rPr>
                <w:rFonts w:ascii="Arial" w:cs="Arial" w:eastAsia="Arial" w:hAnsi="Arial"/>
                <w:sz w:val="18"/>
                <w:szCs w:val="18"/>
                <w:color w:val="auto"/>
              </w:rPr>
              <w:t>Honeywell common stock</w:t>
            </w:r>
          </w:p>
        </w:tc>
        <w:tc>
          <w:tcPr>
            <w:tcW w:w="18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1,916</w:t>
            </w:r>
          </w:p>
        </w:tc>
        <w:tc>
          <w:tcPr>
            <w:tcW w:w="5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1,916</w:t>
            </w:r>
          </w:p>
        </w:tc>
        <w:tc>
          <w:tcPr>
            <w:tcW w:w="6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U.S. equities</w:t>
            </w:r>
          </w:p>
        </w:tc>
        <w:tc>
          <w:tcPr>
            <w:tcW w:w="15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4,572</w:t>
            </w:r>
          </w:p>
        </w:tc>
        <w:tc>
          <w:tcPr>
            <w:tcW w:w="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4,572</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8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60" w:type="dxa"/>
            <w:vAlign w:val="bottom"/>
          </w:tcPr>
          <w:p>
            <w:pPr>
              <w:ind w:left="180"/>
              <w:spacing w:after="0" w:line="202" w:lineRule="exact"/>
              <w:rPr>
                <w:sz w:val="20"/>
                <w:szCs w:val="20"/>
                <w:color w:val="auto"/>
              </w:rPr>
            </w:pPr>
            <w:r>
              <w:rPr>
                <w:rFonts w:ascii="Arial" w:cs="Arial" w:eastAsia="Arial" w:hAnsi="Arial"/>
                <w:sz w:val="18"/>
                <w:szCs w:val="18"/>
                <w:color w:val="auto"/>
              </w:rPr>
              <w:t>Non-U.S. equities</w:t>
            </w: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2,099</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1,943</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156</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Real estate investment trusts</w:t>
            </w:r>
          </w:p>
        </w:tc>
        <w:tc>
          <w:tcPr>
            <w:tcW w:w="15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209</w:t>
            </w:r>
          </w:p>
        </w:tc>
        <w:tc>
          <w:tcPr>
            <w:tcW w:w="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209</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8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Fixed income:</w:t>
            </w: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Short term investments</w:t>
            </w:r>
          </w:p>
        </w:tc>
        <w:tc>
          <w:tcPr>
            <w:tcW w:w="15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1,332</w:t>
            </w:r>
          </w:p>
        </w:tc>
        <w:tc>
          <w:tcPr>
            <w:tcW w:w="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1,332</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8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60" w:type="dxa"/>
            <w:vAlign w:val="bottom"/>
          </w:tcPr>
          <w:p>
            <w:pPr>
              <w:ind w:left="180"/>
              <w:spacing w:after="0" w:line="202" w:lineRule="exact"/>
              <w:rPr>
                <w:sz w:val="20"/>
                <w:szCs w:val="20"/>
                <w:color w:val="auto"/>
              </w:rPr>
            </w:pPr>
            <w:r>
              <w:rPr>
                <w:rFonts w:ascii="Arial" w:cs="Arial" w:eastAsia="Arial" w:hAnsi="Arial"/>
                <w:sz w:val="18"/>
                <w:szCs w:val="18"/>
                <w:color w:val="auto"/>
              </w:rPr>
              <w:t>Government securities</w:t>
            </w: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425</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425</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Corporate bonds</w:t>
            </w:r>
          </w:p>
        </w:tc>
        <w:tc>
          <w:tcPr>
            <w:tcW w:w="15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3,003</w:t>
            </w:r>
          </w:p>
        </w:tc>
        <w:tc>
          <w:tcPr>
            <w:tcW w:w="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8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3,003</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60" w:type="dxa"/>
            <w:vAlign w:val="bottom"/>
          </w:tcPr>
          <w:p>
            <w:pPr>
              <w:ind w:left="180"/>
              <w:spacing w:after="0" w:line="202" w:lineRule="exact"/>
              <w:rPr>
                <w:sz w:val="20"/>
                <w:szCs w:val="20"/>
                <w:color w:val="auto"/>
              </w:rPr>
            </w:pPr>
            <w:r>
              <w:rPr>
                <w:rFonts w:ascii="Arial" w:cs="Arial" w:eastAsia="Arial" w:hAnsi="Arial"/>
                <w:sz w:val="18"/>
                <w:szCs w:val="18"/>
                <w:color w:val="auto"/>
              </w:rPr>
              <w:t>Mortgage/Asset-backed securities</w:t>
            </w: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561</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561</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Insurance contracts</w:t>
            </w:r>
          </w:p>
        </w:tc>
        <w:tc>
          <w:tcPr>
            <w:tcW w:w="15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7</w:t>
            </w:r>
          </w:p>
        </w:tc>
        <w:tc>
          <w:tcPr>
            <w:tcW w:w="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8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7</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Direct investments:</w:t>
            </w: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Direct private investments</w:t>
            </w:r>
          </w:p>
        </w:tc>
        <w:tc>
          <w:tcPr>
            <w:tcW w:w="15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535</w:t>
            </w:r>
          </w:p>
        </w:tc>
        <w:tc>
          <w:tcPr>
            <w:tcW w:w="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8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426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Real estate properties</w:t>
            </w:r>
          </w:p>
        </w:tc>
        <w:tc>
          <w:tcPr>
            <w:tcW w:w="158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626</w:t>
            </w:r>
          </w:p>
        </w:tc>
        <w:tc>
          <w:tcPr>
            <w:tcW w:w="36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196"/>
        </w:trPr>
        <w:tc>
          <w:tcPr>
            <w:tcW w:w="42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Total</w:t>
            </w:r>
          </w:p>
        </w:tc>
        <w:tc>
          <w:tcPr>
            <w:tcW w:w="158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15,285</w:t>
            </w:r>
          </w:p>
        </w:tc>
        <w:tc>
          <w:tcPr>
            <w:tcW w:w="360" w:type="dxa"/>
            <w:vAlign w:val="bottom"/>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9,972</w:t>
            </w:r>
          </w:p>
        </w:tc>
        <w:tc>
          <w:tcPr>
            <w:tcW w:w="340" w:type="dxa"/>
            <w:vAlign w:val="bottom"/>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4,152</w:t>
            </w:r>
          </w:p>
        </w:tc>
        <w:tc>
          <w:tcPr>
            <w:tcW w:w="340" w:type="dxa"/>
            <w:vAlign w:val="bottom"/>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196"/>
        </w:trPr>
        <w:tc>
          <w:tcPr>
            <w:tcW w:w="4260" w:type="dxa"/>
            <w:vAlign w:val="bottom"/>
          </w:tcPr>
          <w:p>
            <w:pPr>
              <w:spacing w:after="0" w:line="196" w:lineRule="exact"/>
              <w:rPr>
                <w:sz w:val="20"/>
                <w:szCs w:val="20"/>
                <w:color w:val="auto"/>
              </w:rPr>
            </w:pPr>
            <w:r>
              <w:rPr>
                <w:rFonts w:ascii="Arial" w:cs="Arial" w:eastAsia="Arial" w:hAnsi="Arial"/>
                <w:sz w:val="18"/>
                <w:szCs w:val="18"/>
                <w:color w:val="auto"/>
              </w:rPr>
              <w:t>Investments measured at NAV:</w:t>
            </w: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Private funds</w:t>
            </w:r>
          </w:p>
        </w:tc>
        <w:tc>
          <w:tcPr>
            <w:tcW w:w="15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889</w:t>
            </w:r>
          </w:p>
        </w:tc>
        <w:tc>
          <w:tcPr>
            <w:tcW w:w="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180"/>
              <w:spacing w:after="0" w:line="202" w:lineRule="exact"/>
              <w:rPr>
                <w:sz w:val="20"/>
                <w:szCs w:val="20"/>
                <w:color w:val="auto"/>
              </w:rPr>
            </w:pPr>
            <w:r>
              <w:rPr>
                <w:rFonts w:ascii="Arial" w:cs="Arial" w:eastAsia="Arial" w:hAnsi="Arial"/>
                <w:sz w:val="18"/>
                <w:szCs w:val="18"/>
                <w:color w:val="auto"/>
              </w:rPr>
              <w:t>Real estate funds</w:t>
            </w: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156</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Hedge funds</w:t>
            </w:r>
          </w:p>
        </w:tc>
        <w:tc>
          <w:tcPr>
            <w:tcW w:w="158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19</w:t>
            </w:r>
          </w:p>
        </w:tc>
        <w:tc>
          <w:tcPr>
            <w:tcW w:w="3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9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60" w:type="dxa"/>
            <w:vAlign w:val="bottom"/>
          </w:tcPr>
          <w:p>
            <w:pPr>
              <w:spacing w:after="0" w:line="196" w:lineRule="exact"/>
              <w:rPr>
                <w:sz w:val="20"/>
                <w:szCs w:val="20"/>
                <w:color w:val="auto"/>
              </w:rPr>
            </w:pPr>
            <w:r>
              <w:rPr>
                <w:rFonts w:ascii="Arial" w:cs="Arial" w:eastAsia="Arial" w:hAnsi="Arial"/>
                <w:sz w:val="18"/>
                <w:szCs w:val="18"/>
                <w:color w:val="auto"/>
              </w:rPr>
              <w:t>Total assets at fair value</w:t>
            </w:r>
          </w:p>
        </w:tc>
        <w:tc>
          <w:tcPr>
            <w:tcW w:w="158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16,349</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gridSpan w:val="3"/>
            <w:vMerge w:val="restart"/>
          </w:tcPr>
          <w:p>
            <w:pPr>
              <w:jc w:val="center"/>
              <w:ind w:left="434"/>
              <w:spacing w:after="0"/>
              <w:rPr>
                <w:sz w:val="20"/>
                <w:szCs w:val="20"/>
                <w:color w:val="auto"/>
              </w:rPr>
            </w:pPr>
            <w:r>
              <w:rPr>
                <w:rFonts w:ascii="Arial" w:cs="Arial" w:eastAsia="Arial" w:hAnsi="Arial"/>
                <w:sz w:val="14"/>
                <w:szCs w:val="14"/>
                <w:b w:val="1"/>
                <w:bCs w:val="1"/>
                <w:color w:val="auto"/>
              </w:rPr>
              <w:t>Non-U.S. Plans</w:t>
            </w: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vMerge w:val="continue"/>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2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4"/>
          </w:tcPr>
          <w:p>
            <w:pPr>
              <w:jc w:val="right"/>
              <w:ind w:right="531"/>
              <w:spacing w:after="0" w:line="155" w:lineRule="exact"/>
              <w:rPr>
                <w:sz w:val="20"/>
                <w:szCs w:val="20"/>
                <w:color w:val="auto"/>
              </w:rPr>
            </w:pPr>
            <w:r>
              <w:rPr>
                <w:rFonts w:ascii="Arial" w:cs="Arial" w:eastAsia="Arial" w:hAnsi="Arial"/>
                <w:sz w:val="14"/>
                <w:szCs w:val="14"/>
                <w:b w:val="1"/>
                <w:bCs w:val="1"/>
                <w:color w:val="auto"/>
              </w:rPr>
              <w:t>December 31, 2016</w:t>
            </w:r>
          </w:p>
        </w:tc>
        <w:tc>
          <w:tcPr>
            <w:tcW w:w="3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260" w:type="dxa"/>
            <w:vAlign w:val="bottom"/>
            <w:tcBorders>
              <w:bottom w:val="single" w:sz="8" w:color="E5FFFF"/>
            </w:tcBorders>
          </w:tcPr>
          <w:p>
            <w:pPr>
              <w:spacing w:after="0"/>
              <w:rPr>
                <w:sz w:val="14"/>
                <w:szCs w:val="14"/>
                <w:color w:val="auto"/>
              </w:rPr>
            </w:pPr>
          </w:p>
        </w:tc>
        <w:tc>
          <w:tcPr>
            <w:tcW w:w="1580" w:type="dxa"/>
            <w:vAlign w:val="bottom"/>
            <w:tcBorders>
              <w:bottom w:val="single" w:sz="8" w:color="E5FF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E5FF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E5FF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6"/>
              </w:rPr>
              <w:t>Level 2</w:t>
            </w:r>
          </w:p>
        </w:tc>
        <w:tc>
          <w:tcPr>
            <w:tcW w:w="340" w:type="dxa"/>
            <w:vAlign w:val="bottom"/>
            <w:tcBorders>
              <w:bottom w:val="single" w:sz="8" w:color="E5FF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2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Equities:</w:t>
            </w:r>
          </w:p>
        </w:tc>
        <w:tc>
          <w:tcPr>
            <w:tcW w:w="15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180"/>
              <w:spacing w:after="0" w:line="202" w:lineRule="exact"/>
              <w:rPr>
                <w:sz w:val="20"/>
                <w:szCs w:val="20"/>
                <w:color w:val="auto"/>
              </w:rPr>
            </w:pPr>
            <w:r>
              <w:rPr>
                <w:rFonts w:ascii="Arial" w:cs="Arial" w:eastAsia="Arial" w:hAnsi="Arial"/>
                <w:sz w:val="18"/>
                <w:szCs w:val="18"/>
                <w:color w:val="auto"/>
              </w:rPr>
              <w:t>U.S. equities</w:t>
            </w:r>
          </w:p>
        </w:tc>
        <w:tc>
          <w:tcPr>
            <w:tcW w:w="18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650</w:t>
            </w:r>
          </w:p>
        </w:tc>
        <w:tc>
          <w:tcPr>
            <w:tcW w:w="5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525</w:t>
            </w:r>
          </w:p>
        </w:tc>
        <w:tc>
          <w:tcPr>
            <w:tcW w:w="6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125</w:t>
            </w:r>
          </w:p>
        </w:tc>
        <w:tc>
          <w:tcPr>
            <w:tcW w:w="5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Non-U.S. equities</w:t>
            </w:r>
          </w:p>
        </w:tc>
        <w:tc>
          <w:tcPr>
            <w:tcW w:w="15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2,153</w:t>
            </w:r>
          </w:p>
        </w:tc>
        <w:tc>
          <w:tcPr>
            <w:tcW w:w="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219</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8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1,934</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Fixed income:</w:t>
            </w: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Short-term investments</w:t>
            </w:r>
          </w:p>
        </w:tc>
        <w:tc>
          <w:tcPr>
            <w:tcW w:w="15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146</w:t>
            </w:r>
          </w:p>
        </w:tc>
        <w:tc>
          <w:tcPr>
            <w:tcW w:w="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146</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8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60" w:type="dxa"/>
            <w:vAlign w:val="bottom"/>
          </w:tcPr>
          <w:p>
            <w:pPr>
              <w:ind w:left="180"/>
              <w:spacing w:after="0" w:line="202" w:lineRule="exact"/>
              <w:rPr>
                <w:sz w:val="20"/>
                <w:szCs w:val="20"/>
                <w:color w:val="auto"/>
              </w:rPr>
            </w:pPr>
            <w:r>
              <w:rPr>
                <w:rFonts w:ascii="Arial" w:cs="Arial" w:eastAsia="Arial" w:hAnsi="Arial"/>
                <w:sz w:val="18"/>
                <w:szCs w:val="18"/>
                <w:color w:val="auto"/>
              </w:rPr>
              <w:t>Government securities</w:t>
            </w: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1,530</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1,530</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Corporate bonds</w:t>
            </w:r>
          </w:p>
        </w:tc>
        <w:tc>
          <w:tcPr>
            <w:tcW w:w="15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1,220</w:t>
            </w:r>
          </w:p>
        </w:tc>
        <w:tc>
          <w:tcPr>
            <w:tcW w:w="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8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1,220</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60" w:type="dxa"/>
            <w:vAlign w:val="bottom"/>
          </w:tcPr>
          <w:p>
            <w:pPr>
              <w:ind w:left="180"/>
              <w:spacing w:after="0" w:line="202" w:lineRule="exact"/>
              <w:rPr>
                <w:sz w:val="20"/>
                <w:szCs w:val="20"/>
                <w:color w:val="auto"/>
              </w:rPr>
            </w:pPr>
            <w:r>
              <w:rPr>
                <w:rFonts w:ascii="Arial" w:cs="Arial" w:eastAsia="Arial" w:hAnsi="Arial"/>
                <w:sz w:val="18"/>
                <w:szCs w:val="18"/>
                <w:color w:val="auto"/>
              </w:rPr>
              <w:t>Mortgage/Asset-backed securities</w:t>
            </w: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18</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18</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Insurance contracts</w:t>
            </w:r>
          </w:p>
        </w:tc>
        <w:tc>
          <w:tcPr>
            <w:tcW w:w="15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152</w:t>
            </w:r>
          </w:p>
        </w:tc>
        <w:tc>
          <w:tcPr>
            <w:tcW w:w="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8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152</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Investments in private funds:</w:t>
            </w: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Private funds</w:t>
            </w:r>
          </w:p>
        </w:tc>
        <w:tc>
          <w:tcPr>
            <w:tcW w:w="15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42</w:t>
            </w:r>
          </w:p>
        </w:tc>
        <w:tc>
          <w:tcPr>
            <w:tcW w:w="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8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19</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26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Real estate funds</w:t>
            </w:r>
          </w:p>
        </w:tc>
        <w:tc>
          <w:tcPr>
            <w:tcW w:w="158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124</w:t>
            </w:r>
          </w:p>
        </w:tc>
        <w:tc>
          <w:tcPr>
            <w:tcW w:w="36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96"/>
        </w:trPr>
        <w:tc>
          <w:tcPr>
            <w:tcW w:w="42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Total</w:t>
            </w:r>
          </w:p>
        </w:tc>
        <w:tc>
          <w:tcPr>
            <w:tcW w:w="158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6,035</w:t>
            </w:r>
          </w:p>
        </w:tc>
        <w:tc>
          <w:tcPr>
            <w:tcW w:w="360" w:type="dxa"/>
            <w:vAlign w:val="bottom"/>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890</w:t>
            </w:r>
          </w:p>
        </w:tc>
        <w:tc>
          <w:tcPr>
            <w:tcW w:w="340" w:type="dxa"/>
            <w:vAlign w:val="bottom"/>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4,998</w:t>
            </w:r>
          </w:p>
        </w:tc>
        <w:tc>
          <w:tcPr>
            <w:tcW w:w="340" w:type="dxa"/>
            <w:vAlign w:val="bottom"/>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196"/>
        </w:trPr>
        <w:tc>
          <w:tcPr>
            <w:tcW w:w="4260" w:type="dxa"/>
            <w:vAlign w:val="bottom"/>
          </w:tcPr>
          <w:p>
            <w:pPr>
              <w:spacing w:after="0" w:line="196" w:lineRule="exact"/>
              <w:rPr>
                <w:sz w:val="20"/>
                <w:szCs w:val="20"/>
                <w:color w:val="auto"/>
              </w:rPr>
            </w:pPr>
            <w:r>
              <w:rPr>
                <w:rFonts w:ascii="Arial" w:cs="Arial" w:eastAsia="Arial" w:hAnsi="Arial"/>
                <w:sz w:val="18"/>
                <w:szCs w:val="18"/>
                <w:color w:val="auto"/>
              </w:rPr>
              <w:t>Investments measured at NAV:</w:t>
            </w: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Private funds</w:t>
            </w:r>
          </w:p>
        </w:tc>
        <w:tc>
          <w:tcPr>
            <w:tcW w:w="15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33</w:t>
            </w:r>
          </w:p>
        </w:tc>
        <w:tc>
          <w:tcPr>
            <w:tcW w:w="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Borders>
              <w:bottom w:val="single" w:sz="8" w:color="E5FFFF"/>
            </w:tcBorders>
          </w:tcPr>
          <w:p>
            <w:pPr>
              <w:ind w:left="180"/>
              <w:spacing w:after="0" w:line="202" w:lineRule="exact"/>
              <w:rPr>
                <w:sz w:val="20"/>
                <w:szCs w:val="20"/>
                <w:color w:val="auto"/>
              </w:rPr>
            </w:pPr>
            <w:r>
              <w:rPr>
                <w:rFonts w:ascii="Arial" w:cs="Arial" w:eastAsia="Arial" w:hAnsi="Arial"/>
                <w:sz w:val="18"/>
                <w:szCs w:val="18"/>
                <w:color w:val="auto"/>
              </w:rPr>
              <w:t>Real estate funds</w:t>
            </w:r>
          </w:p>
        </w:tc>
        <w:tc>
          <w:tcPr>
            <w:tcW w:w="1580" w:type="dxa"/>
            <w:vAlign w:val="bottom"/>
            <w:tcBorders>
              <w:bottom w:val="single" w:sz="8" w:color="E5FF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52</w:t>
            </w:r>
          </w:p>
        </w:tc>
        <w:tc>
          <w:tcPr>
            <w:tcW w:w="360" w:type="dxa"/>
            <w:vAlign w:val="bottom"/>
            <w:tcBorders>
              <w:bottom w:val="single" w:sz="8" w:color="E5FFFF"/>
            </w:tcBorders>
          </w:tcPr>
          <w:p>
            <w:pPr>
              <w:spacing w:after="0"/>
              <w:rPr>
                <w:sz w:val="17"/>
                <w:szCs w:val="17"/>
                <w:color w:val="auto"/>
              </w:rPr>
            </w:pPr>
          </w:p>
        </w:tc>
        <w:tc>
          <w:tcPr>
            <w:tcW w:w="220" w:type="dxa"/>
            <w:vAlign w:val="bottom"/>
            <w:tcBorders>
              <w:bottom w:val="single" w:sz="8" w:color="E5FFFF"/>
            </w:tcBorders>
          </w:tcPr>
          <w:p>
            <w:pPr>
              <w:spacing w:after="0"/>
              <w:rPr>
                <w:sz w:val="17"/>
                <w:szCs w:val="17"/>
                <w:color w:val="auto"/>
              </w:rPr>
            </w:pPr>
          </w:p>
        </w:tc>
        <w:tc>
          <w:tcPr>
            <w:tcW w:w="920" w:type="dxa"/>
            <w:vAlign w:val="bottom"/>
            <w:tcBorders>
              <w:bottom w:val="single" w:sz="8" w:color="E5FFFF"/>
            </w:tcBorders>
          </w:tcPr>
          <w:p>
            <w:pPr>
              <w:spacing w:after="0"/>
              <w:rPr>
                <w:sz w:val="17"/>
                <w:szCs w:val="17"/>
                <w:color w:val="auto"/>
              </w:rPr>
            </w:pPr>
          </w:p>
        </w:tc>
        <w:tc>
          <w:tcPr>
            <w:tcW w:w="340" w:type="dxa"/>
            <w:vAlign w:val="bottom"/>
            <w:tcBorders>
              <w:bottom w:val="single" w:sz="8" w:color="E5FFFF"/>
            </w:tcBorders>
          </w:tcPr>
          <w:p>
            <w:pPr>
              <w:spacing w:after="0"/>
              <w:rPr>
                <w:sz w:val="17"/>
                <w:szCs w:val="17"/>
                <w:color w:val="auto"/>
              </w:rPr>
            </w:pPr>
          </w:p>
        </w:tc>
        <w:tc>
          <w:tcPr>
            <w:tcW w:w="320" w:type="dxa"/>
            <w:vAlign w:val="bottom"/>
            <w:tcBorders>
              <w:bottom w:val="single" w:sz="8" w:color="E5FFFF"/>
            </w:tcBorders>
          </w:tcPr>
          <w:p>
            <w:pPr>
              <w:spacing w:after="0"/>
              <w:rPr>
                <w:sz w:val="17"/>
                <w:szCs w:val="17"/>
                <w:color w:val="auto"/>
              </w:rPr>
            </w:pPr>
          </w:p>
        </w:tc>
        <w:tc>
          <w:tcPr>
            <w:tcW w:w="800" w:type="dxa"/>
            <w:vAlign w:val="bottom"/>
            <w:tcBorders>
              <w:bottom w:val="single" w:sz="8" w:color="E5FFFF"/>
            </w:tcBorders>
          </w:tcPr>
          <w:p>
            <w:pPr>
              <w:spacing w:after="0"/>
              <w:rPr>
                <w:sz w:val="17"/>
                <w:szCs w:val="17"/>
                <w:color w:val="auto"/>
              </w:rPr>
            </w:pPr>
          </w:p>
        </w:tc>
        <w:tc>
          <w:tcPr>
            <w:tcW w:w="340" w:type="dxa"/>
            <w:vAlign w:val="bottom"/>
            <w:tcBorders>
              <w:bottom w:val="single" w:sz="8" w:color="E5FFFF"/>
            </w:tcBorders>
          </w:tcPr>
          <w:p>
            <w:pPr>
              <w:spacing w:after="0"/>
              <w:rPr>
                <w:sz w:val="17"/>
                <w:szCs w:val="17"/>
                <w:color w:val="auto"/>
              </w:rPr>
            </w:pPr>
          </w:p>
        </w:tc>
        <w:tc>
          <w:tcPr>
            <w:tcW w:w="200" w:type="dxa"/>
            <w:vAlign w:val="bottom"/>
            <w:tcBorders>
              <w:bottom w:val="single" w:sz="8" w:color="E5FFFF"/>
            </w:tcBorders>
          </w:tcPr>
          <w:p>
            <w:pPr>
              <w:spacing w:after="0"/>
              <w:rPr>
                <w:sz w:val="17"/>
                <w:szCs w:val="17"/>
                <w:color w:val="auto"/>
              </w:rPr>
            </w:pPr>
          </w:p>
        </w:tc>
        <w:tc>
          <w:tcPr>
            <w:tcW w:w="92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E5FFFF"/>
          </w:tcPr>
          <w:p>
            <w:pPr>
              <w:spacing w:after="0"/>
              <w:rPr>
                <w:sz w:val="20"/>
                <w:szCs w:val="20"/>
                <w:color w:val="auto"/>
              </w:rPr>
            </w:pPr>
            <w:r>
              <w:rPr>
                <w:rFonts w:ascii="Arial" w:cs="Arial" w:eastAsia="Arial" w:hAnsi="Arial"/>
                <w:sz w:val="18"/>
                <w:szCs w:val="18"/>
                <w:color w:val="auto"/>
              </w:rPr>
              <w:t>Total assets at fair value</w:t>
            </w:r>
          </w:p>
        </w:tc>
        <w:tc>
          <w:tcPr>
            <w:tcW w:w="184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E5FFFF"/>
          </w:tcPr>
          <w:p>
            <w:pPr>
              <w:jc w:val="right"/>
              <w:ind w:right="31"/>
              <w:spacing w:after="0"/>
              <w:rPr>
                <w:sz w:val="20"/>
                <w:szCs w:val="20"/>
                <w:color w:val="auto"/>
              </w:rPr>
            </w:pPr>
            <w:r>
              <w:rPr>
                <w:rFonts w:ascii="Arial" w:cs="Arial" w:eastAsia="Arial" w:hAnsi="Arial"/>
                <w:sz w:val="18"/>
                <w:szCs w:val="18"/>
                <w:color w:val="auto"/>
              </w:rPr>
              <w:t>6,120</w:t>
            </w:r>
          </w:p>
        </w:tc>
        <w:tc>
          <w:tcPr>
            <w:tcW w:w="3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9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E5FFFF"/>
            </w:tcBorders>
          </w:tcPr>
          <w:p>
            <w:pPr>
              <w:spacing w:after="0" w:line="20" w:lineRule="exact"/>
              <w:rPr>
                <w:sz w:val="1"/>
                <w:szCs w:val="1"/>
                <w:color w:val="auto"/>
              </w:rPr>
            </w:pPr>
          </w:p>
        </w:tc>
        <w:tc>
          <w:tcPr>
            <w:tcW w:w="1580" w:type="dxa"/>
            <w:vAlign w:val="bottom"/>
            <w:tcBorders>
              <w:top w:val="single" w:sz="8" w:color="E5FFFF"/>
              <w:bottom w:val="single" w:sz="8" w:color="E5FFFF"/>
            </w:tcBorders>
            <w:vMerge w:val="restart"/>
          </w:tcPr>
          <w:p>
            <w:pPr>
              <w:jc w:val="right"/>
              <w:spacing w:after="0"/>
              <w:rPr>
                <w:sz w:val="20"/>
                <w:szCs w:val="20"/>
                <w:color w:val="auto"/>
              </w:rPr>
            </w:pPr>
            <w:r>
              <w:rPr>
                <w:rFonts w:ascii="Arial" w:cs="Arial" w:eastAsia="Arial" w:hAnsi="Arial"/>
                <w:sz w:val="18"/>
                <w:szCs w:val="18"/>
                <w:color w:val="auto"/>
              </w:rPr>
              <w:t>76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920" w:type="dxa"/>
            <w:vAlign w:val="bottom"/>
            <w:tcBorders>
              <w:top w:val="single" w:sz="8" w:color="E5FFFF"/>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800" w:type="dxa"/>
            <w:vAlign w:val="bottom"/>
            <w:tcBorders>
              <w:top w:val="single" w:sz="8" w:color="E5FFFF"/>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92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26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60" w:type="dxa"/>
            <w:vAlign w:val="bottom"/>
            <w:tcBorders>
              <w:bottom w:val="single" w:sz="8" w:color="C0C0C0"/>
            </w:tcBorders>
          </w:tcPr>
          <w:p>
            <w:pPr>
              <w:spacing w:after="0"/>
              <w:rPr>
                <w:sz w:val="21"/>
                <w:szCs w:val="21"/>
                <w:color w:val="auto"/>
              </w:rPr>
            </w:pPr>
          </w:p>
        </w:tc>
        <w:tc>
          <w:tcPr>
            <w:tcW w:w="158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900" w:type="dxa"/>
            <w:vAlign w:val="bottom"/>
            <w:tcBorders>
              <w:bottom w:val="single" w:sz="8" w:color="C0C0C0"/>
            </w:tcBorders>
          </w:tcPr>
          <w:p>
            <w:pPr>
              <w:spacing w:after="0"/>
              <w:rPr>
                <w:sz w:val="21"/>
                <w:szCs w:val="21"/>
                <w:color w:val="auto"/>
              </w:rPr>
            </w:pPr>
          </w:p>
        </w:tc>
        <w:tc>
          <w:tcPr>
            <w:tcW w:w="36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920" w:type="dxa"/>
            <w:vAlign w:val="bottom"/>
            <w:tcBorders>
              <w:bottom w:val="single" w:sz="8" w:color="C0C0C0"/>
            </w:tcBorders>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c>
          <w:tcPr>
            <w:tcW w:w="320" w:type="dxa"/>
            <w:vAlign w:val="bottom"/>
            <w:tcBorders>
              <w:bottom w:val="single" w:sz="8" w:color="C0C0C0"/>
            </w:tcBorders>
          </w:tcPr>
          <w:p>
            <w:pPr>
              <w:spacing w:after="0"/>
              <w:rPr>
                <w:sz w:val="21"/>
                <w:szCs w:val="21"/>
                <w:color w:val="auto"/>
              </w:rPr>
            </w:pPr>
          </w:p>
        </w:tc>
        <w:tc>
          <w:tcPr>
            <w:tcW w:w="800" w:type="dxa"/>
            <w:vAlign w:val="bottom"/>
            <w:tcBorders>
              <w:bottom w:val="single" w:sz="8" w:color="C0C0C0"/>
            </w:tcBorders>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c>
          <w:tcPr>
            <w:tcW w:w="200" w:type="dxa"/>
            <w:vAlign w:val="bottom"/>
            <w:tcBorders>
              <w:bottom w:val="single" w:sz="8" w:color="C0C0C0"/>
            </w:tcBorders>
          </w:tcPr>
          <w:p>
            <w:pPr>
              <w:spacing w:after="0"/>
              <w:rPr>
                <w:sz w:val="21"/>
                <w:szCs w:val="21"/>
                <w:color w:val="auto"/>
              </w:rPr>
            </w:pPr>
          </w:p>
        </w:tc>
        <w:tc>
          <w:tcPr>
            <w:tcW w:w="92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Non-U.S. Plans</w:t>
            </w:r>
          </w:p>
        </w:tc>
        <w:tc>
          <w:tcPr>
            <w:tcW w:w="8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2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4"/>
          </w:tcPr>
          <w:p>
            <w:pPr>
              <w:jc w:val="right"/>
              <w:ind w:right="532"/>
              <w:spacing w:after="0" w:line="155" w:lineRule="exact"/>
              <w:rPr>
                <w:sz w:val="20"/>
                <w:szCs w:val="20"/>
                <w:color w:val="auto"/>
              </w:rPr>
            </w:pPr>
            <w:r>
              <w:rPr>
                <w:rFonts w:ascii="Arial" w:cs="Arial" w:eastAsia="Arial" w:hAnsi="Arial"/>
                <w:sz w:val="14"/>
                <w:szCs w:val="14"/>
                <w:b w:val="1"/>
                <w:bCs w:val="1"/>
                <w:color w:val="auto"/>
              </w:rPr>
              <w:t>December 31, 2015</w:t>
            </w:r>
          </w:p>
        </w:tc>
        <w:tc>
          <w:tcPr>
            <w:tcW w:w="3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260" w:type="dxa"/>
            <w:vAlign w:val="bottom"/>
            <w:tcBorders>
              <w:bottom w:val="single" w:sz="8" w:color="E5FFFF"/>
            </w:tcBorders>
          </w:tcPr>
          <w:p>
            <w:pPr>
              <w:spacing w:after="0"/>
              <w:rPr>
                <w:sz w:val="14"/>
                <w:szCs w:val="14"/>
                <w:color w:val="auto"/>
              </w:rPr>
            </w:pPr>
          </w:p>
        </w:tc>
        <w:tc>
          <w:tcPr>
            <w:tcW w:w="1580" w:type="dxa"/>
            <w:vAlign w:val="bottom"/>
            <w:tcBorders>
              <w:bottom w:val="single" w:sz="8" w:color="E5FF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E5FF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E5FF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6"/>
              </w:rPr>
              <w:t>Level 2</w:t>
            </w:r>
          </w:p>
        </w:tc>
        <w:tc>
          <w:tcPr>
            <w:tcW w:w="340" w:type="dxa"/>
            <w:vAlign w:val="bottom"/>
            <w:tcBorders>
              <w:bottom w:val="single" w:sz="8" w:color="E5FF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2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Equities:</w:t>
            </w:r>
          </w:p>
        </w:tc>
        <w:tc>
          <w:tcPr>
            <w:tcW w:w="15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180"/>
              <w:spacing w:after="0" w:line="202" w:lineRule="exact"/>
              <w:rPr>
                <w:sz w:val="20"/>
                <w:szCs w:val="20"/>
                <w:color w:val="auto"/>
              </w:rPr>
            </w:pPr>
            <w:r>
              <w:rPr>
                <w:rFonts w:ascii="Arial" w:cs="Arial" w:eastAsia="Arial" w:hAnsi="Arial"/>
                <w:sz w:val="18"/>
                <w:szCs w:val="18"/>
                <w:color w:val="auto"/>
              </w:rPr>
              <w:t>U.S. equities</w:t>
            </w:r>
          </w:p>
        </w:tc>
        <w:tc>
          <w:tcPr>
            <w:tcW w:w="18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569</w:t>
            </w:r>
          </w:p>
        </w:tc>
        <w:tc>
          <w:tcPr>
            <w:tcW w:w="5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479</w:t>
            </w:r>
          </w:p>
        </w:tc>
        <w:tc>
          <w:tcPr>
            <w:tcW w:w="6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90</w:t>
            </w:r>
          </w:p>
        </w:tc>
        <w:tc>
          <w:tcPr>
            <w:tcW w:w="5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Non-U.S. equities</w:t>
            </w:r>
          </w:p>
        </w:tc>
        <w:tc>
          <w:tcPr>
            <w:tcW w:w="15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2,200</w:t>
            </w:r>
          </w:p>
        </w:tc>
        <w:tc>
          <w:tcPr>
            <w:tcW w:w="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228</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8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1,972</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Fixed income:</w:t>
            </w: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Short-term investments</w:t>
            </w:r>
          </w:p>
        </w:tc>
        <w:tc>
          <w:tcPr>
            <w:tcW w:w="15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108</w:t>
            </w:r>
          </w:p>
        </w:tc>
        <w:tc>
          <w:tcPr>
            <w:tcW w:w="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105</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8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3</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60" w:type="dxa"/>
            <w:vAlign w:val="bottom"/>
          </w:tcPr>
          <w:p>
            <w:pPr>
              <w:ind w:left="180"/>
              <w:spacing w:after="0" w:line="202" w:lineRule="exact"/>
              <w:rPr>
                <w:sz w:val="20"/>
                <w:szCs w:val="20"/>
                <w:color w:val="auto"/>
              </w:rPr>
            </w:pPr>
            <w:r>
              <w:rPr>
                <w:rFonts w:ascii="Arial" w:cs="Arial" w:eastAsia="Arial" w:hAnsi="Arial"/>
                <w:sz w:val="18"/>
                <w:szCs w:val="18"/>
                <w:color w:val="auto"/>
              </w:rPr>
              <w:t>Government securities</w:t>
            </w: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1,621</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1,621</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Corporate bonds</w:t>
            </w:r>
          </w:p>
        </w:tc>
        <w:tc>
          <w:tcPr>
            <w:tcW w:w="15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1,073</w:t>
            </w:r>
          </w:p>
        </w:tc>
        <w:tc>
          <w:tcPr>
            <w:tcW w:w="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8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1,073</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60" w:type="dxa"/>
            <w:vAlign w:val="bottom"/>
          </w:tcPr>
          <w:p>
            <w:pPr>
              <w:ind w:left="180"/>
              <w:spacing w:after="0" w:line="202" w:lineRule="exact"/>
              <w:rPr>
                <w:sz w:val="20"/>
                <w:szCs w:val="20"/>
                <w:color w:val="auto"/>
              </w:rPr>
            </w:pPr>
            <w:r>
              <w:rPr>
                <w:rFonts w:ascii="Arial" w:cs="Arial" w:eastAsia="Arial" w:hAnsi="Arial"/>
                <w:sz w:val="18"/>
                <w:szCs w:val="18"/>
                <w:color w:val="auto"/>
              </w:rPr>
              <w:t>Mortgage/Asset-backed securities</w:t>
            </w: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94</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94</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Insurance contracts</w:t>
            </w:r>
          </w:p>
        </w:tc>
        <w:tc>
          <w:tcPr>
            <w:tcW w:w="15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170</w:t>
            </w:r>
          </w:p>
        </w:tc>
        <w:tc>
          <w:tcPr>
            <w:tcW w:w="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8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170</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Investments in private funds:</w:t>
            </w: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Private funds</w:t>
            </w:r>
          </w:p>
        </w:tc>
        <w:tc>
          <w:tcPr>
            <w:tcW w:w="15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10</w:t>
            </w:r>
          </w:p>
        </w:tc>
        <w:tc>
          <w:tcPr>
            <w:tcW w:w="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8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26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Real estate funds</w:t>
            </w:r>
          </w:p>
        </w:tc>
        <w:tc>
          <w:tcPr>
            <w:tcW w:w="158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152</w:t>
            </w:r>
          </w:p>
        </w:tc>
        <w:tc>
          <w:tcPr>
            <w:tcW w:w="36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196"/>
        </w:trPr>
        <w:tc>
          <w:tcPr>
            <w:tcW w:w="42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Total</w:t>
            </w:r>
          </w:p>
        </w:tc>
        <w:tc>
          <w:tcPr>
            <w:tcW w:w="158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5,997</w:t>
            </w:r>
          </w:p>
        </w:tc>
        <w:tc>
          <w:tcPr>
            <w:tcW w:w="360" w:type="dxa"/>
            <w:vAlign w:val="bottom"/>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812</w:t>
            </w:r>
          </w:p>
        </w:tc>
        <w:tc>
          <w:tcPr>
            <w:tcW w:w="340" w:type="dxa"/>
            <w:vAlign w:val="bottom"/>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5,023</w:t>
            </w:r>
          </w:p>
        </w:tc>
        <w:tc>
          <w:tcPr>
            <w:tcW w:w="340" w:type="dxa"/>
            <w:vAlign w:val="bottom"/>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196"/>
        </w:trPr>
        <w:tc>
          <w:tcPr>
            <w:tcW w:w="4260" w:type="dxa"/>
            <w:vAlign w:val="bottom"/>
          </w:tcPr>
          <w:p>
            <w:pPr>
              <w:spacing w:after="0" w:line="196" w:lineRule="exact"/>
              <w:rPr>
                <w:sz w:val="20"/>
                <w:szCs w:val="20"/>
                <w:color w:val="auto"/>
              </w:rPr>
            </w:pPr>
            <w:r>
              <w:rPr>
                <w:rFonts w:ascii="Arial" w:cs="Arial" w:eastAsia="Arial" w:hAnsi="Arial"/>
                <w:sz w:val="18"/>
                <w:szCs w:val="18"/>
                <w:color w:val="auto"/>
              </w:rPr>
              <w:t>Investments measured at NAV:</w:t>
            </w: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Private funds</w:t>
            </w:r>
          </w:p>
        </w:tc>
        <w:tc>
          <w:tcPr>
            <w:tcW w:w="15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51</w:t>
            </w:r>
          </w:p>
        </w:tc>
        <w:tc>
          <w:tcPr>
            <w:tcW w:w="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Real estate funds</w:t>
            </w:r>
          </w:p>
        </w:tc>
        <w:tc>
          <w:tcPr>
            <w:tcW w:w="158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69</w:t>
            </w:r>
          </w:p>
        </w:tc>
        <w:tc>
          <w:tcPr>
            <w:tcW w:w="36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920" w:type="dxa"/>
            <w:vAlign w:val="bottom"/>
            <w:tcBorders>
              <w:bottom w:val="single" w:sz="8" w:color="E5FFFF"/>
            </w:tcBorders>
          </w:tcPr>
          <w:p>
            <w:pPr>
              <w:spacing w:after="0"/>
              <w:rPr>
                <w:sz w:val="18"/>
                <w:szCs w:val="18"/>
                <w:color w:val="auto"/>
              </w:rPr>
            </w:pPr>
          </w:p>
        </w:tc>
        <w:tc>
          <w:tcPr>
            <w:tcW w:w="340" w:type="dxa"/>
            <w:vAlign w:val="bottom"/>
            <w:tcBorders>
              <w:bottom w:val="single" w:sz="8" w:color="E5FFFF"/>
            </w:tcBorders>
          </w:tcPr>
          <w:p>
            <w:pPr>
              <w:spacing w:after="0"/>
              <w:rPr>
                <w:sz w:val="18"/>
                <w:szCs w:val="18"/>
                <w:color w:val="auto"/>
              </w:rPr>
            </w:pPr>
          </w:p>
        </w:tc>
        <w:tc>
          <w:tcPr>
            <w:tcW w:w="320" w:type="dxa"/>
            <w:vAlign w:val="bottom"/>
            <w:tcBorders>
              <w:bottom w:val="single" w:sz="8" w:color="E5FFFF"/>
            </w:tcBorders>
          </w:tcPr>
          <w:p>
            <w:pPr>
              <w:spacing w:after="0"/>
              <w:rPr>
                <w:sz w:val="18"/>
                <w:szCs w:val="18"/>
                <w:color w:val="auto"/>
              </w:rPr>
            </w:pPr>
          </w:p>
        </w:tc>
        <w:tc>
          <w:tcPr>
            <w:tcW w:w="800" w:type="dxa"/>
            <w:vAlign w:val="bottom"/>
            <w:tcBorders>
              <w:bottom w:val="single" w:sz="8" w:color="E5FFFF"/>
            </w:tcBorders>
          </w:tcPr>
          <w:p>
            <w:pPr>
              <w:spacing w:after="0"/>
              <w:rPr>
                <w:sz w:val="18"/>
                <w:szCs w:val="18"/>
                <w:color w:val="auto"/>
              </w:rPr>
            </w:pPr>
          </w:p>
        </w:tc>
        <w:tc>
          <w:tcPr>
            <w:tcW w:w="34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92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60" w:type="dxa"/>
            <w:vAlign w:val="bottom"/>
            <w:tcBorders>
              <w:bottom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Total assets at fair value</w:t>
            </w:r>
          </w:p>
        </w:tc>
        <w:tc>
          <w:tcPr>
            <w:tcW w:w="1580" w:type="dxa"/>
            <w:vAlign w:val="bottom"/>
            <w:tcBorders>
              <w:bottom w:val="single" w:sz="8" w:color="E5FFFF"/>
            </w:tcBorders>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6,117</w:t>
            </w:r>
          </w:p>
        </w:tc>
        <w:tc>
          <w:tcPr>
            <w:tcW w:w="36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E5FFFF"/>
            </w:tcBorders>
            <w:shd w:val="clear" w:color="auto" w:fill="E5FFFF"/>
          </w:tcPr>
          <w:p>
            <w:pPr>
              <w:spacing w:after="0"/>
              <w:rPr>
                <w:sz w:val="17"/>
                <w:szCs w:val="17"/>
                <w:color w:val="auto"/>
              </w:rPr>
            </w:pPr>
          </w:p>
        </w:tc>
        <w:tc>
          <w:tcPr>
            <w:tcW w:w="920" w:type="dxa"/>
            <w:vAlign w:val="bottom"/>
            <w:tcBorders>
              <w:bottom w:val="single" w:sz="8" w:color="E5FFFF"/>
            </w:tcBorders>
            <w:shd w:val="clear" w:color="auto" w:fill="E5FFFF"/>
          </w:tcPr>
          <w:p>
            <w:pPr>
              <w:spacing w:after="0"/>
              <w:rPr>
                <w:sz w:val="17"/>
                <w:szCs w:val="17"/>
                <w:color w:val="auto"/>
              </w:rPr>
            </w:pPr>
          </w:p>
        </w:tc>
        <w:tc>
          <w:tcPr>
            <w:tcW w:w="340" w:type="dxa"/>
            <w:vAlign w:val="bottom"/>
            <w:tcBorders>
              <w:bottom w:val="single" w:sz="8" w:color="E5FFFF"/>
            </w:tcBorders>
            <w:shd w:val="clear" w:color="auto" w:fill="E5FFFF"/>
          </w:tcPr>
          <w:p>
            <w:pPr>
              <w:spacing w:after="0"/>
              <w:rPr>
                <w:sz w:val="17"/>
                <w:szCs w:val="17"/>
                <w:color w:val="auto"/>
              </w:rPr>
            </w:pPr>
          </w:p>
        </w:tc>
        <w:tc>
          <w:tcPr>
            <w:tcW w:w="320" w:type="dxa"/>
            <w:vAlign w:val="bottom"/>
            <w:tcBorders>
              <w:bottom w:val="single" w:sz="8" w:color="E5FFFF"/>
            </w:tcBorders>
            <w:shd w:val="clear" w:color="auto" w:fill="E5FFFF"/>
          </w:tcPr>
          <w:p>
            <w:pPr>
              <w:spacing w:after="0"/>
              <w:rPr>
                <w:sz w:val="17"/>
                <w:szCs w:val="17"/>
                <w:color w:val="auto"/>
              </w:rPr>
            </w:pPr>
          </w:p>
        </w:tc>
        <w:tc>
          <w:tcPr>
            <w:tcW w:w="800" w:type="dxa"/>
            <w:vAlign w:val="bottom"/>
            <w:tcBorders>
              <w:bottom w:val="single" w:sz="8" w:color="E5FFFF"/>
            </w:tcBorders>
            <w:shd w:val="clear" w:color="auto" w:fill="E5FFFF"/>
          </w:tcPr>
          <w:p>
            <w:pPr>
              <w:spacing w:after="0"/>
              <w:rPr>
                <w:sz w:val="17"/>
                <w:szCs w:val="17"/>
                <w:color w:val="auto"/>
              </w:rPr>
            </w:pPr>
          </w:p>
        </w:tc>
        <w:tc>
          <w:tcPr>
            <w:tcW w:w="340" w:type="dxa"/>
            <w:vAlign w:val="bottom"/>
            <w:tcBorders>
              <w:bottom w:val="single" w:sz="8" w:color="E5FFFF"/>
            </w:tcBorders>
            <w:shd w:val="clear" w:color="auto" w:fill="E5FFFF"/>
          </w:tcPr>
          <w:p>
            <w:pPr>
              <w:spacing w:after="0"/>
              <w:rPr>
                <w:sz w:val="17"/>
                <w:szCs w:val="17"/>
                <w:color w:val="auto"/>
              </w:rPr>
            </w:pPr>
          </w:p>
        </w:tc>
        <w:tc>
          <w:tcPr>
            <w:tcW w:w="200" w:type="dxa"/>
            <w:vAlign w:val="bottom"/>
            <w:tcBorders>
              <w:bottom w:val="single" w:sz="8" w:color="E5FFFF"/>
            </w:tcBorders>
            <w:shd w:val="clear" w:color="auto" w:fill="E5FFFF"/>
          </w:tcPr>
          <w:p>
            <w:pPr>
              <w:spacing w:after="0"/>
              <w:rPr>
                <w:sz w:val="17"/>
                <w:szCs w:val="17"/>
                <w:color w:val="auto"/>
              </w:rPr>
            </w:pPr>
          </w:p>
        </w:tc>
        <w:tc>
          <w:tcPr>
            <w:tcW w:w="92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77</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26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60" w:type="dxa"/>
            <w:vAlign w:val="bottom"/>
            <w:tcBorders>
              <w:bottom w:val="single" w:sz="8" w:color="C0C0C0"/>
            </w:tcBorders>
          </w:tcPr>
          <w:p>
            <w:pPr>
              <w:spacing w:after="0"/>
              <w:rPr>
                <w:sz w:val="21"/>
                <w:szCs w:val="21"/>
                <w:color w:val="auto"/>
              </w:rPr>
            </w:pPr>
          </w:p>
        </w:tc>
        <w:tc>
          <w:tcPr>
            <w:tcW w:w="158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900" w:type="dxa"/>
            <w:vAlign w:val="bottom"/>
            <w:tcBorders>
              <w:bottom w:val="single" w:sz="8" w:color="C0C0C0"/>
            </w:tcBorders>
          </w:tcPr>
          <w:p>
            <w:pPr>
              <w:spacing w:after="0"/>
              <w:rPr>
                <w:sz w:val="21"/>
                <w:szCs w:val="21"/>
                <w:color w:val="auto"/>
              </w:rPr>
            </w:pPr>
          </w:p>
        </w:tc>
        <w:tc>
          <w:tcPr>
            <w:tcW w:w="36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920" w:type="dxa"/>
            <w:vAlign w:val="bottom"/>
            <w:tcBorders>
              <w:bottom w:val="single" w:sz="8" w:color="C0C0C0"/>
            </w:tcBorders>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c>
          <w:tcPr>
            <w:tcW w:w="320" w:type="dxa"/>
            <w:vAlign w:val="bottom"/>
            <w:tcBorders>
              <w:bottom w:val="single" w:sz="8" w:color="C0C0C0"/>
            </w:tcBorders>
          </w:tcPr>
          <w:p>
            <w:pPr>
              <w:spacing w:after="0"/>
              <w:rPr>
                <w:sz w:val="21"/>
                <w:szCs w:val="21"/>
                <w:color w:val="auto"/>
              </w:rPr>
            </w:pPr>
          </w:p>
        </w:tc>
        <w:tc>
          <w:tcPr>
            <w:tcW w:w="800" w:type="dxa"/>
            <w:vAlign w:val="bottom"/>
            <w:tcBorders>
              <w:bottom w:val="single" w:sz="8" w:color="C0C0C0"/>
            </w:tcBorders>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c>
          <w:tcPr>
            <w:tcW w:w="200" w:type="dxa"/>
            <w:vAlign w:val="bottom"/>
            <w:tcBorders>
              <w:bottom w:val="single" w:sz="8" w:color="C0C0C0"/>
            </w:tcBorders>
          </w:tcPr>
          <w:p>
            <w:pPr>
              <w:spacing w:after="0"/>
              <w:rPr>
                <w:sz w:val="21"/>
                <w:szCs w:val="21"/>
                <w:color w:val="auto"/>
              </w:rPr>
            </w:pPr>
          </w:p>
        </w:tc>
        <w:tc>
          <w:tcPr>
            <w:tcW w:w="92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3"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changes in the fair value of Level 3 assets for both U.S. and Non-U.S. plans: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U.S. Plans</w:t>
            </w:r>
          </w:p>
        </w:tc>
        <w:tc>
          <w:tcPr>
            <w:tcW w:w="10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773"/>
              <w:spacing w:after="0"/>
              <w:rPr>
                <w:sz w:val="20"/>
                <w:szCs w:val="20"/>
                <w:color w:val="auto"/>
              </w:rPr>
            </w:pPr>
            <w:r>
              <w:rPr>
                <w:rFonts w:ascii="Arial" w:cs="Arial" w:eastAsia="Arial" w:hAnsi="Arial"/>
                <w:sz w:val="14"/>
                <w:szCs w:val="14"/>
                <w:b w:val="1"/>
                <w:bCs w:val="1"/>
                <w:color w:val="auto"/>
              </w:rPr>
              <w:t>Non-U.S. Plans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95"/>
              <w:spacing w:after="0" w:line="143" w:lineRule="exact"/>
              <w:rPr>
                <w:sz w:val="20"/>
                <w:szCs w:val="20"/>
                <w:color w:val="auto"/>
              </w:rPr>
            </w:pPr>
            <w:r>
              <w:rPr>
                <w:rFonts w:ascii="Arial" w:cs="Arial" w:eastAsia="Arial" w:hAnsi="Arial"/>
                <w:sz w:val="14"/>
                <w:szCs w:val="14"/>
                <w:b w:val="1"/>
                <w:bCs w:val="1"/>
                <w:color w:val="auto"/>
              </w:rPr>
              <w:t>Direct</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95"/>
              <w:spacing w:after="0"/>
              <w:rPr>
                <w:sz w:val="20"/>
                <w:szCs w:val="20"/>
                <w:color w:val="auto"/>
              </w:rPr>
            </w:pPr>
            <w:r>
              <w:rPr>
                <w:rFonts w:ascii="Arial" w:cs="Arial" w:eastAsia="Arial" w:hAnsi="Arial"/>
                <w:sz w:val="14"/>
                <w:szCs w:val="14"/>
                <w:b w:val="1"/>
                <w:bCs w:val="1"/>
                <w:color w:val="auto"/>
              </w:rPr>
              <w:t>Private</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Real Estate</w:t>
            </w:r>
          </w:p>
        </w:tc>
        <w:tc>
          <w:tcPr>
            <w:tcW w:w="240" w:type="dxa"/>
            <w:vAlign w:val="bottom"/>
          </w:tcPr>
          <w:p>
            <w:pPr>
              <w:spacing w:after="0"/>
              <w:rPr>
                <w:sz w:val="15"/>
                <w:szCs w:val="15"/>
                <w:color w:val="auto"/>
              </w:rPr>
            </w:pPr>
          </w:p>
        </w:tc>
        <w:tc>
          <w:tcPr>
            <w:tcW w:w="980" w:type="dxa"/>
            <w:vAlign w:val="bottom"/>
          </w:tcPr>
          <w:p>
            <w:pPr>
              <w:jc w:val="right"/>
              <w:ind w:right="274"/>
              <w:spacing w:after="0"/>
              <w:rPr>
                <w:sz w:val="20"/>
                <w:szCs w:val="20"/>
                <w:color w:val="auto"/>
              </w:rPr>
            </w:pPr>
            <w:r>
              <w:rPr>
                <w:rFonts w:ascii="Arial" w:cs="Arial" w:eastAsia="Arial" w:hAnsi="Arial"/>
                <w:sz w:val="14"/>
                <w:szCs w:val="14"/>
                <w:b w:val="1"/>
                <w:bCs w:val="1"/>
                <w:color w:val="auto"/>
              </w:rPr>
              <w:t>Private</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153"/>
              <w:spacing w:after="0"/>
              <w:rPr>
                <w:sz w:val="20"/>
                <w:szCs w:val="20"/>
                <w:color w:val="auto"/>
              </w:rPr>
            </w:pPr>
            <w:r>
              <w:rPr>
                <w:rFonts w:ascii="Arial" w:cs="Arial" w:eastAsia="Arial" w:hAnsi="Arial"/>
                <w:sz w:val="14"/>
                <w:szCs w:val="14"/>
                <w:b w:val="1"/>
                <w:bCs w:val="1"/>
                <w:color w:val="auto"/>
              </w:rPr>
              <w:t>Real Estate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95"/>
              <w:spacing w:after="0"/>
              <w:rPr>
                <w:sz w:val="20"/>
                <w:szCs w:val="20"/>
                <w:color w:val="auto"/>
              </w:rPr>
            </w:pPr>
            <w:r>
              <w:rPr>
                <w:rFonts w:ascii="Arial" w:cs="Arial" w:eastAsia="Arial" w:hAnsi="Arial"/>
                <w:sz w:val="14"/>
                <w:szCs w:val="14"/>
                <w:b w:val="1"/>
                <w:bCs w:val="1"/>
                <w:color w:val="auto"/>
              </w:rPr>
              <w:t>Investments</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Properties</w:t>
            </w:r>
          </w:p>
        </w:tc>
        <w:tc>
          <w:tcPr>
            <w:tcW w:w="240" w:type="dxa"/>
            <w:vAlign w:val="bottom"/>
          </w:tcPr>
          <w:p>
            <w:pPr>
              <w:spacing w:after="0"/>
              <w:rPr>
                <w:sz w:val="15"/>
                <w:szCs w:val="15"/>
                <w:color w:val="auto"/>
              </w:rPr>
            </w:pPr>
          </w:p>
        </w:tc>
        <w:tc>
          <w:tcPr>
            <w:tcW w:w="980" w:type="dxa"/>
            <w:vAlign w:val="bottom"/>
          </w:tcPr>
          <w:p>
            <w:pPr>
              <w:jc w:val="right"/>
              <w:ind w:right="314"/>
              <w:spacing w:after="0"/>
              <w:rPr>
                <w:sz w:val="20"/>
                <w:szCs w:val="20"/>
                <w:color w:val="auto"/>
              </w:rPr>
            </w:pPr>
            <w:r>
              <w:rPr>
                <w:rFonts w:ascii="Arial" w:cs="Arial" w:eastAsia="Arial" w:hAnsi="Arial"/>
                <w:sz w:val="14"/>
                <w:szCs w:val="14"/>
                <w:b w:val="1"/>
                <w:bCs w:val="1"/>
                <w:color w:val="auto"/>
              </w:rPr>
              <w:t>Funds</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313"/>
              <w:spacing w:after="0"/>
              <w:rPr>
                <w:sz w:val="20"/>
                <w:szCs w:val="20"/>
                <w:color w:val="auto"/>
              </w:rPr>
            </w:pPr>
            <w:r>
              <w:rPr>
                <w:rFonts w:ascii="Arial" w:cs="Arial" w:eastAsia="Arial" w:hAnsi="Arial"/>
                <w:sz w:val="14"/>
                <w:szCs w:val="14"/>
                <w:b w:val="1"/>
                <w:bCs w:val="1"/>
                <w:color w:val="auto"/>
              </w:rPr>
              <w:t>Funds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Balance at December 31, 2014</w:t>
            </w:r>
          </w:p>
        </w:tc>
        <w:tc>
          <w:tcPr>
            <w:tcW w:w="1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E5FFFF"/>
          </w:tcPr>
          <w:p>
            <w:pPr>
              <w:jc w:val="right"/>
              <w:ind w:right="15"/>
              <w:spacing w:after="0" w:line="196" w:lineRule="exact"/>
              <w:rPr>
                <w:sz w:val="20"/>
                <w:szCs w:val="20"/>
                <w:color w:val="auto"/>
              </w:rPr>
            </w:pPr>
            <w:r>
              <w:rPr>
                <w:rFonts w:ascii="Arial" w:cs="Arial" w:eastAsia="Arial" w:hAnsi="Arial"/>
                <w:sz w:val="18"/>
                <w:szCs w:val="18"/>
                <w:color w:val="auto"/>
              </w:rPr>
              <w:t>301</w:t>
            </w:r>
          </w:p>
        </w:tc>
        <w:tc>
          <w:tcPr>
            <w:tcW w:w="30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600</w:t>
            </w:r>
          </w:p>
        </w:tc>
        <w:tc>
          <w:tcPr>
            <w:tcW w:w="30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auto"/>
            </w:tcBorders>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w:t>
            </w:r>
          </w:p>
        </w:tc>
        <w:tc>
          <w:tcPr>
            <w:tcW w:w="30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Actual return on plan assets: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Relating to assets still held at year-end</w:t>
            </w:r>
          </w:p>
        </w:tc>
        <w:tc>
          <w:tcPr>
            <w:tcW w:w="160" w:type="dxa"/>
            <w:vAlign w:val="bottom"/>
            <w:shd w:val="clear" w:color="auto" w:fill="E5FFFF"/>
          </w:tcPr>
          <w:p>
            <w:pPr>
              <w:spacing w:after="0"/>
              <w:rPr>
                <w:sz w:val="17"/>
                <w:szCs w:val="17"/>
                <w:color w:val="auto"/>
              </w:rPr>
            </w:pPr>
          </w:p>
        </w:tc>
        <w:tc>
          <w:tcPr>
            <w:tcW w:w="1100" w:type="dxa"/>
            <w:vAlign w:val="bottom"/>
            <w:shd w:val="clear" w:color="auto" w:fill="E5FFFF"/>
          </w:tcPr>
          <w:p>
            <w:pPr>
              <w:jc w:val="right"/>
              <w:ind w:right="15"/>
              <w:spacing w:after="0" w:line="202" w:lineRule="exact"/>
              <w:rPr>
                <w:sz w:val="20"/>
                <w:szCs w:val="20"/>
                <w:color w:val="auto"/>
              </w:rPr>
            </w:pPr>
            <w:r>
              <w:rPr>
                <w:rFonts w:ascii="Arial" w:cs="Arial" w:eastAsia="Arial" w:hAnsi="Arial"/>
                <w:sz w:val="18"/>
                <w:szCs w:val="18"/>
                <w:color w:val="auto"/>
              </w:rPr>
              <w:t>47</w:t>
            </w:r>
          </w:p>
        </w:tc>
        <w:tc>
          <w:tcPr>
            <w:tcW w:w="3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16</w:t>
            </w:r>
          </w:p>
        </w:tc>
        <w:tc>
          <w:tcPr>
            <w:tcW w:w="3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9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ind w:left="160"/>
              <w:spacing w:after="0" w:line="202" w:lineRule="exact"/>
              <w:rPr>
                <w:sz w:val="20"/>
                <w:szCs w:val="20"/>
                <w:color w:val="auto"/>
              </w:rPr>
            </w:pPr>
            <w:r>
              <w:rPr>
                <w:rFonts w:ascii="Arial" w:cs="Arial" w:eastAsia="Arial" w:hAnsi="Arial"/>
                <w:sz w:val="18"/>
                <w:szCs w:val="18"/>
                <w:color w:val="auto"/>
              </w:rPr>
              <w:t>Relating to assets sold during the year</w:t>
            </w:r>
          </w:p>
        </w:tc>
        <w:tc>
          <w:tcPr>
            <w:tcW w:w="160" w:type="dxa"/>
            <w:vAlign w:val="bottom"/>
          </w:tcPr>
          <w:p>
            <w:pPr>
              <w:spacing w:after="0"/>
              <w:rPr>
                <w:sz w:val="17"/>
                <w:szCs w:val="17"/>
                <w:color w:val="auto"/>
              </w:rPr>
            </w:pPr>
          </w:p>
        </w:tc>
        <w:tc>
          <w:tcPr>
            <w:tcW w:w="11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21</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Purchases</w:t>
            </w:r>
          </w:p>
        </w:tc>
        <w:tc>
          <w:tcPr>
            <w:tcW w:w="160" w:type="dxa"/>
            <w:vAlign w:val="bottom"/>
            <w:shd w:val="clear" w:color="auto" w:fill="E5FFFF"/>
          </w:tcPr>
          <w:p>
            <w:pPr>
              <w:spacing w:after="0"/>
              <w:rPr>
                <w:sz w:val="17"/>
                <w:szCs w:val="17"/>
                <w:color w:val="auto"/>
              </w:rPr>
            </w:pPr>
          </w:p>
        </w:tc>
        <w:tc>
          <w:tcPr>
            <w:tcW w:w="1100" w:type="dxa"/>
            <w:vAlign w:val="bottom"/>
            <w:shd w:val="clear" w:color="auto" w:fill="E5FFFF"/>
          </w:tcPr>
          <w:p>
            <w:pPr>
              <w:jc w:val="right"/>
              <w:ind w:right="15"/>
              <w:spacing w:after="0" w:line="202" w:lineRule="exact"/>
              <w:rPr>
                <w:sz w:val="20"/>
                <w:szCs w:val="20"/>
                <w:color w:val="auto"/>
              </w:rPr>
            </w:pPr>
            <w:r>
              <w:rPr>
                <w:rFonts w:ascii="Arial" w:cs="Arial" w:eastAsia="Arial" w:hAnsi="Arial"/>
                <w:sz w:val="18"/>
                <w:szCs w:val="18"/>
                <w:color w:val="auto"/>
              </w:rPr>
              <w:t>242</w:t>
            </w:r>
          </w:p>
        </w:tc>
        <w:tc>
          <w:tcPr>
            <w:tcW w:w="3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16</w:t>
            </w:r>
          </w:p>
        </w:tc>
        <w:tc>
          <w:tcPr>
            <w:tcW w:w="3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9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10</w:t>
            </w:r>
          </w:p>
        </w:tc>
        <w:tc>
          <w:tcPr>
            <w:tcW w:w="3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Sales and settlements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Balance at December 31, 2015</w:t>
            </w:r>
          </w:p>
        </w:tc>
        <w:tc>
          <w:tcPr>
            <w:tcW w:w="160" w:type="dxa"/>
            <w:vAlign w:val="bottom"/>
            <w:shd w:val="clear" w:color="auto" w:fill="E5FFFF"/>
          </w:tcPr>
          <w:p>
            <w:pPr>
              <w:spacing w:after="0"/>
              <w:rPr>
                <w:sz w:val="17"/>
                <w:szCs w:val="17"/>
                <w:color w:val="auto"/>
              </w:rPr>
            </w:pPr>
          </w:p>
        </w:tc>
        <w:tc>
          <w:tcPr>
            <w:tcW w:w="1100" w:type="dxa"/>
            <w:vAlign w:val="bottom"/>
            <w:shd w:val="clear" w:color="auto" w:fill="E5FFFF"/>
          </w:tcPr>
          <w:p>
            <w:pPr>
              <w:jc w:val="right"/>
              <w:ind w:right="15"/>
              <w:spacing w:after="0" w:line="202" w:lineRule="exact"/>
              <w:rPr>
                <w:sz w:val="20"/>
                <w:szCs w:val="20"/>
                <w:color w:val="auto"/>
              </w:rPr>
            </w:pPr>
            <w:r>
              <w:rPr>
                <w:rFonts w:ascii="Arial" w:cs="Arial" w:eastAsia="Arial" w:hAnsi="Arial"/>
                <w:sz w:val="18"/>
                <w:szCs w:val="18"/>
                <w:color w:val="auto"/>
              </w:rPr>
              <w:t>535</w:t>
            </w:r>
          </w:p>
        </w:tc>
        <w:tc>
          <w:tcPr>
            <w:tcW w:w="3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626</w:t>
            </w:r>
          </w:p>
        </w:tc>
        <w:tc>
          <w:tcPr>
            <w:tcW w:w="3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9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10</w:t>
            </w:r>
          </w:p>
        </w:tc>
        <w:tc>
          <w:tcPr>
            <w:tcW w:w="3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Actual return on plan assets: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Relating to assets still held at year-end</w:t>
            </w:r>
          </w:p>
        </w:tc>
        <w:tc>
          <w:tcPr>
            <w:tcW w:w="160" w:type="dxa"/>
            <w:vAlign w:val="bottom"/>
            <w:shd w:val="clear" w:color="auto" w:fill="E5FFFF"/>
          </w:tcPr>
          <w:p>
            <w:pPr>
              <w:spacing w:after="0"/>
              <w:rPr>
                <w:sz w:val="17"/>
                <w:szCs w:val="17"/>
                <w:color w:val="auto"/>
              </w:rPr>
            </w:pPr>
          </w:p>
        </w:tc>
        <w:tc>
          <w:tcPr>
            <w:tcW w:w="11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(42)</w:t>
            </w:r>
          </w:p>
        </w:tc>
        <w:tc>
          <w:tcPr>
            <w:tcW w:w="3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11</w:t>
            </w:r>
          </w:p>
        </w:tc>
        <w:tc>
          <w:tcPr>
            <w:tcW w:w="3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9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w:t>
            </w:r>
          </w:p>
        </w:tc>
        <w:tc>
          <w:tcPr>
            <w:tcW w:w="3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ind w:left="160"/>
              <w:spacing w:after="0" w:line="202" w:lineRule="exact"/>
              <w:rPr>
                <w:sz w:val="20"/>
                <w:szCs w:val="20"/>
                <w:color w:val="auto"/>
              </w:rPr>
            </w:pPr>
            <w:r>
              <w:rPr>
                <w:rFonts w:ascii="Arial" w:cs="Arial" w:eastAsia="Arial" w:hAnsi="Arial"/>
                <w:sz w:val="18"/>
                <w:szCs w:val="18"/>
                <w:color w:val="auto"/>
              </w:rPr>
              <w:t>Relating to assets sold during the year</w:t>
            </w:r>
          </w:p>
        </w:tc>
        <w:tc>
          <w:tcPr>
            <w:tcW w:w="160" w:type="dxa"/>
            <w:vAlign w:val="bottom"/>
          </w:tcPr>
          <w:p>
            <w:pPr>
              <w:spacing w:after="0"/>
              <w:rPr>
                <w:sz w:val="17"/>
                <w:szCs w:val="17"/>
                <w:color w:val="auto"/>
              </w:rPr>
            </w:pPr>
          </w:p>
        </w:tc>
        <w:tc>
          <w:tcPr>
            <w:tcW w:w="11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28</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Purchases</w:t>
            </w:r>
          </w:p>
        </w:tc>
        <w:tc>
          <w:tcPr>
            <w:tcW w:w="160" w:type="dxa"/>
            <w:vAlign w:val="bottom"/>
            <w:shd w:val="clear" w:color="auto" w:fill="E5FFFF"/>
          </w:tcPr>
          <w:p>
            <w:pPr>
              <w:spacing w:after="0"/>
              <w:rPr>
                <w:sz w:val="17"/>
                <w:szCs w:val="17"/>
                <w:color w:val="auto"/>
              </w:rPr>
            </w:pPr>
          </w:p>
        </w:tc>
        <w:tc>
          <w:tcPr>
            <w:tcW w:w="1100" w:type="dxa"/>
            <w:vAlign w:val="bottom"/>
            <w:shd w:val="clear" w:color="auto" w:fill="E5FFFF"/>
          </w:tcPr>
          <w:p>
            <w:pPr>
              <w:jc w:val="right"/>
              <w:ind w:right="15"/>
              <w:spacing w:after="0" w:line="202" w:lineRule="exact"/>
              <w:rPr>
                <w:sz w:val="20"/>
                <w:szCs w:val="20"/>
                <w:color w:val="auto"/>
              </w:rPr>
            </w:pPr>
            <w:r>
              <w:rPr>
                <w:rFonts w:ascii="Arial" w:cs="Arial" w:eastAsia="Arial" w:hAnsi="Arial"/>
                <w:sz w:val="18"/>
                <w:szCs w:val="18"/>
                <w:color w:val="auto"/>
              </w:rPr>
              <w:t>141</w:t>
            </w:r>
          </w:p>
        </w:tc>
        <w:tc>
          <w:tcPr>
            <w:tcW w:w="3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48</w:t>
            </w:r>
          </w:p>
        </w:tc>
        <w:tc>
          <w:tcPr>
            <w:tcW w:w="3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9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12</w:t>
            </w:r>
          </w:p>
        </w:tc>
        <w:tc>
          <w:tcPr>
            <w:tcW w:w="3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Sales and settlements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30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0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Balance at December 31, 2016</w:t>
            </w:r>
          </w:p>
        </w:tc>
        <w:tc>
          <w:tcPr>
            <w:tcW w:w="1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E5FFFF"/>
          </w:tcPr>
          <w:p>
            <w:pPr>
              <w:jc w:val="right"/>
              <w:ind w:right="15"/>
              <w:spacing w:after="0"/>
              <w:rPr>
                <w:sz w:val="20"/>
                <w:szCs w:val="20"/>
                <w:color w:val="auto"/>
              </w:rPr>
            </w:pPr>
            <w:r>
              <w:rPr>
                <w:rFonts w:ascii="Arial" w:cs="Arial" w:eastAsia="Arial" w:hAnsi="Arial"/>
                <w:sz w:val="18"/>
                <w:szCs w:val="18"/>
                <w:color w:val="auto"/>
              </w:rPr>
              <w:t>609</w:t>
            </w:r>
          </w:p>
        </w:tc>
        <w:tc>
          <w:tcPr>
            <w:tcW w:w="500" w:type="dxa"/>
            <w:vAlign w:val="bottom"/>
            <w:gridSpan w:val="2"/>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664</w:t>
            </w:r>
          </w:p>
        </w:tc>
        <w:tc>
          <w:tcPr>
            <w:tcW w:w="300" w:type="dxa"/>
            <w:vAlign w:val="bottom"/>
            <w:shd w:val="clear" w:color="auto" w:fill="E5FFFF"/>
          </w:tcPr>
          <w:p>
            <w:pPr>
              <w:spacing w:after="0"/>
              <w:rPr>
                <w:sz w:val="18"/>
                <w:szCs w:val="18"/>
                <w:color w:val="auto"/>
              </w:rPr>
            </w:pPr>
          </w:p>
        </w:tc>
        <w:tc>
          <w:tcPr>
            <w:tcW w:w="240" w:type="dxa"/>
            <w:vAlign w:val="bottom"/>
            <w:shd w:val="clear" w:color="auto" w:fill="E5FF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23</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Company enters into futures contracts to gain exposure to certain markets. Sufficient cash or cash equivalents are held by our pension plans to cover the notional value of the futures contracts. At December 31, 2016 and 2015, our U.S. plans had contracts with notional amounts of $3,775 million and $2,613 million. At December 31, 2016 and 2015, our non-U.S. plans had contracts with notional amounts of $55 million and $54 million. In both our U.S. and non-U.S. pension plans, the notional derivative exposure is primarily related to outstanding equity futures contracts.</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Common stocks, preferred stocks, real estate investment trusts, and short-term investments are valued at the closing price reported in the active market in which the individual securities are traded. Corporate bonds, mortgages, asset-backed securities, and government securities are valued either by using pricing models, bids provided by brokers or dealers, quoted prices of securities with similar characteristics or discounted cash flows and as such include adjustments for certain risks that may not be observable such as credit and liquidity risks. Certain securities are held in collective trust funds which are valued using net asset values provided by the administrators of the funds. Investments in private equity, debt, real estate and hedge funds and direct private investments are valued at estimated fair value based on quarterly financial information received from the investment advisor and/or general partner. Investments in real estate properties are valued on a quarterly basis using the income approach. Valuation estimates are periodically supplemented by third party appraisals.</w:t>
      </w:r>
    </w:p>
    <w:p>
      <w:pPr>
        <w:spacing w:after="0" w:line="19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Our general funding policy for qualified defined benefit pension plans is to contribute amounts at least sufficient to satisfy regulatory funding standards. In 2016, 2015 and 2014, we were not required to make contributions to our U.S. pension plans and no contributions were made. We are not required to make any contributions to our U.S. pension plans in 2017. In 2016, contributions of $149 million were made to our non-U.S. pension plans to satisfy regulatory funding requirements. In 2017, we expect to make contributions of cash and/or marketable securities of approximately $130 million to our non-U.S. pension plans to satisfy regulatory funding standards. Contributions for both our U.S. and non-U.S. pension plans do not reflect benefits paid directly from Company assets.</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Benefit payments, including amounts to be paid from Company assets, and reflecting expected future service, as appropriate, are expected to be paid as follows: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 w:type="dxa"/>
            <w:vAlign w:val="bottom"/>
          </w:tcPr>
          <w:p>
            <w:pPr>
              <w:spacing w:after="0"/>
              <w:rPr>
                <w:sz w:val="16"/>
                <w:szCs w:val="16"/>
                <w:color w:val="auto"/>
              </w:rPr>
            </w:pPr>
          </w:p>
        </w:tc>
        <w:tc>
          <w:tcPr>
            <w:tcW w:w="6980" w:type="dxa"/>
            <w:vAlign w:val="bottom"/>
          </w:tcPr>
          <w:p>
            <w:pPr>
              <w:ind w:left="3560"/>
              <w:spacing w:after="0"/>
              <w:rPr>
                <w:sz w:val="20"/>
                <w:szCs w:val="20"/>
                <w:color w:val="auto"/>
              </w:rPr>
            </w:pPr>
            <w:r>
              <w:rPr>
                <w:rFonts w:ascii="Arial" w:cs="Arial" w:eastAsia="Arial" w:hAnsi="Arial"/>
                <w:sz w:val="14"/>
                <w:szCs w:val="14"/>
                <w:b w:val="1"/>
                <w:bCs w:val="1"/>
                <w:color w:val="auto"/>
              </w:rPr>
              <w:t>(Dollars in millions, except per share amounts)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386"/>
        </w:trPr>
        <w:tc>
          <w:tcPr>
            <w:tcW w:w="880" w:type="dxa"/>
            <w:vAlign w:val="bottom"/>
          </w:tcPr>
          <w:p>
            <w:pPr>
              <w:spacing w:after="0"/>
              <w:rPr>
                <w:sz w:val="24"/>
                <w:szCs w:val="24"/>
                <w:color w:val="auto"/>
              </w:rPr>
            </w:pPr>
          </w:p>
        </w:tc>
        <w:tc>
          <w:tcPr>
            <w:tcW w:w="6980" w:type="dxa"/>
            <w:vAlign w:val="bottom"/>
            <w:tcBorders>
              <w:bottom w:val="single" w:sz="8" w:color="E5FFFF"/>
            </w:tcBorders>
          </w:tcPr>
          <w:p>
            <w:pPr>
              <w:spacing w:after="0"/>
              <w:rPr>
                <w:sz w:val="24"/>
                <w:szCs w:val="24"/>
                <w:color w:val="auto"/>
              </w:rPr>
            </w:pPr>
          </w:p>
        </w:tc>
        <w:tc>
          <w:tcPr>
            <w:tcW w:w="100" w:type="dxa"/>
            <w:vAlign w:val="bottom"/>
            <w:tcBorders>
              <w:bottom w:val="single" w:sz="8" w:color="E5FF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U.S. Plans</w:t>
            </w:r>
          </w:p>
        </w:tc>
        <w:tc>
          <w:tcPr>
            <w:tcW w:w="240" w:type="dxa"/>
            <w:vAlign w:val="bottom"/>
            <w:tcBorders>
              <w:bottom w:val="single" w:sz="8" w:color="E5FFFF"/>
            </w:tcBorders>
          </w:tcPr>
          <w:p>
            <w:pPr>
              <w:spacing w:after="0"/>
              <w:rPr>
                <w:sz w:val="24"/>
                <w:szCs w:val="24"/>
                <w:color w:val="auto"/>
              </w:rPr>
            </w:pPr>
          </w:p>
        </w:tc>
        <w:tc>
          <w:tcPr>
            <w:tcW w:w="40" w:type="dxa"/>
            <w:vAlign w:val="bottom"/>
            <w:tcBorders>
              <w:bottom w:val="single" w:sz="8" w:color="E5FFFF"/>
            </w:tcBorders>
          </w:tcPr>
          <w:p>
            <w:pPr>
              <w:spacing w:after="0"/>
              <w:rPr>
                <w:sz w:val="24"/>
                <w:szCs w:val="24"/>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Non-U.S. Plans</w:t>
            </w:r>
          </w:p>
        </w:tc>
      </w:tr>
      <w:tr>
        <w:trPr>
          <w:trHeight w:val="196"/>
        </w:trPr>
        <w:tc>
          <w:tcPr>
            <w:tcW w:w="880" w:type="dxa"/>
            <w:vAlign w:val="bottom"/>
          </w:tcPr>
          <w:p>
            <w:pPr>
              <w:spacing w:after="0"/>
              <w:rPr>
                <w:sz w:val="17"/>
                <w:szCs w:val="17"/>
                <w:color w:val="auto"/>
              </w:rPr>
            </w:pPr>
          </w:p>
        </w:tc>
        <w:tc>
          <w:tcPr>
            <w:tcW w:w="69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2017</w:t>
            </w:r>
          </w:p>
        </w:tc>
        <w:tc>
          <w:tcPr>
            <w:tcW w:w="100" w:type="dxa"/>
            <w:vAlign w:val="bottom"/>
            <w:shd w:val="clear" w:color="auto" w:fill="E5FFFF"/>
          </w:tcPr>
          <w:p>
            <w:pPr>
              <w:spacing w:after="0"/>
              <w:rPr>
                <w:sz w:val="17"/>
                <w:szCs w:val="17"/>
                <w:color w:val="auto"/>
              </w:rPr>
            </w:pPr>
          </w:p>
        </w:tc>
        <w:tc>
          <w:tcPr>
            <w:tcW w:w="1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FFFF"/>
          </w:tcPr>
          <w:p>
            <w:pPr>
              <w:jc w:val="right"/>
              <w:ind w:right="100"/>
              <w:spacing w:after="0" w:line="196" w:lineRule="exact"/>
              <w:rPr>
                <w:sz w:val="20"/>
                <w:szCs w:val="20"/>
                <w:color w:val="auto"/>
              </w:rPr>
            </w:pPr>
            <w:r>
              <w:rPr>
                <w:rFonts w:ascii="Arial" w:cs="Arial" w:eastAsia="Arial" w:hAnsi="Arial"/>
                <w:sz w:val="18"/>
                <w:szCs w:val="18"/>
                <w:color w:val="auto"/>
              </w:rPr>
              <w:t>1,217</w:t>
            </w:r>
          </w:p>
        </w:tc>
        <w:tc>
          <w:tcPr>
            <w:tcW w:w="2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60" w:type="dxa"/>
            <w:vAlign w:val="bottom"/>
            <w:shd w:val="clear" w:color="auto" w:fill="E5FFFF"/>
          </w:tcPr>
          <w:p>
            <w:pPr>
              <w:jc w:val="right"/>
              <w:ind w:right="79"/>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FFFF"/>
          </w:tcPr>
          <w:p>
            <w:pPr>
              <w:jc w:val="right"/>
              <w:ind w:right="100"/>
              <w:spacing w:after="0" w:line="196" w:lineRule="exact"/>
              <w:rPr>
                <w:sz w:val="20"/>
                <w:szCs w:val="20"/>
                <w:color w:val="auto"/>
              </w:rPr>
            </w:pPr>
            <w:r>
              <w:rPr>
                <w:rFonts w:ascii="Arial" w:cs="Arial" w:eastAsia="Arial" w:hAnsi="Arial"/>
                <w:sz w:val="18"/>
                <w:szCs w:val="18"/>
                <w:color w:val="auto"/>
              </w:rPr>
              <w:t>223</w:t>
            </w:r>
          </w:p>
        </w:tc>
      </w:tr>
      <w:tr>
        <w:trPr>
          <w:trHeight w:val="203"/>
        </w:trPr>
        <w:tc>
          <w:tcPr>
            <w:tcW w:w="880" w:type="dxa"/>
            <w:vAlign w:val="bottom"/>
          </w:tcPr>
          <w:p>
            <w:pPr>
              <w:spacing w:after="0"/>
              <w:rPr>
                <w:sz w:val="17"/>
                <w:szCs w:val="17"/>
                <w:color w:val="auto"/>
              </w:rPr>
            </w:pPr>
          </w:p>
        </w:tc>
        <w:tc>
          <w:tcPr>
            <w:tcW w:w="6980" w:type="dxa"/>
            <w:vAlign w:val="bottom"/>
          </w:tcPr>
          <w:p>
            <w:pPr>
              <w:spacing w:after="0" w:line="202" w:lineRule="exact"/>
              <w:rPr>
                <w:sz w:val="20"/>
                <w:szCs w:val="20"/>
                <w:color w:val="auto"/>
              </w:rPr>
            </w:pPr>
            <w:r>
              <w:rPr>
                <w:rFonts w:ascii="Arial" w:cs="Arial" w:eastAsia="Arial" w:hAnsi="Arial"/>
                <w:sz w:val="18"/>
                <w:szCs w:val="18"/>
                <w:color w:val="auto"/>
              </w:rPr>
              <w:t>2018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1,136</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225</w:t>
            </w:r>
          </w:p>
        </w:tc>
      </w:tr>
      <w:tr>
        <w:trPr>
          <w:trHeight w:val="203"/>
        </w:trPr>
        <w:tc>
          <w:tcPr>
            <w:tcW w:w="880" w:type="dxa"/>
            <w:vAlign w:val="bottom"/>
          </w:tcPr>
          <w:p>
            <w:pPr>
              <w:spacing w:after="0"/>
              <w:rPr>
                <w:sz w:val="17"/>
                <w:szCs w:val="17"/>
                <w:color w:val="auto"/>
              </w:rPr>
            </w:pPr>
          </w:p>
        </w:tc>
        <w:tc>
          <w:tcPr>
            <w:tcW w:w="69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2019</w:t>
            </w:r>
          </w:p>
        </w:tc>
        <w:tc>
          <w:tcPr>
            <w:tcW w:w="1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0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1,147</w:t>
            </w:r>
          </w:p>
        </w:tc>
        <w:tc>
          <w:tcPr>
            <w:tcW w:w="2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231</w:t>
            </w:r>
          </w:p>
        </w:tc>
      </w:tr>
      <w:tr>
        <w:trPr>
          <w:trHeight w:val="203"/>
        </w:trPr>
        <w:tc>
          <w:tcPr>
            <w:tcW w:w="880" w:type="dxa"/>
            <w:vAlign w:val="bottom"/>
          </w:tcPr>
          <w:p>
            <w:pPr>
              <w:spacing w:after="0"/>
              <w:rPr>
                <w:sz w:val="17"/>
                <w:szCs w:val="17"/>
                <w:color w:val="auto"/>
              </w:rPr>
            </w:pPr>
          </w:p>
        </w:tc>
        <w:tc>
          <w:tcPr>
            <w:tcW w:w="698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1,158</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238</w:t>
            </w:r>
          </w:p>
        </w:tc>
      </w:tr>
      <w:tr>
        <w:trPr>
          <w:trHeight w:val="203"/>
        </w:trPr>
        <w:tc>
          <w:tcPr>
            <w:tcW w:w="880" w:type="dxa"/>
            <w:vAlign w:val="bottom"/>
          </w:tcPr>
          <w:p>
            <w:pPr>
              <w:spacing w:after="0"/>
              <w:rPr>
                <w:sz w:val="17"/>
                <w:szCs w:val="17"/>
                <w:color w:val="auto"/>
              </w:rPr>
            </w:pPr>
          </w:p>
        </w:tc>
        <w:tc>
          <w:tcPr>
            <w:tcW w:w="69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2021</w:t>
            </w:r>
          </w:p>
        </w:tc>
        <w:tc>
          <w:tcPr>
            <w:tcW w:w="1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0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1,167</w:t>
            </w:r>
          </w:p>
        </w:tc>
        <w:tc>
          <w:tcPr>
            <w:tcW w:w="2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244</w:t>
            </w:r>
          </w:p>
        </w:tc>
      </w:tr>
      <w:tr>
        <w:trPr>
          <w:trHeight w:val="217"/>
        </w:trPr>
        <w:tc>
          <w:tcPr>
            <w:tcW w:w="88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2022-2026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5,838</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1,323</w:t>
            </w:r>
          </w:p>
        </w:tc>
      </w:tr>
      <w:tr>
        <w:trPr>
          <w:trHeight w:val="404"/>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Other Postretirement Benefits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05"/>
        </w:trPr>
        <w:tc>
          <w:tcPr>
            <w:tcW w:w="88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6980" w:type="dxa"/>
            <w:vAlign w:val="bottom"/>
            <w:tcBorders>
              <w:bottom w:val="single" w:sz="8" w:color="E5FF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E5FFFF"/>
            </w:tcBorders>
          </w:tcPr>
          <w:p>
            <w:pPr>
              <w:spacing w:after="0"/>
              <w:rPr>
                <w:sz w:val="17"/>
                <w:szCs w:val="17"/>
                <w:color w:val="auto"/>
              </w:rPr>
            </w:pPr>
          </w:p>
        </w:tc>
        <w:tc>
          <w:tcPr>
            <w:tcW w:w="240" w:type="dxa"/>
            <w:vAlign w:val="bottom"/>
            <w:tcBorders>
              <w:bottom w:val="single" w:sz="8" w:color="E5FF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E5FFFF"/>
            </w:tcBorders>
          </w:tcPr>
          <w:p>
            <w:pPr>
              <w:spacing w:after="0"/>
              <w:rPr>
                <w:sz w:val="17"/>
                <w:szCs w:val="17"/>
                <w:color w:val="auto"/>
              </w:rPr>
            </w:pPr>
          </w:p>
        </w:tc>
      </w:tr>
      <w:tr>
        <w:trPr>
          <w:trHeight w:val="210"/>
        </w:trPr>
        <w:tc>
          <w:tcPr>
            <w:tcW w:w="880" w:type="dxa"/>
            <w:vAlign w:val="bottom"/>
          </w:tcPr>
          <w:p>
            <w:pPr>
              <w:spacing w:after="0"/>
              <w:rPr>
                <w:sz w:val="18"/>
                <w:szCs w:val="18"/>
                <w:color w:val="auto"/>
              </w:rPr>
            </w:pPr>
          </w:p>
        </w:tc>
        <w:tc>
          <w:tcPr>
            <w:tcW w:w="6980" w:type="dxa"/>
            <w:vAlign w:val="bottom"/>
            <w:shd w:val="clear" w:color="auto" w:fill="E5FFFF"/>
          </w:tcPr>
          <w:p>
            <w:pPr>
              <w:spacing w:after="0"/>
              <w:rPr>
                <w:sz w:val="20"/>
                <w:szCs w:val="20"/>
                <w:color w:val="auto"/>
              </w:rPr>
            </w:pPr>
            <w:r>
              <w:rPr>
                <w:rFonts w:ascii="Arial" w:cs="Arial" w:eastAsia="Arial" w:hAnsi="Arial"/>
                <w:sz w:val="18"/>
                <w:szCs w:val="18"/>
                <w:color w:val="auto"/>
              </w:rPr>
              <w:t>Assumed health care cost trend rate:</w:t>
            </w:r>
          </w:p>
        </w:tc>
        <w:tc>
          <w:tcPr>
            <w:tcW w:w="1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r>
      <w:tr>
        <w:trPr>
          <w:trHeight w:val="203"/>
        </w:trPr>
        <w:tc>
          <w:tcPr>
            <w:tcW w:w="880" w:type="dxa"/>
            <w:vAlign w:val="bottom"/>
          </w:tcPr>
          <w:p>
            <w:pPr>
              <w:spacing w:after="0"/>
              <w:rPr>
                <w:sz w:val="17"/>
                <w:szCs w:val="17"/>
                <w:color w:val="auto"/>
              </w:rPr>
            </w:pPr>
          </w:p>
        </w:tc>
        <w:tc>
          <w:tcPr>
            <w:tcW w:w="6980" w:type="dxa"/>
            <w:vAlign w:val="bottom"/>
          </w:tcPr>
          <w:p>
            <w:pPr>
              <w:ind w:left="160"/>
              <w:spacing w:after="0" w:line="202" w:lineRule="exact"/>
              <w:rPr>
                <w:sz w:val="20"/>
                <w:szCs w:val="20"/>
                <w:color w:val="auto"/>
              </w:rPr>
            </w:pPr>
            <w:r>
              <w:rPr>
                <w:rFonts w:ascii="Arial" w:cs="Arial" w:eastAsia="Arial" w:hAnsi="Arial"/>
                <w:sz w:val="18"/>
                <w:szCs w:val="18"/>
                <w:color w:val="auto"/>
              </w:rPr>
              <w:t>Health care cost trend rate assumed for next year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6.50%</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7.00%</w:t>
            </w:r>
          </w:p>
        </w:tc>
      </w:tr>
      <w:tr>
        <w:trPr>
          <w:trHeight w:val="203"/>
        </w:trPr>
        <w:tc>
          <w:tcPr>
            <w:tcW w:w="880" w:type="dxa"/>
            <w:vAlign w:val="bottom"/>
          </w:tcPr>
          <w:p>
            <w:pPr>
              <w:spacing w:after="0"/>
              <w:rPr>
                <w:sz w:val="17"/>
                <w:szCs w:val="17"/>
                <w:color w:val="auto"/>
              </w:rPr>
            </w:pPr>
          </w:p>
        </w:tc>
        <w:tc>
          <w:tcPr>
            <w:tcW w:w="698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Rate that the cost trend rate gradually declines to</w:t>
            </w:r>
          </w:p>
        </w:tc>
        <w:tc>
          <w:tcPr>
            <w:tcW w:w="1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0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5.00%</w:t>
            </w:r>
          </w:p>
        </w:tc>
        <w:tc>
          <w:tcPr>
            <w:tcW w:w="2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5.00%</w:t>
            </w:r>
          </w:p>
        </w:tc>
      </w:tr>
      <w:tr>
        <w:trPr>
          <w:trHeight w:val="217"/>
        </w:trPr>
        <w:tc>
          <w:tcPr>
            <w:tcW w:w="88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Year that the rate reaches the rate it is assumed to remain at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8"/>
                <w:szCs w:val="18"/>
                <w:color w:val="auto"/>
              </w:rPr>
            </w:pPr>
          </w:p>
        </w:tc>
      </w:tr>
    </w:tbl>
    <w:p>
      <w:pPr>
        <w:spacing w:after="0" w:line="18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assumed health care cost trend rate has a significant effect on the amounts reported. A one-percentage-point change in the assumed health care cost trend rate would have the following effects:</w:t>
      </w:r>
    </w:p>
    <w:p>
      <w:pPr>
        <w:spacing w:after="0" w:line="225" w:lineRule="exact"/>
        <w:rPr>
          <w:sz w:val="20"/>
          <w:szCs w:val="20"/>
          <w:color w:val="auto"/>
        </w:rPr>
      </w:pPr>
    </w:p>
    <w:tbl>
      <w:tblPr>
        <w:tblLayout w:type="fixed"/>
        <w:tblInd w:w="8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1 percentage point</w:t>
            </w:r>
          </w:p>
        </w:tc>
      </w:tr>
      <w:tr>
        <w:trPr>
          <w:trHeight w:val="196"/>
        </w:trPr>
        <w:tc>
          <w:tcPr>
            <w:tcW w:w="20" w:type="dxa"/>
            <w:vAlign w:val="bottom"/>
          </w:tcPr>
          <w:p>
            <w:pPr>
              <w:spacing w:after="0"/>
              <w:rPr>
                <w:sz w:val="17"/>
                <w:szCs w:val="17"/>
                <w:color w:val="auto"/>
              </w:rPr>
            </w:pPr>
          </w:p>
        </w:tc>
        <w:tc>
          <w:tcPr>
            <w:tcW w:w="5700" w:type="dxa"/>
            <w:vAlign w:val="bottom"/>
            <w:tcBorders>
              <w:bottom w:val="single" w:sz="8" w:color="E5FFFF"/>
            </w:tcBorders>
          </w:tcPr>
          <w:p>
            <w:pPr>
              <w:spacing w:after="0"/>
              <w:rPr>
                <w:sz w:val="17"/>
                <w:szCs w:val="17"/>
                <w:color w:val="auto"/>
              </w:rPr>
            </w:pPr>
          </w:p>
        </w:tc>
        <w:tc>
          <w:tcPr>
            <w:tcW w:w="138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Increase</w:t>
            </w:r>
          </w:p>
        </w:tc>
        <w:tc>
          <w:tcPr>
            <w:tcW w:w="280" w:type="dxa"/>
            <w:vAlign w:val="bottom"/>
            <w:tcBorders>
              <w:bottom w:val="single" w:sz="8" w:color="E5FF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Decrease</w:t>
            </w:r>
          </w:p>
        </w:tc>
      </w:tr>
      <w:tr>
        <w:trPr>
          <w:trHeight w:val="196"/>
        </w:trPr>
        <w:tc>
          <w:tcPr>
            <w:tcW w:w="20" w:type="dxa"/>
            <w:vAlign w:val="bottom"/>
          </w:tcPr>
          <w:p>
            <w:pPr>
              <w:spacing w:after="0"/>
              <w:rPr>
                <w:sz w:val="17"/>
                <w:szCs w:val="17"/>
                <w:color w:val="auto"/>
              </w:rPr>
            </w:pPr>
          </w:p>
        </w:tc>
        <w:tc>
          <w:tcPr>
            <w:tcW w:w="570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Effect on total of service and interest cost components</w:t>
            </w:r>
          </w:p>
        </w:tc>
        <w:tc>
          <w:tcPr>
            <w:tcW w:w="138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E5FFFF"/>
          </w:tcPr>
          <w:p>
            <w:pPr>
              <w:jc w:val="right"/>
              <w:ind w:right="19"/>
              <w:spacing w:after="0" w:line="196" w:lineRule="exact"/>
              <w:rPr>
                <w:sz w:val="20"/>
                <w:szCs w:val="20"/>
                <w:color w:val="auto"/>
              </w:rPr>
            </w:pPr>
            <w:r>
              <w:rPr>
                <w:rFonts w:ascii="Arial" w:cs="Arial" w:eastAsia="Arial" w:hAnsi="Arial"/>
                <w:sz w:val="18"/>
                <w:szCs w:val="18"/>
                <w:color w:val="auto"/>
              </w:rPr>
              <w:t>1</w:t>
            </w:r>
          </w:p>
        </w:tc>
        <w:tc>
          <w:tcPr>
            <w:tcW w:w="280" w:type="dxa"/>
            <w:vAlign w:val="bottom"/>
            <w:shd w:val="clear" w:color="auto" w:fill="E5FFFF"/>
          </w:tcPr>
          <w:p>
            <w:pPr>
              <w:spacing w:after="0"/>
              <w:rPr>
                <w:sz w:val="17"/>
                <w:szCs w:val="17"/>
                <w:color w:val="auto"/>
              </w:rPr>
            </w:pPr>
          </w:p>
        </w:tc>
        <w:tc>
          <w:tcPr>
            <w:tcW w:w="1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w:t>
            </w:r>
          </w:p>
        </w:tc>
      </w:tr>
      <w:tr>
        <w:trPr>
          <w:trHeight w:val="217"/>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Effect on postretirement benefit obligation</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25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-274320</wp:posOffset>
            </wp:positionV>
            <wp:extent cx="6157595" cy="3943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57595" cy="394335"/>
                    </a:xfrm>
                    <a:prstGeom prst="rect">
                      <a:avLst/>
                    </a:prstGeom>
                    <a:noFill/>
                  </pic:spPr>
                </pic:pic>
              </a:graphicData>
            </a:graphic>
          </wp:anchor>
        </w:drawing>
      </w:r>
    </w:p>
    <w:p>
      <w:pPr>
        <w:spacing w:after="0" w:line="16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Benefit payments reflecting expected future service, as appropriate, are expected to be paid as follows:</w:t>
      </w:r>
    </w:p>
    <w:p>
      <w:pPr>
        <w:spacing w:after="0" w:line="186"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860" w:type="dxa"/>
            <w:vAlign w:val="bottom"/>
            <w:gridSpan w:val="3"/>
          </w:tcPr>
          <w:p>
            <w:pPr>
              <w:ind w:left="180"/>
              <w:spacing w:after="0"/>
              <w:rPr>
                <w:sz w:val="20"/>
                <w:szCs w:val="20"/>
                <w:color w:val="auto"/>
              </w:rPr>
            </w:pPr>
            <w:r>
              <w:rPr>
                <w:rFonts w:ascii="Arial" w:cs="Arial" w:eastAsia="Arial" w:hAnsi="Arial"/>
                <w:sz w:val="14"/>
                <w:szCs w:val="14"/>
                <w:b w:val="1"/>
                <w:bCs w:val="1"/>
                <w:color w:val="auto"/>
              </w:rPr>
              <w:t>Without Impact of</w:t>
            </w:r>
          </w:p>
        </w:tc>
        <w:tc>
          <w:tcPr>
            <w:tcW w:w="440" w:type="dxa"/>
            <w:vAlign w:val="bottom"/>
          </w:tcPr>
          <w:p>
            <w:pPr>
              <w:spacing w:after="0"/>
              <w:rPr>
                <w:sz w:val="14"/>
                <w:szCs w:val="14"/>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Net of</w:t>
            </w:r>
          </w:p>
        </w:tc>
      </w:tr>
      <w:tr>
        <w:trPr>
          <w:trHeight w:val="175"/>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1860" w:type="dxa"/>
            <w:vAlign w:val="bottom"/>
            <w:gridSpan w:val="3"/>
          </w:tcPr>
          <w:p>
            <w:pPr>
              <w:ind w:left="180"/>
              <w:spacing w:after="0"/>
              <w:rPr>
                <w:sz w:val="20"/>
                <w:szCs w:val="20"/>
                <w:color w:val="auto"/>
              </w:rPr>
            </w:pPr>
            <w:r>
              <w:rPr>
                <w:rFonts w:ascii="Arial" w:cs="Arial" w:eastAsia="Arial" w:hAnsi="Arial"/>
                <w:sz w:val="14"/>
                <w:szCs w:val="14"/>
                <w:b w:val="1"/>
                <w:bCs w:val="1"/>
                <w:color w:val="auto"/>
              </w:rPr>
              <w:t>Medicare Subsidy</w:t>
            </w:r>
          </w:p>
        </w:tc>
        <w:tc>
          <w:tcPr>
            <w:tcW w:w="142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Medicare Subsidy</w:t>
            </w:r>
          </w:p>
        </w:tc>
      </w:tr>
      <w:tr>
        <w:trPr>
          <w:trHeight w:val="196"/>
        </w:trPr>
        <w:tc>
          <w:tcPr>
            <w:tcW w:w="20" w:type="dxa"/>
            <w:vAlign w:val="bottom"/>
          </w:tcPr>
          <w:p>
            <w:pPr>
              <w:spacing w:after="0"/>
              <w:rPr>
                <w:sz w:val="17"/>
                <w:szCs w:val="17"/>
                <w:color w:val="auto"/>
              </w:rPr>
            </w:pPr>
          </w:p>
        </w:tc>
        <w:tc>
          <w:tcPr>
            <w:tcW w:w="640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2017</w:t>
            </w:r>
          </w:p>
        </w:tc>
        <w:tc>
          <w:tcPr>
            <w:tcW w:w="640" w:type="dxa"/>
            <w:vAlign w:val="bottom"/>
            <w:tcBorders>
              <w:top w:val="single" w:sz="8" w:color="auto"/>
            </w:tcBorders>
            <w:shd w:val="clear" w:color="auto" w:fill="E5FFFF"/>
          </w:tcPr>
          <w:p>
            <w:pPr>
              <w:jc w:val="right"/>
              <w:ind w:right="82"/>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E5FFFF"/>
          </w:tcPr>
          <w:p>
            <w:pPr>
              <w:jc w:val="right"/>
              <w:ind w:right="410"/>
              <w:spacing w:after="0" w:line="196" w:lineRule="exact"/>
              <w:rPr>
                <w:sz w:val="20"/>
                <w:szCs w:val="20"/>
                <w:color w:val="auto"/>
              </w:rPr>
            </w:pPr>
            <w:r>
              <w:rPr>
                <w:rFonts w:ascii="Arial" w:cs="Arial" w:eastAsia="Arial" w:hAnsi="Arial"/>
                <w:sz w:val="18"/>
                <w:szCs w:val="18"/>
                <w:color w:val="auto"/>
              </w:rPr>
              <w:t>67</w:t>
            </w:r>
          </w:p>
        </w:tc>
        <w:tc>
          <w:tcPr>
            <w:tcW w:w="280" w:type="dxa"/>
            <w:vAlign w:val="bottom"/>
            <w:tcBorders>
              <w:top w:val="single" w:sz="8" w:color="E5FFFF"/>
            </w:tcBorders>
            <w:shd w:val="clear" w:color="auto" w:fill="E5FFFF"/>
          </w:tcPr>
          <w:p>
            <w:pPr>
              <w:spacing w:after="0"/>
              <w:rPr>
                <w:sz w:val="17"/>
                <w:szCs w:val="17"/>
                <w:color w:val="auto"/>
              </w:rPr>
            </w:pPr>
          </w:p>
        </w:tc>
        <w:tc>
          <w:tcPr>
            <w:tcW w:w="4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E5FFFF"/>
          </w:tcPr>
          <w:p>
            <w:pPr>
              <w:jc w:val="right"/>
              <w:ind w:right="293"/>
              <w:spacing w:after="0" w:line="196" w:lineRule="exact"/>
              <w:rPr>
                <w:sz w:val="20"/>
                <w:szCs w:val="20"/>
                <w:color w:val="auto"/>
              </w:rPr>
            </w:pPr>
            <w:r>
              <w:rPr>
                <w:rFonts w:ascii="Arial" w:cs="Arial" w:eastAsia="Arial" w:hAnsi="Arial"/>
                <w:sz w:val="18"/>
                <w:szCs w:val="18"/>
                <w:color w:val="auto"/>
              </w:rPr>
              <w:t>62</w:t>
            </w:r>
          </w:p>
        </w:tc>
      </w:tr>
      <w:tr>
        <w:trPr>
          <w:trHeight w:val="203"/>
        </w:trPr>
        <w:tc>
          <w:tcPr>
            <w:tcW w:w="20" w:type="dxa"/>
            <w:vAlign w:val="bottom"/>
          </w:tcPr>
          <w:p>
            <w:pPr>
              <w:spacing w:after="0"/>
              <w:rPr>
                <w:sz w:val="17"/>
                <w:szCs w:val="17"/>
                <w:color w:val="auto"/>
              </w:rPr>
            </w:pP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2018</w:t>
            </w:r>
          </w:p>
        </w:tc>
        <w:tc>
          <w:tcPr>
            <w:tcW w:w="640" w:type="dxa"/>
            <w:vAlign w:val="bottom"/>
          </w:tcPr>
          <w:p>
            <w:pPr>
              <w:spacing w:after="0"/>
              <w:rPr>
                <w:sz w:val="17"/>
                <w:szCs w:val="17"/>
                <w:color w:val="auto"/>
              </w:rPr>
            </w:pPr>
          </w:p>
        </w:tc>
        <w:tc>
          <w:tcPr>
            <w:tcW w:w="94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62</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57</w:t>
            </w:r>
          </w:p>
        </w:tc>
      </w:tr>
      <w:tr>
        <w:trPr>
          <w:trHeight w:val="203"/>
        </w:trPr>
        <w:tc>
          <w:tcPr>
            <w:tcW w:w="20" w:type="dxa"/>
            <w:vAlign w:val="bottom"/>
          </w:tcPr>
          <w:p>
            <w:pPr>
              <w:spacing w:after="0"/>
              <w:rPr>
                <w:sz w:val="17"/>
                <w:szCs w:val="17"/>
                <w:color w:val="auto"/>
              </w:rPr>
            </w:pPr>
          </w:p>
        </w:tc>
        <w:tc>
          <w:tcPr>
            <w:tcW w:w="64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2019</w:t>
            </w:r>
          </w:p>
        </w:tc>
        <w:tc>
          <w:tcPr>
            <w:tcW w:w="640" w:type="dxa"/>
            <w:vAlign w:val="bottom"/>
            <w:shd w:val="clear" w:color="auto" w:fill="E5FFFF"/>
          </w:tcPr>
          <w:p>
            <w:pPr>
              <w:spacing w:after="0"/>
              <w:rPr>
                <w:sz w:val="17"/>
                <w:szCs w:val="17"/>
                <w:color w:val="auto"/>
              </w:rPr>
            </w:pPr>
          </w:p>
        </w:tc>
        <w:tc>
          <w:tcPr>
            <w:tcW w:w="940" w:type="dxa"/>
            <w:vAlign w:val="bottom"/>
            <w:shd w:val="clear" w:color="auto" w:fill="E5FFFF"/>
          </w:tcPr>
          <w:p>
            <w:pPr>
              <w:jc w:val="right"/>
              <w:ind w:right="410"/>
              <w:spacing w:after="0" w:line="202" w:lineRule="exact"/>
              <w:rPr>
                <w:sz w:val="20"/>
                <w:szCs w:val="20"/>
                <w:color w:val="auto"/>
              </w:rPr>
            </w:pPr>
            <w:r>
              <w:rPr>
                <w:rFonts w:ascii="Arial" w:cs="Arial" w:eastAsia="Arial" w:hAnsi="Arial"/>
                <w:sz w:val="18"/>
                <w:szCs w:val="18"/>
                <w:color w:val="auto"/>
              </w:rPr>
              <w:t>57</w:t>
            </w:r>
          </w:p>
        </w:tc>
        <w:tc>
          <w:tcPr>
            <w:tcW w:w="28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80" w:type="dxa"/>
            <w:vAlign w:val="bottom"/>
            <w:shd w:val="clear" w:color="auto" w:fill="E5FFFF"/>
          </w:tcPr>
          <w:p>
            <w:pPr>
              <w:jc w:val="right"/>
              <w:ind w:right="293"/>
              <w:spacing w:after="0" w:line="202" w:lineRule="exact"/>
              <w:rPr>
                <w:sz w:val="20"/>
                <w:szCs w:val="20"/>
                <w:color w:val="auto"/>
              </w:rPr>
            </w:pPr>
            <w:r>
              <w:rPr>
                <w:rFonts w:ascii="Arial" w:cs="Arial" w:eastAsia="Arial" w:hAnsi="Arial"/>
                <w:sz w:val="18"/>
                <w:szCs w:val="18"/>
                <w:color w:val="auto"/>
              </w:rPr>
              <w:t>53</w:t>
            </w:r>
          </w:p>
        </w:tc>
      </w:tr>
      <w:tr>
        <w:trPr>
          <w:trHeight w:val="203"/>
        </w:trPr>
        <w:tc>
          <w:tcPr>
            <w:tcW w:w="20" w:type="dxa"/>
            <w:vAlign w:val="bottom"/>
          </w:tcPr>
          <w:p>
            <w:pPr>
              <w:spacing w:after="0"/>
              <w:rPr>
                <w:sz w:val="17"/>
                <w:szCs w:val="17"/>
                <w:color w:val="auto"/>
              </w:rPr>
            </w:pP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640" w:type="dxa"/>
            <w:vAlign w:val="bottom"/>
          </w:tcPr>
          <w:p>
            <w:pPr>
              <w:spacing w:after="0"/>
              <w:rPr>
                <w:sz w:val="17"/>
                <w:szCs w:val="17"/>
                <w:color w:val="auto"/>
              </w:rPr>
            </w:pPr>
          </w:p>
        </w:tc>
        <w:tc>
          <w:tcPr>
            <w:tcW w:w="94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52</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48</w:t>
            </w:r>
          </w:p>
        </w:tc>
      </w:tr>
      <w:tr>
        <w:trPr>
          <w:trHeight w:val="203"/>
        </w:trPr>
        <w:tc>
          <w:tcPr>
            <w:tcW w:w="20" w:type="dxa"/>
            <w:vAlign w:val="bottom"/>
          </w:tcPr>
          <w:p>
            <w:pPr>
              <w:spacing w:after="0"/>
              <w:rPr>
                <w:sz w:val="17"/>
                <w:szCs w:val="17"/>
                <w:color w:val="auto"/>
              </w:rPr>
            </w:pPr>
          </w:p>
        </w:tc>
        <w:tc>
          <w:tcPr>
            <w:tcW w:w="64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2021</w:t>
            </w:r>
          </w:p>
        </w:tc>
        <w:tc>
          <w:tcPr>
            <w:tcW w:w="640" w:type="dxa"/>
            <w:vAlign w:val="bottom"/>
            <w:shd w:val="clear" w:color="auto" w:fill="E5FFFF"/>
          </w:tcPr>
          <w:p>
            <w:pPr>
              <w:spacing w:after="0"/>
              <w:rPr>
                <w:sz w:val="17"/>
                <w:szCs w:val="17"/>
                <w:color w:val="auto"/>
              </w:rPr>
            </w:pPr>
          </w:p>
        </w:tc>
        <w:tc>
          <w:tcPr>
            <w:tcW w:w="940" w:type="dxa"/>
            <w:vAlign w:val="bottom"/>
            <w:shd w:val="clear" w:color="auto" w:fill="E5FFFF"/>
          </w:tcPr>
          <w:p>
            <w:pPr>
              <w:jc w:val="right"/>
              <w:ind w:right="410"/>
              <w:spacing w:after="0" w:line="202" w:lineRule="exact"/>
              <w:rPr>
                <w:sz w:val="20"/>
                <w:szCs w:val="20"/>
                <w:color w:val="auto"/>
              </w:rPr>
            </w:pPr>
            <w:r>
              <w:rPr>
                <w:rFonts w:ascii="Arial" w:cs="Arial" w:eastAsia="Arial" w:hAnsi="Arial"/>
                <w:sz w:val="18"/>
                <w:szCs w:val="18"/>
                <w:color w:val="auto"/>
              </w:rPr>
              <w:t>48</w:t>
            </w:r>
          </w:p>
        </w:tc>
        <w:tc>
          <w:tcPr>
            <w:tcW w:w="28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80" w:type="dxa"/>
            <w:vAlign w:val="bottom"/>
            <w:shd w:val="clear" w:color="auto" w:fill="E5FFFF"/>
          </w:tcPr>
          <w:p>
            <w:pPr>
              <w:jc w:val="right"/>
              <w:ind w:right="293"/>
              <w:spacing w:after="0" w:line="202" w:lineRule="exact"/>
              <w:rPr>
                <w:sz w:val="20"/>
                <w:szCs w:val="20"/>
                <w:color w:val="auto"/>
              </w:rPr>
            </w:pPr>
            <w:r>
              <w:rPr>
                <w:rFonts w:ascii="Arial" w:cs="Arial" w:eastAsia="Arial" w:hAnsi="Arial"/>
                <w:sz w:val="18"/>
                <w:szCs w:val="18"/>
                <w:color w:val="auto"/>
              </w:rPr>
              <w:t>44</w:t>
            </w:r>
          </w:p>
        </w:tc>
      </w:tr>
      <w:tr>
        <w:trPr>
          <w:trHeight w:val="217"/>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2022-2026</w:t>
            </w:r>
          </w:p>
        </w:tc>
        <w:tc>
          <w:tcPr>
            <w:tcW w:w="640" w:type="dxa"/>
            <w:vAlign w:val="bottom"/>
          </w:tcPr>
          <w:p>
            <w:pPr>
              <w:spacing w:after="0"/>
              <w:rPr>
                <w:sz w:val="18"/>
                <w:szCs w:val="18"/>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color w:val="auto"/>
              </w:rPr>
              <w:t>156</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ind w:right="293"/>
              <w:spacing w:after="0"/>
              <w:rPr>
                <w:sz w:val="20"/>
                <w:szCs w:val="20"/>
                <w:color w:val="auto"/>
              </w:rPr>
            </w:pPr>
            <w:r>
              <w:rPr>
                <w:rFonts w:ascii="Arial" w:cs="Arial" w:eastAsia="Arial" w:hAnsi="Arial"/>
                <w:sz w:val="18"/>
                <w:szCs w:val="18"/>
                <w:color w:val="auto"/>
              </w:rPr>
              <w:t>141</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Segment Financial Data</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We globally manage our business operations through four reportable operating segments. Segment information is consistent with how management reviews the businesses, makes investing and resource allocation decisions and assesses operating performance.</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Honeywell’s senior management evaluates segment performance based on segment profit. Segment profit is measured as business unit income (loss) before taxes excluding general corporate unallocated expense, other income (expense), interest and other financial charges, pension and other postretirement benefits (expense), stock compensation expense and repositioning and other charges.</w:t>
      </w:r>
    </w:p>
    <w:p>
      <w:pPr>
        <w:spacing w:after="0" w:line="18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July 2016, the Company announced the realignment of the business units comprising its Automation and Control Solutions reporting segment by forming two new reportable operating segments: Home and Building Technologies and Safety and Productivity Solutions. Home and Building Technologies includes Environmental &amp; Energy Solutions, Security and Fire, and Building Solutions and Distribution. Additionally, the Industrial Combustion/Thermal business, previously part of Environmental &amp; Energy Solutions in Automation and Control Solutions, became part of Performance Materials and Technologies. Safety and Productivity Solutions includes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Sensing &amp; Productivity Solutions and Industrial Safety, as well as the Intelligrated business. Under the realigned segment reporting structure, the Company’s reportable operating segments are Aerospace, Home and Building Technologies, Performance Materials and Technologies and Safety and Productivity Solutions.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realignments have no impact on the Company’s historical consolidated financial position, results of operations or cash flows.</w:t>
      </w:r>
    </w:p>
    <w:p>
      <w:pPr>
        <w:spacing w:after="0"/>
        <w:rPr>
          <w:sz w:val="20"/>
          <w:szCs w:val="20"/>
          <w:color w:val="auto"/>
        </w:rPr>
      </w:pPr>
      <w:r>
        <w:rPr>
          <w:rFonts w:ascii="Arial" w:cs="Arial" w:eastAsia="Arial" w:hAnsi="Arial"/>
          <w:sz w:val="18"/>
          <w:szCs w:val="18"/>
          <w:color w:val="auto"/>
        </w:rPr>
        <w:t>Prior period amounts have been reclassified to conform to current period segment presentation.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0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Sales</w:t>
            </w:r>
          </w:p>
        </w:tc>
        <w:tc>
          <w:tcPr>
            <w:tcW w:w="1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760" w:type="dxa"/>
            <w:vAlign w:val="bottom"/>
            <w:tcBorders>
              <w:bottom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0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2014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94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Aerospace</w:t>
            </w:r>
          </w:p>
        </w:tc>
        <w:tc>
          <w:tcPr>
            <w:tcW w:w="136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spacing w:after="0"/>
              <w:rPr>
                <w:sz w:val="17"/>
                <w:szCs w:val="17"/>
                <w:color w:val="auto"/>
              </w:rPr>
            </w:pPr>
          </w:p>
        </w:tc>
        <w:tc>
          <w:tcPr>
            <w:tcW w:w="880" w:type="dxa"/>
            <w:vAlign w:val="bottom"/>
            <w:tcBorders>
              <w:top w:val="single" w:sz="8" w:color="auto"/>
            </w:tcBorders>
            <w:shd w:val="clear" w:color="auto" w:fill="E5FFFF"/>
          </w:tcPr>
          <w:p>
            <w:pPr>
              <w:spacing w:after="0"/>
              <w:rPr>
                <w:sz w:val="17"/>
                <w:szCs w:val="17"/>
                <w:color w:val="auto"/>
              </w:rPr>
            </w:pPr>
          </w:p>
        </w:tc>
        <w:tc>
          <w:tcPr>
            <w:tcW w:w="26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spacing w:after="0"/>
              <w:rPr>
                <w:sz w:val="17"/>
                <w:szCs w:val="17"/>
                <w:color w:val="auto"/>
              </w:rPr>
            </w:pPr>
          </w:p>
        </w:tc>
        <w:tc>
          <w:tcPr>
            <w:tcW w:w="880" w:type="dxa"/>
            <w:vAlign w:val="bottom"/>
            <w:tcBorders>
              <w:top w:val="single" w:sz="8" w:color="auto"/>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320" w:type="dxa"/>
            <w:vAlign w:val="bottom"/>
            <w:tcBorders>
              <w:top w:val="single" w:sz="8" w:color="auto"/>
            </w:tcBorders>
            <w:shd w:val="clear" w:color="auto" w:fill="E5FFFF"/>
          </w:tcPr>
          <w:p>
            <w:pPr>
              <w:spacing w:after="0"/>
              <w:rPr>
                <w:sz w:val="17"/>
                <w:szCs w:val="17"/>
                <w:color w:val="auto"/>
              </w:rPr>
            </w:pPr>
          </w:p>
        </w:tc>
        <w:tc>
          <w:tcPr>
            <w:tcW w:w="760" w:type="dxa"/>
            <w:vAlign w:val="bottom"/>
            <w:tcBorders>
              <w:top w:val="single" w:sz="8" w:color="auto"/>
            </w:tcBorders>
            <w:shd w:val="clear" w:color="auto" w:fill="E5FF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940" w:type="dxa"/>
            <w:vAlign w:val="bottom"/>
          </w:tcPr>
          <w:p>
            <w:pPr>
              <w:ind w:left="160"/>
              <w:spacing w:after="0" w:line="202" w:lineRule="exact"/>
              <w:rPr>
                <w:sz w:val="20"/>
                <w:szCs w:val="20"/>
                <w:color w:val="auto"/>
              </w:rPr>
            </w:pPr>
            <w:r>
              <w:rPr>
                <w:rFonts w:ascii="Arial" w:cs="Arial" w:eastAsia="Arial" w:hAnsi="Arial"/>
                <w:sz w:val="18"/>
                <w:szCs w:val="18"/>
                <w:color w:val="auto"/>
              </w:rPr>
              <w:t>Product</w:t>
            </w:r>
          </w:p>
        </w:tc>
        <w:tc>
          <w:tcPr>
            <w:tcW w:w="1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9,926</w:t>
            </w:r>
          </w:p>
        </w:tc>
        <w:tc>
          <w:tcPr>
            <w:tcW w:w="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10,379</w:t>
            </w:r>
          </w:p>
        </w:tc>
        <w:tc>
          <w:tcPr>
            <w:tcW w:w="6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10,773</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Service</w:t>
            </w:r>
          </w:p>
        </w:tc>
        <w:tc>
          <w:tcPr>
            <w:tcW w:w="136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4,825</w:t>
            </w:r>
          </w:p>
        </w:tc>
        <w:tc>
          <w:tcPr>
            <w:tcW w:w="26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4,858</w:t>
            </w:r>
          </w:p>
        </w:tc>
        <w:tc>
          <w:tcPr>
            <w:tcW w:w="280" w:type="dxa"/>
            <w:vAlign w:val="bottom"/>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spacing w:after="0"/>
              <w:rPr>
                <w:sz w:val="18"/>
                <w:szCs w:val="18"/>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4,825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940" w:type="dxa"/>
            <w:vAlign w:val="bottom"/>
          </w:tcPr>
          <w:p>
            <w:pPr>
              <w:ind w:left="340"/>
              <w:spacing w:after="0" w:line="196" w:lineRule="exact"/>
              <w:rPr>
                <w:sz w:val="20"/>
                <w:szCs w:val="20"/>
                <w:color w:val="auto"/>
              </w:rPr>
            </w:pPr>
            <w:r>
              <w:rPr>
                <w:rFonts w:ascii="Arial" w:cs="Arial" w:eastAsia="Arial" w:hAnsi="Arial"/>
                <w:sz w:val="18"/>
                <w:szCs w:val="18"/>
                <w:color w:val="auto"/>
              </w:rPr>
              <w:t>Total</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14,751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15,237</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15,598</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9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Home and Building Technologies</w:t>
            </w:r>
          </w:p>
        </w:tc>
        <w:tc>
          <w:tcPr>
            <w:tcW w:w="1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940" w:type="dxa"/>
            <w:vAlign w:val="bottom"/>
          </w:tcPr>
          <w:p>
            <w:pPr>
              <w:ind w:left="160"/>
              <w:spacing w:after="0" w:line="202" w:lineRule="exact"/>
              <w:rPr>
                <w:sz w:val="20"/>
                <w:szCs w:val="20"/>
                <w:color w:val="auto"/>
              </w:rPr>
            </w:pPr>
            <w:r>
              <w:rPr>
                <w:rFonts w:ascii="Arial" w:cs="Arial" w:eastAsia="Arial" w:hAnsi="Arial"/>
                <w:sz w:val="18"/>
                <w:szCs w:val="18"/>
                <w:color w:val="auto"/>
              </w:rPr>
              <w:t>Product</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9,374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7,985</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8,267</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Service</w:t>
            </w:r>
          </w:p>
        </w:tc>
        <w:tc>
          <w:tcPr>
            <w:tcW w:w="136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1,280</w:t>
            </w:r>
          </w:p>
        </w:tc>
        <w:tc>
          <w:tcPr>
            <w:tcW w:w="26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1,176</w:t>
            </w:r>
          </w:p>
        </w:tc>
        <w:tc>
          <w:tcPr>
            <w:tcW w:w="280" w:type="dxa"/>
            <w:vAlign w:val="bottom"/>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spacing w:after="0"/>
              <w:rPr>
                <w:sz w:val="18"/>
                <w:szCs w:val="18"/>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1,218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940" w:type="dxa"/>
            <w:vAlign w:val="bottom"/>
          </w:tcPr>
          <w:p>
            <w:pPr>
              <w:ind w:left="340"/>
              <w:spacing w:after="0" w:line="196" w:lineRule="exact"/>
              <w:rPr>
                <w:sz w:val="20"/>
                <w:szCs w:val="20"/>
                <w:color w:val="auto"/>
              </w:rPr>
            </w:pPr>
            <w:r>
              <w:rPr>
                <w:rFonts w:ascii="Arial" w:cs="Arial" w:eastAsia="Arial" w:hAnsi="Arial"/>
                <w:sz w:val="18"/>
                <w:szCs w:val="18"/>
                <w:color w:val="auto"/>
              </w:rPr>
              <w:t>Total</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10,654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9,161</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9,485</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9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1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940" w:type="dxa"/>
            <w:vAlign w:val="bottom"/>
          </w:tcPr>
          <w:p>
            <w:pPr>
              <w:ind w:left="160"/>
              <w:spacing w:after="0" w:line="202" w:lineRule="exact"/>
              <w:rPr>
                <w:sz w:val="20"/>
                <w:szCs w:val="20"/>
                <w:color w:val="auto"/>
              </w:rPr>
            </w:pPr>
            <w:r>
              <w:rPr>
                <w:rFonts w:ascii="Arial" w:cs="Arial" w:eastAsia="Arial" w:hAnsi="Arial"/>
                <w:sz w:val="18"/>
                <w:szCs w:val="18"/>
                <w:color w:val="auto"/>
              </w:rPr>
              <w:t>Product</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7,601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7,674</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8,662</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Service</w:t>
            </w:r>
          </w:p>
        </w:tc>
        <w:tc>
          <w:tcPr>
            <w:tcW w:w="136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1,671</w:t>
            </w:r>
          </w:p>
        </w:tc>
        <w:tc>
          <w:tcPr>
            <w:tcW w:w="26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1,801</w:t>
            </w:r>
          </w:p>
        </w:tc>
        <w:tc>
          <w:tcPr>
            <w:tcW w:w="280" w:type="dxa"/>
            <w:vAlign w:val="bottom"/>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spacing w:after="0"/>
              <w:rPr>
                <w:sz w:val="18"/>
                <w:szCs w:val="18"/>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1,815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940" w:type="dxa"/>
            <w:vAlign w:val="bottom"/>
          </w:tcPr>
          <w:p>
            <w:pPr>
              <w:ind w:left="340"/>
              <w:spacing w:after="0" w:line="196" w:lineRule="exact"/>
              <w:rPr>
                <w:sz w:val="20"/>
                <w:szCs w:val="20"/>
                <w:color w:val="auto"/>
              </w:rPr>
            </w:pPr>
            <w:r>
              <w:rPr>
                <w:rFonts w:ascii="Arial" w:cs="Arial" w:eastAsia="Arial" w:hAnsi="Arial"/>
                <w:sz w:val="18"/>
                <w:szCs w:val="18"/>
                <w:color w:val="auto"/>
              </w:rPr>
              <w:t>Total</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9,272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9,475</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10,477</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9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Safety and Productivity Solutions</w:t>
            </w:r>
          </w:p>
        </w:tc>
        <w:tc>
          <w:tcPr>
            <w:tcW w:w="1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940" w:type="dxa"/>
            <w:vAlign w:val="bottom"/>
          </w:tcPr>
          <w:p>
            <w:pPr>
              <w:ind w:left="160"/>
              <w:spacing w:after="0" w:line="202" w:lineRule="exact"/>
              <w:rPr>
                <w:sz w:val="20"/>
                <w:szCs w:val="20"/>
                <w:color w:val="auto"/>
              </w:rPr>
            </w:pPr>
            <w:r>
              <w:rPr>
                <w:rFonts w:ascii="Arial" w:cs="Arial" w:eastAsia="Arial" w:hAnsi="Arial"/>
                <w:sz w:val="18"/>
                <w:szCs w:val="18"/>
                <w:color w:val="auto"/>
              </w:rPr>
              <w:t>Product</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4,461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4,657</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4,696</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Service</w:t>
            </w:r>
          </w:p>
        </w:tc>
        <w:tc>
          <w:tcPr>
            <w:tcW w:w="136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164</w:t>
            </w:r>
          </w:p>
        </w:tc>
        <w:tc>
          <w:tcPr>
            <w:tcW w:w="26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spacing w:after="0"/>
              <w:rPr>
                <w:sz w:val="18"/>
                <w:szCs w:val="18"/>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940" w:type="dxa"/>
            <w:vAlign w:val="bottom"/>
            <w:tcBorders>
              <w:bottom w:val="single" w:sz="8" w:color="E5FFFF"/>
            </w:tcBorders>
          </w:tcPr>
          <w:p>
            <w:pPr>
              <w:ind w:left="340"/>
              <w:spacing w:after="0" w:line="196" w:lineRule="exact"/>
              <w:rPr>
                <w:sz w:val="20"/>
                <w:szCs w:val="20"/>
                <w:color w:val="auto"/>
              </w:rPr>
            </w:pPr>
            <w:r>
              <w:rPr>
                <w:rFonts w:ascii="Arial" w:cs="Arial" w:eastAsia="Arial" w:hAnsi="Arial"/>
                <w:sz w:val="18"/>
                <w:szCs w:val="18"/>
                <w:color w:val="auto"/>
              </w:rPr>
              <w:t>Total</w:t>
            </w:r>
          </w:p>
        </w:tc>
        <w:tc>
          <w:tcPr>
            <w:tcW w:w="1360" w:type="dxa"/>
            <w:vAlign w:val="bottom"/>
            <w:tcBorders>
              <w:bottom w:val="single" w:sz="8" w:color="E5FF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4,625</w:t>
            </w:r>
          </w:p>
        </w:tc>
        <w:tc>
          <w:tcPr>
            <w:tcW w:w="260" w:type="dxa"/>
            <w:vAlign w:val="bottom"/>
            <w:tcBorders>
              <w:bottom w:val="single" w:sz="8" w:color="E5FF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4,708</w:t>
            </w:r>
          </w:p>
        </w:tc>
        <w:tc>
          <w:tcPr>
            <w:tcW w:w="280" w:type="dxa"/>
            <w:vAlign w:val="bottom"/>
            <w:tcBorders>
              <w:bottom w:val="single" w:sz="8" w:color="E5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4,746</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4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39,302</w:t>
            </w:r>
          </w:p>
        </w:tc>
        <w:tc>
          <w:tcPr>
            <w:tcW w:w="4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38,581</w:t>
            </w:r>
          </w:p>
        </w:tc>
        <w:tc>
          <w:tcPr>
            <w:tcW w:w="6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40,306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40" w:type="dxa"/>
            <w:vAlign w:val="bottom"/>
            <w:shd w:val="clear" w:color="auto" w:fill="E5FFFF"/>
          </w:tcPr>
          <w:p>
            <w:pPr>
              <w:spacing w:after="0" w:line="20" w:lineRule="exact"/>
              <w:rPr>
                <w:sz w:val="1"/>
                <w:szCs w:val="1"/>
                <w:color w:val="auto"/>
              </w:rPr>
            </w:pPr>
          </w:p>
        </w:tc>
        <w:tc>
          <w:tcPr>
            <w:tcW w:w="1360" w:type="dxa"/>
            <w:vAlign w:val="bottom"/>
            <w:shd w:val="clear" w:color="auto" w:fill="E5FF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E5FF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E5FF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00" w:type="dxa"/>
            <w:vAlign w:val="bottom"/>
            <w:gridSpan w:val="2"/>
            <w:vMerge w:val="restart"/>
          </w:tcPr>
          <w:p>
            <w:pPr>
              <w:ind w:left="1140"/>
              <w:spacing w:after="0"/>
              <w:rPr>
                <w:sz w:val="20"/>
                <w:szCs w:val="20"/>
                <w:color w:val="auto"/>
              </w:rPr>
            </w:pPr>
            <w:r>
              <w:rPr>
                <w:rFonts w:ascii="Arial" w:cs="Arial" w:eastAsia="Arial" w:hAnsi="Arial"/>
                <w:sz w:val="18"/>
                <w:szCs w:val="18"/>
                <w:color w:val="auto"/>
              </w:rPr>
              <w:t>Depreciation and amortization</w:t>
            </w:r>
          </w:p>
        </w:tc>
        <w:tc>
          <w:tcPr>
            <w:tcW w:w="1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10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9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Aerospace</w:t>
            </w:r>
          </w:p>
        </w:tc>
        <w:tc>
          <w:tcPr>
            <w:tcW w:w="158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275</w:t>
            </w:r>
          </w:p>
        </w:tc>
        <w:tc>
          <w:tcPr>
            <w:tcW w:w="48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267</w:t>
            </w:r>
          </w:p>
        </w:tc>
        <w:tc>
          <w:tcPr>
            <w:tcW w:w="600" w:type="dxa"/>
            <w:vAlign w:val="bottom"/>
            <w:gridSpan w:val="2"/>
            <w:shd w:val="clear" w:color="auto" w:fill="E5FF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277</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940" w:type="dxa"/>
            <w:vAlign w:val="bottom"/>
          </w:tcPr>
          <w:p>
            <w:pPr>
              <w:ind w:left="160"/>
              <w:spacing w:after="0" w:line="202" w:lineRule="exact"/>
              <w:rPr>
                <w:sz w:val="20"/>
                <w:szCs w:val="20"/>
                <w:color w:val="auto"/>
              </w:rPr>
            </w:pPr>
            <w:r>
              <w:rPr>
                <w:rFonts w:ascii="Arial" w:cs="Arial" w:eastAsia="Arial" w:hAnsi="Arial"/>
                <w:sz w:val="18"/>
                <w:szCs w:val="18"/>
                <w:color w:val="auto"/>
              </w:rPr>
              <w:t>Home and Building Technologies</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101</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9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Performance Materials and Technologies</w:t>
            </w:r>
          </w:p>
        </w:tc>
        <w:tc>
          <w:tcPr>
            <w:tcW w:w="1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314</w:t>
            </w:r>
          </w:p>
        </w:tc>
        <w:tc>
          <w:tcPr>
            <w:tcW w:w="2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285</w:t>
            </w:r>
          </w:p>
        </w:tc>
        <w:tc>
          <w:tcPr>
            <w:tcW w:w="2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292</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940" w:type="dxa"/>
            <w:vAlign w:val="bottom"/>
          </w:tcPr>
          <w:p>
            <w:pPr>
              <w:ind w:left="160"/>
              <w:spacing w:after="0" w:line="202" w:lineRule="exact"/>
              <w:rPr>
                <w:sz w:val="20"/>
                <w:szCs w:val="20"/>
                <w:color w:val="auto"/>
              </w:rPr>
            </w:pPr>
            <w:r>
              <w:rPr>
                <w:rFonts w:ascii="Arial" w:cs="Arial" w:eastAsia="Arial" w:hAnsi="Arial"/>
                <w:sz w:val="18"/>
                <w:szCs w:val="18"/>
                <w:color w:val="auto"/>
              </w:rPr>
              <w:t>Safety and Productivity Solutions</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173</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184</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Corporate</w:t>
            </w:r>
          </w:p>
        </w:tc>
        <w:tc>
          <w:tcPr>
            <w:tcW w:w="136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61</w:t>
            </w:r>
          </w:p>
        </w:tc>
        <w:tc>
          <w:tcPr>
            <w:tcW w:w="26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57</w:t>
            </w:r>
          </w:p>
        </w:tc>
        <w:tc>
          <w:tcPr>
            <w:tcW w:w="280" w:type="dxa"/>
            <w:vAlign w:val="bottom"/>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spacing w:after="0"/>
              <w:rPr>
                <w:sz w:val="18"/>
                <w:szCs w:val="18"/>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1,030</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883</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924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vMerge w:val="restart"/>
          </w:tcPr>
          <w:p>
            <w:pPr>
              <w:spacing w:after="0"/>
              <w:rPr>
                <w:sz w:val="15"/>
                <w:szCs w:val="15"/>
                <w:color w:val="auto"/>
              </w:rPr>
            </w:pPr>
          </w:p>
        </w:tc>
        <w:tc>
          <w:tcPr>
            <w:tcW w:w="3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60" w:type="dxa"/>
            <w:vAlign w:val="bottom"/>
            <w:vMerge w:val="continue"/>
          </w:tcPr>
          <w:p>
            <w:pPr>
              <w:spacing w:after="0"/>
              <w:rPr>
                <w:sz w:val="17"/>
                <w:szCs w:val="17"/>
                <w:color w:val="auto"/>
              </w:rPr>
            </w:pPr>
          </w:p>
        </w:tc>
        <w:tc>
          <w:tcPr>
            <w:tcW w:w="39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Segment Profit</w:t>
            </w:r>
          </w:p>
        </w:tc>
        <w:tc>
          <w:tcPr>
            <w:tcW w:w="1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940" w:type="dxa"/>
            <w:vAlign w:val="bottom"/>
          </w:tcPr>
          <w:p>
            <w:pPr>
              <w:ind w:left="160"/>
              <w:spacing w:after="0" w:line="202" w:lineRule="exact"/>
              <w:rPr>
                <w:sz w:val="20"/>
                <w:szCs w:val="20"/>
                <w:color w:val="auto"/>
              </w:rPr>
            </w:pPr>
            <w:r>
              <w:rPr>
                <w:rFonts w:ascii="Arial" w:cs="Arial" w:eastAsia="Arial" w:hAnsi="Arial"/>
                <w:sz w:val="18"/>
                <w:szCs w:val="18"/>
                <w:color w:val="auto"/>
              </w:rPr>
              <w:t>Aerospace</w:t>
            </w:r>
          </w:p>
        </w:tc>
        <w:tc>
          <w:tcPr>
            <w:tcW w:w="1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2,991</w:t>
            </w:r>
          </w:p>
        </w:tc>
        <w:tc>
          <w:tcPr>
            <w:tcW w:w="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3,218</w:t>
            </w:r>
          </w:p>
        </w:tc>
        <w:tc>
          <w:tcPr>
            <w:tcW w:w="6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2,915</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9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Home and Building Technologies</w:t>
            </w:r>
          </w:p>
        </w:tc>
        <w:tc>
          <w:tcPr>
            <w:tcW w:w="1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1,683</w:t>
            </w:r>
          </w:p>
        </w:tc>
        <w:tc>
          <w:tcPr>
            <w:tcW w:w="2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1,512</w:t>
            </w:r>
          </w:p>
        </w:tc>
        <w:tc>
          <w:tcPr>
            <w:tcW w:w="2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1,455</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940" w:type="dxa"/>
            <w:vAlign w:val="bottom"/>
          </w:tcPr>
          <w:p>
            <w:pPr>
              <w:ind w:left="160"/>
              <w:spacing w:after="0" w:line="202" w:lineRule="exact"/>
              <w:rPr>
                <w:sz w:val="20"/>
                <w:szCs w:val="20"/>
                <w:color w:val="auto"/>
              </w:rPr>
            </w:pPr>
            <w:r>
              <w:rPr>
                <w:rFonts w:ascii="Arial" w:cs="Arial" w:eastAsia="Arial" w:hAnsi="Arial"/>
                <w:sz w:val="18"/>
                <w:szCs w:val="18"/>
                <w:color w:val="auto"/>
              </w:rPr>
              <w:t>Performance Materials and Technologies</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2,050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1,990</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1,876</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9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Safety and Productivity Solutions</w:t>
            </w:r>
          </w:p>
        </w:tc>
        <w:tc>
          <w:tcPr>
            <w:tcW w:w="1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680</w:t>
            </w:r>
          </w:p>
        </w:tc>
        <w:tc>
          <w:tcPr>
            <w:tcW w:w="2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746</w:t>
            </w:r>
          </w:p>
        </w:tc>
        <w:tc>
          <w:tcPr>
            <w:tcW w:w="2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686</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Corporate</w:t>
            </w:r>
          </w:p>
        </w:tc>
        <w:tc>
          <w:tcPr>
            <w:tcW w:w="136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26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8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4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7,186</w:t>
            </w:r>
          </w:p>
        </w:tc>
        <w:tc>
          <w:tcPr>
            <w:tcW w:w="4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7,256</w:t>
            </w:r>
          </w:p>
        </w:tc>
        <w:tc>
          <w:tcPr>
            <w:tcW w:w="6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6,696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40" w:type="dxa"/>
            <w:vAlign w:val="bottom"/>
            <w:tcBorders>
              <w:top w:val="single" w:sz="8" w:color="E5FFFF"/>
            </w:tcBorders>
          </w:tcPr>
          <w:p>
            <w:pPr>
              <w:spacing w:after="0" w:line="20" w:lineRule="exact"/>
              <w:rPr>
                <w:sz w:val="1"/>
                <w:szCs w:val="1"/>
                <w:color w:val="auto"/>
              </w:rPr>
            </w:pPr>
          </w:p>
        </w:tc>
        <w:tc>
          <w:tcPr>
            <w:tcW w:w="1360" w:type="dxa"/>
            <w:vAlign w:val="bottom"/>
            <w:tcBorders>
              <w:top w:val="single" w:sz="8" w:color="E5FFFF"/>
              <w:bottom w:val="single" w:sz="8" w:color="E5FFFF"/>
            </w:tcBorders>
            <w:vMerge w:val="restart"/>
          </w:tcPr>
          <w:p>
            <w:pPr>
              <w:jc w:val="right"/>
              <w:ind w:right="570"/>
              <w:spacing w:after="0"/>
              <w:rPr>
                <w:sz w:val="20"/>
                <w:szCs w:val="20"/>
                <w:color w:val="auto"/>
              </w:rPr>
            </w:pPr>
            <w:r>
              <w:rPr>
                <w:rFonts w:ascii="Arial" w:cs="Arial" w:eastAsia="Arial" w:hAnsi="Arial"/>
                <w:sz w:val="18"/>
                <w:szCs w:val="18"/>
                <w:color w:val="auto"/>
              </w:rPr>
              <w:t>80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1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160" w:type="dxa"/>
            <w:vAlign w:val="bottom"/>
            <w:tcBorders>
              <w:bottom w:val="single" w:sz="8" w:color="C0C0C0"/>
            </w:tcBorders>
          </w:tcPr>
          <w:p>
            <w:pPr>
              <w:spacing w:after="0"/>
              <w:rPr>
                <w:sz w:val="21"/>
                <w:szCs w:val="21"/>
                <w:color w:val="auto"/>
              </w:rPr>
            </w:pPr>
          </w:p>
        </w:tc>
        <w:tc>
          <w:tcPr>
            <w:tcW w:w="3940" w:type="dxa"/>
            <w:vAlign w:val="bottom"/>
            <w:tcBorders>
              <w:bottom w:val="single" w:sz="8" w:color="C0C0C0"/>
            </w:tcBorders>
          </w:tcPr>
          <w:p>
            <w:pPr>
              <w:spacing w:after="0"/>
              <w:rPr>
                <w:sz w:val="21"/>
                <w:szCs w:val="21"/>
                <w:color w:val="auto"/>
              </w:rPr>
            </w:pPr>
          </w:p>
        </w:tc>
        <w:tc>
          <w:tcPr>
            <w:tcW w:w="136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88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88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320" w:type="dxa"/>
            <w:vAlign w:val="bottom"/>
            <w:tcBorders>
              <w:bottom w:val="single" w:sz="8" w:color="C0C0C0"/>
            </w:tcBorders>
          </w:tcPr>
          <w:p>
            <w:pPr>
              <w:spacing w:after="0"/>
              <w:rPr>
                <w:sz w:val="21"/>
                <w:szCs w:val="21"/>
                <w:color w:val="auto"/>
              </w:rPr>
            </w:pPr>
          </w:p>
        </w:tc>
        <w:tc>
          <w:tcPr>
            <w:tcW w:w="760" w:type="dxa"/>
            <w:vAlign w:val="bottom"/>
            <w:tcBorders>
              <w:bottom w:val="single" w:sz="8" w:color="C0C0C0"/>
            </w:tcBorders>
          </w:tcPr>
          <w:p>
            <w:pPr>
              <w:spacing w:after="0"/>
              <w:rPr>
                <w:sz w:val="21"/>
                <w:szCs w:val="21"/>
                <w:color w:val="auto"/>
              </w:rPr>
            </w:pPr>
          </w:p>
        </w:tc>
        <w:tc>
          <w:tcPr>
            <w:tcW w:w="114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520" w:type="dxa"/>
            <w:vAlign w:val="bottom"/>
            <w:gridSpan w:val="4"/>
          </w:tcPr>
          <w:p>
            <w:pPr>
              <w:ind w:left="2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6"/>
        </w:trPr>
        <w:tc>
          <w:tcPr>
            <w:tcW w:w="3060" w:type="dxa"/>
            <w:vAlign w:val="bottom"/>
            <w:gridSpan w:val="2"/>
            <w:vMerge w:val="restart"/>
          </w:tcPr>
          <w:p>
            <w:pPr>
              <w:spacing w:after="0"/>
              <w:rPr>
                <w:sz w:val="20"/>
                <w:szCs w:val="20"/>
                <w:color w:val="auto"/>
              </w:rPr>
            </w:pPr>
            <w:r>
              <w:rPr>
                <w:rFonts w:ascii="Arial" w:cs="Arial" w:eastAsia="Arial" w:hAnsi="Arial"/>
                <w:sz w:val="18"/>
                <w:szCs w:val="18"/>
                <w:color w:val="auto"/>
              </w:rPr>
              <w:t>Capital expenditures</w:t>
            </w:r>
          </w:p>
        </w:tc>
        <w:tc>
          <w:tcPr>
            <w:tcW w:w="2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60" w:type="dxa"/>
            <w:vAlign w:val="bottom"/>
            <w:gridSpan w:val="2"/>
            <w:vMerge w:val="continue"/>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tcBorders>
              <w:top w:val="single" w:sz="8" w:color="E5FFFF"/>
            </w:tcBorders>
            <w:shd w:val="clear" w:color="auto" w:fill="E5FFFF"/>
          </w:tcPr>
          <w:p>
            <w:pPr>
              <w:ind w:left="160"/>
              <w:spacing w:after="0" w:line="196" w:lineRule="exact"/>
              <w:rPr>
                <w:sz w:val="20"/>
                <w:szCs w:val="20"/>
                <w:color w:val="auto"/>
              </w:rPr>
            </w:pPr>
            <w:r>
              <w:rPr>
                <w:rFonts w:ascii="Arial" w:cs="Arial" w:eastAsia="Arial" w:hAnsi="Arial"/>
                <w:sz w:val="18"/>
                <w:szCs w:val="18"/>
                <w:color w:val="auto"/>
              </w:rPr>
              <w:t>Aerospace</w:t>
            </w:r>
          </w:p>
        </w:tc>
        <w:tc>
          <w:tcPr>
            <w:tcW w:w="226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331</w:t>
            </w:r>
          </w:p>
        </w:tc>
        <w:tc>
          <w:tcPr>
            <w:tcW w:w="16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314</w:t>
            </w:r>
          </w:p>
        </w:tc>
        <w:tc>
          <w:tcPr>
            <w:tcW w:w="26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320" w:type="dxa"/>
            <w:vAlign w:val="bottom"/>
            <w:tcBorders>
              <w:top w:val="single" w:sz="8" w:color="auto"/>
            </w:tcBorders>
            <w:shd w:val="clear" w:color="auto" w:fill="E5FFFF"/>
          </w:tcPr>
          <w:p>
            <w:pPr>
              <w:jc w:val="right"/>
              <w:ind w:right="1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ind w:left="160"/>
              <w:spacing w:after="0" w:line="202" w:lineRule="exact"/>
              <w:rPr>
                <w:sz w:val="20"/>
                <w:szCs w:val="20"/>
                <w:color w:val="auto"/>
              </w:rPr>
            </w:pPr>
            <w:r>
              <w:rPr>
                <w:rFonts w:ascii="Arial" w:cs="Arial" w:eastAsia="Arial" w:hAnsi="Arial"/>
                <w:sz w:val="18"/>
                <w:szCs w:val="18"/>
                <w:color w:val="auto"/>
              </w:rPr>
              <w:t>Home and Building Technologies</w:t>
            </w: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gridSpan w:val="3"/>
            <w:shd w:val="clear" w:color="auto" w:fill="E5FFFF"/>
          </w:tcPr>
          <w:p>
            <w:pPr>
              <w:ind w:left="160"/>
              <w:spacing w:after="0" w:line="202" w:lineRule="exact"/>
              <w:rPr>
                <w:sz w:val="20"/>
                <w:szCs w:val="20"/>
                <w:color w:val="auto"/>
              </w:rPr>
            </w:pPr>
            <w:r>
              <w:rPr>
                <w:rFonts w:ascii="Arial" w:cs="Arial" w:eastAsia="Arial" w:hAnsi="Arial"/>
                <w:sz w:val="18"/>
                <w:szCs w:val="18"/>
                <w:color w:val="auto"/>
              </w:rPr>
              <w:t>Performance Materials and Technologies</w:t>
            </w:r>
          </w:p>
        </w:tc>
        <w:tc>
          <w:tcPr>
            <w:tcW w:w="8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455</w:t>
            </w:r>
          </w:p>
        </w:tc>
        <w:tc>
          <w:tcPr>
            <w:tcW w:w="1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481</w:t>
            </w:r>
          </w:p>
        </w:tc>
        <w:tc>
          <w:tcPr>
            <w:tcW w:w="2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ind w:left="160"/>
              <w:spacing w:after="0" w:line="202" w:lineRule="exact"/>
              <w:rPr>
                <w:sz w:val="20"/>
                <w:szCs w:val="20"/>
                <w:color w:val="auto"/>
              </w:rPr>
            </w:pPr>
            <w:r>
              <w:rPr>
                <w:rFonts w:ascii="Arial" w:cs="Arial" w:eastAsia="Arial" w:hAnsi="Arial"/>
                <w:sz w:val="18"/>
                <w:szCs w:val="18"/>
                <w:color w:val="auto"/>
              </w:rPr>
              <w:t>Safety and Productivity Solutions</w:t>
            </w: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Corporate</w:t>
            </w:r>
          </w:p>
        </w:tc>
        <w:tc>
          <w:tcPr>
            <w:tcW w:w="226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144</w:t>
            </w:r>
          </w:p>
        </w:tc>
        <w:tc>
          <w:tcPr>
            <w:tcW w:w="1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spacing w:after="0"/>
              <w:rPr>
                <w:sz w:val="18"/>
                <w:szCs w:val="18"/>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1,095</w:t>
            </w:r>
          </w:p>
        </w:tc>
        <w:tc>
          <w:tcPr>
            <w:tcW w:w="160" w:type="dxa"/>
            <w:vAlign w:val="bottom"/>
          </w:tcPr>
          <w:p>
            <w:pPr>
              <w:spacing w:after="0"/>
              <w:rPr>
                <w:sz w:val="18"/>
                <w:szCs w:val="18"/>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1,073</w:t>
            </w:r>
          </w:p>
        </w:tc>
        <w:tc>
          <w:tcPr>
            <w:tcW w:w="260" w:type="dxa"/>
            <w:vAlign w:val="bottom"/>
          </w:tcPr>
          <w:p>
            <w:pPr>
              <w:spacing w:after="0"/>
              <w:rPr>
                <w:sz w:val="18"/>
                <w:szCs w:val="18"/>
                <w:color w:val="auto"/>
              </w:rPr>
            </w:pPr>
          </w:p>
        </w:tc>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Total Assets</w:t>
            </w:r>
          </w:p>
        </w:tc>
        <w:tc>
          <w:tcPr>
            <w:tcW w:w="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8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top w:val="single" w:sz="8" w:color="E5FFFF"/>
            </w:tcBorders>
            <w:shd w:val="clear" w:color="auto" w:fill="E5FFFF"/>
          </w:tcPr>
          <w:p>
            <w:pPr>
              <w:ind w:left="160"/>
              <w:spacing w:after="0" w:line="196" w:lineRule="exact"/>
              <w:rPr>
                <w:sz w:val="20"/>
                <w:szCs w:val="20"/>
                <w:color w:val="auto"/>
              </w:rPr>
            </w:pPr>
            <w:r>
              <w:rPr>
                <w:rFonts w:ascii="Arial" w:cs="Arial" w:eastAsia="Arial" w:hAnsi="Arial"/>
                <w:sz w:val="18"/>
                <w:szCs w:val="18"/>
                <w:color w:val="auto"/>
              </w:rPr>
              <w:t>Aerospace</w:t>
            </w:r>
          </w:p>
        </w:tc>
        <w:tc>
          <w:tcPr>
            <w:tcW w:w="94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11,426</w:t>
            </w:r>
          </w:p>
        </w:tc>
        <w:tc>
          <w:tcPr>
            <w:tcW w:w="26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11,235</w:t>
            </w:r>
          </w:p>
        </w:tc>
        <w:tc>
          <w:tcPr>
            <w:tcW w:w="26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11,151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ind w:left="160"/>
              <w:spacing w:after="0" w:line="202" w:lineRule="exact"/>
              <w:rPr>
                <w:sz w:val="20"/>
                <w:szCs w:val="20"/>
                <w:color w:val="auto"/>
              </w:rPr>
            </w:pPr>
            <w:r>
              <w:rPr>
                <w:rFonts w:ascii="Arial" w:cs="Arial" w:eastAsia="Arial" w:hAnsi="Arial"/>
                <w:sz w:val="18"/>
                <w:szCs w:val="18"/>
                <w:color w:val="auto"/>
              </w:rPr>
              <w:t>Home and Building Technologies</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13,201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13,950</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9,857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Performance Materials and Technologies</w:t>
            </w:r>
          </w:p>
        </w:tc>
        <w:tc>
          <w:tcPr>
            <w:tcW w:w="9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13,026</w:t>
            </w:r>
          </w:p>
        </w:tc>
        <w:tc>
          <w:tcPr>
            <w:tcW w:w="2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11,699</w:t>
            </w:r>
          </w:p>
        </w:tc>
        <w:tc>
          <w:tcPr>
            <w:tcW w:w="2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9,805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ind w:left="160"/>
              <w:spacing w:after="0" w:line="202" w:lineRule="exact"/>
              <w:rPr>
                <w:sz w:val="20"/>
                <w:szCs w:val="20"/>
                <w:color w:val="auto"/>
              </w:rPr>
            </w:pPr>
            <w:r>
              <w:rPr>
                <w:rFonts w:ascii="Arial" w:cs="Arial" w:eastAsia="Arial" w:hAnsi="Arial"/>
                <w:sz w:val="18"/>
                <w:szCs w:val="18"/>
                <w:color w:val="auto"/>
              </w:rPr>
              <w:t>Safety and Productivity Solutions</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8,951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7,006</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Corporate</w:t>
            </w:r>
          </w:p>
        </w:tc>
        <w:tc>
          <w:tcPr>
            <w:tcW w:w="94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7,542</w:t>
            </w:r>
          </w:p>
        </w:tc>
        <w:tc>
          <w:tcPr>
            <w:tcW w:w="26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5,426</w:t>
            </w:r>
          </w:p>
        </w:tc>
        <w:tc>
          <w:tcPr>
            <w:tcW w:w="2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7,410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54,146</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49,316</w:t>
            </w:r>
          </w:p>
        </w:tc>
        <w:tc>
          <w:tcPr>
            <w:tcW w:w="260" w:type="dxa"/>
            <w:vAlign w:val="bottom"/>
          </w:tcPr>
          <w:p>
            <w:pPr>
              <w:spacing w:after="0"/>
              <w:rPr>
                <w:sz w:val="18"/>
                <w:szCs w:val="18"/>
                <w:color w:val="auto"/>
              </w:rPr>
            </w:pP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45,451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segment profit to consolidated income from continuing operations before taxes are as follows: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4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920" w:type="dxa"/>
            <w:vAlign w:val="bottom"/>
            <w:tcBorders>
              <w:bottom w:val="single" w:sz="8" w:color="auto"/>
            </w:tcBorders>
          </w:tcPr>
          <w:p>
            <w:pPr>
              <w:spacing w:after="0"/>
              <w:rPr>
                <w:sz w:val="19"/>
                <w:szCs w:val="19"/>
                <w:color w:val="auto"/>
              </w:rPr>
            </w:pPr>
          </w:p>
        </w:tc>
      </w:tr>
      <w:tr>
        <w:trPr>
          <w:trHeight w:val="210"/>
        </w:trPr>
        <w:tc>
          <w:tcPr>
            <w:tcW w:w="4980" w:type="dxa"/>
            <w:vAlign w:val="bottom"/>
            <w:tcBorders>
              <w:bottom w:val="single" w:sz="8" w:color="E5FFFF"/>
            </w:tcBorders>
          </w:tcPr>
          <w:p>
            <w:pPr>
              <w:spacing w:after="0"/>
              <w:rPr>
                <w:sz w:val="18"/>
                <w:szCs w:val="18"/>
                <w:color w:val="auto"/>
              </w:rPr>
            </w:pPr>
          </w:p>
        </w:tc>
        <w:tc>
          <w:tcPr>
            <w:tcW w:w="100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r>
      <w:tr>
        <w:trPr>
          <w:trHeight w:val="196"/>
        </w:trPr>
        <w:tc>
          <w:tcPr>
            <w:tcW w:w="49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Segment Profit</w:t>
            </w:r>
          </w:p>
        </w:tc>
        <w:tc>
          <w:tcPr>
            <w:tcW w:w="1000" w:type="dxa"/>
            <w:vAlign w:val="bottom"/>
            <w:shd w:val="clear" w:color="auto" w:fill="E5FFFF"/>
          </w:tcPr>
          <w:p>
            <w:pPr>
              <w:spacing w:after="0"/>
              <w:rPr>
                <w:sz w:val="17"/>
                <w:szCs w:val="17"/>
                <w:color w:val="auto"/>
              </w:rPr>
            </w:pPr>
          </w:p>
        </w:tc>
        <w:tc>
          <w:tcPr>
            <w:tcW w:w="260" w:type="dxa"/>
            <w:vAlign w:val="bottom"/>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7,186</w:t>
            </w:r>
          </w:p>
        </w:tc>
        <w:tc>
          <w:tcPr>
            <w:tcW w:w="30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7,256</w:t>
            </w:r>
          </w:p>
        </w:tc>
        <w:tc>
          <w:tcPr>
            <w:tcW w:w="300" w:type="dxa"/>
            <w:vAlign w:val="bottom"/>
            <w:shd w:val="clear" w:color="auto" w:fill="E5FFFF"/>
          </w:tcPr>
          <w:p>
            <w:pPr>
              <w:spacing w:after="0"/>
              <w:rPr>
                <w:sz w:val="17"/>
                <w:szCs w:val="17"/>
                <w:color w:val="auto"/>
              </w:rPr>
            </w:pP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6,696</w:t>
            </w:r>
          </w:p>
        </w:tc>
      </w:tr>
      <w:tr>
        <w:trPr>
          <w:trHeight w:val="243"/>
        </w:trPr>
        <w:tc>
          <w:tcPr>
            <w:tcW w:w="4980" w:type="dxa"/>
            <w:vAlign w:val="bottom"/>
          </w:tcPr>
          <w:p>
            <w:pPr>
              <w:spacing w:after="0" w:line="243" w:lineRule="exact"/>
              <w:rPr>
                <w:sz w:val="20"/>
                <w:szCs w:val="20"/>
                <w:color w:val="auto"/>
              </w:rPr>
            </w:pPr>
            <w:r>
              <w:rPr>
                <w:rFonts w:ascii="Arial" w:cs="Arial" w:eastAsia="Arial" w:hAnsi="Arial"/>
                <w:sz w:val="17"/>
                <w:szCs w:val="17"/>
                <w:color w:val="auto"/>
              </w:rPr>
              <w:t>Other income (expense)</w:t>
            </w:r>
            <w:r>
              <w:rPr>
                <w:rFonts w:ascii="Arial" w:cs="Arial" w:eastAsia="Arial" w:hAnsi="Arial"/>
                <w:sz w:val="28"/>
                <w:szCs w:val="28"/>
                <w:color w:val="auto"/>
                <w:vertAlign w:val="superscript"/>
              </w:rPr>
              <w:t>(1)</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269</w:t>
            </w:r>
          </w:p>
        </w:tc>
      </w:tr>
      <w:tr>
        <w:trPr>
          <w:trHeight w:val="203"/>
        </w:trPr>
        <w:tc>
          <w:tcPr>
            <w:tcW w:w="49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Interest and other financial charges</w:t>
            </w:r>
          </w:p>
        </w:tc>
        <w:tc>
          <w:tcPr>
            <w:tcW w:w="10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(338)</w:t>
            </w:r>
          </w:p>
        </w:tc>
        <w:tc>
          <w:tcPr>
            <w:tcW w:w="3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9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(310)</w:t>
            </w:r>
          </w:p>
        </w:tc>
        <w:tc>
          <w:tcPr>
            <w:tcW w:w="3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9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(318)</w:t>
            </w:r>
          </w:p>
        </w:tc>
      </w:tr>
      <w:tr>
        <w:trPr>
          <w:trHeight w:val="243"/>
        </w:trPr>
        <w:tc>
          <w:tcPr>
            <w:tcW w:w="4980" w:type="dxa"/>
            <w:vAlign w:val="bottom"/>
          </w:tcPr>
          <w:p>
            <w:pPr>
              <w:spacing w:after="0" w:line="243"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8"/>
                <w:szCs w:val="28"/>
                <w:color w:val="auto"/>
                <w:vertAlign w:val="superscript"/>
              </w:rPr>
              <w:t>(2)</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43"/>
        </w:trPr>
        <w:tc>
          <w:tcPr>
            <w:tcW w:w="4980" w:type="dxa"/>
            <w:vAlign w:val="bottom"/>
            <w:shd w:val="clear" w:color="auto" w:fill="E5FFFF"/>
          </w:tcPr>
          <w:p>
            <w:pPr>
              <w:spacing w:after="0" w:line="243" w:lineRule="exact"/>
              <w:rPr>
                <w:sz w:val="20"/>
                <w:szCs w:val="20"/>
                <w:color w:val="auto"/>
              </w:rPr>
            </w:pPr>
            <w:r>
              <w:rPr>
                <w:rFonts w:ascii="Arial" w:cs="Arial" w:eastAsia="Arial" w:hAnsi="Arial"/>
                <w:sz w:val="17"/>
                <w:szCs w:val="17"/>
                <w:color w:val="auto"/>
              </w:rPr>
              <w:t>Pension ongoing income (expense)</w:t>
            </w:r>
            <w:r>
              <w:rPr>
                <w:rFonts w:ascii="Arial" w:cs="Arial" w:eastAsia="Arial" w:hAnsi="Arial"/>
                <w:sz w:val="28"/>
                <w:szCs w:val="28"/>
                <w:color w:val="auto"/>
                <w:vertAlign w:val="superscript"/>
              </w:rPr>
              <w:t>(2)</w:t>
            </w:r>
          </w:p>
        </w:tc>
        <w:tc>
          <w:tcPr>
            <w:tcW w:w="10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98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601</w:t>
            </w:r>
          </w:p>
        </w:tc>
        <w:tc>
          <w:tcPr>
            <w:tcW w:w="30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8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430</w:t>
            </w:r>
          </w:p>
        </w:tc>
        <w:tc>
          <w:tcPr>
            <w:tcW w:w="3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92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254</w:t>
            </w:r>
          </w:p>
        </w:tc>
      </w:tr>
      <w:tr>
        <w:trPr>
          <w:trHeight w:val="243"/>
        </w:trPr>
        <w:tc>
          <w:tcPr>
            <w:tcW w:w="4980" w:type="dxa"/>
            <w:vAlign w:val="bottom"/>
          </w:tcPr>
          <w:p>
            <w:pPr>
              <w:spacing w:after="0" w:line="243" w:lineRule="exact"/>
              <w:rPr>
                <w:sz w:val="20"/>
                <w:szCs w:val="20"/>
                <w:color w:val="auto"/>
              </w:rPr>
            </w:pPr>
            <w:r>
              <w:rPr>
                <w:rFonts w:ascii="Arial" w:cs="Arial" w:eastAsia="Arial" w:hAnsi="Arial"/>
                <w:sz w:val="17"/>
                <w:szCs w:val="17"/>
                <w:color w:val="auto"/>
              </w:rPr>
              <w:t>Pension mark-to-market expense</w:t>
            </w:r>
            <w:r>
              <w:rPr>
                <w:rFonts w:ascii="Arial" w:cs="Arial" w:eastAsia="Arial" w:hAnsi="Arial"/>
                <w:sz w:val="28"/>
                <w:szCs w:val="28"/>
                <w:color w:val="auto"/>
                <w:vertAlign w:val="superscript"/>
              </w:rPr>
              <w:t>(2)</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43"/>
        </w:trPr>
        <w:tc>
          <w:tcPr>
            <w:tcW w:w="4980" w:type="dxa"/>
            <w:vAlign w:val="bottom"/>
            <w:shd w:val="clear" w:color="auto" w:fill="E5FFFF"/>
          </w:tcPr>
          <w:p>
            <w:pPr>
              <w:spacing w:after="0" w:line="243" w:lineRule="exact"/>
              <w:rPr>
                <w:sz w:val="20"/>
                <w:szCs w:val="20"/>
                <w:color w:val="auto"/>
              </w:rPr>
            </w:pPr>
            <w:r>
              <w:rPr>
                <w:rFonts w:ascii="Arial" w:cs="Arial" w:eastAsia="Arial" w:hAnsi="Arial"/>
                <w:sz w:val="17"/>
                <w:szCs w:val="17"/>
                <w:color w:val="auto"/>
              </w:rPr>
              <w:t>Other postretirement income (expense)</w:t>
            </w:r>
            <w:r>
              <w:rPr>
                <w:rFonts w:ascii="Arial" w:cs="Arial" w:eastAsia="Arial" w:hAnsi="Arial"/>
                <w:sz w:val="28"/>
                <w:szCs w:val="28"/>
                <w:color w:val="auto"/>
                <w:vertAlign w:val="superscript"/>
              </w:rPr>
              <w:t>(2)</w:t>
            </w:r>
          </w:p>
        </w:tc>
        <w:tc>
          <w:tcPr>
            <w:tcW w:w="10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98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32</w:t>
            </w:r>
          </w:p>
        </w:tc>
        <w:tc>
          <w:tcPr>
            <w:tcW w:w="30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(49)</w:t>
            </w:r>
          </w:p>
        </w:tc>
      </w:tr>
      <w:tr>
        <w:trPr>
          <w:trHeight w:val="257"/>
        </w:trPr>
        <w:tc>
          <w:tcPr>
            <w:tcW w:w="4980" w:type="dxa"/>
            <w:vAlign w:val="bottom"/>
            <w:tcBorders>
              <w:bottom w:val="single" w:sz="8" w:color="E5FFFF"/>
            </w:tcBorders>
          </w:tcPr>
          <w:p>
            <w:pPr>
              <w:spacing w:after="0" w:line="256" w:lineRule="exact"/>
              <w:rPr>
                <w:sz w:val="20"/>
                <w:szCs w:val="20"/>
                <w:color w:val="auto"/>
              </w:rPr>
            </w:pPr>
            <w:r>
              <w:rPr>
                <w:rFonts w:ascii="Arial" w:cs="Arial" w:eastAsia="Arial" w:hAnsi="Arial"/>
                <w:sz w:val="18"/>
                <w:szCs w:val="18"/>
                <w:color w:val="auto"/>
              </w:rPr>
              <w:t xml:space="preserve">Repositioning and other charges </w:t>
            </w:r>
            <w:r>
              <w:rPr>
                <w:rFonts w:ascii="Arial" w:cs="Arial" w:eastAsia="Arial" w:hAnsi="Arial"/>
                <w:sz w:val="29"/>
                <w:szCs w:val="29"/>
                <w:color w:val="auto"/>
                <w:vertAlign w:val="superscript"/>
              </w:rPr>
              <w:t>(2)</w:t>
            </w:r>
          </w:p>
        </w:tc>
        <w:tc>
          <w:tcPr>
            <w:tcW w:w="1000" w:type="dxa"/>
            <w:vAlign w:val="bottom"/>
            <w:tcBorders>
              <w:bottom w:val="single" w:sz="8" w:color="E5FF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300" w:type="dxa"/>
            <w:vAlign w:val="bottom"/>
            <w:tcBorders>
              <w:bottom w:val="single" w:sz="8" w:color="E5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300" w:type="dxa"/>
            <w:vAlign w:val="bottom"/>
            <w:tcBorders>
              <w:bottom w:val="single" w:sz="8" w:color="E5FF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r>
      <w:tr>
        <w:trPr>
          <w:trHeight w:val="210"/>
        </w:trPr>
        <w:tc>
          <w:tcPr>
            <w:tcW w:w="4980" w:type="dxa"/>
            <w:vAlign w:val="bottom"/>
            <w:shd w:val="clear" w:color="auto" w:fill="E5FFFF"/>
          </w:tcPr>
          <w:p>
            <w:pPr>
              <w:ind w:left="180"/>
              <w:spacing w:after="0" w:line="197" w:lineRule="exact"/>
              <w:rPr>
                <w:sz w:val="20"/>
                <w:szCs w:val="20"/>
                <w:color w:val="auto"/>
              </w:rPr>
            </w:pPr>
            <w:r>
              <w:rPr>
                <w:rFonts w:ascii="Arial" w:cs="Arial" w:eastAsia="Arial" w:hAnsi="Arial"/>
                <w:sz w:val="18"/>
                <w:szCs w:val="18"/>
                <w:color w:val="auto"/>
              </w:rPr>
              <w:t>Income from continuing operations before taxes</w:t>
            </w:r>
          </w:p>
        </w:tc>
        <w:tc>
          <w:tcPr>
            <w:tcW w:w="126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6,447</w:t>
            </w:r>
          </w:p>
        </w:tc>
        <w:tc>
          <w:tcPr>
            <w:tcW w:w="540" w:type="dxa"/>
            <w:vAlign w:val="bottom"/>
            <w:gridSpan w:val="2"/>
            <w:shd w:val="clear" w:color="auto" w:fill="E5FF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6,586</w:t>
            </w:r>
          </w:p>
        </w:tc>
        <w:tc>
          <w:tcPr>
            <w:tcW w:w="620" w:type="dxa"/>
            <w:vAlign w:val="bottom"/>
            <w:gridSpan w:val="2"/>
            <w:shd w:val="clear" w:color="auto" w:fill="E5FF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5,818</w:t>
            </w:r>
          </w:p>
        </w:tc>
      </w:tr>
      <w:tr>
        <w:trPr>
          <w:trHeight w:val="20"/>
        </w:trPr>
        <w:tc>
          <w:tcPr>
            <w:tcW w:w="4980" w:type="dxa"/>
            <w:vAlign w:val="bottom"/>
            <w:tcBorders>
              <w:top w:val="single" w:sz="8" w:color="E5FFFF"/>
            </w:tcBorders>
          </w:tcPr>
          <w:p>
            <w:pPr>
              <w:spacing w:after="0" w:line="20" w:lineRule="exact"/>
              <w:rPr>
                <w:sz w:val="1"/>
                <w:szCs w:val="1"/>
                <w:color w:val="auto"/>
              </w:rPr>
            </w:pPr>
          </w:p>
        </w:tc>
        <w:tc>
          <w:tcPr>
            <w:tcW w:w="100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040" w:hanging="458"/>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Equity income (loss) of affiliated companies is included in Segment Profit.</w:t>
      </w:r>
    </w:p>
    <w:p>
      <w:pPr>
        <w:spacing w:after="0" w:line="9" w:lineRule="exact"/>
        <w:rPr>
          <w:rFonts w:ascii="Arial" w:cs="Arial" w:eastAsia="Arial" w:hAnsi="Arial"/>
          <w:sz w:val="18"/>
          <w:szCs w:val="18"/>
          <w:color w:val="auto"/>
        </w:rPr>
      </w:pPr>
    </w:p>
    <w:p>
      <w:pPr>
        <w:ind w:left="1040" w:hanging="458"/>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Amounts included in cost of products and services sold and selling, general and administrative expenses.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Geographic Areas - Financial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ind w:right="76"/>
              <w:spacing w:after="0"/>
              <w:rPr>
                <w:sz w:val="20"/>
                <w:szCs w:val="20"/>
                <w:color w:val="auto"/>
              </w:rPr>
            </w:pPr>
            <w:r>
              <w:rPr>
                <w:rFonts w:ascii="Arial" w:cs="Arial" w:eastAsia="Arial" w:hAnsi="Arial"/>
                <w:sz w:val="14"/>
                <w:szCs w:val="14"/>
                <w:b w:val="1"/>
                <w:bCs w:val="1"/>
                <w:color w:val="auto"/>
                <w:w w:val="95"/>
              </w:rPr>
              <w:t>Net Sales</w:t>
            </w:r>
            <w:r>
              <w:rPr>
                <w:rFonts w:ascii="Arial" w:cs="Arial" w:eastAsia="Arial" w:hAnsi="Arial"/>
                <w:sz w:val="23"/>
                <w:szCs w:val="23"/>
                <w:b w:val="1"/>
                <w:bCs w:val="1"/>
                <w:color w:val="auto"/>
                <w:w w:val="95"/>
                <w:vertAlign w:val="superscript"/>
              </w:rPr>
              <w:t>(1)</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9"/>
              </w:rPr>
              <w:t>Long-lived Assets</w:t>
            </w:r>
            <w:r>
              <w:rPr>
                <w:rFonts w:ascii="Arial" w:cs="Arial" w:eastAsia="Arial" w:hAnsi="Arial"/>
                <w:sz w:val="23"/>
                <w:szCs w:val="23"/>
                <w:b w:val="1"/>
                <w:bCs w:val="1"/>
                <w:color w:val="auto"/>
                <w:w w:val="99"/>
                <w:vertAlign w:val="superscript"/>
              </w:rPr>
              <w:t>(2)</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75"/>
        </w:trPr>
        <w:tc>
          <w:tcPr>
            <w:tcW w:w="35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7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196"/>
        </w:trPr>
        <w:tc>
          <w:tcPr>
            <w:tcW w:w="356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E5FF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E5FF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E5FF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E5FF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E5FFFF"/>
            </w:tcBorders>
          </w:tcPr>
          <w:p>
            <w:pPr>
              <w:spacing w:after="0"/>
              <w:rPr>
                <w:sz w:val="17"/>
                <w:szCs w:val="17"/>
                <w:color w:val="auto"/>
              </w:rPr>
            </w:pPr>
          </w:p>
        </w:tc>
        <w:tc>
          <w:tcPr>
            <w:tcW w:w="20" w:type="dxa"/>
            <w:vAlign w:val="bottom"/>
            <w:tcBorders>
              <w:bottom w:val="single" w:sz="8" w:color="E5FF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2014</w:t>
            </w:r>
          </w:p>
        </w:tc>
      </w:tr>
      <w:tr>
        <w:trPr>
          <w:trHeight w:val="196"/>
        </w:trPr>
        <w:tc>
          <w:tcPr>
            <w:tcW w:w="3560" w:type="dxa"/>
            <w:vAlign w:val="bottom"/>
            <w:shd w:val="clear" w:color="auto" w:fill="E5FFFF"/>
          </w:tcPr>
          <w:p>
            <w:pPr>
              <w:ind w:left="40"/>
              <w:spacing w:after="0" w:line="196" w:lineRule="exact"/>
              <w:rPr>
                <w:sz w:val="20"/>
                <w:szCs w:val="20"/>
                <w:color w:val="auto"/>
              </w:rPr>
            </w:pPr>
            <w:r>
              <w:rPr>
                <w:rFonts w:ascii="Arial" w:cs="Arial" w:eastAsia="Arial" w:hAnsi="Arial"/>
                <w:sz w:val="18"/>
                <w:szCs w:val="18"/>
                <w:color w:val="auto"/>
              </w:rPr>
              <w:t>United States</w:t>
            </w:r>
          </w:p>
        </w:tc>
        <w:tc>
          <w:tcPr>
            <w:tcW w:w="240" w:type="dxa"/>
            <w:vAlign w:val="bottom"/>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22,652</w:t>
            </w:r>
          </w:p>
        </w:tc>
        <w:tc>
          <w:tcPr>
            <w:tcW w:w="1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E5FFFF"/>
          </w:tcPr>
          <w:p>
            <w:pPr>
              <w:jc w:val="right"/>
              <w:ind w:right="36"/>
              <w:spacing w:after="0" w:line="196" w:lineRule="exact"/>
              <w:rPr>
                <w:sz w:val="20"/>
                <w:szCs w:val="20"/>
                <w:color w:val="auto"/>
              </w:rPr>
            </w:pPr>
            <w:r>
              <w:rPr>
                <w:rFonts w:ascii="Arial" w:cs="Arial" w:eastAsia="Arial" w:hAnsi="Arial"/>
                <w:sz w:val="18"/>
                <w:szCs w:val="18"/>
                <w:color w:val="auto"/>
              </w:rPr>
              <w:t>23,771</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23,911</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3,744</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jc w:val="right"/>
              <w:ind w:right="39"/>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3,939</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20" w:type="dxa"/>
            <w:vAlign w:val="bottom"/>
            <w:shd w:val="clear" w:color="auto" w:fill="E5FF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3,612</w:t>
            </w:r>
          </w:p>
        </w:tc>
      </w:tr>
      <w:tr>
        <w:trPr>
          <w:trHeight w:val="203"/>
        </w:trPr>
        <w:tc>
          <w:tcPr>
            <w:tcW w:w="3560" w:type="dxa"/>
            <w:vAlign w:val="bottom"/>
          </w:tcPr>
          <w:p>
            <w:pPr>
              <w:ind w:left="40"/>
              <w:spacing w:after="0" w:line="202" w:lineRule="exact"/>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9,966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8,674</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9,870</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741</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746</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741</w:t>
            </w:r>
          </w:p>
        </w:tc>
      </w:tr>
      <w:tr>
        <w:trPr>
          <w:trHeight w:val="216"/>
        </w:trPr>
        <w:tc>
          <w:tcPr>
            <w:tcW w:w="3560" w:type="dxa"/>
            <w:vAlign w:val="bottom"/>
            <w:shd w:val="clear" w:color="auto" w:fill="E5FFFF"/>
          </w:tcPr>
          <w:p>
            <w:pPr>
              <w:ind w:left="40"/>
              <w:spacing w:after="0"/>
              <w:rPr>
                <w:sz w:val="20"/>
                <w:szCs w:val="20"/>
                <w:color w:val="auto"/>
              </w:rPr>
            </w:pPr>
            <w:r>
              <w:rPr>
                <w:rFonts w:ascii="Arial" w:cs="Arial" w:eastAsia="Arial" w:hAnsi="Arial"/>
                <w:sz w:val="18"/>
                <w:szCs w:val="18"/>
                <w:color w:val="auto"/>
              </w:rPr>
              <w:t>Other International</w:t>
            </w:r>
          </w:p>
        </w:tc>
        <w:tc>
          <w:tcPr>
            <w:tcW w:w="24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6,684</w:t>
            </w:r>
          </w:p>
        </w:tc>
        <w:tc>
          <w:tcPr>
            <w:tcW w:w="100" w:type="dxa"/>
            <w:vAlign w:val="bottom"/>
            <w:tcBorders>
              <w:bottom w:val="single" w:sz="8" w:color="auto"/>
            </w:tcBorders>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00" w:type="dxa"/>
            <w:vAlign w:val="bottom"/>
            <w:tcBorders>
              <w:bottom w:val="single" w:sz="8" w:color="auto"/>
            </w:tcBorders>
            <w:shd w:val="clear" w:color="auto" w:fill="E5FFFF"/>
          </w:tcPr>
          <w:p>
            <w:pPr>
              <w:spacing w:after="0"/>
              <w:rPr>
                <w:sz w:val="18"/>
                <w:szCs w:val="18"/>
                <w:color w:val="auto"/>
              </w:rPr>
            </w:pPr>
          </w:p>
        </w:tc>
        <w:tc>
          <w:tcPr>
            <w:tcW w:w="960" w:type="dxa"/>
            <w:vAlign w:val="bottom"/>
            <w:tcBorders>
              <w:bottom w:val="single" w:sz="8" w:color="auto"/>
            </w:tcBorders>
            <w:shd w:val="clear" w:color="auto" w:fill="E5FFFF"/>
          </w:tcPr>
          <w:p>
            <w:pPr>
              <w:jc w:val="right"/>
              <w:ind w:right="36"/>
              <w:spacing w:after="0"/>
              <w:rPr>
                <w:sz w:val="20"/>
                <w:szCs w:val="20"/>
                <w:color w:val="auto"/>
              </w:rPr>
            </w:pPr>
            <w:r>
              <w:rPr>
                <w:rFonts w:ascii="Arial" w:cs="Arial" w:eastAsia="Arial" w:hAnsi="Arial"/>
                <w:sz w:val="18"/>
                <w:szCs w:val="18"/>
                <w:color w:val="auto"/>
              </w:rPr>
              <w:t>6,136</w:t>
            </w:r>
          </w:p>
        </w:tc>
        <w:tc>
          <w:tcPr>
            <w:tcW w:w="34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6,525</w:t>
            </w:r>
          </w:p>
        </w:tc>
        <w:tc>
          <w:tcPr>
            <w:tcW w:w="34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80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1,308</w:t>
            </w:r>
          </w:p>
        </w:tc>
        <w:tc>
          <w:tcPr>
            <w:tcW w:w="34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1,104</w:t>
            </w:r>
          </w:p>
        </w:tc>
        <w:tc>
          <w:tcPr>
            <w:tcW w:w="3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1,030</w:t>
            </w:r>
          </w:p>
        </w:tc>
      </w:tr>
      <w:tr>
        <w:trPr>
          <w:trHeight w:val="223"/>
        </w:trPr>
        <w:tc>
          <w:tcPr>
            <w:tcW w:w="35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39,302</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38,581</w:t>
            </w: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40,306</w:t>
            </w: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5,793</w:t>
            </w:r>
          </w:p>
        </w:tc>
        <w:tc>
          <w:tcPr>
            <w:tcW w:w="56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5,789</w:t>
            </w:r>
          </w:p>
        </w:tc>
        <w:tc>
          <w:tcPr>
            <w:tcW w:w="340" w:type="dxa"/>
            <w:vAlign w:val="bottom"/>
          </w:tcPr>
          <w:p>
            <w:pPr>
              <w:spacing w:after="0"/>
              <w:rPr>
                <w:sz w:val="19"/>
                <w:szCs w:val="19"/>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5,383</w:t>
            </w:r>
          </w:p>
        </w:tc>
      </w:tr>
      <w:tr>
        <w:trPr>
          <w:trHeight w:val="20"/>
        </w:trPr>
        <w:tc>
          <w:tcPr>
            <w:tcW w:w="3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firstLine="8"/>
        <w:spacing w:after="0" w:line="234" w:lineRule="auto"/>
        <w:tabs>
          <w:tab w:leader="none" w:pos="285"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between geographic areas approximate market and are not significant. Net sales are classified according to their country of origin. Included in United States net sales are export sales of $5,290 million, $5,526 million and $5,647 million in 2016, 2015 and 2014.</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Long-lived assets are comprised of property, plant and equipment - net.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Supplemental Cash Flow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8"/>
          </w:tcPr>
          <w:p>
            <w:pPr>
              <w:jc w:val="right"/>
              <w:ind w:right="500"/>
              <w:spacing w:after="0"/>
              <w:rPr>
                <w:sz w:val="20"/>
                <w:szCs w:val="20"/>
                <w:color w:val="auto"/>
              </w:rPr>
            </w:pPr>
            <w:r>
              <w:rPr>
                <w:rFonts w:ascii="Arial" w:cs="Arial" w:eastAsia="Arial" w:hAnsi="Arial"/>
                <w:sz w:val="14"/>
                <w:szCs w:val="14"/>
                <w:b w:val="1"/>
                <w:bCs w:val="1"/>
                <w:color w:val="auto"/>
              </w:rPr>
              <w:t>Years Ended December 31,</w:t>
            </w:r>
          </w:p>
        </w:tc>
        <w:tc>
          <w:tcPr>
            <w:tcW w:w="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20" w:type="dxa"/>
            <w:vAlign w:val="bottom"/>
            <w:tcBorders>
              <w:bottom w:val="single" w:sz="8" w:color="E5FFFF"/>
            </w:tcBorders>
          </w:tcPr>
          <w:p>
            <w:pPr>
              <w:spacing w:after="0"/>
              <w:rPr>
                <w:sz w:val="14"/>
                <w:szCs w:val="14"/>
                <w:color w:val="auto"/>
              </w:rPr>
            </w:pPr>
          </w:p>
        </w:tc>
        <w:tc>
          <w:tcPr>
            <w:tcW w:w="300" w:type="dxa"/>
            <w:vAlign w:val="bottom"/>
            <w:tcBorders>
              <w:bottom w:val="single" w:sz="8" w:color="E5FFFF"/>
            </w:tcBorders>
          </w:tcPr>
          <w:p>
            <w:pPr>
              <w:spacing w:after="0"/>
              <w:rPr>
                <w:sz w:val="14"/>
                <w:szCs w:val="14"/>
                <w:color w:val="auto"/>
              </w:rPr>
            </w:pPr>
          </w:p>
        </w:tc>
        <w:tc>
          <w:tcPr>
            <w:tcW w:w="180" w:type="dxa"/>
            <w:vAlign w:val="bottom"/>
            <w:tcBorders>
              <w:bottom w:val="single" w:sz="8" w:color="E5FFFF"/>
            </w:tcBorders>
          </w:tcPr>
          <w:p>
            <w:pPr>
              <w:spacing w:after="0"/>
              <w:rPr>
                <w:sz w:val="14"/>
                <w:szCs w:val="14"/>
                <w:color w:val="auto"/>
              </w:rPr>
            </w:pPr>
          </w:p>
        </w:tc>
        <w:tc>
          <w:tcPr>
            <w:tcW w:w="880" w:type="dxa"/>
            <w:vAlign w:val="bottom"/>
            <w:tcBorders>
              <w:bottom w:val="single" w:sz="8" w:color="E5FFFF"/>
            </w:tcBorders>
          </w:tcPr>
          <w:p>
            <w:pPr>
              <w:spacing w:after="0"/>
              <w:rPr>
                <w:sz w:val="14"/>
                <w:szCs w:val="14"/>
                <w:color w:val="auto"/>
              </w:rPr>
            </w:pPr>
          </w:p>
        </w:tc>
        <w:tc>
          <w:tcPr>
            <w:tcW w:w="300" w:type="dxa"/>
            <w:vAlign w:val="bottom"/>
            <w:tcBorders>
              <w:bottom w:val="single" w:sz="8" w:color="E5FF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E5FFFF"/>
            </w:tcBorders>
          </w:tcPr>
          <w:p>
            <w:pPr>
              <w:spacing w:after="0"/>
              <w:rPr>
                <w:sz w:val="14"/>
                <w:szCs w:val="14"/>
                <w:color w:val="auto"/>
              </w:rPr>
            </w:pPr>
          </w:p>
        </w:tc>
        <w:tc>
          <w:tcPr>
            <w:tcW w:w="220" w:type="dxa"/>
            <w:vAlign w:val="bottom"/>
            <w:tcBorders>
              <w:bottom w:val="single" w:sz="8" w:color="E5FFFF"/>
            </w:tcBorders>
          </w:tcPr>
          <w:p>
            <w:pPr>
              <w:spacing w:after="0"/>
              <w:rPr>
                <w:sz w:val="14"/>
                <w:szCs w:val="14"/>
                <w:color w:val="auto"/>
              </w:rPr>
            </w:pPr>
          </w:p>
        </w:tc>
        <w:tc>
          <w:tcPr>
            <w:tcW w:w="11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E5FF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E5FFFF"/>
          </w:tcPr>
          <w:p>
            <w:pPr>
              <w:spacing w:after="0"/>
              <w:rPr>
                <w:sz w:val="20"/>
                <w:szCs w:val="20"/>
                <w:color w:val="auto"/>
              </w:rPr>
            </w:pPr>
            <w:r>
              <w:rPr>
                <w:rFonts w:ascii="Arial" w:cs="Arial" w:eastAsia="Arial" w:hAnsi="Arial"/>
                <w:sz w:val="18"/>
                <w:szCs w:val="18"/>
                <w:color w:val="auto"/>
              </w:rPr>
              <w:t>Payments for repositioning and other charges:</w:t>
            </w: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tcPr>
          <w:p>
            <w:pPr>
              <w:ind w:left="160"/>
              <w:spacing w:after="0" w:line="202" w:lineRule="exact"/>
              <w:rPr>
                <w:sz w:val="20"/>
                <w:szCs w:val="20"/>
                <w:color w:val="auto"/>
              </w:rPr>
            </w:pPr>
            <w:r>
              <w:rPr>
                <w:rFonts w:ascii="Arial" w:cs="Arial" w:eastAsia="Arial" w:hAnsi="Arial"/>
                <w:sz w:val="18"/>
                <w:szCs w:val="18"/>
                <w:color w:val="auto"/>
              </w:rPr>
              <w:t>Severance and exit cost payments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(118)</w:t>
            </w:r>
          </w:p>
        </w:tc>
        <w:tc>
          <w:tcPr>
            <w:tcW w:w="7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(161)</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Environmental payments</w:t>
            </w: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(228)</w:t>
            </w: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580" w:type="dxa"/>
            <w:vAlign w:val="bottom"/>
            <w:gridSpan w:val="3"/>
            <w:shd w:val="clear" w:color="auto" w:fill="E5FFFF"/>
          </w:tcPr>
          <w:p>
            <w:pPr>
              <w:jc w:val="right"/>
              <w:spacing w:after="0" w:line="202" w:lineRule="exact"/>
              <w:rPr>
                <w:sz w:val="20"/>
                <w:szCs w:val="20"/>
                <w:color w:val="auto"/>
              </w:rPr>
            </w:pPr>
            <w:r>
              <w:rPr>
                <w:rFonts w:ascii="Arial" w:cs="Arial" w:eastAsia="Arial" w:hAnsi="Arial"/>
                <w:sz w:val="18"/>
                <w:szCs w:val="18"/>
                <w:color w:val="auto"/>
              </w:rPr>
              <w:t>(273)</w:t>
            </w:r>
          </w:p>
        </w:tc>
        <w:tc>
          <w:tcPr>
            <w:tcW w:w="3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840" w:type="dxa"/>
            <w:vAlign w:val="bottom"/>
            <w:gridSpan w:val="4"/>
            <w:shd w:val="clear" w:color="auto" w:fill="E5FFFF"/>
          </w:tcPr>
          <w:p>
            <w:pPr>
              <w:jc w:val="right"/>
              <w:spacing w:after="0" w:line="202" w:lineRule="exact"/>
              <w:rPr>
                <w:sz w:val="20"/>
                <w:szCs w:val="20"/>
                <w:color w:val="auto"/>
              </w:rPr>
            </w:pPr>
            <w:r>
              <w:rPr>
                <w:rFonts w:ascii="Arial" w:cs="Arial" w:eastAsia="Arial" w:hAnsi="Arial"/>
                <w:sz w:val="18"/>
                <w:szCs w:val="18"/>
                <w:color w:val="auto"/>
              </w:rPr>
              <w:t>(321)</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tcPr>
          <w:p>
            <w:pPr>
              <w:ind w:left="160"/>
              <w:spacing w:after="0" w:line="202" w:lineRule="exact"/>
              <w:rPr>
                <w:sz w:val="20"/>
                <w:szCs w:val="20"/>
                <w:color w:val="auto"/>
              </w:rPr>
            </w:pPr>
            <w:r>
              <w:rPr>
                <w:rFonts w:ascii="Arial" w:cs="Arial" w:eastAsia="Arial" w:hAnsi="Arial"/>
                <w:sz w:val="18"/>
                <w:szCs w:val="18"/>
                <w:color w:val="auto"/>
              </w:rPr>
              <w:t>Insurance receipts for asbestos related liabilities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63</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211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5FFFF"/>
          </w:tcPr>
          <w:p>
            <w:pPr>
              <w:ind w:left="160"/>
              <w:spacing w:after="0"/>
              <w:rPr>
                <w:sz w:val="20"/>
                <w:szCs w:val="20"/>
                <w:color w:val="auto"/>
              </w:rPr>
            </w:pPr>
            <w:r>
              <w:rPr>
                <w:rFonts w:ascii="Arial" w:cs="Arial" w:eastAsia="Arial" w:hAnsi="Arial"/>
                <w:sz w:val="18"/>
                <w:szCs w:val="18"/>
                <w:color w:val="auto"/>
              </w:rPr>
              <w:t>Asbestos related liability payments</w:t>
            </w: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40" w:type="dxa"/>
            <w:vAlign w:val="bottom"/>
            <w:tcBorders>
              <w:bottom w:val="single" w:sz="8" w:color="auto"/>
            </w:tcBorders>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1080" w:type="dxa"/>
            <w:vAlign w:val="bottom"/>
            <w:tcBorders>
              <w:bottom w:val="single" w:sz="8" w:color="auto"/>
            </w:tcBorders>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720" w:type="dxa"/>
            <w:vAlign w:val="bottom"/>
            <w:tcBorders>
              <w:bottom w:val="single" w:sz="8" w:color="auto"/>
            </w:tcBorders>
            <w:shd w:val="clear" w:color="auto" w:fill="E5FFFF"/>
          </w:tcPr>
          <w:p>
            <w:pPr>
              <w:spacing w:after="0"/>
              <w:rPr>
                <w:sz w:val="18"/>
                <w:szCs w:val="18"/>
                <w:color w:val="auto"/>
              </w:rPr>
            </w:pPr>
          </w:p>
        </w:tc>
        <w:tc>
          <w:tcPr>
            <w:tcW w:w="58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(209)</w:t>
            </w:r>
          </w:p>
        </w:tc>
        <w:tc>
          <w:tcPr>
            <w:tcW w:w="320" w:type="dxa"/>
            <w:vAlign w:val="bottom"/>
            <w:shd w:val="clear" w:color="auto" w:fill="E5FFFF"/>
          </w:tcPr>
          <w:p>
            <w:pPr>
              <w:spacing w:after="0"/>
              <w:rPr>
                <w:sz w:val="18"/>
                <w:szCs w:val="18"/>
                <w:color w:val="auto"/>
              </w:rPr>
            </w:pPr>
          </w:p>
        </w:tc>
        <w:tc>
          <w:tcPr>
            <w:tcW w:w="46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gridSpan w:val="4"/>
            <w:shd w:val="clear" w:color="auto" w:fill="E5FFFF"/>
          </w:tcPr>
          <w:p>
            <w:pPr>
              <w:jc w:val="right"/>
              <w:spacing w:after="0"/>
              <w:rPr>
                <w:sz w:val="20"/>
                <w:szCs w:val="20"/>
                <w:color w:val="auto"/>
              </w:rPr>
            </w:pPr>
            <w:r>
              <w:rPr>
                <w:rFonts w:ascii="Arial" w:cs="Arial" w:eastAsia="Arial" w:hAnsi="Arial"/>
                <w:sz w:val="18"/>
                <w:szCs w:val="18"/>
                <w:color w:val="auto"/>
              </w:rPr>
              <w:t>(259)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(537)</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(530)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Interest paid, net of amounts capitalized</w:t>
            </w: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520" w:type="dxa"/>
            <w:vAlign w:val="bottom"/>
            <w:gridSpan w:val="3"/>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329</w:t>
            </w: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3"/>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310</w:t>
            </w:r>
          </w:p>
        </w:tc>
        <w:tc>
          <w:tcPr>
            <w:tcW w:w="780" w:type="dxa"/>
            <w:vAlign w:val="bottom"/>
            <w:gridSpan w:val="2"/>
            <w:shd w:val="clear" w:color="auto" w:fill="E5FF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3"/>
            <w:shd w:val="clear" w:color="auto" w:fill="E5FFFF"/>
          </w:tcPr>
          <w:p>
            <w:pPr>
              <w:jc w:val="right"/>
              <w:spacing w:after="0" w:line="202" w:lineRule="exact"/>
              <w:rPr>
                <w:sz w:val="20"/>
                <w:szCs w:val="20"/>
                <w:color w:val="auto"/>
              </w:rPr>
            </w:pPr>
            <w:r>
              <w:rPr>
                <w:rFonts w:ascii="Arial" w:cs="Arial" w:eastAsia="Arial" w:hAnsi="Arial"/>
                <w:sz w:val="18"/>
                <w:szCs w:val="18"/>
                <w:color w:val="auto"/>
              </w:rPr>
              <w:t>312</w:t>
            </w:r>
          </w:p>
        </w:tc>
        <w:tc>
          <w:tcPr>
            <w:tcW w:w="100" w:type="dxa"/>
            <w:vAlign w:val="bottom"/>
            <w:shd w:val="clear" w:color="auto" w:fill="E5FFFF"/>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tcPr>
          <w:p>
            <w:pPr>
              <w:spacing w:after="0" w:line="202" w:lineRule="exact"/>
              <w:rPr>
                <w:sz w:val="20"/>
                <w:szCs w:val="20"/>
                <w:color w:val="auto"/>
              </w:rPr>
            </w:pPr>
            <w:r>
              <w:rPr>
                <w:rFonts w:ascii="Arial" w:cs="Arial" w:eastAsia="Arial" w:hAnsi="Arial"/>
                <w:sz w:val="18"/>
                <w:szCs w:val="18"/>
                <w:color w:val="auto"/>
              </w:rPr>
              <w:t>Income taxes paid, net of refunds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1,142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1,192</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1,142</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5FFFF"/>
          </w:tcPr>
          <w:p>
            <w:pPr>
              <w:spacing w:after="0"/>
              <w:rPr>
                <w:sz w:val="20"/>
                <w:szCs w:val="20"/>
                <w:color w:val="auto"/>
              </w:rPr>
            </w:pPr>
            <w:r>
              <w:rPr>
                <w:rFonts w:ascii="Arial" w:cs="Arial" w:eastAsia="Arial" w:hAnsi="Arial"/>
                <w:sz w:val="18"/>
                <w:szCs w:val="18"/>
                <w:color w:val="auto"/>
              </w:rPr>
              <w:t>Non-cash investing and financing activities:</w:t>
            </w: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tcPr>
          <w:p>
            <w:pPr>
              <w:ind w:left="160"/>
              <w:spacing w:after="0" w:line="202" w:lineRule="exact"/>
              <w:rPr>
                <w:sz w:val="20"/>
                <w:szCs w:val="20"/>
                <w:color w:val="auto"/>
              </w:rPr>
            </w:pPr>
            <w:r>
              <w:rPr>
                <w:rFonts w:ascii="Arial" w:cs="Arial" w:eastAsia="Arial" w:hAnsi="Arial"/>
                <w:sz w:val="18"/>
                <w:szCs w:val="18"/>
                <w:color w:val="auto"/>
              </w:rPr>
              <w:t>Common stock contributed to savings plans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174</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168</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gridSpan w:val="3"/>
            <w:shd w:val="clear" w:color="auto" w:fill="E5FFFF"/>
          </w:tcPr>
          <w:p>
            <w:pPr>
              <w:ind w:left="160"/>
              <w:spacing w:after="0" w:line="202" w:lineRule="exact"/>
              <w:rPr>
                <w:sz w:val="20"/>
                <w:szCs w:val="20"/>
                <w:color w:val="auto"/>
              </w:rPr>
            </w:pPr>
            <w:r>
              <w:rPr>
                <w:rFonts w:ascii="Arial" w:cs="Arial" w:eastAsia="Arial" w:hAnsi="Arial"/>
                <w:sz w:val="18"/>
                <w:szCs w:val="18"/>
                <w:color w:val="auto"/>
              </w:rPr>
              <w:t>Marketable securities contributed to non-U.S. pension plans</w:t>
            </w:r>
          </w:p>
        </w:tc>
        <w:tc>
          <w:tcPr>
            <w:tcW w:w="8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106</w:t>
            </w: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580" w:type="dxa"/>
            <w:vAlign w:val="bottom"/>
            <w:gridSpan w:val="3"/>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109</w:t>
            </w:r>
          </w:p>
        </w:tc>
        <w:tc>
          <w:tcPr>
            <w:tcW w:w="3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740" w:type="dxa"/>
            <w:vAlign w:val="bottom"/>
            <w:gridSpan w:val="3"/>
            <w:shd w:val="clear" w:color="auto" w:fill="E5FFFF"/>
          </w:tcPr>
          <w:p>
            <w:pPr>
              <w:jc w:val="right"/>
              <w:spacing w:after="0" w:line="202" w:lineRule="exact"/>
              <w:rPr>
                <w:sz w:val="20"/>
                <w:szCs w:val="20"/>
                <w:color w:val="auto"/>
              </w:rPr>
            </w:pPr>
            <w:r>
              <w:rPr>
                <w:rFonts w:ascii="Arial" w:cs="Arial" w:eastAsia="Arial" w:hAnsi="Arial"/>
                <w:sz w:val="18"/>
                <w:szCs w:val="18"/>
                <w:color w:val="auto"/>
              </w:rPr>
              <w:t>117</w:t>
            </w:r>
          </w:p>
        </w:tc>
        <w:tc>
          <w:tcPr>
            <w:tcW w:w="100" w:type="dxa"/>
            <w:vAlign w:val="bottom"/>
            <w:shd w:val="clear" w:color="auto" w:fill="E5FFFF"/>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Note 24. Unaudited Quarterly Financial Information</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212"/>
              <w:spacing w:after="0"/>
              <w:rPr>
                <w:sz w:val="20"/>
                <w:szCs w:val="20"/>
                <w:color w:val="auto"/>
              </w:rPr>
            </w:pPr>
            <w:r>
              <w:rPr>
                <w:rFonts w:ascii="Arial" w:cs="Arial" w:eastAsia="Arial" w:hAnsi="Arial"/>
                <w:sz w:val="14"/>
                <w:szCs w:val="14"/>
                <w:b w:val="1"/>
                <w:bCs w:val="1"/>
                <w:color w:val="auto"/>
              </w:rPr>
              <w:t>Mar. 31</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4"/>
                <w:szCs w:val="14"/>
                <w:b w:val="1"/>
                <w:bCs w:val="1"/>
                <w:color w:val="auto"/>
              </w:rPr>
              <w:t>Sept. 30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Dec. 31</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30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E5FFFF"/>
          </w:tcPr>
          <w:p>
            <w:pPr>
              <w:jc w:val="right"/>
              <w:ind w:right="52"/>
              <w:spacing w:after="0" w:line="196" w:lineRule="exact"/>
              <w:rPr>
                <w:sz w:val="20"/>
                <w:szCs w:val="20"/>
                <w:color w:val="auto"/>
              </w:rPr>
            </w:pPr>
            <w:r>
              <w:rPr>
                <w:rFonts w:ascii="Arial" w:cs="Arial" w:eastAsia="Arial" w:hAnsi="Arial"/>
                <w:sz w:val="18"/>
                <w:szCs w:val="18"/>
                <w:color w:val="auto"/>
              </w:rPr>
              <w:t>9,522</w:t>
            </w:r>
          </w:p>
        </w:tc>
        <w:tc>
          <w:tcPr>
            <w:tcW w:w="340" w:type="dxa"/>
            <w:vAlign w:val="bottom"/>
            <w:tcBorders>
              <w:top w:val="single" w:sz="8" w:color="E5FFFF"/>
            </w:tcBorders>
            <w:gridSpan w:val="2"/>
            <w:shd w:val="clear" w:color="auto" w:fill="E5FFFF"/>
          </w:tcPr>
          <w:p>
            <w:pPr>
              <w:spacing w:after="0"/>
              <w:rPr>
                <w:sz w:val="17"/>
                <w:szCs w:val="17"/>
                <w:color w:val="auto"/>
              </w:rPr>
            </w:pPr>
          </w:p>
        </w:tc>
        <w:tc>
          <w:tcPr>
            <w:tcW w:w="1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9,991</w:t>
            </w:r>
          </w:p>
        </w:tc>
        <w:tc>
          <w:tcPr>
            <w:tcW w:w="24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9,804</w:t>
            </w:r>
          </w:p>
        </w:tc>
        <w:tc>
          <w:tcPr>
            <w:tcW w:w="80" w:type="dxa"/>
            <w:vAlign w:val="bottom"/>
            <w:tcBorders>
              <w:top w:val="single" w:sz="8" w:color="auto"/>
            </w:tcBorders>
            <w:shd w:val="clear" w:color="auto" w:fill="E5FFFF"/>
          </w:tcPr>
          <w:p>
            <w:pPr>
              <w:spacing w:after="0"/>
              <w:rPr>
                <w:sz w:val="17"/>
                <w:szCs w:val="17"/>
                <w:color w:val="auto"/>
              </w:rPr>
            </w:pPr>
          </w:p>
        </w:tc>
        <w:tc>
          <w:tcPr>
            <w:tcW w:w="34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2"/>
            <w:shd w:val="clear" w:color="auto" w:fill="E5FFFF"/>
          </w:tcPr>
          <w:p>
            <w:pPr>
              <w:jc w:val="right"/>
              <w:ind w:right="40"/>
              <w:spacing w:after="0" w:line="196" w:lineRule="exact"/>
              <w:rPr>
                <w:sz w:val="20"/>
                <w:szCs w:val="20"/>
                <w:color w:val="auto"/>
              </w:rPr>
            </w:pPr>
            <w:r>
              <w:rPr>
                <w:rFonts w:ascii="Arial" w:cs="Arial" w:eastAsia="Arial" w:hAnsi="Arial"/>
                <w:sz w:val="18"/>
                <w:szCs w:val="18"/>
                <w:color w:val="auto"/>
              </w:rPr>
              <w:t>9,985</w:t>
            </w:r>
          </w:p>
        </w:tc>
        <w:tc>
          <w:tcPr>
            <w:tcW w:w="60" w:type="dxa"/>
            <w:vAlign w:val="bottom"/>
            <w:tcBorders>
              <w:top w:val="single" w:sz="8" w:color="auto"/>
            </w:tcBorders>
            <w:shd w:val="clear" w:color="auto" w:fill="E5FFFF"/>
          </w:tcPr>
          <w:p>
            <w:pPr>
              <w:spacing w:after="0"/>
              <w:rPr>
                <w:sz w:val="17"/>
                <w:szCs w:val="17"/>
                <w:color w:val="auto"/>
              </w:rPr>
            </w:pPr>
          </w:p>
        </w:tc>
        <w:tc>
          <w:tcPr>
            <w:tcW w:w="340" w:type="dxa"/>
            <w:vAlign w:val="bottom"/>
            <w:tcBorders>
              <w:top w:val="single" w:sz="8" w:color="E5FFFF"/>
            </w:tcBorders>
            <w:shd w:val="clear" w:color="auto" w:fill="E5FFFF"/>
          </w:tcPr>
          <w:p>
            <w:pPr>
              <w:spacing w:after="0"/>
              <w:rPr>
                <w:sz w:val="17"/>
                <w:szCs w:val="17"/>
                <w:color w:val="auto"/>
              </w:rPr>
            </w:pPr>
          </w:p>
        </w:tc>
        <w:tc>
          <w:tcPr>
            <w:tcW w:w="340" w:type="dxa"/>
            <w:vAlign w:val="bottom"/>
            <w:tcBorders>
              <w:top w:val="single" w:sz="8" w:color="auto"/>
            </w:tcBorders>
            <w:shd w:val="clear" w:color="auto" w:fill="E5FF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E5FFFF"/>
          </w:tcPr>
          <w:p>
            <w:pPr>
              <w:jc w:val="right"/>
              <w:ind w:right="100"/>
              <w:spacing w:after="0" w:line="196" w:lineRule="exact"/>
              <w:rPr>
                <w:sz w:val="20"/>
                <w:szCs w:val="20"/>
                <w:color w:val="auto"/>
              </w:rPr>
            </w:pPr>
            <w:r>
              <w:rPr>
                <w:rFonts w:ascii="Arial" w:cs="Arial" w:eastAsia="Arial" w:hAnsi="Arial"/>
                <w:sz w:val="18"/>
                <w:szCs w:val="18"/>
                <w:color w:val="auto"/>
              </w:rPr>
              <w:t>39,302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2,975</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3,170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2,901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3,106</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12,152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Net income attributable to Honeywell</w:t>
            </w: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52"/>
              <w:spacing w:after="0" w:line="202" w:lineRule="exact"/>
              <w:rPr>
                <w:sz w:val="20"/>
                <w:szCs w:val="20"/>
                <w:color w:val="auto"/>
              </w:rPr>
            </w:pPr>
            <w:r>
              <w:rPr>
                <w:rFonts w:ascii="Arial" w:cs="Arial" w:eastAsia="Arial" w:hAnsi="Arial"/>
                <w:sz w:val="18"/>
                <w:szCs w:val="18"/>
                <w:color w:val="auto"/>
              </w:rPr>
              <w:t>1,216</w:t>
            </w:r>
          </w:p>
        </w:tc>
        <w:tc>
          <w:tcPr>
            <w:tcW w:w="3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1,319</w:t>
            </w:r>
          </w:p>
        </w:tc>
        <w:tc>
          <w:tcPr>
            <w:tcW w:w="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1,240</w:t>
            </w:r>
          </w:p>
        </w:tc>
        <w:tc>
          <w:tcPr>
            <w:tcW w:w="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8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1,034</w:t>
            </w:r>
          </w:p>
        </w:tc>
        <w:tc>
          <w:tcPr>
            <w:tcW w:w="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4,809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tcPr>
          <w:p>
            <w:pPr>
              <w:spacing w:after="0" w:line="202" w:lineRule="exact"/>
              <w:rPr>
                <w:sz w:val="20"/>
                <w:szCs w:val="20"/>
                <w:color w:val="auto"/>
              </w:rPr>
            </w:pPr>
            <w:r>
              <w:rPr>
                <w:rFonts w:ascii="Arial" w:cs="Arial" w:eastAsia="Arial" w:hAnsi="Arial"/>
                <w:sz w:val="18"/>
                <w:szCs w:val="18"/>
                <w:color w:val="auto"/>
              </w:rPr>
              <w:t>Earnings per share - basic</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1.58</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1.73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1.62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1.36</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Earnings per share - assuming dilution</w:t>
            </w: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52"/>
              <w:spacing w:after="0" w:line="202" w:lineRule="exact"/>
              <w:rPr>
                <w:sz w:val="20"/>
                <w:szCs w:val="20"/>
                <w:color w:val="auto"/>
              </w:rPr>
            </w:pPr>
            <w:r>
              <w:rPr>
                <w:rFonts w:ascii="Arial" w:cs="Arial" w:eastAsia="Arial" w:hAnsi="Arial"/>
                <w:sz w:val="18"/>
                <w:szCs w:val="18"/>
                <w:color w:val="auto"/>
              </w:rPr>
              <w:t>1.56</w:t>
            </w:r>
          </w:p>
        </w:tc>
        <w:tc>
          <w:tcPr>
            <w:tcW w:w="3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1.70</w:t>
            </w:r>
          </w:p>
        </w:tc>
        <w:tc>
          <w:tcPr>
            <w:tcW w:w="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1.60</w:t>
            </w:r>
          </w:p>
        </w:tc>
        <w:tc>
          <w:tcPr>
            <w:tcW w:w="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8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1.34</w:t>
            </w:r>
          </w:p>
        </w:tc>
        <w:tc>
          <w:tcPr>
            <w:tcW w:w="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tcPr>
          <w:p>
            <w:pPr>
              <w:spacing w:after="0" w:line="202" w:lineRule="exact"/>
              <w:rPr>
                <w:sz w:val="20"/>
                <w:szCs w:val="20"/>
                <w:color w:val="auto"/>
              </w:rPr>
            </w:pPr>
            <w:r>
              <w:rPr>
                <w:rFonts w:ascii="Arial" w:cs="Arial" w:eastAsia="Arial" w:hAnsi="Arial"/>
                <w:sz w:val="18"/>
                <w:szCs w:val="18"/>
                <w:color w:val="auto"/>
              </w:rPr>
              <w:t>Dividends paid per share</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0.5950</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0.5950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0.5950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0.6650</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Market Price per share</w:t>
            </w: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tcPr>
          <w:p>
            <w:pPr>
              <w:ind w:left="340"/>
              <w:spacing w:after="0" w:line="202" w:lineRule="exact"/>
              <w:rPr>
                <w:sz w:val="20"/>
                <w:szCs w:val="20"/>
                <w:color w:val="auto"/>
              </w:rPr>
            </w:pPr>
            <w:r>
              <w:rPr>
                <w:rFonts w:ascii="Arial" w:cs="Arial" w:eastAsia="Arial" w:hAnsi="Arial"/>
                <w:sz w:val="18"/>
                <w:szCs w:val="18"/>
                <w:color w:val="auto"/>
              </w:rPr>
              <w:t>High</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113.23</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117.32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119.88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118.09</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119.88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Low</w:t>
            </w: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52"/>
              <w:spacing w:after="0" w:line="202" w:lineRule="exact"/>
              <w:rPr>
                <w:sz w:val="20"/>
                <w:szCs w:val="20"/>
                <w:color w:val="auto"/>
              </w:rPr>
            </w:pPr>
            <w:r>
              <w:rPr>
                <w:rFonts w:ascii="Arial" w:cs="Arial" w:eastAsia="Arial" w:hAnsi="Arial"/>
                <w:sz w:val="18"/>
                <w:szCs w:val="18"/>
                <w:color w:val="auto"/>
              </w:rPr>
              <w:t>96.24</w:t>
            </w:r>
          </w:p>
        </w:tc>
        <w:tc>
          <w:tcPr>
            <w:tcW w:w="3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111.46</w:t>
            </w:r>
          </w:p>
        </w:tc>
        <w:tc>
          <w:tcPr>
            <w:tcW w:w="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111.60</w:t>
            </w:r>
          </w:p>
        </w:tc>
        <w:tc>
          <w:tcPr>
            <w:tcW w:w="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8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105.78</w:t>
            </w:r>
          </w:p>
        </w:tc>
        <w:tc>
          <w:tcPr>
            <w:tcW w:w="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96.24</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12"/>
              <w:spacing w:after="0"/>
              <w:rPr>
                <w:sz w:val="20"/>
                <w:szCs w:val="20"/>
                <w:color w:val="auto"/>
              </w:rPr>
            </w:pPr>
            <w:r>
              <w:rPr>
                <w:rFonts w:ascii="Arial" w:cs="Arial" w:eastAsia="Arial" w:hAnsi="Arial"/>
                <w:sz w:val="14"/>
                <w:szCs w:val="14"/>
                <w:b w:val="1"/>
                <w:bCs w:val="1"/>
                <w:color w:val="auto"/>
              </w:rPr>
              <w:t>Mar. 31</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4"/>
                <w:szCs w:val="14"/>
                <w:b w:val="1"/>
                <w:bCs w:val="1"/>
                <w:color w:val="auto"/>
              </w:rPr>
              <w:t>Sept. 30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Dec. 31</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30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E5FFFF"/>
          </w:tcPr>
          <w:p>
            <w:pPr>
              <w:jc w:val="right"/>
              <w:ind w:right="52"/>
              <w:spacing w:after="0" w:line="196" w:lineRule="exact"/>
              <w:rPr>
                <w:sz w:val="20"/>
                <w:szCs w:val="20"/>
                <w:color w:val="auto"/>
              </w:rPr>
            </w:pPr>
            <w:r>
              <w:rPr>
                <w:rFonts w:ascii="Arial" w:cs="Arial" w:eastAsia="Arial" w:hAnsi="Arial"/>
                <w:sz w:val="18"/>
                <w:szCs w:val="18"/>
                <w:color w:val="auto"/>
              </w:rPr>
              <w:t>9,213</w:t>
            </w:r>
          </w:p>
        </w:tc>
        <w:tc>
          <w:tcPr>
            <w:tcW w:w="340" w:type="dxa"/>
            <w:vAlign w:val="bottom"/>
            <w:tcBorders>
              <w:top w:val="single" w:sz="8" w:color="E5FFFF"/>
            </w:tcBorders>
            <w:gridSpan w:val="2"/>
            <w:shd w:val="clear" w:color="auto" w:fill="E5FFFF"/>
          </w:tcPr>
          <w:p>
            <w:pPr>
              <w:spacing w:after="0"/>
              <w:rPr>
                <w:sz w:val="17"/>
                <w:szCs w:val="17"/>
                <w:color w:val="auto"/>
              </w:rPr>
            </w:pPr>
          </w:p>
        </w:tc>
        <w:tc>
          <w:tcPr>
            <w:tcW w:w="1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9,775</w:t>
            </w:r>
          </w:p>
        </w:tc>
        <w:tc>
          <w:tcPr>
            <w:tcW w:w="24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9,611</w:t>
            </w:r>
          </w:p>
        </w:tc>
        <w:tc>
          <w:tcPr>
            <w:tcW w:w="80" w:type="dxa"/>
            <w:vAlign w:val="bottom"/>
            <w:tcBorders>
              <w:top w:val="single" w:sz="8" w:color="auto"/>
            </w:tcBorders>
            <w:shd w:val="clear" w:color="auto" w:fill="E5FFFF"/>
          </w:tcPr>
          <w:p>
            <w:pPr>
              <w:spacing w:after="0"/>
              <w:rPr>
                <w:sz w:val="17"/>
                <w:szCs w:val="17"/>
                <w:color w:val="auto"/>
              </w:rPr>
            </w:pPr>
          </w:p>
        </w:tc>
        <w:tc>
          <w:tcPr>
            <w:tcW w:w="34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2"/>
            <w:shd w:val="clear" w:color="auto" w:fill="E5FFFF"/>
          </w:tcPr>
          <w:p>
            <w:pPr>
              <w:jc w:val="right"/>
              <w:ind w:right="40"/>
              <w:spacing w:after="0" w:line="196" w:lineRule="exact"/>
              <w:rPr>
                <w:sz w:val="20"/>
                <w:szCs w:val="20"/>
                <w:color w:val="auto"/>
              </w:rPr>
            </w:pPr>
            <w:r>
              <w:rPr>
                <w:rFonts w:ascii="Arial" w:cs="Arial" w:eastAsia="Arial" w:hAnsi="Arial"/>
                <w:sz w:val="18"/>
                <w:szCs w:val="18"/>
                <w:color w:val="auto"/>
              </w:rPr>
              <w:t>9,982</w:t>
            </w:r>
          </w:p>
        </w:tc>
        <w:tc>
          <w:tcPr>
            <w:tcW w:w="60" w:type="dxa"/>
            <w:vAlign w:val="bottom"/>
            <w:tcBorders>
              <w:top w:val="single" w:sz="8" w:color="auto"/>
            </w:tcBorders>
            <w:shd w:val="clear" w:color="auto" w:fill="E5FFFF"/>
          </w:tcPr>
          <w:p>
            <w:pPr>
              <w:spacing w:after="0"/>
              <w:rPr>
                <w:sz w:val="17"/>
                <w:szCs w:val="17"/>
                <w:color w:val="auto"/>
              </w:rPr>
            </w:pPr>
          </w:p>
        </w:tc>
        <w:tc>
          <w:tcPr>
            <w:tcW w:w="340" w:type="dxa"/>
            <w:vAlign w:val="bottom"/>
            <w:tcBorders>
              <w:top w:val="single" w:sz="8" w:color="E5FFFF"/>
            </w:tcBorders>
            <w:shd w:val="clear" w:color="auto" w:fill="E5FFFF"/>
          </w:tcPr>
          <w:p>
            <w:pPr>
              <w:spacing w:after="0"/>
              <w:rPr>
                <w:sz w:val="17"/>
                <w:szCs w:val="17"/>
                <w:color w:val="auto"/>
              </w:rPr>
            </w:pPr>
          </w:p>
        </w:tc>
        <w:tc>
          <w:tcPr>
            <w:tcW w:w="340" w:type="dxa"/>
            <w:vAlign w:val="bottom"/>
            <w:tcBorders>
              <w:top w:val="single" w:sz="8" w:color="auto"/>
            </w:tcBorders>
            <w:shd w:val="clear" w:color="auto" w:fill="E5FF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E5FFFF"/>
          </w:tcPr>
          <w:p>
            <w:pPr>
              <w:jc w:val="right"/>
              <w:ind w:right="100"/>
              <w:spacing w:after="0" w:line="196" w:lineRule="exact"/>
              <w:rPr>
                <w:sz w:val="20"/>
                <w:szCs w:val="20"/>
                <w:color w:val="auto"/>
              </w:rPr>
            </w:pPr>
            <w:r>
              <w:rPr>
                <w:rFonts w:ascii="Arial" w:cs="Arial" w:eastAsia="Arial" w:hAnsi="Arial"/>
                <w:sz w:val="18"/>
                <w:szCs w:val="18"/>
                <w:color w:val="auto"/>
              </w:rPr>
              <w:t>38,581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2,851</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2,961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2,957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3,065</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11,834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Net income attributable to Honeywell</w:t>
            </w: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52"/>
              <w:spacing w:after="0" w:line="202" w:lineRule="exact"/>
              <w:rPr>
                <w:sz w:val="20"/>
                <w:szCs w:val="20"/>
                <w:color w:val="auto"/>
              </w:rPr>
            </w:pPr>
            <w:r>
              <w:rPr>
                <w:rFonts w:ascii="Arial" w:cs="Arial" w:eastAsia="Arial" w:hAnsi="Arial"/>
                <w:sz w:val="18"/>
                <w:szCs w:val="18"/>
                <w:color w:val="auto"/>
              </w:rPr>
              <w:t>1,116</w:t>
            </w:r>
          </w:p>
        </w:tc>
        <w:tc>
          <w:tcPr>
            <w:tcW w:w="3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1,194</w:t>
            </w:r>
          </w:p>
        </w:tc>
        <w:tc>
          <w:tcPr>
            <w:tcW w:w="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1,264</w:t>
            </w:r>
          </w:p>
        </w:tc>
        <w:tc>
          <w:tcPr>
            <w:tcW w:w="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8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1,194</w:t>
            </w:r>
          </w:p>
        </w:tc>
        <w:tc>
          <w:tcPr>
            <w:tcW w:w="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4,768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tcPr>
          <w:p>
            <w:pPr>
              <w:spacing w:after="0" w:line="202" w:lineRule="exact"/>
              <w:rPr>
                <w:sz w:val="20"/>
                <w:szCs w:val="20"/>
                <w:color w:val="auto"/>
              </w:rPr>
            </w:pPr>
            <w:r>
              <w:rPr>
                <w:rFonts w:ascii="Arial" w:cs="Arial" w:eastAsia="Arial" w:hAnsi="Arial"/>
                <w:sz w:val="18"/>
                <w:szCs w:val="18"/>
                <w:color w:val="auto"/>
              </w:rPr>
              <w:t>Earnings per share - basic</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1.42</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1.62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1.55</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Earnings per share - assuming dilution</w:t>
            </w: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52"/>
              <w:spacing w:after="0" w:line="202" w:lineRule="exact"/>
              <w:rPr>
                <w:sz w:val="20"/>
                <w:szCs w:val="20"/>
                <w:color w:val="auto"/>
              </w:rPr>
            </w:pPr>
            <w:r>
              <w:rPr>
                <w:rFonts w:ascii="Arial" w:cs="Arial" w:eastAsia="Arial" w:hAnsi="Arial"/>
                <w:sz w:val="18"/>
                <w:szCs w:val="18"/>
                <w:color w:val="auto"/>
              </w:rPr>
              <w:t>1.41</w:t>
            </w:r>
          </w:p>
        </w:tc>
        <w:tc>
          <w:tcPr>
            <w:tcW w:w="3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1.51</w:t>
            </w:r>
          </w:p>
        </w:tc>
        <w:tc>
          <w:tcPr>
            <w:tcW w:w="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1.60</w:t>
            </w:r>
          </w:p>
        </w:tc>
        <w:tc>
          <w:tcPr>
            <w:tcW w:w="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8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1.53</w:t>
            </w:r>
          </w:p>
        </w:tc>
        <w:tc>
          <w:tcPr>
            <w:tcW w:w="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tcPr>
          <w:p>
            <w:pPr>
              <w:spacing w:after="0" w:line="202" w:lineRule="exact"/>
              <w:rPr>
                <w:sz w:val="20"/>
                <w:szCs w:val="20"/>
                <w:color w:val="auto"/>
              </w:rPr>
            </w:pPr>
            <w:r>
              <w:rPr>
                <w:rFonts w:ascii="Arial" w:cs="Arial" w:eastAsia="Arial" w:hAnsi="Arial"/>
                <w:sz w:val="18"/>
                <w:szCs w:val="18"/>
                <w:color w:val="auto"/>
              </w:rPr>
              <w:t>Dividends paid per share</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0.5175</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0.5175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0.5175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0.5950</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Market Price per share</w:t>
            </w: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tcPr>
          <w:p>
            <w:pPr>
              <w:ind w:left="340"/>
              <w:spacing w:after="0" w:line="202" w:lineRule="exact"/>
              <w:rPr>
                <w:sz w:val="20"/>
                <w:szCs w:val="20"/>
                <w:color w:val="auto"/>
              </w:rPr>
            </w:pPr>
            <w:r>
              <w:rPr>
                <w:rFonts w:ascii="Arial" w:cs="Arial" w:eastAsia="Arial" w:hAnsi="Arial"/>
                <w:sz w:val="18"/>
                <w:szCs w:val="18"/>
                <w:color w:val="auto"/>
              </w:rPr>
              <w:t>High</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101.76</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104.17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104.29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101.65</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104.29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Low</w:t>
            </w: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52"/>
              <w:spacing w:after="0" w:line="202" w:lineRule="exact"/>
              <w:rPr>
                <w:sz w:val="20"/>
                <w:szCs w:val="20"/>
                <w:color w:val="auto"/>
              </w:rPr>
            </w:pPr>
            <w:r>
              <w:rPr>
                <w:rFonts w:ascii="Arial" w:cs="Arial" w:eastAsia="Arial" w:hAnsi="Arial"/>
                <w:sz w:val="18"/>
                <w:szCs w:val="18"/>
                <w:color w:val="auto"/>
              </w:rPr>
              <w:t>98.78</w:t>
            </w:r>
          </w:p>
        </w:tc>
        <w:tc>
          <w:tcPr>
            <w:tcW w:w="3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102.87</w:t>
            </w:r>
          </w:p>
        </w:tc>
        <w:tc>
          <w:tcPr>
            <w:tcW w:w="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101.72</w:t>
            </w:r>
          </w:p>
        </w:tc>
        <w:tc>
          <w:tcPr>
            <w:tcW w:w="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8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92.93</w:t>
            </w:r>
          </w:p>
        </w:tc>
        <w:tc>
          <w:tcPr>
            <w:tcW w:w="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92.93</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20" w:type="dxa"/>
            <w:vAlign w:val="bottom"/>
            <w:tcBorders>
              <w:bottom w:val="single" w:sz="8" w:color="C0C0C0"/>
            </w:tcBorders>
          </w:tcPr>
          <w:p>
            <w:pPr>
              <w:spacing w:after="0"/>
              <w:rPr>
                <w:sz w:val="21"/>
                <w:szCs w:val="21"/>
                <w:color w:val="auto"/>
              </w:rPr>
            </w:pPr>
          </w:p>
        </w:tc>
        <w:tc>
          <w:tcPr>
            <w:tcW w:w="300" w:type="dxa"/>
            <w:vAlign w:val="bottom"/>
            <w:tcBorders>
              <w:bottom w:val="single" w:sz="8" w:color="C0C0C0"/>
            </w:tcBorders>
          </w:tcPr>
          <w:p>
            <w:pPr>
              <w:spacing w:after="0"/>
              <w:rPr>
                <w:sz w:val="21"/>
                <w:szCs w:val="21"/>
                <w:color w:val="auto"/>
              </w:rPr>
            </w:pPr>
          </w:p>
        </w:tc>
        <w:tc>
          <w:tcPr>
            <w:tcW w:w="180" w:type="dxa"/>
            <w:vAlign w:val="bottom"/>
            <w:tcBorders>
              <w:bottom w:val="single" w:sz="8" w:color="C0C0C0"/>
            </w:tcBorders>
          </w:tcPr>
          <w:p>
            <w:pPr>
              <w:spacing w:after="0"/>
              <w:rPr>
                <w:sz w:val="21"/>
                <w:szCs w:val="21"/>
                <w:color w:val="auto"/>
              </w:rPr>
            </w:pPr>
          </w:p>
        </w:tc>
        <w:tc>
          <w:tcPr>
            <w:tcW w:w="880" w:type="dxa"/>
            <w:vAlign w:val="bottom"/>
            <w:tcBorders>
              <w:bottom w:val="single" w:sz="8" w:color="C0C0C0"/>
            </w:tcBorders>
          </w:tcPr>
          <w:p>
            <w:pPr>
              <w:spacing w:after="0"/>
              <w:rPr>
                <w:sz w:val="21"/>
                <w:szCs w:val="21"/>
                <w:color w:val="auto"/>
              </w:rPr>
            </w:pPr>
          </w:p>
        </w:tc>
        <w:tc>
          <w:tcPr>
            <w:tcW w:w="300" w:type="dxa"/>
            <w:vAlign w:val="bottom"/>
            <w:tcBorders>
              <w:bottom w:val="single" w:sz="8" w:color="C0C0C0"/>
            </w:tcBorders>
          </w:tcPr>
          <w:p>
            <w:pPr>
              <w:spacing w:after="0"/>
              <w:rPr>
                <w:sz w:val="21"/>
                <w:szCs w:val="21"/>
                <w:color w:val="auto"/>
              </w:rPr>
            </w:pPr>
          </w:p>
        </w:tc>
        <w:tc>
          <w:tcPr>
            <w:tcW w:w="40" w:type="dxa"/>
            <w:vAlign w:val="bottom"/>
            <w:tcBorders>
              <w:bottom w:val="single" w:sz="8" w:color="C0C0C0"/>
            </w:tcBorders>
          </w:tcPr>
          <w:p>
            <w:pPr>
              <w:spacing w:after="0"/>
              <w:rPr>
                <w:sz w:val="21"/>
                <w:szCs w:val="21"/>
                <w:color w:val="auto"/>
              </w:rPr>
            </w:pPr>
          </w:p>
        </w:tc>
        <w:tc>
          <w:tcPr>
            <w:tcW w:w="180" w:type="dxa"/>
            <w:vAlign w:val="bottom"/>
            <w:tcBorders>
              <w:bottom w:val="single" w:sz="8" w:color="C0C0C0"/>
            </w:tcBorders>
          </w:tcPr>
          <w:p>
            <w:pPr>
              <w:spacing w:after="0"/>
              <w:rPr>
                <w:sz w:val="21"/>
                <w:szCs w:val="21"/>
                <w:color w:val="auto"/>
              </w:rPr>
            </w:pPr>
          </w:p>
        </w:tc>
        <w:tc>
          <w:tcPr>
            <w:tcW w:w="84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72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320" w:type="dxa"/>
            <w:vAlign w:val="bottom"/>
            <w:tcBorders>
              <w:bottom w:val="single" w:sz="8" w:color="C0C0C0"/>
            </w:tcBorders>
          </w:tcPr>
          <w:p>
            <w:pPr>
              <w:spacing w:after="0"/>
              <w:rPr>
                <w:sz w:val="21"/>
                <w:szCs w:val="21"/>
                <w:color w:val="auto"/>
              </w:rPr>
            </w:pPr>
          </w:p>
        </w:tc>
        <w:tc>
          <w:tcPr>
            <w:tcW w:w="460" w:type="dxa"/>
            <w:vAlign w:val="bottom"/>
            <w:tcBorders>
              <w:bottom w:val="single" w:sz="8" w:color="C0C0C0"/>
            </w:tcBorders>
          </w:tcPr>
          <w:p>
            <w:pPr>
              <w:spacing w:after="0"/>
              <w:rPr>
                <w:sz w:val="21"/>
                <w:szCs w:val="21"/>
                <w:color w:val="auto"/>
              </w:rPr>
            </w:pPr>
          </w:p>
        </w:tc>
        <w:tc>
          <w:tcPr>
            <w:tcW w:w="60" w:type="dxa"/>
            <w:vAlign w:val="bottom"/>
            <w:tcBorders>
              <w:bottom w:val="single" w:sz="8" w:color="C0C0C0"/>
            </w:tcBorders>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58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82" w:name="page83"/>
    <w:bookmarkEnd w:id="82"/>
    <w:p>
      <w:pPr>
        <w:ind w:left="32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Honeywell International Inc.</w:t>
      </w:r>
    </w:p>
    <w:p>
      <w:pPr>
        <w:spacing w:after="0"/>
        <w:rPr>
          <w:sz w:val="20"/>
          <w:szCs w:val="20"/>
          <w:color w:val="auto"/>
        </w:rPr>
      </w:pPr>
      <w:r>
        <w:rPr>
          <w:rFonts w:ascii="Arial" w:cs="Arial" w:eastAsia="Arial" w:hAnsi="Arial"/>
          <w:sz w:val="18"/>
          <w:szCs w:val="18"/>
          <w:color w:val="auto"/>
        </w:rPr>
        <w:t>Morris Plains, New Jersey:</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audited the accompanying consolidated balance sheets of Honeywell International Inc. and subsidiaries (the “Company”) as of December 31, 2016 and 2015, and the related consolidated statements of operations, comprehensive income, cash flows and shareowners’ equity for the years then ended. We also have audited the Company’s internal control over financial reporting as of December 31, 2016 based</w:t>
      </w:r>
    </w:p>
    <w:p>
      <w:pPr>
        <w:spacing w:after="0" w:line="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on the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an opinion on the Company’s internal control over financial reporting based on our audits.</w:t>
      </w:r>
    </w:p>
    <w:p>
      <w:pPr>
        <w:spacing w:after="0" w:line="19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procedures as we considered necessary in the circumstances. We believe that our audits provide a reasonable basis for our opinions.</w:t>
      </w:r>
    </w:p>
    <w:p>
      <w:pPr>
        <w:spacing w:after="0" w:line="19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Honeywell International Inc. and subsidiaries as of December 31, 2016 and 2015, and the results of their operations and their cash flows for the years then ended in conformity with accounting principles generally accepted in the United States of America. Also, in our opinion, the Company maintained, in all material respects, effective internal control over financial reporting as of December 31, 2016, based on the criteria established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w:t>
      </w:r>
    </w:p>
    <w:p>
      <w:pPr>
        <w:spacing w:after="0" w:line="18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83" w:name="page84"/>
    <w:bookmarkEnd w:id="83"/>
    <w:p>
      <w:pPr>
        <w:jc w:val="both"/>
        <w:spacing w:after="0" w:line="256" w:lineRule="auto"/>
        <w:rPr>
          <w:sz w:val="20"/>
          <w:szCs w:val="20"/>
          <w:color w:val="auto"/>
        </w:rPr>
      </w:pPr>
      <w:r>
        <w:rPr>
          <w:rFonts w:ascii="Arial" w:cs="Arial" w:eastAsia="Arial" w:hAnsi="Arial"/>
          <w:sz w:val="18"/>
          <w:szCs w:val="18"/>
          <w:color w:val="auto"/>
        </w:rPr>
        <w:t xml:space="preserve">As discussed in Note 1 to the consolidated financial statements, the Company has changed its method of accounting for employee share-based payments in 2016 and 2015 due to the adoption of Financial Accounting Standards Board’s Accounting Standards Update No. 2016-09, </w:t>
      </w:r>
      <w:r>
        <w:rPr>
          <w:rFonts w:ascii="Arial" w:cs="Arial" w:eastAsia="Arial" w:hAnsi="Arial"/>
          <w:sz w:val="18"/>
          <w:szCs w:val="18"/>
          <w:i w:val="1"/>
          <w:iCs w:val="1"/>
          <w:color w:val="auto"/>
        </w:rPr>
        <w:t>Compensation—Stock Compensation (Topic 718): Improvements to Employee Share-Based Payment Accounting</w:t>
      </w:r>
      <w:r>
        <w:rPr>
          <w:rFonts w:ascii="Arial" w:cs="Arial" w:eastAsia="Arial" w:hAnsi="Arial"/>
          <w:sz w:val="18"/>
          <w:szCs w:val="18"/>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10, 2017</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84" w:name="page85"/>
    <w:bookmarkEnd w:id="84"/>
    <w:p>
      <w:pPr>
        <w:ind w:right="3220" w:firstLine="3224"/>
        <w:spacing w:after="0" w:line="482"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Honeywell International Inc.:</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our opinion, the accompanying consolidated statements of income, comprehensive income, shareholders’ equity and cash flows for the year ended December 31, 2014 present fairly, in all material respects, the results of operations and cash flows of Honeywell International Inc. and its subsidiaries for the year ended December 31, 2014, in conformity with accounting principles generally accepted in the United States of America. These financial statements are the responsibility of the Company’s management. Our responsibility is to express an opinion on these financial statements based on our audit. We conducted our audit of these financial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4" w:lineRule="auto"/>
        <w:rPr>
          <w:sz w:val="20"/>
          <w:szCs w:val="20"/>
          <w:color w:val="auto"/>
        </w:rPr>
      </w:pPr>
      <w:r>
        <w:rPr>
          <w:rFonts w:ascii="Arial" w:cs="Arial" w:eastAsia="Arial" w:hAnsi="Arial"/>
          <w:sz w:val="18"/>
          <w:szCs w:val="18"/>
          <w:color w:val="auto"/>
        </w:rPr>
        <w:t>Florham Park, NJ</w:t>
      </w:r>
    </w:p>
    <w:p>
      <w:pPr>
        <w:spacing w:after="0" w:line="1"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February 13, 2015, except for the change in composition of reportable segments discussed in Note 21 to the consolidated financial statements, as to which the date is February 10, 2017</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85" w:name="page86"/>
    <w:bookmarkEnd w:id="85"/>
    <w:p>
      <w:pPr>
        <w:spacing w:after="0"/>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22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Honeywell management maintains disclosure controls and procedures designed to provide reasonable assurance that information required 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 There have been no changes that have materially affected, or are reasonably likely to materially affect, Honeywell’s internal control over financial reporting that have occurred during the quarter ended December 31, 2016.</w:t>
      </w:r>
    </w:p>
    <w:p>
      <w:pPr>
        <w:spacing w:after="0" w:line="19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management, with the participation of our CEO and CFO, evaluated the effectiveness of our disclosure controls and procedures (as defined in Rules 13a-15(e) or 15d-15(e) promulgated under the Exchange Act) at December 31, 2016. Based on these evaluations, our CEO and CFO concluded that our disclosure controls and procedures required by paragraph (b) of Rules 13a-15 or 15d-15 were effective as of December 31, 2016.</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Management’s Report on Internal Control Over Financial Reporting</w:t>
      </w:r>
    </w:p>
    <w:p>
      <w:pPr>
        <w:spacing w:after="0" w:line="22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Honeywell management is responsible for establishing and maintaining adequate internal control over financial reporting and for its assessment of the effectiveness of internal control over financial reporting as defined in Rules 13a -15(f) and 15d-15(f) under the Securities Exchange Act of 1934. Honeywell’s internal control over financial reporting is a process designed to provide reasonable assurance to our management and board of directors regarding the reliability of financial reporting and the preparation of financial statements for external purposes in accordance with generally accepted accounting principles.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Management assessed the effectiveness of Honeywell’s internal control over financial reporting as of December 31, 2016.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Based on this assessment, management determined that Honeywell maintained effective internal control over financial reporting as of December 31, 2016.</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effectiveness of Honeywell’s internal control over financial reporting as of December 31, 2016 has been audited by Deloitte &amp; Touche LLP, an independent registered public accounting firm, as stated in their report which is included in Item 8. Financial Statements and Supplementary Data.</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22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Under the Iran Threat Reduction and Syrian Human Rights Act of 2012, which added Section 13(r) of the Securities Exchange Act of 1934, Honeywell is required to disclose in its periodic reports if it or any of its affiliates knowingly engaged in certain activities, transactions or dealings relating to Iran or with entities or individuals designated pursuant to certain Executive Orders. All of our activities in Iran during the three months ended December 31, 2016, including the activities disclosed below, were conducted by our non-U.S. subsidiaries under General License H and otherwise in compliance with all applicable laws, including sanctions regulations administered by U.S. Treasury’s Office of Foreign Assets Control (OFAC).</w:t>
      </w:r>
    </w:p>
    <w:p>
      <w:pPr>
        <w:spacing w:after="0" w:line="192"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In the three months ended December 31, 2016, the UOP business, part of Performance Materials and Technologies, engaged in the following activities related to Iran’s oil, gas and/or petrochemical sectors: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86" w:name="page87"/>
    <w:bookmarkEnd w:id="86"/>
    <w:p>
      <w:pPr>
        <w:ind w:left="660" w:hanging="328"/>
        <w:spacing w:after="0" w:line="23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Settled outstanding claims with Iranian counterparties under contracts originally entered into in compliance with then-applicable sanctions laws. Revenue in the three months ended December 31, 2016 from these settlements was approximately $28.6 million.</w:t>
      </w:r>
    </w:p>
    <w:p>
      <w:pPr>
        <w:spacing w:after="0" w:line="1" w:lineRule="exact"/>
        <w:rPr>
          <w:rFonts w:ascii="Arial" w:cs="Arial" w:eastAsia="Arial" w:hAnsi="Arial"/>
          <w:sz w:val="18"/>
          <w:szCs w:val="18"/>
          <w:color w:val="auto"/>
        </w:rPr>
      </w:pPr>
    </w:p>
    <w:p>
      <w:pPr>
        <w:ind w:left="660" w:right="20" w:hanging="328"/>
        <w:spacing w:after="0" w:line="23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Delivered services to Iranian counterparties pursuant to new and existing contracts, which resulted in revenue of approximately $1.3 million in the three months ended December 31, 2016, (expected total value of these contracts is approximately $4.2 million).</w:t>
      </w:r>
    </w:p>
    <w:p>
      <w:pPr>
        <w:spacing w:after="0" w:line="1" w:lineRule="exact"/>
        <w:rPr>
          <w:rFonts w:ascii="Arial" w:cs="Arial" w:eastAsia="Arial" w:hAnsi="Arial"/>
          <w:sz w:val="18"/>
          <w:szCs w:val="18"/>
          <w:color w:val="auto"/>
        </w:rPr>
      </w:pPr>
    </w:p>
    <w:p>
      <w:pPr>
        <w:jc w:val="both"/>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Sold non-U.S. origin products to non-U.S. third-parties for end-use in Iran pursuant to new and existing contracts, which resulted in revenue of approximately $0.1 million in the three months ended December 31, 2016 (expected total value of these contracts is approximately $0.9 million).</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the three months ended December 31, 2016, the Process Solutions business, part of Performance Materials and Technologies, sold approximately $1.7 million of non-U.S. origin products to distributors (including an Iranian distributor) for use in the gas distribution sector in Iran.</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In the three months ended December 31, 2016, the Industrial Safety business, part of Safety and Productivity Solutions, sold approximately $0.1 million of non-U.S. origin products to a non-U.S. distributor for use in the oil sector in Iran.</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addition to the activities described above, we previously disclosed in our periodic reports activities, transactions or dealings relating to Iran occurring in the first, second and third quarters of 2016. Our non-U.S. subsidiaries intend to continue doing business in Iran under General License H in compliance with all applicable laws, which sales may require additional disclosure pursuant to Section 13(r) of the Act.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87" w:name="page88"/>
    <w:bookmarkEnd w:id="87"/>
    <w:p>
      <w:pPr>
        <w:ind w:left="5280"/>
        <w:spacing w:after="0"/>
        <w:rPr>
          <w:sz w:val="20"/>
          <w:szCs w:val="20"/>
          <w:color w:val="auto"/>
        </w:rPr>
      </w:pPr>
      <w:r>
        <w:rPr>
          <w:rFonts w:ascii="Arial" w:cs="Arial" w:eastAsia="Arial" w:hAnsi="Arial"/>
          <w:sz w:val="22"/>
          <w:szCs w:val="22"/>
          <w:b w:val="1"/>
          <w:bCs w:val="1"/>
          <w:color w:val="auto"/>
        </w:rPr>
        <w:t>PART III.</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and Executive Officers of the Registrant</w:t>
      </w:r>
    </w:p>
    <w:p>
      <w:pPr>
        <w:spacing w:after="0" w:line="22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Information relating to the Directors of Honeywell, as well as information relating to compliance with Section 16(a) of the Securities Exchange Act of 1934, will be contained in our definitive Proxy Statement involving the election of the Directors, which will be filed with the SEC pursuant to Regulation 14A not later than 120 days after December 31, 2016, and such information is incorporated herein by reference. Certain other information relating to the Executive Officers of Honeywell appears in Part I of this Annual Report on Form 10-K under the heading Executive Officers of the Registrant.</w:t>
      </w:r>
    </w:p>
    <w:p>
      <w:pPr>
        <w:spacing w:after="0" w:line="18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members of the Audit Committee of our Board of Directors are: George Paz (Chair), Kevin Burke, D. Scott Davis, Linnet Deily, Judd Gregg and Robin L. Washington. The Board has determined that Mr. Paz, Mr. Davis and Ms. Washington are audit committee financial experts as defined by applicable SEC rules and that Mr. Paz, Mr. Burke, Mr. Davis, Ms. Deily and Ms. Washington satisfy the accounting or related financial management expertise criteria established by the NYSE. All members of the Audit Committee are independent as that term is defined in applicable SEC rules and NYSE listing standards.</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Honeywell’s corporate governance policies and procedures, including the Code of Business Conduct, Corporate Governance Guidelines and Charters of the Committees of the Board of Directors are available, free of charge, on our website under the heading Investor Relations (see Corporate Governance), or by writing to Honeywell, 115 Tabor Road, Morris Plains, New Jersey 07950, c/o Vice President and Corporate Secretary. Honeywell’s Code of Business Conduct applies to all Honeywell directors, officers (including the Chief Executive Officer, Chief Financial Officer and Controller) and employees. Amendments to or waivers of the Code of Business Conduct granted to any of Honeywell’s directors or executive officers will be published on our website within five business days of such amendment or waiver.</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224"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Information relating to executive compensation is contained in the Proxy Statement referred to above in Item 10. Directors and Executive Officers of the Registrant, and such information is incorporated herein by reference.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12. Security Ownership of Certain Beneficial Owners and Management and Related Stockholder Matters</w:t>
      </w:r>
    </w:p>
    <w:p>
      <w:pPr>
        <w:spacing w:after="0" w:line="22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Information relating to security ownership of certain beneficial owners and management and related stockholder matters is contained in the Proxy Statement referred to above in Item 10. Directors and Executive Officers of the Registrant, and such information is incorporated herein by reference.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88" w:name="page89"/>
    <w:bookmarkEnd w:id="88"/>
    <w:p>
      <w:pPr>
        <w:spacing w:after="0"/>
        <w:rPr>
          <w:sz w:val="20"/>
          <w:szCs w:val="20"/>
          <w:color w:val="auto"/>
        </w:rPr>
      </w:pPr>
      <w:r>
        <w:rPr>
          <w:rFonts w:ascii="Arial" w:cs="Arial" w:eastAsia="Arial" w:hAnsi="Arial"/>
          <w:sz w:val="22"/>
          <w:szCs w:val="22"/>
          <w:b w:val="1"/>
          <w:bCs w:val="1"/>
          <w:color w:val="auto"/>
        </w:rPr>
        <w:t>EQUITY COMPENSATION PLANS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2016 information about our equity compensation plans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60" w:type="dxa"/>
            <w:vAlign w:val="bottom"/>
          </w:tcPr>
          <w:p>
            <w:pPr>
              <w:jc w:val="center"/>
              <w:ind w:left="103"/>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rPr>
              <w:t>Number of Shares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60" w:type="dxa"/>
            <w:vAlign w:val="bottom"/>
          </w:tcPr>
          <w:p>
            <w:pPr>
              <w:jc w:val="center"/>
              <w:ind w:left="103"/>
              <w:spacing w:after="0"/>
              <w:rPr>
                <w:sz w:val="20"/>
                <w:szCs w:val="20"/>
                <w:color w:val="auto"/>
              </w:rPr>
            </w:pPr>
            <w:r>
              <w:rPr>
                <w:rFonts w:ascii="Arial" w:cs="Arial" w:eastAsia="Arial" w:hAnsi="Arial"/>
                <w:sz w:val="14"/>
                <w:szCs w:val="14"/>
                <w:b w:val="1"/>
                <w:bCs w:val="1"/>
                <w:color w:val="auto"/>
              </w:rPr>
              <w:t>Remaining Available for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rPr>
              <w:t>to be Issued Upon</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tcPr>
          <w:p>
            <w:pPr>
              <w:jc w:val="center"/>
              <w:ind w:right="242"/>
              <w:spacing w:after="0"/>
              <w:rPr>
                <w:sz w:val="20"/>
                <w:szCs w:val="20"/>
                <w:color w:val="auto"/>
              </w:rPr>
            </w:pPr>
            <w:r>
              <w:rPr>
                <w:rFonts w:ascii="Arial" w:cs="Arial" w:eastAsia="Arial" w:hAnsi="Arial"/>
                <w:sz w:val="14"/>
                <w:szCs w:val="14"/>
                <w:b w:val="1"/>
                <w:bCs w:val="1"/>
                <w:color w:val="auto"/>
              </w:rPr>
              <w:t>Weighted-Average</w:t>
            </w:r>
          </w:p>
        </w:tc>
        <w:tc>
          <w:tcPr>
            <w:tcW w:w="2460" w:type="dxa"/>
            <w:vAlign w:val="bottom"/>
          </w:tcPr>
          <w:p>
            <w:pPr>
              <w:jc w:val="center"/>
              <w:ind w:left="63"/>
              <w:spacing w:after="0"/>
              <w:rPr>
                <w:sz w:val="20"/>
                <w:szCs w:val="20"/>
                <w:color w:val="auto"/>
              </w:rPr>
            </w:pPr>
            <w:r>
              <w:rPr>
                <w:rFonts w:ascii="Arial" w:cs="Arial" w:eastAsia="Arial" w:hAnsi="Arial"/>
                <w:sz w:val="14"/>
                <w:szCs w:val="14"/>
                <w:b w:val="1"/>
                <w:bCs w:val="1"/>
                <w:color w:val="auto"/>
              </w:rPr>
              <w:t>Future Issuance Under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rPr>
              <w:t>Exercise of</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tcPr>
          <w:p>
            <w:pPr>
              <w:jc w:val="center"/>
              <w:ind w:right="242"/>
              <w:spacing w:after="0"/>
              <w:rPr>
                <w:sz w:val="20"/>
                <w:szCs w:val="20"/>
                <w:color w:val="auto"/>
              </w:rPr>
            </w:pPr>
            <w:r>
              <w:rPr>
                <w:rFonts w:ascii="Arial" w:cs="Arial" w:eastAsia="Arial" w:hAnsi="Arial"/>
                <w:sz w:val="14"/>
                <w:szCs w:val="14"/>
                <w:b w:val="1"/>
                <w:bCs w:val="1"/>
                <w:color w:val="auto"/>
              </w:rPr>
              <w:t>Exercise Price of</w:t>
            </w:r>
          </w:p>
        </w:tc>
        <w:tc>
          <w:tcPr>
            <w:tcW w:w="2460" w:type="dxa"/>
            <w:vAlign w:val="bottom"/>
          </w:tcPr>
          <w:p>
            <w:pPr>
              <w:jc w:val="center"/>
              <w:ind w:left="103"/>
              <w:spacing w:after="0"/>
              <w:rPr>
                <w:sz w:val="20"/>
                <w:szCs w:val="20"/>
                <w:color w:val="auto"/>
              </w:rPr>
            </w:pPr>
            <w:r>
              <w:rPr>
                <w:rFonts w:ascii="Arial" w:cs="Arial" w:eastAsia="Arial" w:hAnsi="Arial"/>
                <w:sz w:val="14"/>
                <w:szCs w:val="14"/>
                <w:b w:val="1"/>
                <w:bCs w:val="1"/>
                <w:color w:val="auto"/>
              </w:rPr>
              <w:t>Equity Compensation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tcPr>
          <w:p>
            <w:pPr>
              <w:jc w:val="center"/>
              <w:ind w:right="242"/>
              <w:spacing w:after="0"/>
              <w:rPr>
                <w:sz w:val="20"/>
                <w:szCs w:val="20"/>
                <w:color w:val="auto"/>
              </w:rPr>
            </w:pPr>
            <w:r>
              <w:rPr>
                <w:rFonts w:ascii="Arial" w:cs="Arial" w:eastAsia="Arial" w:hAnsi="Arial"/>
                <w:sz w:val="14"/>
                <w:szCs w:val="14"/>
                <w:b w:val="1"/>
                <w:bCs w:val="1"/>
                <w:color w:val="auto"/>
              </w:rPr>
              <w:t>Outstanding</w:t>
            </w:r>
          </w:p>
        </w:tc>
        <w:tc>
          <w:tcPr>
            <w:tcW w:w="2460" w:type="dxa"/>
            <w:vAlign w:val="bottom"/>
          </w:tcPr>
          <w:p>
            <w:pPr>
              <w:jc w:val="center"/>
              <w:ind w:left="103"/>
              <w:spacing w:after="0"/>
              <w:rPr>
                <w:sz w:val="20"/>
                <w:szCs w:val="20"/>
                <w:color w:val="auto"/>
              </w:rPr>
            </w:pPr>
            <w:r>
              <w:rPr>
                <w:rFonts w:ascii="Arial" w:cs="Arial" w:eastAsia="Arial" w:hAnsi="Arial"/>
                <w:sz w:val="14"/>
                <w:szCs w:val="14"/>
                <w:b w:val="1"/>
                <w:bCs w:val="1"/>
                <w:color w:val="auto"/>
              </w:rPr>
              <w:t>Plans (Excluding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rPr>
              <w:t>Options, Warrants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tcPr>
          <w:p>
            <w:pPr>
              <w:jc w:val="center"/>
              <w:ind w:right="242"/>
              <w:spacing w:after="0"/>
              <w:rPr>
                <w:sz w:val="20"/>
                <w:szCs w:val="20"/>
                <w:color w:val="auto"/>
              </w:rPr>
            </w:pPr>
            <w:r>
              <w:rPr>
                <w:rFonts w:ascii="Arial" w:cs="Arial" w:eastAsia="Arial" w:hAnsi="Arial"/>
                <w:sz w:val="14"/>
                <w:szCs w:val="14"/>
                <w:b w:val="1"/>
                <w:bCs w:val="1"/>
                <w:color w:val="auto"/>
              </w:rPr>
              <w:t>Options, Warrants</w:t>
            </w:r>
          </w:p>
        </w:tc>
        <w:tc>
          <w:tcPr>
            <w:tcW w:w="2460" w:type="dxa"/>
            <w:vAlign w:val="bottom"/>
          </w:tcPr>
          <w:p>
            <w:pPr>
              <w:jc w:val="center"/>
              <w:ind w:left="103"/>
              <w:spacing w:after="0"/>
              <w:rPr>
                <w:sz w:val="20"/>
                <w:szCs w:val="20"/>
                <w:color w:val="auto"/>
              </w:rPr>
            </w:pPr>
            <w:r>
              <w:rPr>
                <w:rFonts w:ascii="Arial" w:cs="Arial" w:eastAsia="Arial" w:hAnsi="Arial"/>
                <w:sz w:val="14"/>
                <w:szCs w:val="14"/>
                <w:b w:val="1"/>
                <w:bCs w:val="1"/>
                <w:color w:val="auto"/>
              </w:rPr>
              <w:t>Securities Reflected in</w:t>
            </w:r>
          </w:p>
        </w:tc>
        <w:tc>
          <w:tcPr>
            <w:tcW w:w="0" w:type="dxa"/>
            <w:vAlign w:val="bottom"/>
          </w:tcPr>
          <w:p>
            <w:pPr>
              <w:spacing w:after="0"/>
              <w:rPr>
                <w:sz w:val="1"/>
                <w:szCs w:val="1"/>
                <w:color w:val="auto"/>
              </w:rPr>
            </w:pPr>
          </w:p>
        </w:tc>
      </w:tr>
      <w:tr>
        <w:trPr>
          <w:trHeight w:val="175"/>
        </w:trPr>
        <w:tc>
          <w:tcPr>
            <w:tcW w:w="4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Plan category</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and Rights</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rPr>
              <w:t>and Rights</w:t>
            </w:r>
          </w:p>
        </w:tc>
        <w:tc>
          <w:tcPr>
            <w:tcW w:w="2460" w:type="dxa"/>
            <w:vAlign w:val="bottom"/>
            <w:tcBorders>
              <w:bottom w:val="single" w:sz="8" w:color="auto"/>
            </w:tcBorders>
          </w:tcPr>
          <w:p>
            <w:pPr>
              <w:jc w:val="center"/>
              <w:ind w:left="103"/>
              <w:spacing w:after="0"/>
              <w:rPr>
                <w:sz w:val="20"/>
                <w:szCs w:val="20"/>
                <w:color w:val="auto"/>
              </w:rPr>
            </w:pPr>
            <w:r>
              <w:rPr>
                <w:rFonts w:ascii="Arial" w:cs="Arial" w:eastAsia="Arial" w:hAnsi="Arial"/>
                <w:sz w:val="14"/>
                <w:szCs w:val="14"/>
                <w:b w:val="1"/>
                <w:bCs w:val="1"/>
                <w:color w:val="auto"/>
              </w:rPr>
              <w:t>Column (a))</w:t>
            </w:r>
          </w:p>
        </w:tc>
        <w:tc>
          <w:tcPr>
            <w:tcW w:w="0" w:type="dxa"/>
            <w:vAlign w:val="bottom"/>
          </w:tcPr>
          <w:p>
            <w:pPr>
              <w:spacing w:after="0"/>
              <w:rPr>
                <w:sz w:val="1"/>
                <w:szCs w:val="1"/>
                <w:color w:val="auto"/>
              </w:rPr>
            </w:pPr>
          </w:p>
        </w:tc>
      </w:tr>
      <w:tr>
        <w:trPr>
          <w:trHeight w:val="169"/>
        </w:trPr>
        <w:tc>
          <w:tcPr>
            <w:tcW w:w="4460" w:type="dxa"/>
            <w:vAlign w:val="bottom"/>
            <w:gridSpan w:val="3"/>
            <w:vMerge w:val="continue"/>
          </w:tcPr>
          <w:p>
            <w:pPr>
              <w:spacing w:after="0"/>
              <w:rPr>
                <w:sz w:val="14"/>
                <w:szCs w:val="14"/>
                <w:color w:val="auto"/>
              </w:rPr>
            </w:pPr>
          </w:p>
        </w:tc>
        <w:tc>
          <w:tcPr>
            <w:tcW w:w="2080" w:type="dxa"/>
            <w:vAlign w:val="bottom"/>
          </w:tcPr>
          <w:p>
            <w:pPr>
              <w:jc w:val="center"/>
              <w:spacing w:after="0" w:line="170" w:lineRule="exact"/>
              <w:rPr>
                <w:sz w:val="20"/>
                <w:szCs w:val="20"/>
                <w:color w:val="auto"/>
              </w:rPr>
            </w:pPr>
            <w:r>
              <w:rPr>
                <w:rFonts w:ascii="Arial" w:cs="Arial" w:eastAsia="Arial" w:hAnsi="Arial"/>
                <w:sz w:val="18"/>
                <w:szCs w:val="18"/>
                <w:color w:val="auto"/>
                <w:w w:val="99"/>
              </w:rPr>
              <w:t>( a )</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tcPr>
          <w:p>
            <w:pPr>
              <w:jc w:val="center"/>
              <w:ind w:right="122"/>
              <w:spacing w:after="0" w:line="170" w:lineRule="exact"/>
              <w:rPr>
                <w:sz w:val="20"/>
                <w:szCs w:val="20"/>
                <w:color w:val="auto"/>
              </w:rPr>
            </w:pPr>
            <w:r>
              <w:rPr>
                <w:rFonts w:ascii="Arial" w:cs="Arial" w:eastAsia="Arial" w:hAnsi="Arial"/>
                <w:sz w:val="18"/>
                <w:szCs w:val="18"/>
                <w:color w:val="auto"/>
                <w:w w:val="99"/>
              </w:rPr>
              <w:t>( b )</w:t>
            </w:r>
          </w:p>
        </w:tc>
        <w:tc>
          <w:tcPr>
            <w:tcW w:w="2460" w:type="dxa"/>
            <w:vAlign w:val="bottom"/>
          </w:tcPr>
          <w:p>
            <w:pPr>
              <w:jc w:val="center"/>
              <w:ind w:left="103"/>
              <w:spacing w:after="0" w:line="170" w:lineRule="exact"/>
              <w:rPr>
                <w:sz w:val="20"/>
                <w:szCs w:val="20"/>
                <w:color w:val="auto"/>
              </w:rPr>
            </w:pPr>
            <w:r>
              <w:rPr>
                <w:rFonts w:ascii="Arial" w:cs="Arial" w:eastAsia="Arial" w:hAnsi="Arial"/>
                <w:sz w:val="18"/>
                <w:szCs w:val="18"/>
                <w:color w:val="auto"/>
              </w:rPr>
              <w:t>( c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2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4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2080" w:type="dxa"/>
            <w:vAlign w:val="bottom"/>
            <w:vMerge w:val="restart"/>
            <w:shd w:val="clear" w:color="auto" w:fill="E5FFFF"/>
          </w:tcPr>
          <w:p>
            <w:pPr>
              <w:jc w:val="center"/>
              <w:spacing w:after="0"/>
              <w:rPr>
                <w:sz w:val="20"/>
                <w:szCs w:val="20"/>
                <w:color w:val="auto"/>
              </w:rPr>
            </w:pPr>
            <w:r>
              <w:rPr>
                <w:rFonts w:ascii="Arial" w:cs="Arial" w:eastAsia="Arial" w:hAnsi="Arial"/>
                <w:sz w:val="18"/>
                <w:szCs w:val="18"/>
                <w:color w:val="auto"/>
                <w:w w:val="94"/>
              </w:rPr>
              <w:t>35,267,728</w:t>
            </w:r>
            <w:r>
              <w:rPr>
                <w:rFonts w:ascii="Arial" w:cs="Arial" w:eastAsia="Arial" w:hAnsi="Arial"/>
                <w:sz w:val="30"/>
                <w:szCs w:val="30"/>
                <w:color w:val="auto"/>
                <w:w w:val="94"/>
                <w:vertAlign w:val="superscript"/>
              </w:rPr>
              <w:t>(1)</w:t>
            </w:r>
          </w:p>
        </w:tc>
        <w:tc>
          <w:tcPr>
            <w:tcW w:w="2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920" w:type="dxa"/>
            <w:vAlign w:val="bottom"/>
            <w:vMerge w:val="restart"/>
            <w:shd w:val="clear" w:color="auto" w:fill="E5FFFF"/>
          </w:tcPr>
          <w:p>
            <w:pPr>
              <w:jc w:val="center"/>
              <w:ind w:right="642"/>
              <w:spacing w:after="0"/>
              <w:rPr>
                <w:sz w:val="20"/>
                <w:szCs w:val="20"/>
                <w:color w:val="auto"/>
              </w:rPr>
            </w:pPr>
            <w:r>
              <w:rPr>
                <w:rFonts w:ascii="Arial" w:cs="Arial" w:eastAsia="Arial" w:hAnsi="Arial"/>
                <w:sz w:val="18"/>
                <w:szCs w:val="18"/>
                <w:color w:val="auto"/>
              </w:rPr>
              <w:t>79.48</w:t>
            </w:r>
            <w:r>
              <w:rPr>
                <w:rFonts w:ascii="Arial" w:cs="Arial" w:eastAsia="Arial" w:hAnsi="Arial"/>
                <w:sz w:val="30"/>
                <w:szCs w:val="30"/>
                <w:color w:val="auto"/>
                <w:vertAlign w:val="superscript"/>
              </w:rPr>
              <w:t>(2)</w:t>
            </w:r>
          </w:p>
        </w:tc>
        <w:tc>
          <w:tcPr>
            <w:tcW w:w="2460" w:type="dxa"/>
            <w:vAlign w:val="bottom"/>
            <w:vMerge w:val="restart"/>
            <w:shd w:val="clear" w:color="auto" w:fill="E5FFFF"/>
          </w:tcPr>
          <w:p>
            <w:pPr>
              <w:jc w:val="center"/>
              <w:ind w:right="503"/>
              <w:spacing w:after="0"/>
              <w:rPr>
                <w:sz w:val="20"/>
                <w:szCs w:val="20"/>
                <w:color w:val="auto"/>
              </w:rPr>
            </w:pPr>
            <w:r>
              <w:rPr>
                <w:rFonts w:ascii="Arial" w:cs="Arial" w:eastAsia="Arial" w:hAnsi="Arial"/>
                <w:sz w:val="18"/>
                <w:szCs w:val="18"/>
                <w:color w:val="auto"/>
              </w:rPr>
              <w:t>49,233,195</w:t>
            </w:r>
            <w:r>
              <w:rPr>
                <w:rFonts w:ascii="Arial" w:cs="Arial" w:eastAsia="Arial" w:hAnsi="Arial"/>
                <w:sz w:val="30"/>
                <w:szCs w:val="30"/>
                <w:color w:val="auto"/>
                <w:vertAlign w:val="superscript"/>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gridSpan w:val="2"/>
            <w:shd w:val="clear" w:color="auto" w:fill="E5FFFF"/>
          </w:tcPr>
          <w:p>
            <w:pPr>
              <w:ind w:left="160"/>
              <w:spacing w:after="0" w:line="203" w:lineRule="exact"/>
              <w:rPr>
                <w:sz w:val="20"/>
                <w:szCs w:val="20"/>
                <w:color w:val="auto"/>
              </w:rPr>
            </w:pPr>
            <w:r>
              <w:rPr>
                <w:rFonts w:ascii="Arial" w:cs="Arial" w:eastAsia="Arial" w:hAnsi="Arial"/>
                <w:sz w:val="18"/>
                <w:szCs w:val="18"/>
                <w:color w:val="auto"/>
              </w:rPr>
              <w:t>holders</w:t>
            </w:r>
          </w:p>
        </w:tc>
        <w:tc>
          <w:tcPr>
            <w:tcW w:w="2080" w:type="dxa"/>
            <w:vAlign w:val="bottom"/>
            <w:vMerge w:val="continue"/>
            <w:shd w:val="clear" w:color="auto" w:fill="E5FFFF"/>
          </w:tcPr>
          <w:p>
            <w:pPr>
              <w:spacing w:after="0"/>
              <w:rPr>
                <w:sz w:val="17"/>
                <w:szCs w:val="17"/>
                <w:color w:val="auto"/>
              </w:rPr>
            </w:pPr>
          </w:p>
        </w:tc>
        <w:tc>
          <w:tcPr>
            <w:tcW w:w="500" w:type="dxa"/>
            <w:vAlign w:val="bottom"/>
            <w:gridSpan w:val="2"/>
            <w:shd w:val="clear" w:color="auto" w:fill="E5FFFF"/>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1920" w:type="dxa"/>
            <w:vAlign w:val="bottom"/>
            <w:vMerge w:val="continue"/>
            <w:shd w:val="clear" w:color="auto" w:fill="E5FFFF"/>
          </w:tcPr>
          <w:p>
            <w:pPr>
              <w:spacing w:after="0"/>
              <w:rPr>
                <w:sz w:val="17"/>
                <w:szCs w:val="17"/>
                <w:color w:val="auto"/>
              </w:rPr>
            </w:pPr>
          </w:p>
        </w:tc>
        <w:tc>
          <w:tcPr>
            <w:tcW w:w="2460" w:type="dxa"/>
            <w:vAlign w:val="bottom"/>
            <w:vMerge w:val="continue"/>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 security</w:t>
            </w:r>
          </w:p>
        </w:tc>
        <w:tc>
          <w:tcPr>
            <w:tcW w:w="2080" w:type="dxa"/>
            <w:vAlign w:val="bottom"/>
            <w:vMerge w:val="restart"/>
          </w:tcPr>
          <w:p>
            <w:pPr>
              <w:jc w:val="center"/>
              <w:spacing w:after="0"/>
              <w:rPr>
                <w:sz w:val="20"/>
                <w:szCs w:val="20"/>
                <w:color w:val="auto"/>
              </w:rPr>
            </w:pPr>
            <w:r>
              <w:rPr>
                <w:rFonts w:ascii="Arial" w:cs="Arial" w:eastAsia="Arial" w:hAnsi="Arial"/>
                <w:sz w:val="18"/>
                <w:szCs w:val="18"/>
                <w:color w:val="auto"/>
                <w:w w:val="93"/>
              </w:rPr>
              <w:t>447,739</w:t>
            </w:r>
            <w:r>
              <w:rPr>
                <w:rFonts w:ascii="Arial" w:cs="Arial" w:eastAsia="Arial" w:hAnsi="Arial"/>
                <w:sz w:val="30"/>
                <w:szCs w:val="30"/>
                <w:color w:val="auto"/>
                <w:w w:val="93"/>
                <w:vertAlign w:val="superscript"/>
              </w:rPr>
              <w:t>(4)</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20" w:type="dxa"/>
            <w:vAlign w:val="bottom"/>
            <w:vMerge w:val="restart"/>
          </w:tcPr>
          <w:p>
            <w:pPr>
              <w:jc w:val="center"/>
              <w:ind w:right="122"/>
              <w:spacing w:after="0" w:line="404" w:lineRule="exact"/>
              <w:rPr>
                <w:sz w:val="20"/>
                <w:szCs w:val="20"/>
                <w:color w:val="auto"/>
              </w:rPr>
            </w:pPr>
            <w:r>
              <w:rPr>
                <w:rFonts w:ascii="Arial" w:cs="Arial" w:eastAsia="Arial" w:hAnsi="Arial"/>
                <w:sz w:val="36"/>
                <w:szCs w:val="36"/>
                <w:color w:val="auto"/>
                <w:w w:val="82"/>
                <w:vertAlign w:val="subscript"/>
              </w:rPr>
              <w:t>N/A</w:t>
            </w:r>
            <w:r>
              <w:rPr>
                <w:rFonts w:ascii="Arial" w:cs="Arial" w:eastAsia="Arial" w:hAnsi="Arial"/>
                <w:sz w:val="15"/>
                <w:szCs w:val="15"/>
                <w:color w:val="auto"/>
                <w:w w:val="82"/>
              </w:rPr>
              <w:t>(5)</w:t>
            </w:r>
          </w:p>
        </w:tc>
        <w:tc>
          <w:tcPr>
            <w:tcW w:w="2460" w:type="dxa"/>
            <w:vAlign w:val="bottom"/>
            <w:vMerge w:val="restart"/>
          </w:tcPr>
          <w:p>
            <w:pPr>
              <w:jc w:val="center"/>
              <w:ind w:left="103"/>
              <w:spacing w:after="0" w:line="404" w:lineRule="exact"/>
              <w:rPr>
                <w:sz w:val="20"/>
                <w:szCs w:val="20"/>
                <w:color w:val="auto"/>
              </w:rPr>
            </w:pPr>
            <w:r>
              <w:rPr>
                <w:rFonts w:ascii="Arial" w:cs="Arial" w:eastAsia="Arial" w:hAnsi="Arial"/>
                <w:sz w:val="36"/>
                <w:szCs w:val="36"/>
                <w:color w:val="auto"/>
                <w:w w:val="82"/>
                <w:vertAlign w:val="subscript"/>
              </w:rPr>
              <w:t>N/A</w:t>
            </w:r>
            <w:r>
              <w:rPr>
                <w:rFonts w:ascii="Arial" w:cs="Arial" w:eastAsia="Arial" w:hAnsi="Arial"/>
                <w:sz w:val="15"/>
                <w:szCs w:val="15"/>
                <w:color w:val="auto"/>
                <w:w w:val="82"/>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Borders>
              <w:bottom w:val="single" w:sz="8" w:color="E5FFFF"/>
            </w:tcBorders>
            <w:gridSpan w:val="2"/>
          </w:tcPr>
          <w:p>
            <w:pPr>
              <w:ind w:left="160"/>
              <w:spacing w:after="0" w:line="203" w:lineRule="exact"/>
              <w:rPr>
                <w:sz w:val="20"/>
                <w:szCs w:val="20"/>
                <w:color w:val="auto"/>
              </w:rPr>
            </w:pPr>
            <w:r>
              <w:rPr>
                <w:rFonts w:ascii="Arial" w:cs="Arial" w:eastAsia="Arial" w:hAnsi="Arial"/>
                <w:sz w:val="18"/>
                <w:szCs w:val="18"/>
                <w:color w:val="auto"/>
              </w:rPr>
              <w:t>holders</w:t>
            </w:r>
          </w:p>
        </w:tc>
        <w:tc>
          <w:tcPr>
            <w:tcW w:w="20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E5FF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vMerge w:val="continue"/>
          </w:tcPr>
          <w:p>
            <w:pPr>
              <w:spacing w:after="0"/>
              <w:rPr>
                <w:sz w:val="17"/>
                <w:szCs w:val="17"/>
                <w:color w:val="auto"/>
              </w:rPr>
            </w:pPr>
          </w:p>
        </w:tc>
        <w:tc>
          <w:tcPr>
            <w:tcW w:w="24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bottom w:val="single" w:sz="8" w:color="E5FFFF"/>
            </w:tcBorders>
            <w:gridSpan w:val="2"/>
            <w:shd w:val="clear" w:color="auto" w:fill="E5FFFF"/>
          </w:tcPr>
          <w:p>
            <w:pPr>
              <w:spacing w:after="0" w:line="196" w:lineRule="exact"/>
              <w:rPr>
                <w:sz w:val="20"/>
                <w:szCs w:val="20"/>
                <w:color w:val="auto"/>
              </w:rPr>
            </w:pPr>
            <w:r>
              <w:rPr>
                <w:rFonts w:ascii="Arial" w:cs="Arial" w:eastAsia="Arial" w:hAnsi="Arial"/>
                <w:sz w:val="18"/>
                <w:szCs w:val="18"/>
                <w:color w:val="auto"/>
              </w:rPr>
              <w:t>Total</w:t>
            </w:r>
          </w:p>
        </w:tc>
        <w:tc>
          <w:tcPr>
            <w:tcW w:w="2080" w:type="dxa"/>
            <w:vAlign w:val="bottom"/>
            <w:tcBorders>
              <w:bottom w:val="single" w:sz="8" w:color="auto"/>
            </w:tcBorders>
            <w:shd w:val="clear" w:color="auto" w:fill="E5FFFF"/>
          </w:tcPr>
          <w:p>
            <w:pPr>
              <w:jc w:val="center"/>
              <w:spacing w:after="0" w:line="196" w:lineRule="exact"/>
              <w:rPr>
                <w:sz w:val="20"/>
                <w:szCs w:val="20"/>
                <w:color w:val="auto"/>
              </w:rPr>
            </w:pPr>
            <w:r>
              <w:rPr>
                <w:rFonts w:ascii="Arial" w:cs="Arial" w:eastAsia="Arial" w:hAnsi="Arial"/>
                <w:sz w:val="18"/>
                <w:szCs w:val="18"/>
                <w:color w:val="auto"/>
                <w:w w:val="99"/>
              </w:rPr>
              <w:t>35,715,467</w:t>
            </w:r>
          </w:p>
        </w:tc>
        <w:tc>
          <w:tcPr>
            <w:tcW w:w="220" w:type="dxa"/>
            <w:vAlign w:val="bottom"/>
            <w:tcBorders>
              <w:bottom w:val="single" w:sz="8" w:color="E5FFFF"/>
            </w:tcBorders>
            <w:shd w:val="clear" w:color="auto" w:fill="E5FFFF"/>
          </w:tcPr>
          <w:p>
            <w:pPr>
              <w:spacing w:after="0"/>
              <w:rPr>
                <w:sz w:val="17"/>
                <w:szCs w:val="17"/>
                <w:color w:val="auto"/>
              </w:rPr>
            </w:pPr>
          </w:p>
        </w:tc>
        <w:tc>
          <w:tcPr>
            <w:tcW w:w="280" w:type="dxa"/>
            <w:vAlign w:val="bottom"/>
            <w:tcBorders>
              <w:bottom w:val="single" w:sz="8" w:color="auto"/>
            </w:tcBorders>
            <w:shd w:val="clear" w:color="auto" w:fill="E5FFFF"/>
          </w:tcPr>
          <w:p>
            <w:pPr>
              <w:spacing w:after="0"/>
              <w:rPr>
                <w:sz w:val="17"/>
                <w:szCs w:val="17"/>
                <w:color w:val="auto"/>
              </w:rPr>
            </w:pPr>
          </w:p>
        </w:tc>
        <w:tc>
          <w:tcPr>
            <w:tcW w:w="1920" w:type="dxa"/>
            <w:vAlign w:val="bottom"/>
            <w:tcBorders>
              <w:bottom w:val="single" w:sz="8" w:color="auto"/>
            </w:tcBorders>
            <w:shd w:val="clear" w:color="auto" w:fill="E5FFFF"/>
          </w:tcPr>
          <w:p>
            <w:pPr>
              <w:jc w:val="right"/>
              <w:ind w:right="762"/>
              <w:spacing w:after="0" w:line="196" w:lineRule="exact"/>
              <w:rPr>
                <w:sz w:val="20"/>
                <w:szCs w:val="20"/>
                <w:color w:val="auto"/>
              </w:rPr>
            </w:pPr>
            <w:r>
              <w:rPr>
                <w:rFonts w:ascii="Arial" w:cs="Arial" w:eastAsia="Arial" w:hAnsi="Arial"/>
                <w:sz w:val="18"/>
                <w:szCs w:val="18"/>
                <w:color w:val="auto"/>
              </w:rPr>
              <w:t>79.48</w:t>
            </w:r>
          </w:p>
        </w:tc>
        <w:tc>
          <w:tcPr>
            <w:tcW w:w="2460" w:type="dxa"/>
            <w:vAlign w:val="bottom"/>
            <w:tcBorders>
              <w:bottom w:val="single" w:sz="8" w:color="auto"/>
            </w:tcBorders>
            <w:shd w:val="clear" w:color="auto" w:fill="E5FFFF"/>
          </w:tcPr>
          <w:p>
            <w:pPr>
              <w:jc w:val="right"/>
              <w:ind w:right="623"/>
              <w:spacing w:after="0" w:line="196" w:lineRule="exact"/>
              <w:rPr>
                <w:sz w:val="20"/>
                <w:szCs w:val="20"/>
                <w:color w:val="auto"/>
              </w:rPr>
            </w:pPr>
            <w:r>
              <w:rPr>
                <w:rFonts w:ascii="Arial" w:cs="Arial" w:eastAsia="Arial" w:hAnsi="Arial"/>
                <w:sz w:val="18"/>
                <w:szCs w:val="18"/>
                <w:color w:val="auto"/>
              </w:rPr>
              <w:t>49,233,195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36"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Equity compensation plans approved by shareowners which are included in column (a) of the table are the 2016 Stock Incentive Plan, the 2011 Stock Incentive Plan and the 2006 Stock Incentive Plan (including 28,603,165 shares of Common Stock to be issued for options; 16,091 shares to be issued for stock appreciation rights; 4,443,936 RSUs subject to continued employment; and 1,884,115 deferred RSUs); and the 2016 Stock Plan for Non-Employee Directors and the 2006 Stock Plan for Non-Employee Directors (including 297,014 shares of Common Stock to be issued for options; and 23,407 RSUs subject to continued services). RSUs included in column (a) of the table represent the full number of RSUs awarded and outstanding whereas the number of shares of Common Stock to be issued upon vesting will be lower than what is reflected on the table because the value of shares required to meet employee tax withholding requirements are not issued.</w:t>
      </w:r>
    </w:p>
    <w:p>
      <w:pPr>
        <w:spacing w:after="0" w:line="194" w:lineRule="exact"/>
        <w:rPr>
          <w:rFonts w:ascii="Arial" w:cs="Arial" w:eastAsia="Arial" w:hAnsi="Arial"/>
          <w:sz w:val="18"/>
          <w:szCs w:val="18"/>
          <w:color w:val="auto"/>
        </w:rPr>
      </w:pPr>
    </w:p>
    <w:p>
      <w:pPr>
        <w:jc w:val="both"/>
        <w:ind w:left="340"/>
        <w:spacing w:after="0" w:line="239" w:lineRule="auto"/>
        <w:rPr>
          <w:rFonts w:ascii="Arial" w:cs="Arial" w:eastAsia="Arial" w:hAnsi="Arial"/>
          <w:sz w:val="18"/>
          <w:szCs w:val="18"/>
          <w:color w:val="auto"/>
        </w:rPr>
      </w:pPr>
      <w:r>
        <w:rPr>
          <w:rFonts w:ascii="Arial" w:cs="Arial" w:eastAsia="Arial" w:hAnsi="Arial"/>
          <w:sz w:val="18"/>
          <w:szCs w:val="18"/>
          <w:color w:val="auto"/>
        </w:rPr>
        <w:t>1,336,202 growth plan units were issued and remain outstanding for the performance cycle commencing January 1, 2014 and ended December 31, 2015 and 1,600,359 growth plan units were issued and remain outstanding for the performance cycle commencing January 1, 2016 and ending December 31, 2017, both pursuant to the 2011 Stock Incentive Plan. The value of this growth plan award will be paid in cash and, thus, growth plan units are not included in the table above.</w:t>
      </w:r>
    </w:p>
    <w:p>
      <w:pPr>
        <w:spacing w:after="0" w:line="188" w:lineRule="exact"/>
        <w:rPr>
          <w:rFonts w:ascii="Arial" w:cs="Arial" w:eastAsia="Arial" w:hAnsi="Arial"/>
          <w:sz w:val="18"/>
          <w:szCs w:val="18"/>
          <w:color w:val="auto"/>
        </w:rPr>
      </w:pPr>
    </w:p>
    <w:p>
      <w:pPr>
        <w:ind w:left="340" w:right="20"/>
        <w:spacing w:after="0" w:line="246" w:lineRule="auto"/>
        <w:rPr>
          <w:rFonts w:ascii="Arial" w:cs="Arial" w:eastAsia="Arial" w:hAnsi="Arial"/>
          <w:sz w:val="18"/>
          <w:szCs w:val="18"/>
          <w:color w:val="auto"/>
        </w:rPr>
      </w:pPr>
      <w:r>
        <w:rPr>
          <w:rFonts w:ascii="Arial" w:cs="Arial" w:eastAsia="Arial" w:hAnsi="Arial"/>
          <w:sz w:val="18"/>
          <w:szCs w:val="18"/>
          <w:color w:val="auto"/>
        </w:rPr>
        <w:t>Because the number of future shares that may be distributed to employees participating in the Honeywell Global Stock Plan is unknown, no shares attributable to that plan are included in column (a) of the table above.</w:t>
      </w:r>
    </w:p>
    <w:p>
      <w:pPr>
        <w:spacing w:after="0" w:line="183" w:lineRule="exact"/>
        <w:rPr>
          <w:rFonts w:ascii="Arial" w:cs="Arial" w:eastAsia="Arial" w:hAnsi="Arial"/>
          <w:sz w:val="18"/>
          <w:szCs w:val="18"/>
          <w:color w:val="auto"/>
        </w:rPr>
      </w:pPr>
    </w:p>
    <w:p>
      <w:pPr>
        <w:jc w:val="both"/>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Column (b) relates to stock options and does not include any exercise price for RSUs because an RSU’s value is dependent upon attainment of certain performance goals or continued employment or service and they are settled for shares of Common Stock on a one-for-one basis.</w:t>
      </w:r>
    </w:p>
    <w:p>
      <w:pPr>
        <w:spacing w:after="0" w:line="189" w:lineRule="exact"/>
        <w:rPr>
          <w:rFonts w:ascii="Arial" w:cs="Arial" w:eastAsia="Arial" w:hAnsi="Arial"/>
          <w:sz w:val="18"/>
          <w:szCs w:val="18"/>
          <w:color w:val="auto"/>
        </w:rPr>
      </w:pPr>
    </w:p>
    <w:p>
      <w:pPr>
        <w:jc w:val="both"/>
        <w:ind w:left="340" w:hanging="332"/>
        <w:spacing w:after="0" w:line="23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number of shares that may be issued under the 2016 Stock Incentive Plan as of December 31, 2016 is 46,365,609 which includes the following additional shares that may again be available for issuance: shares that are settled for cash, expire, are canceled, or under similar prior plans, are tendered as option exercise price or tax withholding obligations, are reacquired with cash option exercise price or with monies attributable to any tax deduction enjoyed by Honeywell to the exercise of an option, or are under any outstanding awards assumed under any equity compensation plan of an entity acquired by Honeywell. No securities are available for future issuance under the 2011 Stock Incentive Plan or the 2006 Stock Incentive Plan.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0" w:right="239" w:bottom="1440" w:gutter="0" w:footer="0" w:header="0"/>
        </w:sectPr>
      </w:pPr>
    </w:p>
    <w:bookmarkStart w:id="89" w:name="page90"/>
    <w:bookmarkEnd w:id="89"/>
    <w:p>
      <w:pPr>
        <w:ind w:left="340"/>
        <w:spacing w:after="0" w:line="246" w:lineRule="auto"/>
        <w:rPr>
          <w:sz w:val="20"/>
          <w:szCs w:val="20"/>
          <w:color w:val="auto"/>
        </w:rPr>
      </w:pPr>
      <w:r>
        <w:rPr>
          <w:rFonts w:ascii="Arial" w:cs="Arial" w:eastAsia="Arial" w:hAnsi="Arial"/>
          <w:sz w:val="18"/>
          <w:szCs w:val="18"/>
          <w:color w:val="auto"/>
        </w:rPr>
        <w:t>The number of shares that may be issued under the Honeywell Global Stock Plan as of December 31, 2016 is 1,906,977. This plan is an umbrella plan for three plans described below maintained solely for eligible employees of participating non-U.S. countries.</w:t>
      </w:r>
    </w:p>
    <w:p>
      <w:pPr>
        <w:spacing w:after="0" w:line="183" w:lineRule="exact"/>
        <w:rPr>
          <w:sz w:val="20"/>
          <w:szCs w:val="20"/>
          <w:color w:val="auto"/>
        </w:rPr>
      </w:pPr>
    </w:p>
    <w:p>
      <w:pPr>
        <w:jc w:val="both"/>
        <w:ind w:left="980" w:hanging="324"/>
        <w:spacing w:after="0" w:line="234"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UK Sharebuilder Plan allows an eligible UK employee to invest taxable earnings in Common Stock. The Company matches those shares and dividends paid are used to purchase additional shares of Common Stock. For the year ending December 31, 2016, 58,353 shares were credited to participants’ accounts under the UK Sharebuilder Plan.</w:t>
      </w:r>
    </w:p>
    <w:p>
      <w:pPr>
        <w:spacing w:after="0" w:line="2" w:lineRule="exact"/>
        <w:rPr>
          <w:rFonts w:ascii="Arial" w:cs="Arial" w:eastAsia="Arial" w:hAnsi="Arial"/>
          <w:sz w:val="18"/>
          <w:szCs w:val="18"/>
          <w:color w:val="auto"/>
        </w:rPr>
      </w:pPr>
    </w:p>
    <w:p>
      <w:pPr>
        <w:jc w:val="both"/>
        <w:ind w:left="980" w:hanging="324"/>
        <w:spacing w:after="0" w:line="239"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Honeywell International Technologies Employees Share Ownership Plan (Ireland) and the Honeywell Measurex (Ireland) Limited Group Employee Profit Sharing Scheme, allow eligible employees in Ireland to contribute specified percentages of base pay, bonus or performance pay that are then invested in Common Stock. For the year ending December 31, 2016, 7,139 shares of Common Stock were credited to participants’ accounts under these two plans.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remaining 960,609 shares included in column (c) are shares remaining under the 2016 Stock Plan for Non-Employee Directors</w:t>
      </w:r>
      <w:r>
        <w:rPr>
          <w:rFonts w:ascii="Arial" w:cs="Arial" w:eastAsia="Arial" w:hAnsi="Arial"/>
          <w:sz w:val="14"/>
          <w:szCs w:val="14"/>
          <w:color w:val="auto"/>
        </w:rPr>
        <w:t>.</w:t>
      </w:r>
    </w:p>
    <w:p>
      <w:pPr>
        <w:spacing w:after="0" w:line="198" w:lineRule="exact"/>
        <w:rPr>
          <w:sz w:val="20"/>
          <w:szCs w:val="20"/>
          <w:color w:val="auto"/>
        </w:rPr>
      </w:pPr>
    </w:p>
    <w:p>
      <w:pPr>
        <w:ind w:left="340" w:hanging="332"/>
        <w:spacing w:after="0" w:line="246"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Equity compensation plans not approved by shareowners included in the table refers to the Supplemental Non-Qualified Savings Plan for Highly Compensated Employees.</w:t>
      </w:r>
    </w:p>
    <w:p>
      <w:pPr>
        <w:spacing w:after="0" w:line="183" w:lineRule="exact"/>
        <w:rPr>
          <w:rFonts w:ascii="Arial" w:cs="Arial" w:eastAsia="Arial" w:hAnsi="Arial"/>
          <w:sz w:val="18"/>
          <w:szCs w:val="18"/>
          <w:color w:val="auto"/>
        </w:rPr>
      </w:pPr>
    </w:p>
    <w:p>
      <w:pPr>
        <w:jc w:val="both"/>
        <w:ind w:left="340"/>
        <w:spacing w:after="0" w:line="237" w:lineRule="auto"/>
        <w:rPr>
          <w:rFonts w:ascii="Arial" w:cs="Arial" w:eastAsia="Arial" w:hAnsi="Arial"/>
          <w:sz w:val="18"/>
          <w:szCs w:val="18"/>
          <w:color w:val="auto"/>
        </w:rPr>
      </w:pPr>
      <w:r>
        <w:rPr>
          <w:rFonts w:ascii="Arial" w:cs="Arial" w:eastAsia="Arial" w:hAnsi="Arial"/>
          <w:sz w:val="18"/>
          <w:szCs w:val="18"/>
          <w:color w:val="auto"/>
        </w:rPr>
        <w:t>The Supplemental Non-Qualified Savings Plan for Highly Compensated Employees is an unfunded, non-tax qualified plan that provides benefits equal to the employee deferrals and company matching allocations that would have been provided under Honeywell’s U.S. tax-qualified savings plan if the Internal Revenue Code limitations on compensation and contributions did not apply. The Company matching contribution is credited to participants’ accounts in the form of notional shares of Common Stock. The notional shares are distributed in the form of actual shares of Common Stock. The number of shares to be issued under this plan based on the value of the notional shares as of December 31, 2016 is 438,998.</w:t>
      </w:r>
    </w:p>
    <w:p>
      <w:pPr>
        <w:spacing w:after="0" w:line="191" w:lineRule="exact"/>
        <w:rPr>
          <w:rFonts w:ascii="Arial" w:cs="Arial" w:eastAsia="Arial" w:hAnsi="Arial"/>
          <w:sz w:val="18"/>
          <w:szCs w:val="18"/>
          <w:color w:val="auto"/>
        </w:rPr>
      </w:pPr>
    </w:p>
    <w:p>
      <w:pPr>
        <w:jc w:val="both"/>
        <w:ind w:left="340"/>
        <w:spacing w:after="0" w:line="239" w:lineRule="auto"/>
        <w:rPr>
          <w:rFonts w:ascii="Arial" w:cs="Arial" w:eastAsia="Arial" w:hAnsi="Arial"/>
          <w:sz w:val="18"/>
          <w:szCs w:val="18"/>
          <w:color w:val="auto"/>
        </w:rPr>
      </w:pPr>
      <w:r>
        <w:rPr>
          <w:rFonts w:ascii="Arial" w:cs="Arial" w:eastAsia="Arial" w:hAnsi="Arial"/>
          <w:sz w:val="18"/>
          <w:szCs w:val="18"/>
          <w:color w:val="auto"/>
        </w:rPr>
        <w:t>The AlliedSignal Incentive Compensation Plan for Executive Employees was a cash incentive compensation plan maintained by AlliedSignal Inc. This plan has expired. Employees were permitted to defer receipt of a cash bonus payable under the plan and invest the deferred bonus in notional shares of Common Stock. The notional shares are distributed in the form of actual shares of Common Stock. The number of shares of Common Stock that remain to be issued as of December 31, 2016 is 8,741.</w:t>
      </w:r>
    </w:p>
    <w:p>
      <w:pPr>
        <w:spacing w:after="0" w:line="188" w:lineRule="exact"/>
        <w:rPr>
          <w:rFonts w:ascii="Arial" w:cs="Arial" w:eastAsia="Arial" w:hAnsi="Arial"/>
          <w:sz w:val="18"/>
          <w:szCs w:val="18"/>
          <w:color w:val="auto"/>
        </w:rPr>
      </w:pPr>
    </w:p>
    <w:p>
      <w:pPr>
        <w:ind w:left="340" w:right="20" w:hanging="332"/>
        <w:spacing w:after="0" w:line="246"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Column (b) does not include any exercise price for notional shares allocated to employees under Honeywell’s equity compensation plans not approved by shareowners because all of these shares are only settled for shares of Common Stock on a one-for-one basis.</w:t>
      </w:r>
    </w:p>
    <w:p>
      <w:pPr>
        <w:spacing w:after="0" w:line="183" w:lineRule="exact"/>
        <w:rPr>
          <w:rFonts w:ascii="Arial" w:cs="Arial" w:eastAsia="Arial" w:hAnsi="Arial"/>
          <w:sz w:val="18"/>
          <w:szCs w:val="18"/>
          <w:color w:val="auto"/>
        </w:rPr>
      </w:pPr>
    </w:p>
    <w:p>
      <w:pPr>
        <w:jc w:val="both"/>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 of securities available for future issuance under the Supplemental Non-Qualified Savings Plan for Highly Compensated Employees is not determinable because the number of securities that may be issued under this plan depends upon the amount deferred to the plan by participants in future years.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relating to certain relationships and related transactions is contained in the Proxy Statement referred to above in Item 10.</w:t>
      </w:r>
    </w:p>
    <w:p>
      <w:pPr>
        <w:spacing w:after="0"/>
        <w:rPr>
          <w:sz w:val="20"/>
          <w:szCs w:val="20"/>
          <w:color w:val="auto"/>
        </w:rPr>
      </w:pPr>
      <w:r>
        <w:rPr>
          <w:rFonts w:ascii="Arial" w:cs="Arial" w:eastAsia="Arial" w:hAnsi="Arial"/>
          <w:sz w:val="18"/>
          <w:szCs w:val="18"/>
          <w:color w:val="auto"/>
        </w:rPr>
        <w:t>Directors and Executive Officers of the Registrant, and such information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Accounting Fees and Services</w:t>
      </w:r>
    </w:p>
    <w:p>
      <w:pPr>
        <w:spacing w:after="0" w:line="22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Information relating to fees paid to and services performed by Deloitte &amp; Touche LLP and our Audit Committee’s pre-approval policies and procedures with respect to non-audit services are contained in the Proxy Statement referred to above in Item 10. Directors and Executive Officers of the Registrant, and such information is incorporated herein by reference.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90" w:name="page91"/>
    <w:bookmarkEnd w:id="90"/>
    <w:p>
      <w:pPr>
        <w:ind w:left="5280"/>
        <w:spacing w:after="0"/>
        <w:rPr>
          <w:sz w:val="20"/>
          <w:szCs w:val="20"/>
          <w:color w:val="auto"/>
        </w:rPr>
      </w:pPr>
      <w:r>
        <w:rPr>
          <w:rFonts w:ascii="Arial" w:cs="Arial" w:eastAsia="Arial" w:hAnsi="Arial"/>
          <w:sz w:val="22"/>
          <w:szCs w:val="22"/>
          <w:b w:val="1"/>
          <w:bCs w:val="1"/>
          <w:color w:val="auto"/>
        </w:rPr>
        <w:t>PART IV.</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Exhibits and Financial Statement Schedules</w:t>
      </w:r>
    </w:p>
    <w:p>
      <w:pPr>
        <w:spacing w:after="0" w:line="200" w:lineRule="exact"/>
        <w:rPr>
          <w:sz w:val="20"/>
          <w:szCs w:val="20"/>
          <w:color w:val="auto"/>
        </w:rPr>
      </w:pPr>
    </w:p>
    <w:p>
      <w:pPr>
        <w:spacing w:after="0" w:line="3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(a)(1.) Consolidated Financial Statements:</w:t>
      </w:r>
    </w:p>
    <w:p>
      <w:pPr>
        <w:spacing w:after="0" w:line="9" w:lineRule="exact"/>
        <w:rPr>
          <w:sz w:val="20"/>
          <w:szCs w:val="20"/>
          <w:color w:val="auto"/>
        </w:rPr>
      </w:pPr>
    </w:p>
    <w:p>
      <w:pPr>
        <w:ind w:left="1420" w:right="100"/>
        <w:spacing w:after="0" w:line="248" w:lineRule="auto"/>
        <w:rPr>
          <w:sz w:val="20"/>
          <w:szCs w:val="20"/>
          <w:color w:val="auto"/>
        </w:rPr>
      </w:pPr>
      <w:r>
        <w:rPr>
          <w:rFonts w:ascii="Arial" w:cs="Arial" w:eastAsia="Arial" w:hAnsi="Arial"/>
          <w:sz w:val="17"/>
          <w:szCs w:val="17"/>
          <w:color w:val="auto"/>
        </w:rPr>
        <w:t>Consolidated Statement of Operations for the years ended December 31, 2016, 2015 and 2014 Consolidated Statement of Comprehensive Income for the years ended December 31, 2016, 2015</w:t>
      </w:r>
    </w:p>
    <w:p>
      <w:pPr>
        <w:ind w:left="1600"/>
        <w:spacing w:after="0" w:line="236" w:lineRule="auto"/>
        <w:rPr>
          <w:sz w:val="20"/>
          <w:szCs w:val="20"/>
          <w:color w:val="auto"/>
        </w:rPr>
      </w:pPr>
      <w:r>
        <w:rPr>
          <w:rFonts w:ascii="Arial" w:cs="Arial" w:eastAsia="Arial" w:hAnsi="Arial"/>
          <w:sz w:val="18"/>
          <w:szCs w:val="18"/>
          <w:color w:val="auto"/>
        </w:rPr>
        <w:t>and 2014</w:t>
      </w:r>
    </w:p>
    <w:p>
      <w:pPr>
        <w:ind w:left="1420"/>
        <w:spacing w:after="0" w:line="235" w:lineRule="auto"/>
        <w:rPr>
          <w:sz w:val="20"/>
          <w:szCs w:val="20"/>
          <w:color w:val="auto"/>
        </w:rPr>
      </w:pPr>
      <w:r>
        <w:rPr>
          <w:rFonts w:ascii="Arial" w:cs="Arial" w:eastAsia="Arial" w:hAnsi="Arial"/>
          <w:sz w:val="18"/>
          <w:szCs w:val="18"/>
          <w:color w:val="auto"/>
        </w:rPr>
        <w:t>Consolidated Balance Sheet at December 31, 2016 and 2015</w:t>
      </w:r>
    </w:p>
    <w:p>
      <w:pPr>
        <w:ind w:left="1420"/>
        <w:spacing w:after="0" w:line="248" w:lineRule="auto"/>
        <w:rPr>
          <w:sz w:val="20"/>
          <w:szCs w:val="20"/>
          <w:color w:val="auto"/>
        </w:rPr>
      </w:pPr>
      <w:r>
        <w:rPr>
          <w:rFonts w:ascii="Arial" w:cs="Arial" w:eastAsia="Arial" w:hAnsi="Arial"/>
          <w:sz w:val="17"/>
          <w:szCs w:val="17"/>
          <w:color w:val="auto"/>
        </w:rPr>
        <w:t>Consolidated Statement of Cash Flows for the years ended December 2016, 2015 and 2014 Consolidated Statement of Shareowners’ Equity for the years ended December 31, 2016, 2015 and</w:t>
      </w:r>
    </w:p>
    <w:p>
      <w:pPr>
        <w:ind w:left="1600"/>
        <w:spacing w:after="0" w:line="236" w:lineRule="auto"/>
        <w:rPr>
          <w:sz w:val="20"/>
          <w:szCs w:val="20"/>
          <w:color w:val="auto"/>
        </w:rPr>
      </w:pPr>
      <w:r>
        <w:rPr>
          <w:rFonts w:ascii="Arial" w:cs="Arial" w:eastAsia="Arial" w:hAnsi="Arial"/>
          <w:sz w:val="18"/>
          <w:szCs w:val="18"/>
          <w:color w:val="auto"/>
        </w:rPr>
        <w:t>2014</w:t>
      </w:r>
    </w:p>
    <w:p>
      <w:pPr>
        <w:ind w:left="1420"/>
        <w:spacing w:after="0" w:line="235" w:lineRule="auto"/>
        <w:rPr>
          <w:sz w:val="20"/>
          <w:szCs w:val="20"/>
          <w:color w:val="auto"/>
        </w:rPr>
      </w:pPr>
      <w:r>
        <w:rPr>
          <w:rFonts w:ascii="Arial" w:cs="Arial" w:eastAsia="Arial" w:hAnsi="Arial"/>
          <w:sz w:val="18"/>
          <w:szCs w:val="18"/>
          <w:color w:val="auto"/>
        </w:rPr>
        <w:t>Notes to Financial Statements</w:t>
      </w:r>
    </w:p>
    <w:p>
      <w:pPr>
        <w:ind w:left="14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00" w:lineRule="exact"/>
        <w:rPr>
          <w:sz w:val="20"/>
          <w:szCs w:val="20"/>
          <w:color w:val="auto"/>
        </w:rPr>
      </w:pPr>
    </w:p>
    <w:p>
      <w:pPr>
        <w:spacing w:after="0" w:line="3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(a)(2.) Exhibits</w:t>
      </w:r>
    </w:p>
    <w:p>
      <w:pPr>
        <w:ind w:left="1420"/>
        <w:spacing w:after="0"/>
        <w:rPr>
          <w:sz w:val="20"/>
          <w:szCs w:val="20"/>
          <w:color w:val="auto"/>
        </w:rPr>
      </w:pPr>
      <w:r>
        <w:rPr>
          <w:rFonts w:ascii="Arial" w:cs="Arial" w:eastAsia="Arial" w:hAnsi="Arial"/>
          <w:sz w:val="18"/>
          <w:szCs w:val="18"/>
          <w:color w:val="auto"/>
        </w:rPr>
        <w:t>See the Exhibit Index of this Annual Report on Form 10-K</w:t>
      </w:r>
    </w:p>
    <w:p>
      <w:pPr>
        <w:spacing w:after="0" w:line="17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hanging="43"/>
        <w:spacing w:after="0" w:line="285" w:lineRule="auto"/>
        <w:rPr>
          <w:sz w:val="20"/>
          <w:szCs w:val="20"/>
          <w:color w:val="auto"/>
        </w:rPr>
      </w:pPr>
      <w:r>
        <w:rPr>
          <w:rFonts w:ascii="Arial" w:cs="Arial" w:eastAsia="Arial" w:hAnsi="Arial"/>
          <w:sz w:val="14"/>
          <w:szCs w:val="14"/>
          <w:b w:val="1"/>
          <w:bCs w:val="1"/>
          <w:color w:val="auto"/>
        </w:rPr>
        <w:t>Page Number in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-27940</wp:posOffset>
            </wp:positionV>
            <wp:extent cx="13036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34</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35</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36</w:t>
      </w:r>
    </w:p>
    <w:p>
      <w:pPr>
        <w:ind w:left="340"/>
        <w:spacing w:after="0"/>
        <w:rPr>
          <w:sz w:val="20"/>
          <w:szCs w:val="20"/>
          <w:color w:val="auto"/>
        </w:rPr>
      </w:pPr>
      <w:r>
        <w:rPr>
          <w:rFonts w:ascii="Arial" w:cs="Arial" w:eastAsia="Arial" w:hAnsi="Arial"/>
          <w:sz w:val="18"/>
          <w:szCs w:val="18"/>
          <w:color w:val="auto"/>
        </w:rPr>
        <w:t>37</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38</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39</w:t>
      </w:r>
    </w:p>
    <w:p>
      <w:pPr>
        <w:ind w:left="340"/>
        <w:spacing w:after="0"/>
        <w:rPr>
          <w:sz w:val="20"/>
          <w:szCs w:val="20"/>
          <w:color w:val="auto"/>
        </w:rPr>
      </w:pPr>
      <w:r>
        <w:rPr>
          <w:rFonts w:ascii="Arial" w:cs="Arial" w:eastAsia="Arial" w:hAnsi="Arial"/>
          <w:sz w:val="18"/>
          <w:szCs w:val="18"/>
          <w:color w:val="auto"/>
        </w:rPr>
        <w:t>83</w:t>
      </w:r>
    </w:p>
    <w:p>
      <w:pPr>
        <w:spacing w:after="0" w:line="186" w:lineRule="exact"/>
        <w:rPr>
          <w:sz w:val="20"/>
          <w:szCs w:val="20"/>
          <w:color w:val="auto"/>
        </w:rPr>
      </w:pPr>
    </w:p>
    <w:p>
      <w:pPr>
        <w:ind w:hanging="43"/>
        <w:spacing w:after="0" w:line="285" w:lineRule="auto"/>
        <w:rPr>
          <w:sz w:val="20"/>
          <w:szCs w:val="20"/>
          <w:color w:val="auto"/>
        </w:rPr>
      </w:pPr>
      <w:r>
        <w:rPr>
          <w:rFonts w:ascii="Arial" w:cs="Arial" w:eastAsia="Arial" w:hAnsi="Arial"/>
          <w:sz w:val="14"/>
          <w:szCs w:val="14"/>
          <w:b w:val="1"/>
          <w:bCs w:val="1"/>
          <w:color w:val="auto"/>
        </w:rPr>
        <w:t>Page Number in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-27940</wp:posOffset>
            </wp:positionV>
            <wp:extent cx="13036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94</w:t>
      </w:r>
    </w:p>
    <w:p>
      <w:pPr>
        <w:sectPr>
          <w:pgSz w:w="11900" w:h="16838" w:orient="portrait"/>
          <w:cols w:equalWidth="0" w:num="2">
            <w:col w:w="9320" w:space="640"/>
            <w:col w:w="880"/>
          </w:cols>
          <w:pgMar w:left="240" w:top="391" w:right="81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8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Honeywell International Inc.</w:t>
            </w:r>
          </w:p>
        </w:tc>
      </w:tr>
      <w:tr>
        <w:trPr>
          <w:trHeight w:val="365"/>
        </w:trPr>
        <w:tc>
          <w:tcPr>
            <w:tcW w:w="3820" w:type="dxa"/>
            <w:vAlign w:val="bottom"/>
          </w:tcPr>
          <w:p>
            <w:pPr>
              <w:spacing w:after="0"/>
              <w:rPr>
                <w:sz w:val="20"/>
                <w:szCs w:val="20"/>
                <w:color w:val="auto"/>
              </w:rPr>
            </w:pPr>
            <w:r>
              <w:rPr>
                <w:rFonts w:ascii="Arial" w:cs="Arial" w:eastAsia="Arial" w:hAnsi="Arial"/>
                <w:sz w:val="18"/>
                <w:szCs w:val="18"/>
                <w:color w:val="auto"/>
              </w:rPr>
              <w:t>Date: February 10, 2017</w:t>
            </w:r>
          </w:p>
        </w:tc>
        <w:tc>
          <w:tcPr>
            <w:tcW w:w="7600" w:type="dxa"/>
            <w:vAlign w:val="bottom"/>
            <w:gridSpan w:val="3"/>
          </w:tcPr>
          <w:p>
            <w:pPr>
              <w:ind w:left="3620"/>
              <w:spacing w:after="0"/>
              <w:rPr>
                <w:sz w:val="20"/>
                <w:szCs w:val="20"/>
                <w:color w:val="auto"/>
              </w:rPr>
            </w:pPr>
            <w:r>
              <w:rPr>
                <w:rFonts w:ascii="Arial" w:cs="Arial" w:eastAsia="Arial" w:hAnsi="Arial"/>
                <w:sz w:val="18"/>
                <w:szCs w:val="18"/>
                <w:color w:val="auto"/>
              </w:rPr>
              <w:t>By:  /s/ Jennifer H. Mak</w:t>
            </w:r>
          </w:p>
        </w:tc>
      </w:tr>
      <w:tr>
        <w:trPr>
          <w:trHeight w:val="209"/>
        </w:trPr>
        <w:tc>
          <w:tcPr>
            <w:tcW w:w="38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Jennifer H. Mak</w:t>
            </w:r>
          </w:p>
        </w:tc>
        <w:tc>
          <w:tcPr>
            <w:tcW w:w="1920" w:type="dxa"/>
            <w:vAlign w:val="bottom"/>
          </w:tcPr>
          <w:p>
            <w:pPr>
              <w:spacing w:after="0"/>
              <w:rPr>
                <w:sz w:val="18"/>
                <w:szCs w:val="18"/>
                <w:color w:val="auto"/>
              </w:rPr>
            </w:pPr>
          </w:p>
        </w:tc>
      </w:tr>
      <w:tr>
        <w:trPr>
          <w:trHeight w:val="203"/>
        </w:trPr>
        <w:tc>
          <w:tcPr>
            <w:tcW w:w="38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3520" w:type="dxa"/>
            <w:vAlign w:val="bottom"/>
            <w:gridSpan w:val="2"/>
          </w:tcPr>
          <w:p>
            <w:pPr>
              <w:spacing w:after="0" w:line="202" w:lineRule="exact"/>
              <w:rPr>
                <w:sz w:val="20"/>
                <w:szCs w:val="20"/>
                <w:color w:val="auto"/>
              </w:rPr>
            </w:pPr>
            <w:r>
              <w:rPr>
                <w:rFonts w:ascii="Arial" w:cs="Arial" w:eastAsia="Arial" w:hAnsi="Arial"/>
                <w:sz w:val="18"/>
                <w:szCs w:val="18"/>
                <w:color w:val="auto"/>
              </w:rPr>
              <w:t>Vice President and Controller</w:t>
            </w:r>
          </w:p>
        </w:tc>
      </w:tr>
      <w:tr>
        <w:trPr>
          <w:trHeight w:val="203"/>
        </w:trPr>
        <w:tc>
          <w:tcPr>
            <w:tcW w:w="38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3520" w:type="dxa"/>
            <w:vAlign w:val="bottom"/>
            <w:gridSpan w:val="2"/>
          </w:tcPr>
          <w:p>
            <w:pPr>
              <w:spacing w:after="0" w:line="202" w:lineRule="exact"/>
              <w:rPr>
                <w:sz w:val="20"/>
                <w:szCs w:val="20"/>
                <w:color w:val="auto"/>
              </w:rPr>
            </w:pPr>
            <w:r>
              <w:rPr>
                <w:rFonts w:ascii="Arial" w:cs="Arial" w:eastAsia="Arial" w:hAnsi="Arial"/>
                <w:sz w:val="18"/>
                <w:szCs w:val="18"/>
                <w:color w:val="auto"/>
              </w:rPr>
              <w:t>(on behalf of the Registrant</w:t>
            </w:r>
          </w:p>
        </w:tc>
      </w:tr>
      <w:tr>
        <w:trPr>
          <w:trHeight w:val="203"/>
        </w:trPr>
        <w:tc>
          <w:tcPr>
            <w:tcW w:w="38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3520" w:type="dxa"/>
            <w:vAlign w:val="bottom"/>
            <w:gridSpan w:val="2"/>
          </w:tcPr>
          <w:p>
            <w:pPr>
              <w:spacing w:after="0" w:line="202" w:lineRule="exact"/>
              <w:rPr>
                <w:sz w:val="20"/>
                <w:szCs w:val="20"/>
                <w:color w:val="auto"/>
              </w:rPr>
            </w:pPr>
            <w:r>
              <w:rPr>
                <w:rFonts w:ascii="Arial" w:cs="Arial" w:eastAsia="Arial" w:hAnsi="Arial"/>
                <w:sz w:val="18"/>
                <w:szCs w:val="18"/>
                <w:color w:val="auto"/>
              </w:rPr>
              <w:t>and as the Registrant’s</w:t>
            </w:r>
          </w:p>
        </w:tc>
      </w:tr>
      <w:tr>
        <w:trPr>
          <w:trHeight w:val="217"/>
        </w:trPr>
        <w:tc>
          <w:tcPr>
            <w:tcW w:w="38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r>
      <w:tr>
        <w:trPr>
          <w:trHeight w:val="392"/>
        </w:trPr>
        <w:tc>
          <w:tcPr>
            <w:tcW w:w="3820" w:type="dxa"/>
            <w:vAlign w:val="bottom"/>
          </w:tcPr>
          <w:p>
            <w:pPr>
              <w:spacing w:after="0"/>
              <w:rPr>
                <w:sz w:val="24"/>
                <w:szCs w:val="24"/>
                <w:color w:val="auto"/>
              </w:rPr>
            </w:pPr>
          </w:p>
        </w:tc>
        <w:tc>
          <w:tcPr>
            <w:tcW w:w="4080" w:type="dxa"/>
            <w:vAlign w:val="bottom"/>
          </w:tcPr>
          <w:p>
            <w:pPr>
              <w:jc w:val="right"/>
              <w:ind w:right="2010"/>
              <w:spacing w:after="0"/>
              <w:rPr>
                <w:sz w:val="20"/>
                <w:szCs w:val="20"/>
                <w:color w:val="auto"/>
              </w:rPr>
            </w:pPr>
            <w:r>
              <w:rPr>
                <w:rFonts w:ascii="Arial" w:cs="Arial" w:eastAsia="Arial" w:hAnsi="Arial"/>
                <w:sz w:val="18"/>
                <w:szCs w:val="18"/>
                <w:color w:val="auto"/>
              </w:rPr>
              <w:t>92</w:t>
            </w:r>
          </w:p>
        </w:tc>
        <w:tc>
          <w:tcPr>
            <w:tcW w:w="16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50"/>
        </w:trPr>
        <w:tc>
          <w:tcPr>
            <w:tcW w:w="3820" w:type="dxa"/>
            <w:vAlign w:val="bottom"/>
            <w:tcBorders>
              <w:bottom w:val="single" w:sz="8" w:color="C0C0C0"/>
            </w:tcBorders>
          </w:tcPr>
          <w:p>
            <w:pPr>
              <w:spacing w:after="0"/>
              <w:rPr>
                <w:sz w:val="21"/>
                <w:szCs w:val="21"/>
                <w:color w:val="auto"/>
              </w:rPr>
            </w:pPr>
          </w:p>
        </w:tc>
        <w:tc>
          <w:tcPr>
            <w:tcW w:w="4080" w:type="dxa"/>
            <w:vAlign w:val="bottom"/>
            <w:tcBorders>
              <w:bottom w:val="single" w:sz="8" w:color="C0C0C0"/>
            </w:tcBorders>
          </w:tcPr>
          <w:p>
            <w:pPr>
              <w:spacing w:after="0"/>
              <w:rPr>
                <w:sz w:val="21"/>
                <w:szCs w:val="21"/>
                <w:color w:val="auto"/>
              </w:rPr>
            </w:pPr>
          </w:p>
        </w:tc>
        <w:tc>
          <w:tcPr>
            <w:tcW w:w="1600" w:type="dxa"/>
            <w:vAlign w:val="bottom"/>
            <w:tcBorders>
              <w:bottom w:val="single" w:sz="8" w:color="C0C0C0"/>
            </w:tcBorders>
          </w:tcPr>
          <w:p>
            <w:pPr>
              <w:spacing w:after="0"/>
              <w:rPr>
                <w:sz w:val="21"/>
                <w:szCs w:val="21"/>
                <w:color w:val="auto"/>
              </w:rPr>
            </w:pPr>
          </w:p>
        </w:tc>
        <w:tc>
          <w:tcPr>
            <w:tcW w:w="192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0" w:right="239" w:bottom="1440" w:gutter="0" w:footer="0" w:header="0"/>
        </w:sectPr>
      </w:pPr>
    </w:p>
    <w:bookmarkStart w:id="92" w:name="page93"/>
    <w:bookmarkEnd w:id="92"/>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below by the following persons on behalf of the Registrant and in the capacities and on the date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0" w:type="dxa"/>
            <w:vAlign w:val="bottom"/>
          </w:tcPr>
          <w:p>
            <w:pPr>
              <w:spacing w:after="0"/>
              <w:rPr>
                <w:sz w:val="16"/>
                <w:szCs w:val="16"/>
                <w:color w:val="auto"/>
              </w:rPr>
            </w:pPr>
          </w:p>
        </w:tc>
        <w:tc>
          <w:tcPr>
            <w:tcW w:w="4120" w:type="dxa"/>
            <w:vAlign w:val="bottom"/>
          </w:tcPr>
          <w:p>
            <w:pPr>
              <w:jc w:val="center"/>
              <w:spacing w:after="0"/>
              <w:rPr>
                <w:sz w:val="20"/>
                <w:szCs w:val="20"/>
                <w:color w:val="auto"/>
              </w:rPr>
            </w:pPr>
            <w:r>
              <w:rPr>
                <w:rFonts w:ascii="Arial" w:cs="Arial" w:eastAsia="Arial" w:hAnsi="Arial"/>
                <w:sz w:val="14"/>
                <w:szCs w:val="14"/>
                <w:b w:val="1"/>
                <w:bCs w:val="1"/>
                <w:color w:val="auto"/>
              </w:rPr>
              <w:t>Name</w:t>
            </w:r>
          </w:p>
        </w:tc>
        <w:tc>
          <w:tcPr>
            <w:tcW w:w="1120" w:type="dxa"/>
            <w:vAlign w:val="bottom"/>
          </w:tcPr>
          <w:p>
            <w:pPr>
              <w:spacing w:after="0"/>
              <w:rPr>
                <w:sz w:val="16"/>
                <w:szCs w:val="16"/>
                <w:color w:val="auto"/>
              </w:rPr>
            </w:pPr>
          </w:p>
        </w:tc>
        <w:tc>
          <w:tcPr>
            <w:tcW w:w="4120" w:type="dxa"/>
            <w:vAlign w:val="bottom"/>
          </w:tcPr>
          <w:p>
            <w:pPr>
              <w:jc w:val="center"/>
              <w:spacing w:after="0"/>
              <w:rPr>
                <w:sz w:val="20"/>
                <w:szCs w:val="20"/>
                <w:color w:val="auto"/>
              </w:rPr>
            </w:pPr>
            <w:r>
              <w:rPr>
                <w:rFonts w:ascii="Arial" w:cs="Arial" w:eastAsia="Arial" w:hAnsi="Arial"/>
                <w:sz w:val="14"/>
                <w:szCs w:val="14"/>
                <w:b w:val="1"/>
                <w:bCs w:val="1"/>
                <w:color w:val="auto"/>
              </w:rPr>
              <w:t>Name</w:t>
            </w:r>
          </w:p>
        </w:tc>
        <w:tc>
          <w:tcPr>
            <w:tcW w:w="1020" w:type="dxa"/>
            <w:vAlign w:val="bottom"/>
          </w:tcPr>
          <w:p>
            <w:pPr>
              <w:spacing w:after="0"/>
              <w:rPr>
                <w:sz w:val="16"/>
                <w:szCs w:val="16"/>
                <w:color w:val="auto"/>
              </w:rPr>
            </w:pPr>
          </w:p>
        </w:tc>
      </w:tr>
      <w:tr>
        <w:trPr>
          <w:trHeight w:val="390"/>
        </w:trPr>
        <w:tc>
          <w:tcPr>
            <w:tcW w:w="104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Arial" w:cs="Arial" w:eastAsia="Arial" w:hAnsi="Arial"/>
                <w:sz w:val="18"/>
                <w:szCs w:val="18"/>
                <w:color w:val="auto"/>
              </w:rPr>
              <w:t>*</w:t>
            </w:r>
          </w:p>
        </w:tc>
        <w:tc>
          <w:tcPr>
            <w:tcW w:w="5240" w:type="dxa"/>
            <w:vAlign w:val="bottom"/>
            <w:gridSpan w:val="2"/>
          </w:tcPr>
          <w:p>
            <w:pPr>
              <w:jc w:val="center"/>
              <w:ind w:left="103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4"/>
                <w:szCs w:val="24"/>
                <w:color w:val="auto"/>
              </w:rPr>
            </w:pPr>
          </w:p>
        </w:tc>
      </w:tr>
      <w:tr>
        <w:trPr>
          <w:trHeight w:val="195"/>
        </w:trPr>
        <w:tc>
          <w:tcPr>
            <w:tcW w:w="1040" w:type="dxa"/>
            <w:vAlign w:val="bottom"/>
          </w:tcPr>
          <w:p>
            <w:pPr>
              <w:spacing w:after="0"/>
              <w:rPr>
                <w:sz w:val="16"/>
                <w:szCs w:val="16"/>
                <w:color w:val="auto"/>
              </w:rPr>
            </w:pPr>
          </w:p>
        </w:tc>
        <w:tc>
          <w:tcPr>
            <w:tcW w:w="4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David M. Cote</w:t>
            </w:r>
          </w:p>
        </w:tc>
        <w:tc>
          <w:tcPr>
            <w:tcW w:w="1120" w:type="dxa"/>
            <w:vAlign w:val="bottom"/>
          </w:tcPr>
          <w:p>
            <w:pPr>
              <w:spacing w:after="0"/>
              <w:rPr>
                <w:sz w:val="16"/>
                <w:szCs w:val="16"/>
                <w:color w:val="auto"/>
              </w:rPr>
            </w:pPr>
          </w:p>
        </w:tc>
        <w:tc>
          <w:tcPr>
            <w:tcW w:w="4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Judd Gregg</w:t>
            </w:r>
          </w:p>
        </w:tc>
        <w:tc>
          <w:tcPr>
            <w:tcW w:w="1020" w:type="dxa"/>
            <w:vAlign w:val="bottom"/>
          </w:tcPr>
          <w:p>
            <w:pPr>
              <w:spacing w:after="0"/>
              <w:rPr>
                <w:sz w:val="16"/>
                <w:szCs w:val="16"/>
                <w:color w:val="auto"/>
              </w:rPr>
            </w:pPr>
          </w:p>
        </w:tc>
      </w:tr>
      <w:tr>
        <w:trPr>
          <w:trHeight w:val="203"/>
        </w:trPr>
        <w:tc>
          <w:tcPr>
            <w:tcW w:w="1040" w:type="dxa"/>
            <w:vAlign w:val="bottom"/>
          </w:tcPr>
          <w:p>
            <w:pPr>
              <w:spacing w:after="0"/>
              <w:rPr>
                <w:sz w:val="17"/>
                <w:szCs w:val="17"/>
                <w:color w:val="auto"/>
              </w:rPr>
            </w:pPr>
          </w:p>
        </w:tc>
        <w:tc>
          <w:tcPr>
            <w:tcW w:w="4120" w:type="dxa"/>
            <w:vAlign w:val="bottom"/>
          </w:tcPr>
          <w:p>
            <w:pPr>
              <w:jc w:val="center"/>
              <w:spacing w:after="0" w:line="202" w:lineRule="exact"/>
              <w:rPr>
                <w:sz w:val="20"/>
                <w:szCs w:val="20"/>
                <w:color w:val="auto"/>
              </w:rPr>
            </w:pPr>
            <w:r>
              <w:rPr>
                <w:rFonts w:ascii="Arial" w:cs="Arial" w:eastAsia="Arial" w:hAnsi="Arial"/>
                <w:sz w:val="18"/>
                <w:szCs w:val="18"/>
                <w:color w:val="auto"/>
                <w:w w:val="99"/>
              </w:rPr>
              <w:t>Chairman of the Board and</w:t>
            </w:r>
          </w:p>
        </w:tc>
        <w:tc>
          <w:tcPr>
            <w:tcW w:w="1120" w:type="dxa"/>
            <w:vAlign w:val="bottom"/>
          </w:tcPr>
          <w:p>
            <w:pPr>
              <w:spacing w:after="0"/>
              <w:rPr>
                <w:sz w:val="17"/>
                <w:szCs w:val="17"/>
                <w:color w:val="auto"/>
              </w:rPr>
            </w:pPr>
          </w:p>
        </w:tc>
        <w:tc>
          <w:tcPr>
            <w:tcW w:w="4120" w:type="dxa"/>
            <w:vAlign w:val="bottom"/>
          </w:tcPr>
          <w:p>
            <w:pPr>
              <w:jc w:val="center"/>
              <w:spacing w:after="0" w:line="202" w:lineRule="exact"/>
              <w:rPr>
                <w:sz w:val="20"/>
                <w:szCs w:val="20"/>
                <w:color w:val="auto"/>
              </w:rPr>
            </w:pPr>
            <w:r>
              <w:rPr>
                <w:rFonts w:ascii="Arial" w:cs="Arial" w:eastAsia="Arial" w:hAnsi="Arial"/>
                <w:sz w:val="18"/>
                <w:szCs w:val="18"/>
                <w:color w:val="auto"/>
              </w:rPr>
              <w:t>Director</w:t>
            </w:r>
          </w:p>
        </w:tc>
        <w:tc>
          <w:tcPr>
            <w:tcW w:w="1020" w:type="dxa"/>
            <w:vAlign w:val="bottom"/>
          </w:tcPr>
          <w:p>
            <w:pPr>
              <w:spacing w:after="0"/>
              <w:rPr>
                <w:sz w:val="17"/>
                <w:szCs w:val="17"/>
                <w:color w:val="auto"/>
              </w:rPr>
            </w:pPr>
          </w:p>
        </w:tc>
      </w:tr>
      <w:tr>
        <w:trPr>
          <w:trHeight w:val="203"/>
        </w:trPr>
        <w:tc>
          <w:tcPr>
            <w:tcW w:w="1040" w:type="dxa"/>
            <w:vAlign w:val="bottom"/>
          </w:tcPr>
          <w:p>
            <w:pPr>
              <w:spacing w:after="0"/>
              <w:rPr>
                <w:sz w:val="17"/>
                <w:szCs w:val="17"/>
                <w:color w:val="auto"/>
              </w:rPr>
            </w:pPr>
          </w:p>
        </w:tc>
        <w:tc>
          <w:tcPr>
            <w:tcW w:w="4120" w:type="dxa"/>
            <w:vAlign w:val="bottom"/>
          </w:tcPr>
          <w:p>
            <w:pPr>
              <w:jc w:val="center"/>
              <w:spacing w:after="0" w:line="202" w:lineRule="exact"/>
              <w:rPr>
                <w:sz w:val="20"/>
                <w:szCs w:val="20"/>
                <w:color w:val="auto"/>
              </w:rPr>
            </w:pPr>
            <w:r>
              <w:rPr>
                <w:rFonts w:ascii="Arial" w:cs="Arial" w:eastAsia="Arial" w:hAnsi="Arial"/>
                <w:sz w:val="18"/>
                <w:szCs w:val="18"/>
                <w:color w:val="auto"/>
              </w:rPr>
              <w:t>Chief Executive Officer</w:t>
            </w:r>
          </w:p>
        </w:tc>
        <w:tc>
          <w:tcPr>
            <w:tcW w:w="11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7"/>
        </w:trPr>
        <w:tc>
          <w:tcPr>
            <w:tcW w:w="1040" w:type="dxa"/>
            <w:vAlign w:val="bottom"/>
          </w:tcPr>
          <w:p>
            <w:pPr>
              <w:spacing w:after="0"/>
              <w:rPr>
                <w:sz w:val="18"/>
                <w:szCs w:val="18"/>
                <w:color w:val="auto"/>
              </w:rPr>
            </w:pPr>
          </w:p>
        </w:tc>
        <w:tc>
          <w:tcPr>
            <w:tcW w:w="4120" w:type="dxa"/>
            <w:vAlign w:val="bottom"/>
          </w:tcPr>
          <w:p>
            <w:pPr>
              <w:jc w:val="center"/>
              <w:spacing w:after="0"/>
              <w:rPr>
                <w:sz w:val="20"/>
                <w:szCs w:val="20"/>
                <w:color w:val="auto"/>
              </w:rPr>
            </w:pPr>
            <w:r>
              <w:rPr>
                <w:rFonts w:ascii="Arial" w:cs="Arial" w:eastAsia="Arial" w:hAnsi="Arial"/>
                <w:sz w:val="18"/>
                <w:szCs w:val="18"/>
                <w:color w:val="auto"/>
                <w:w w:val="99"/>
              </w:rPr>
              <w:t>(Principal Executive Officer)</w:t>
            </w:r>
          </w:p>
        </w:tc>
        <w:tc>
          <w:tcPr>
            <w:tcW w:w="11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92"/>
        </w:trPr>
        <w:tc>
          <w:tcPr>
            <w:tcW w:w="104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Arial" w:cs="Arial" w:eastAsia="Arial" w:hAnsi="Arial"/>
                <w:sz w:val="18"/>
                <w:szCs w:val="18"/>
                <w:color w:val="auto"/>
              </w:rPr>
              <w:t>*</w:t>
            </w:r>
          </w:p>
        </w:tc>
        <w:tc>
          <w:tcPr>
            <w:tcW w:w="5240" w:type="dxa"/>
            <w:vAlign w:val="bottom"/>
            <w:gridSpan w:val="2"/>
          </w:tcPr>
          <w:p>
            <w:pPr>
              <w:jc w:val="center"/>
              <w:ind w:left="103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4"/>
                <w:szCs w:val="24"/>
                <w:color w:val="auto"/>
              </w:rPr>
            </w:pPr>
          </w:p>
        </w:tc>
      </w:tr>
      <w:tr>
        <w:trPr>
          <w:trHeight w:val="195"/>
        </w:trPr>
        <w:tc>
          <w:tcPr>
            <w:tcW w:w="1040" w:type="dxa"/>
            <w:vAlign w:val="bottom"/>
          </w:tcPr>
          <w:p>
            <w:pPr>
              <w:spacing w:after="0"/>
              <w:rPr>
                <w:sz w:val="16"/>
                <w:szCs w:val="16"/>
                <w:color w:val="auto"/>
              </w:rPr>
            </w:pPr>
          </w:p>
        </w:tc>
        <w:tc>
          <w:tcPr>
            <w:tcW w:w="4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Darius Adamczyk</w:t>
            </w:r>
          </w:p>
        </w:tc>
        <w:tc>
          <w:tcPr>
            <w:tcW w:w="1120" w:type="dxa"/>
            <w:vAlign w:val="bottom"/>
          </w:tcPr>
          <w:p>
            <w:pPr>
              <w:spacing w:after="0"/>
              <w:rPr>
                <w:sz w:val="16"/>
                <w:szCs w:val="16"/>
                <w:color w:val="auto"/>
              </w:rPr>
            </w:pPr>
          </w:p>
        </w:tc>
        <w:tc>
          <w:tcPr>
            <w:tcW w:w="4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Clive Hollick</w:t>
            </w:r>
          </w:p>
        </w:tc>
        <w:tc>
          <w:tcPr>
            <w:tcW w:w="1020" w:type="dxa"/>
            <w:vAlign w:val="bottom"/>
          </w:tcPr>
          <w:p>
            <w:pPr>
              <w:spacing w:after="0"/>
              <w:rPr>
                <w:sz w:val="16"/>
                <w:szCs w:val="16"/>
                <w:color w:val="auto"/>
              </w:rPr>
            </w:pPr>
          </w:p>
        </w:tc>
      </w:tr>
      <w:tr>
        <w:trPr>
          <w:trHeight w:val="203"/>
        </w:trPr>
        <w:tc>
          <w:tcPr>
            <w:tcW w:w="1040" w:type="dxa"/>
            <w:vAlign w:val="bottom"/>
          </w:tcPr>
          <w:p>
            <w:pPr>
              <w:spacing w:after="0"/>
              <w:rPr>
                <w:sz w:val="17"/>
                <w:szCs w:val="17"/>
                <w:color w:val="auto"/>
              </w:rPr>
            </w:pPr>
          </w:p>
        </w:tc>
        <w:tc>
          <w:tcPr>
            <w:tcW w:w="4120" w:type="dxa"/>
            <w:vAlign w:val="bottom"/>
          </w:tcPr>
          <w:p>
            <w:pPr>
              <w:jc w:val="center"/>
              <w:spacing w:after="0" w:line="202" w:lineRule="exact"/>
              <w:rPr>
                <w:sz w:val="20"/>
                <w:szCs w:val="20"/>
                <w:color w:val="auto"/>
              </w:rPr>
            </w:pPr>
            <w:r>
              <w:rPr>
                <w:rFonts w:ascii="Arial" w:cs="Arial" w:eastAsia="Arial" w:hAnsi="Arial"/>
                <w:sz w:val="18"/>
                <w:szCs w:val="18"/>
                <w:color w:val="auto"/>
                <w:w w:val="99"/>
              </w:rPr>
              <w:t>President and Chief Operating Officer</w:t>
            </w:r>
          </w:p>
        </w:tc>
        <w:tc>
          <w:tcPr>
            <w:tcW w:w="1120" w:type="dxa"/>
            <w:vAlign w:val="bottom"/>
          </w:tcPr>
          <w:p>
            <w:pPr>
              <w:spacing w:after="0"/>
              <w:rPr>
                <w:sz w:val="17"/>
                <w:szCs w:val="17"/>
                <w:color w:val="auto"/>
              </w:rPr>
            </w:pPr>
          </w:p>
        </w:tc>
        <w:tc>
          <w:tcPr>
            <w:tcW w:w="4120" w:type="dxa"/>
            <w:vAlign w:val="bottom"/>
          </w:tcPr>
          <w:p>
            <w:pPr>
              <w:jc w:val="center"/>
              <w:spacing w:after="0" w:line="202" w:lineRule="exact"/>
              <w:rPr>
                <w:sz w:val="20"/>
                <w:szCs w:val="20"/>
                <w:color w:val="auto"/>
              </w:rPr>
            </w:pPr>
            <w:r>
              <w:rPr>
                <w:rFonts w:ascii="Arial" w:cs="Arial" w:eastAsia="Arial" w:hAnsi="Arial"/>
                <w:sz w:val="18"/>
                <w:szCs w:val="18"/>
                <w:color w:val="auto"/>
              </w:rPr>
              <w:t>Director</w:t>
            </w:r>
          </w:p>
        </w:tc>
        <w:tc>
          <w:tcPr>
            <w:tcW w:w="1020" w:type="dxa"/>
            <w:vAlign w:val="bottom"/>
          </w:tcPr>
          <w:p>
            <w:pPr>
              <w:spacing w:after="0"/>
              <w:rPr>
                <w:sz w:val="17"/>
                <w:szCs w:val="17"/>
                <w:color w:val="auto"/>
              </w:rPr>
            </w:pPr>
          </w:p>
        </w:tc>
      </w:tr>
      <w:tr>
        <w:trPr>
          <w:trHeight w:val="217"/>
        </w:trPr>
        <w:tc>
          <w:tcPr>
            <w:tcW w:w="1040" w:type="dxa"/>
            <w:vAlign w:val="bottom"/>
          </w:tcPr>
          <w:p>
            <w:pPr>
              <w:spacing w:after="0"/>
              <w:rPr>
                <w:sz w:val="18"/>
                <w:szCs w:val="18"/>
                <w:color w:val="auto"/>
              </w:rPr>
            </w:pPr>
          </w:p>
        </w:tc>
        <w:tc>
          <w:tcPr>
            <w:tcW w:w="4120" w:type="dxa"/>
            <w:vAlign w:val="bottom"/>
          </w:tcPr>
          <w:p>
            <w:pPr>
              <w:jc w:val="center"/>
              <w:spacing w:after="0"/>
              <w:rPr>
                <w:sz w:val="20"/>
                <w:szCs w:val="20"/>
                <w:color w:val="auto"/>
              </w:rPr>
            </w:pPr>
            <w:r>
              <w:rPr>
                <w:rFonts w:ascii="Arial" w:cs="Arial" w:eastAsia="Arial" w:hAnsi="Arial"/>
                <w:sz w:val="18"/>
                <w:szCs w:val="18"/>
                <w:color w:val="auto"/>
                <w:w w:val="99"/>
              </w:rPr>
              <w:t>and Director</w:t>
            </w:r>
          </w:p>
        </w:tc>
        <w:tc>
          <w:tcPr>
            <w:tcW w:w="11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92"/>
        </w:trPr>
        <w:tc>
          <w:tcPr>
            <w:tcW w:w="104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Arial" w:cs="Arial" w:eastAsia="Arial" w:hAnsi="Arial"/>
                <w:sz w:val="18"/>
                <w:szCs w:val="18"/>
                <w:color w:val="auto"/>
              </w:rPr>
              <w:t>*</w:t>
            </w:r>
          </w:p>
        </w:tc>
        <w:tc>
          <w:tcPr>
            <w:tcW w:w="5240" w:type="dxa"/>
            <w:vAlign w:val="bottom"/>
            <w:gridSpan w:val="2"/>
          </w:tcPr>
          <w:p>
            <w:pPr>
              <w:jc w:val="center"/>
              <w:ind w:left="103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4"/>
                <w:szCs w:val="24"/>
                <w:color w:val="auto"/>
              </w:rPr>
            </w:pPr>
          </w:p>
        </w:tc>
      </w:tr>
      <w:tr>
        <w:trPr>
          <w:trHeight w:val="195"/>
        </w:trPr>
        <w:tc>
          <w:tcPr>
            <w:tcW w:w="1040" w:type="dxa"/>
            <w:vAlign w:val="bottom"/>
          </w:tcPr>
          <w:p>
            <w:pPr>
              <w:spacing w:after="0"/>
              <w:rPr>
                <w:sz w:val="16"/>
                <w:szCs w:val="16"/>
                <w:color w:val="auto"/>
              </w:rPr>
            </w:pPr>
          </w:p>
        </w:tc>
        <w:tc>
          <w:tcPr>
            <w:tcW w:w="4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William S. Ayer</w:t>
            </w:r>
          </w:p>
        </w:tc>
        <w:tc>
          <w:tcPr>
            <w:tcW w:w="1120" w:type="dxa"/>
            <w:vAlign w:val="bottom"/>
          </w:tcPr>
          <w:p>
            <w:pPr>
              <w:spacing w:after="0"/>
              <w:rPr>
                <w:sz w:val="16"/>
                <w:szCs w:val="16"/>
                <w:color w:val="auto"/>
              </w:rPr>
            </w:pPr>
          </w:p>
        </w:tc>
        <w:tc>
          <w:tcPr>
            <w:tcW w:w="4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Grace D. Lieblein</w:t>
            </w:r>
          </w:p>
        </w:tc>
        <w:tc>
          <w:tcPr>
            <w:tcW w:w="1020" w:type="dxa"/>
            <w:vAlign w:val="bottom"/>
          </w:tcPr>
          <w:p>
            <w:pPr>
              <w:spacing w:after="0"/>
              <w:rPr>
                <w:sz w:val="16"/>
                <w:szCs w:val="16"/>
                <w:color w:val="auto"/>
              </w:rPr>
            </w:pPr>
          </w:p>
        </w:tc>
      </w:tr>
      <w:tr>
        <w:trPr>
          <w:trHeight w:val="217"/>
        </w:trPr>
        <w:tc>
          <w:tcPr>
            <w:tcW w:w="1040" w:type="dxa"/>
            <w:vAlign w:val="bottom"/>
          </w:tcPr>
          <w:p>
            <w:pPr>
              <w:spacing w:after="0"/>
              <w:rPr>
                <w:sz w:val="18"/>
                <w:szCs w:val="18"/>
                <w:color w:val="auto"/>
              </w:rPr>
            </w:pPr>
          </w:p>
        </w:tc>
        <w:tc>
          <w:tcPr>
            <w:tcW w:w="41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120" w:type="dxa"/>
            <w:vAlign w:val="bottom"/>
          </w:tcPr>
          <w:p>
            <w:pPr>
              <w:spacing w:after="0"/>
              <w:rPr>
                <w:sz w:val="18"/>
                <w:szCs w:val="18"/>
                <w:color w:val="auto"/>
              </w:rPr>
            </w:pPr>
          </w:p>
        </w:tc>
        <w:tc>
          <w:tcPr>
            <w:tcW w:w="41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020" w:type="dxa"/>
            <w:vAlign w:val="bottom"/>
          </w:tcPr>
          <w:p>
            <w:pPr>
              <w:spacing w:after="0"/>
              <w:rPr>
                <w:sz w:val="18"/>
                <w:szCs w:val="18"/>
                <w:color w:val="auto"/>
              </w:rPr>
            </w:pPr>
          </w:p>
        </w:tc>
      </w:tr>
      <w:tr>
        <w:trPr>
          <w:trHeight w:val="392"/>
        </w:trPr>
        <w:tc>
          <w:tcPr>
            <w:tcW w:w="104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Arial" w:cs="Arial" w:eastAsia="Arial" w:hAnsi="Arial"/>
                <w:sz w:val="18"/>
                <w:szCs w:val="18"/>
                <w:color w:val="auto"/>
              </w:rPr>
              <w:t>*</w:t>
            </w:r>
          </w:p>
        </w:tc>
        <w:tc>
          <w:tcPr>
            <w:tcW w:w="5240" w:type="dxa"/>
            <w:vAlign w:val="bottom"/>
            <w:gridSpan w:val="2"/>
          </w:tcPr>
          <w:p>
            <w:pPr>
              <w:jc w:val="center"/>
              <w:ind w:left="103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4"/>
                <w:szCs w:val="24"/>
                <w:color w:val="auto"/>
              </w:rPr>
            </w:pPr>
          </w:p>
        </w:tc>
      </w:tr>
      <w:tr>
        <w:trPr>
          <w:trHeight w:val="195"/>
        </w:trPr>
        <w:tc>
          <w:tcPr>
            <w:tcW w:w="1040" w:type="dxa"/>
            <w:vAlign w:val="bottom"/>
          </w:tcPr>
          <w:p>
            <w:pPr>
              <w:spacing w:after="0"/>
              <w:rPr>
                <w:sz w:val="16"/>
                <w:szCs w:val="16"/>
                <w:color w:val="auto"/>
              </w:rPr>
            </w:pPr>
          </w:p>
        </w:tc>
        <w:tc>
          <w:tcPr>
            <w:tcW w:w="4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Kevin Burke</w:t>
            </w:r>
          </w:p>
        </w:tc>
        <w:tc>
          <w:tcPr>
            <w:tcW w:w="1120" w:type="dxa"/>
            <w:vAlign w:val="bottom"/>
          </w:tcPr>
          <w:p>
            <w:pPr>
              <w:spacing w:after="0"/>
              <w:rPr>
                <w:sz w:val="16"/>
                <w:szCs w:val="16"/>
                <w:color w:val="auto"/>
              </w:rPr>
            </w:pPr>
          </w:p>
        </w:tc>
        <w:tc>
          <w:tcPr>
            <w:tcW w:w="4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George Paz</w:t>
            </w:r>
          </w:p>
        </w:tc>
        <w:tc>
          <w:tcPr>
            <w:tcW w:w="1020" w:type="dxa"/>
            <w:vAlign w:val="bottom"/>
          </w:tcPr>
          <w:p>
            <w:pPr>
              <w:spacing w:after="0"/>
              <w:rPr>
                <w:sz w:val="16"/>
                <w:szCs w:val="16"/>
                <w:color w:val="auto"/>
              </w:rPr>
            </w:pPr>
          </w:p>
        </w:tc>
      </w:tr>
      <w:tr>
        <w:trPr>
          <w:trHeight w:val="217"/>
        </w:trPr>
        <w:tc>
          <w:tcPr>
            <w:tcW w:w="1040" w:type="dxa"/>
            <w:vAlign w:val="bottom"/>
          </w:tcPr>
          <w:p>
            <w:pPr>
              <w:spacing w:after="0"/>
              <w:rPr>
                <w:sz w:val="18"/>
                <w:szCs w:val="18"/>
                <w:color w:val="auto"/>
              </w:rPr>
            </w:pPr>
          </w:p>
        </w:tc>
        <w:tc>
          <w:tcPr>
            <w:tcW w:w="41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120" w:type="dxa"/>
            <w:vAlign w:val="bottom"/>
          </w:tcPr>
          <w:p>
            <w:pPr>
              <w:spacing w:after="0"/>
              <w:rPr>
                <w:sz w:val="18"/>
                <w:szCs w:val="18"/>
                <w:color w:val="auto"/>
              </w:rPr>
            </w:pPr>
          </w:p>
        </w:tc>
        <w:tc>
          <w:tcPr>
            <w:tcW w:w="41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020" w:type="dxa"/>
            <w:vAlign w:val="bottom"/>
          </w:tcPr>
          <w:p>
            <w:pPr>
              <w:spacing w:after="0"/>
              <w:rPr>
                <w:sz w:val="18"/>
                <w:szCs w:val="18"/>
                <w:color w:val="auto"/>
              </w:rPr>
            </w:pPr>
          </w:p>
        </w:tc>
      </w:tr>
      <w:tr>
        <w:trPr>
          <w:trHeight w:val="392"/>
        </w:trPr>
        <w:tc>
          <w:tcPr>
            <w:tcW w:w="104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Arial" w:cs="Arial" w:eastAsia="Arial" w:hAnsi="Arial"/>
                <w:sz w:val="18"/>
                <w:szCs w:val="18"/>
                <w:color w:val="auto"/>
              </w:rPr>
              <w:t>*</w:t>
            </w:r>
          </w:p>
        </w:tc>
        <w:tc>
          <w:tcPr>
            <w:tcW w:w="5240" w:type="dxa"/>
            <w:vAlign w:val="bottom"/>
            <w:gridSpan w:val="2"/>
          </w:tcPr>
          <w:p>
            <w:pPr>
              <w:jc w:val="center"/>
              <w:ind w:left="103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4"/>
                <w:szCs w:val="24"/>
                <w:color w:val="auto"/>
              </w:rPr>
            </w:pPr>
          </w:p>
        </w:tc>
      </w:tr>
      <w:tr>
        <w:trPr>
          <w:trHeight w:val="195"/>
        </w:trPr>
        <w:tc>
          <w:tcPr>
            <w:tcW w:w="1040" w:type="dxa"/>
            <w:vAlign w:val="bottom"/>
          </w:tcPr>
          <w:p>
            <w:pPr>
              <w:spacing w:after="0"/>
              <w:rPr>
                <w:sz w:val="16"/>
                <w:szCs w:val="16"/>
                <w:color w:val="auto"/>
              </w:rPr>
            </w:pPr>
          </w:p>
        </w:tc>
        <w:tc>
          <w:tcPr>
            <w:tcW w:w="4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Jaime Chico Pardo</w:t>
            </w:r>
          </w:p>
        </w:tc>
        <w:tc>
          <w:tcPr>
            <w:tcW w:w="1120" w:type="dxa"/>
            <w:vAlign w:val="bottom"/>
          </w:tcPr>
          <w:p>
            <w:pPr>
              <w:spacing w:after="0"/>
              <w:rPr>
                <w:sz w:val="16"/>
                <w:szCs w:val="16"/>
                <w:color w:val="auto"/>
              </w:rPr>
            </w:pPr>
          </w:p>
        </w:tc>
        <w:tc>
          <w:tcPr>
            <w:tcW w:w="4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Bradley T. Sheares, Ph.D.</w:t>
            </w:r>
          </w:p>
        </w:tc>
        <w:tc>
          <w:tcPr>
            <w:tcW w:w="1020" w:type="dxa"/>
            <w:vAlign w:val="bottom"/>
          </w:tcPr>
          <w:p>
            <w:pPr>
              <w:spacing w:after="0"/>
              <w:rPr>
                <w:sz w:val="16"/>
                <w:szCs w:val="16"/>
                <w:color w:val="auto"/>
              </w:rPr>
            </w:pPr>
          </w:p>
        </w:tc>
      </w:tr>
      <w:tr>
        <w:trPr>
          <w:trHeight w:val="217"/>
        </w:trPr>
        <w:tc>
          <w:tcPr>
            <w:tcW w:w="1040" w:type="dxa"/>
            <w:vAlign w:val="bottom"/>
          </w:tcPr>
          <w:p>
            <w:pPr>
              <w:spacing w:after="0"/>
              <w:rPr>
                <w:sz w:val="18"/>
                <w:szCs w:val="18"/>
                <w:color w:val="auto"/>
              </w:rPr>
            </w:pPr>
          </w:p>
        </w:tc>
        <w:tc>
          <w:tcPr>
            <w:tcW w:w="41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120" w:type="dxa"/>
            <w:vAlign w:val="bottom"/>
          </w:tcPr>
          <w:p>
            <w:pPr>
              <w:spacing w:after="0"/>
              <w:rPr>
                <w:sz w:val="18"/>
                <w:szCs w:val="18"/>
                <w:color w:val="auto"/>
              </w:rPr>
            </w:pPr>
          </w:p>
        </w:tc>
        <w:tc>
          <w:tcPr>
            <w:tcW w:w="41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020" w:type="dxa"/>
            <w:vAlign w:val="bottom"/>
          </w:tcPr>
          <w:p>
            <w:pPr>
              <w:spacing w:after="0"/>
              <w:rPr>
                <w:sz w:val="18"/>
                <w:szCs w:val="18"/>
                <w:color w:val="auto"/>
              </w:rPr>
            </w:pPr>
          </w:p>
        </w:tc>
      </w:tr>
      <w:tr>
        <w:trPr>
          <w:trHeight w:val="392"/>
        </w:trPr>
        <w:tc>
          <w:tcPr>
            <w:tcW w:w="1040" w:type="dxa"/>
            <w:vAlign w:val="bottom"/>
          </w:tcPr>
          <w:p>
            <w:pPr>
              <w:spacing w:after="0"/>
              <w:rPr>
                <w:sz w:val="24"/>
                <w:szCs w:val="24"/>
                <w:color w:val="auto"/>
              </w:rPr>
            </w:pPr>
          </w:p>
        </w:tc>
        <w:tc>
          <w:tcPr>
            <w:tcW w:w="4120" w:type="dxa"/>
            <w:vAlign w:val="bottom"/>
          </w:tcPr>
          <w:p>
            <w:pPr>
              <w:jc w:val="center"/>
              <w:spacing w:after="0"/>
              <w:rPr>
                <w:sz w:val="20"/>
                <w:szCs w:val="20"/>
                <w:color w:val="auto"/>
              </w:rPr>
            </w:pPr>
            <w:r>
              <w:rPr>
                <w:rFonts w:ascii="Arial" w:cs="Arial" w:eastAsia="Arial" w:hAnsi="Arial"/>
                <w:sz w:val="18"/>
                <w:szCs w:val="18"/>
                <w:color w:val="auto"/>
              </w:rPr>
              <w:t>*</w:t>
            </w:r>
          </w:p>
        </w:tc>
        <w:tc>
          <w:tcPr>
            <w:tcW w:w="5240" w:type="dxa"/>
            <w:vAlign w:val="bottom"/>
            <w:gridSpan w:val="2"/>
          </w:tcPr>
          <w:p>
            <w:pPr>
              <w:jc w:val="center"/>
              <w:ind w:left="103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4"/>
                <w:szCs w:val="24"/>
                <w:color w:val="auto"/>
              </w:rPr>
            </w:pPr>
          </w:p>
        </w:tc>
      </w:tr>
      <w:tr>
        <w:trPr>
          <w:trHeight w:val="195"/>
        </w:trPr>
        <w:tc>
          <w:tcPr>
            <w:tcW w:w="1040" w:type="dxa"/>
            <w:vAlign w:val="bottom"/>
          </w:tcPr>
          <w:p>
            <w:pPr>
              <w:spacing w:after="0"/>
              <w:rPr>
                <w:sz w:val="16"/>
                <w:szCs w:val="16"/>
                <w:color w:val="auto"/>
              </w:rPr>
            </w:pPr>
          </w:p>
        </w:tc>
        <w:tc>
          <w:tcPr>
            <w:tcW w:w="4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D. Scott Davis</w:t>
            </w:r>
          </w:p>
        </w:tc>
        <w:tc>
          <w:tcPr>
            <w:tcW w:w="1120" w:type="dxa"/>
            <w:vAlign w:val="bottom"/>
          </w:tcPr>
          <w:p>
            <w:pPr>
              <w:spacing w:after="0"/>
              <w:rPr>
                <w:sz w:val="16"/>
                <w:szCs w:val="16"/>
                <w:color w:val="auto"/>
              </w:rPr>
            </w:pPr>
          </w:p>
        </w:tc>
        <w:tc>
          <w:tcPr>
            <w:tcW w:w="4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Robin L. Washington</w:t>
            </w:r>
          </w:p>
        </w:tc>
        <w:tc>
          <w:tcPr>
            <w:tcW w:w="1020" w:type="dxa"/>
            <w:vAlign w:val="bottom"/>
          </w:tcPr>
          <w:p>
            <w:pPr>
              <w:spacing w:after="0"/>
              <w:rPr>
                <w:sz w:val="16"/>
                <w:szCs w:val="16"/>
                <w:color w:val="auto"/>
              </w:rPr>
            </w:pPr>
          </w:p>
        </w:tc>
      </w:tr>
      <w:tr>
        <w:trPr>
          <w:trHeight w:val="217"/>
        </w:trPr>
        <w:tc>
          <w:tcPr>
            <w:tcW w:w="1040" w:type="dxa"/>
            <w:vAlign w:val="bottom"/>
          </w:tcPr>
          <w:p>
            <w:pPr>
              <w:spacing w:after="0"/>
              <w:rPr>
                <w:sz w:val="18"/>
                <w:szCs w:val="18"/>
                <w:color w:val="auto"/>
              </w:rPr>
            </w:pPr>
          </w:p>
        </w:tc>
        <w:tc>
          <w:tcPr>
            <w:tcW w:w="41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120" w:type="dxa"/>
            <w:vAlign w:val="bottom"/>
          </w:tcPr>
          <w:p>
            <w:pPr>
              <w:spacing w:after="0"/>
              <w:rPr>
                <w:sz w:val="18"/>
                <w:szCs w:val="18"/>
                <w:color w:val="auto"/>
              </w:rPr>
            </w:pPr>
          </w:p>
        </w:tc>
        <w:tc>
          <w:tcPr>
            <w:tcW w:w="41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020" w:type="dxa"/>
            <w:vAlign w:val="bottom"/>
          </w:tcPr>
          <w:p>
            <w:pPr>
              <w:spacing w:after="0"/>
              <w:rPr>
                <w:sz w:val="18"/>
                <w:szCs w:val="18"/>
                <w:color w:val="auto"/>
              </w:rPr>
            </w:pPr>
          </w:p>
        </w:tc>
      </w:tr>
      <w:tr>
        <w:trPr>
          <w:trHeight w:val="392"/>
        </w:trPr>
        <w:tc>
          <w:tcPr>
            <w:tcW w:w="104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5"/>
        </w:trPr>
        <w:tc>
          <w:tcPr>
            <w:tcW w:w="104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97"/>
              </w:rPr>
              <w:t>Linnet F. Deily</w:t>
            </w:r>
          </w:p>
        </w:tc>
        <w:tc>
          <w:tcPr>
            <w:tcW w:w="11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7"/>
        </w:trPr>
        <w:tc>
          <w:tcPr>
            <w:tcW w:w="1040" w:type="dxa"/>
            <w:vAlign w:val="bottom"/>
          </w:tcPr>
          <w:p>
            <w:pPr>
              <w:spacing w:after="0"/>
              <w:rPr>
                <w:sz w:val="18"/>
                <w:szCs w:val="18"/>
                <w:color w:val="auto"/>
              </w:rPr>
            </w:pPr>
          </w:p>
        </w:tc>
        <w:tc>
          <w:tcPr>
            <w:tcW w:w="41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1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92"/>
        </w:trPr>
        <w:tc>
          <w:tcPr>
            <w:tcW w:w="104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Thomas A. Szlosek</w:t>
            </w:r>
          </w:p>
        </w:tc>
        <w:tc>
          <w:tcPr>
            <w:tcW w:w="112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Jennifer H. Mak</w:t>
            </w:r>
          </w:p>
        </w:tc>
        <w:tc>
          <w:tcPr>
            <w:tcW w:w="1020" w:type="dxa"/>
            <w:vAlign w:val="bottom"/>
          </w:tcPr>
          <w:p>
            <w:pPr>
              <w:spacing w:after="0"/>
              <w:rPr>
                <w:sz w:val="24"/>
                <w:szCs w:val="24"/>
                <w:color w:val="auto"/>
              </w:rPr>
            </w:pPr>
          </w:p>
        </w:tc>
      </w:tr>
      <w:tr>
        <w:trPr>
          <w:trHeight w:val="195"/>
        </w:trPr>
        <w:tc>
          <w:tcPr>
            <w:tcW w:w="104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rPr>
              <w:t>Thomas A. Szlosek</w:t>
            </w:r>
          </w:p>
        </w:tc>
        <w:tc>
          <w:tcPr>
            <w:tcW w:w="112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99"/>
              </w:rPr>
              <w:t>Jennifer H. Mak</w:t>
            </w:r>
          </w:p>
        </w:tc>
        <w:tc>
          <w:tcPr>
            <w:tcW w:w="1020" w:type="dxa"/>
            <w:vAlign w:val="bottom"/>
          </w:tcPr>
          <w:p>
            <w:pPr>
              <w:spacing w:after="0"/>
              <w:rPr>
                <w:sz w:val="16"/>
                <w:szCs w:val="16"/>
                <w:color w:val="auto"/>
              </w:rPr>
            </w:pPr>
          </w:p>
        </w:tc>
      </w:tr>
      <w:tr>
        <w:trPr>
          <w:trHeight w:val="203"/>
        </w:trPr>
        <w:tc>
          <w:tcPr>
            <w:tcW w:w="1040" w:type="dxa"/>
            <w:vAlign w:val="bottom"/>
          </w:tcPr>
          <w:p>
            <w:pPr>
              <w:spacing w:after="0"/>
              <w:rPr>
                <w:sz w:val="17"/>
                <w:szCs w:val="17"/>
                <w:color w:val="auto"/>
              </w:rPr>
            </w:pPr>
          </w:p>
        </w:tc>
        <w:tc>
          <w:tcPr>
            <w:tcW w:w="4120" w:type="dxa"/>
            <w:vAlign w:val="bottom"/>
          </w:tcPr>
          <w:p>
            <w:pPr>
              <w:jc w:val="center"/>
              <w:spacing w:after="0" w:line="202" w:lineRule="exact"/>
              <w:rPr>
                <w:sz w:val="20"/>
                <w:szCs w:val="20"/>
                <w:color w:val="auto"/>
              </w:rPr>
            </w:pPr>
            <w:r>
              <w:rPr>
                <w:rFonts w:ascii="Arial" w:cs="Arial" w:eastAsia="Arial" w:hAnsi="Arial"/>
                <w:sz w:val="18"/>
                <w:szCs w:val="18"/>
                <w:color w:val="auto"/>
                <w:w w:val="99"/>
              </w:rPr>
              <w:t>Senior Vice President and</w:t>
            </w:r>
          </w:p>
        </w:tc>
        <w:tc>
          <w:tcPr>
            <w:tcW w:w="1120" w:type="dxa"/>
            <w:vAlign w:val="bottom"/>
          </w:tcPr>
          <w:p>
            <w:pPr>
              <w:spacing w:after="0"/>
              <w:rPr>
                <w:sz w:val="17"/>
                <w:szCs w:val="17"/>
                <w:color w:val="auto"/>
              </w:rPr>
            </w:pPr>
          </w:p>
        </w:tc>
        <w:tc>
          <w:tcPr>
            <w:tcW w:w="4120" w:type="dxa"/>
            <w:vAlign w:val="bottom"/>
          </w:tcPr>
          <w:p>
            <w:pPr>
              <w:jc w:val="center"/>
              <w:spacing w:after="0" w:line="202" w:lineRule="exact"/>
              <w:rPr>
                <w:sz w:val="20"/>
                <w:szCs w:val="20"/>
                <w:color w:val="auto"/>
              </w:rPr>
            </w:pPr>
            <w:r>
              <w:rPr>
                <w:rFonts w:ascii="Arial" w:cs="Arial" w:eastAsia="Arial" w:hAnsi="Arial"/>
                <w:sz w:val="18"/>
                <w:szCs w:val="18"/>
                <w:color w:val="auto"/>
                <w:w w:val="99"/>
              </w:rPr>
              <w:t>Vice President and Controller</w:t>
            </w:r>
          </w:p>
        </w:tc>
        <w:tc>
          <w:tcPr>
            <w:tcW w:w="1020" w:type="dxa"/>
            <w:vAlign w:val="bottom"/>
          </w:tcPr>
          <w:p>
            <w:pPr>
              <w:spacing w:after="0"/>
              <w:rPr>
                <w:sz w:val="17"/>
                <w:szCs w:val="17"/>
                <w:color w:val="auto"/>
              </w:rPr>
            </w:pPr>
          </w:p>
        </w:tc>
      </w:tr>
      <w:tr>
        <w:trPr>
          <w:trHeight w:val="203"/>
        </w:trPr>
        <w:tc>
          <w:tcPr>
            <w:tcW w:w="1040" w:type="dxa"/>
            <w:vAlign w:val="bottom"/>
          </w:tcPr>
          <w:p>
            <w:pPr>
              <w:spacing w:after="0"/>
              <w:rPr>
                <w:sz w:val="17"/>
                <w:szCs w:val="17"/>
                <w:color w:val="auto"/>
              </w:rPr>
            </w:pPr>
          </w:p>
        </w:tc>
        <w:tc>
          <w:tcPr>
            <w:tcW w:w="4120" w:type="dxa"/>
            <w:vAlign w:val="bottom"/>
          </w:tcPr>
          <w:p>
            <w:pPr>
              <w:jc w:val="center"/>
              <w:spacing w:after="0" w:line="202" w:lineRule="exact"/>
              <w:rPr>
                <w:sz w:val="20"/>
                <w:szCs w:val="20"/>
                <w:color w:val="auto"/>
              </w:rPr>
            </w:pPr>
            <w:r>
              <w:rPr>
                <w:rFonts w:ascii="Arial" w:cs="Arial" w:eastAsia="Arial" w:hAnsi="Arial"/>
                <w:sz w:val="18"/>
                <w:szCs w:val="18"/>
                <w:color w:val="auto"/>
                <w:w w:val="99"/>
              </w:rPr>
              <w:t>Chief Financial Officer</w:t>
            </w:r>
          </w:p>
        </w:tc>
        <w:tc>
          <w:tcPr>
            <w:tcW w:w="1120" w:type="dxa"/>
            <w:vAlign w:val="bottom"/>
          </w:tcPr>
          <w:p>
            <w:pPr>
              <w:spacing w:after="0"/>
              <w:rPr>
                <w:sz w:val="17"/>
                <w:szCs w:val="17"/>
                <w:color w:val="auto"/>
              </w:rPr>
            </w:pPr>
          </w:p>
        </w:tc>
        <w:tc>
          <w:tcPr>
            <w:tcW w:w="4120" w:type="dxa"/>
            <w:vAlign w:val="bottom"/>
          </w:tcPr>
          <w:p>
            <w:pPr>
              <w:jc w:val="center"/>
              <w:spacing w:after="0" w:line="202" w:lineRule="exact"/>
              <w:rPr>
                <w:sz w:val="20"/>
                <w:szCs w:val="20"/>
                <w:color w:val="auto"/>
              </w:rPr>
            </w:pPr>
            <w:r>
              <w:rPr>
                <w:rFonts w:ascii="Arial" w:cs="Arial" w:eastAsia="Arial" w:hAnsi="Arial"/>
                <w:sz w:val="18"/>
                <w:szCs w:val="18"/>
                <w:color w:val="auto"/>
                <w:w w:val="99"/>
              </w:rPr>
              <w:t>(Principal Accounting Officer)</w:t>
            </w:r>
          </w:p>
        </w:tc>
        <w:tc>
          <w:tcPr>
            <w:tcW w:w="1020" w:type="dxa"/>
            <w:vAlign w:val="bottom"/>
          </w:tcPr>
          <w:p>
            <w:pPr>
              <w:spacing w:after="0"/>
              <w:rPr>
                <w:sz w:val="17"/>
                <w:szCs w:val="17"/>
                <w:color w:val="auto"/>
              </w:rPr>
            </w:pPr>
          </w:p>
        </w:tc>
      </w:tr>
      <w:tr>
        <w:trPr>
          <w:trHeight w:val="217"/>
        </w:trPr>
        <w:tc>
          <w:tcPr>
            <w:tcW w:w="1040" w:type="dxa"/>
            <w:vAlign w:val="bottom"/>
          </w:tcPr>
          <w:p>
            <w:pPr>
              <w:spacing w:after="0"/>
              <w:rPr>
                <w:sz w:val="18"/>
                <w:szCs w:val="18"/>
                <w:color w:val="auto"/>
              </w:rPr>
            </w:pPr>
          </w:p>
        </w:tc>
        <w:tc>
          <w:tcPr>
            <w:tcW w:w="4120" w:type="dxa"/>
            <w:vAlign w:val="bottom"/>
          </w:tcPr>
          <w:p>
            <w:pPr>
              <w:jc w:val="center"/>
              <w:spacing w:after="0"/>
              <w:rPr>
                <w:sz w:val="20"/>
                <w:szCs w:val="20"/>
                <w:color w:val="auto"/>
              </w:rPr>
            </w:pPr>
            <w:r>
              <w:rPr>
                <w:rFonts w:ascii="Arial" w:cs="Arial" w:eastAsia="Arial" w:hAnsi="Arial"/>
                <w:sz w:val="18"/>
                <w:szCs w:val="18"/>
                <w:color w:val="auto"/>
                <w:w w:val="99"/>
              </w:rPr>
              <w:t>(Principal Financial Officer)</w:t>
            </w:r>
          </w:p>
        </w:tc>
        <w:tc>
          <w:tcPr>
            <w:tcW w:w="11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92"/>
        </w:trPr>
        <w:tc>
          <w:tcPr>
            <w:tcW w:w="1040" w:type="dxa"/>
            <w:vAlign w:val="bottom"/>
          </w:tcPr>
          <w:p>
            <w:pPr>
              <w:ind w:left="36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Thomas A. Szlosek</w:t>
            </w:r>
          </w:p>
        </w:tc>
        <w:tc>
          <w:tcPr>
            <w:tcW w:w="11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5"/>
        </w:trPr>
        <w:tc>
          <w:tcPr>
            <w:tcW w:w="104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99"/>
              </w:rPr>
              <w:t>(Thomas A. Szlosek</w:t>
            </w:r>
          </w:p>
        </w:tc>
        <w:tc>
          <w:tcPr>
            <w:tcW w:w="11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7"/>
        </w:trPr>
        <w:tc>
          <w:tcPr>
            <w:tcW w:w="1040" w:type="dxa"/>
            <w:vAlign w:val="bottom"/>
          </w:tcPr>
          <w:p>
            <w:pPr>
              <w:spacing w:after="0"/>
              <w:rPr>
                <w:sz w:val="18"/>
                <w:szCs w:val="18"/>
                <w:color w:val="auto"/>
              </w:rPr>
            </w:pPr>
          </w:p>
        </w:tc>
        <w:tc>
          <w:tcPr>
            <w:tcW w:w="4120" w:type="dxa"/>
            <w:vAlign w:val="bottom"/>
          </w:tcPr>
          <w:p>
            <w:pPr>
              <w:jc w:val="center"/>
              <w:spacing w:after="0"/>
              <w:rPr>
                <w:sz w:val="20"/>
                <w:szCs w:val="20"/>
                <w:color w:val="auto"/>
              </w:rPr>
            </w:pPr>
            <w:r>
              <w:rPr>
                <w:rFonts w:ascii="Arial" w:cs="Arial" w:eastAsia="Arial" w:hAnsi="Arial"/>
                <w:sz w:val="18"/>
                <w:szCs w:val="18"/>
                <w:color w:val="auto"/>
                <w:w w:val="99"/>
              </w:rPr>
              <w:t>Attorney-in-fact)</w:t>
            </w:r>
          </w:p>
        </w:tc>
        <w:tc>
          <w:tcPr>
            <w:tcW w:w="11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05"/>
        </w:trPr>
        <w:tc>
          <w:tcPr>
            <w:tcW w:w="1040" w:type="dxa"/>
            <w:vAlign w:val="bottom"/>
          </w:tcPr>
          <w:p>
            <w:pPr>
              <w:spacing w:after="0"/>
              <w:rPr>
                <w:sz w:val="24"/>
                <w:szCs w:val="24"/>
                <w:color w:val="auto"/>
              </w:rPr>
            </w:pPr>
          </w:p>
        </w:tc>
        <w:tc>
          <w:tcPr>
            <w:tcW w:w="4120" w:type="dxa"/>
            <w:vAlign w:val="bottom"/>
          </w:tcPr>
          <w:p>
            <w:pPr>
              <w:ind w:left="40"/>
              <w:spacing w:after="0"/>
              <w:rPr>
                <w:sz w:val="20"/>
                <w:szCs w:val="20"/>
                <w:color w:val="auto"/>
              </w:rPr>
            </w:pPr>
            <w:r>
              <w:rPr>
                <w:rFonts w:ascii="Arial" w:cs="Arial" w:eastAsia="Arial" w:hAnsi="Arial"/>
                <w:sz w:val="18"/>
                <w:szCs w:val="18"/>
                <w:color w:val="auto"/>
              </w:rPr>
              <w:t>February 10, 2017</w:t>
            </w:r>
          </w:p>
        </w:tc>
        <w:tc>
          <w:tcPr>
            <w:tcW w:w="11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92"/>
        </w:trPr>
        <w:tc>
          <w:tcPr>
            <w:tcW w:w="10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color w:val="auto"/>
              </w:rPr>
              <w:t>93</w:t>
            </w:r>
          </w:p>
        </w:tc>
        <w:tc>
          <w:tcPr>
            <w:tcW w:w="4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1040" w:type="dxa"/>
            <w:vAlign w:val="bottom"/>
            <w:tcBorders>
              <w:bottom w:val="single" w:sz="8" w:color="C0C0C0"/>
            </w:tcBorders>
          </w:tcPr>
          <w:p>
            <w:pPr>
              <w:spacing w:after="0"/>
              <w:rPr>
                <w:sz w:val="21"/>
                <w:szCs w:val="21"/>
                <w:color w:val="auto"/>
              </w:rPr>
            </w:pPr>
          </w:p>
        </w:tc>
        <w:tc>
          <w:tcPr>
            <w:tcW w:w="4120" w:type="dxa"/>
            <w:vAlign w:val="bottom"/>
            <w:tcBorders>
              <w:bottom w:val="single" w:sz="8" w:color="C0C0C0"/>
            </w:tcBorders>
          </w:tcPr>
          <w:p>
            <w:pPr>
              <w:spacing w:after="0"/>
              <w:rPr>
                <w:sz w:val="21"/>
                <w:szCs w:val="21"/>
                <w:color w:val="auto"/>
              </w:rPr>
            </w:pPr>
          </w:p>
        </w:tc>
        <w:tc>
          <w:tcPr>
            <w:tcW w:w="1120" w:type="dxa"/>
            <w:vAlign w:val="bottom"/>
            <w:tcBorders>
              <w:bottom w:val="single" w:sz="8" w:color="C0C0C0"/>
            </w:tcBorders>
          </w:tcPr>
          <w:p>
            <w:pPr>
              <w:spacing w:after="0"/>
              <w:rPr>
                <w:sz w:val="21"/>
                <w:szCs w:val="21"/>
                <w:color w:val="auto"/>
              </w:rPr>
            </w:pPr>
          </w:p>
        </w:tc>
        <w:tc>
          <w:tcPr>
            <w:tcW w:w="4120" w:type="dxa"/>
            <w:vAlign w:val="bottom"/>
            <w:tcBorders>
              <w:bottom w:val="single" w:sz="8" w:color="C0C0C0"/>
            </w:tcBorders>
          </w:tcPr>
          <w:p>
            <w:pPr>
              <w:spacing w:after="0"/>
              <w:rPr>
                <w:sz w:val="21"/>
                <w:szCs w:val="21"/>
                <w:color w:val="auto"/>
              </w:rPr>
            </w:pPr>
          </w:p>
        </w:tc>
        <w:tc>
          <w:tcPr>
            <w:tcW w:w="102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22" w:right="2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ind w:left="3900"/>
              <w:spacing w:after="0"/>
              <w:rPr>
                <w:sz w:val="20"/>
                <w:szCs w:val="20"/>
                <w:color w:val="auto"/>
              </w:rPr>
            </w:pPr>
            <w:r>
              <w:rPr>
                <w:rFonts w:ascii="Arial" w:cs="Arial" w:eastAsia="Arial" w:hAnsi="Arial"/>
                <w:sz w:val="18"/>
                <w:szCs w:val="18"/>
                <w:b w:val="1"/>
                <w:bCs w:val="1"/>
                <w:color w:val="auto"/>
              </w:rPr>
              <w:t>EXHIBIT INDEX</w:t>
            </w:r>
          </w:p>
        </w:tc>
      </w:tr>
      <w:tr>
        <w:trPr>
          <w:trHeight w:val="369"/>
        </w:trPr>
        <w:tc>
          <w:tcPr>
            <w:tcW w:w="2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Exhibit</w:t>
            </w:r>
          </w:p>
        </w:tc>
        <w:tc>
          <w:tcPr>
            <w:tcW w:w="10260" w:type="dxa"/>
            <w:vAlign w:val="bottom"/>
          </w:tcPr>
          <w:p>
            <w:pPr>
              <w:spacing w:after="0"/>
              <w:rPr>
                <w:sz w:val="24"/>
                <w:szCs w:val="24"/>
                <w:color w:val="auto"/>
              </w:rPr>
            </w:pPr>
          </w:p>
        </w:tc>
      </w:tr>
      <w:tr>
        <w:trPr>
          <w:trHeight w:val="225"/>
        </w:trPr>
        <w:tc>
          <w:tcPr>
            <w:tcW w:w="2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No.</w:t>
            </w:r>
          </w:p>
        </w:tc>
        <w:tc>
          <w:tcPr>
            <w:tcW w:w="10260" w:type="dxa"/>
            <w:vAlign w:val="bottom"/>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0" w:type="dxa"/>
            <w:vAlign w:val="bottom"/>
          </w:tcPr>
          <w:p>
            <w:pPr>
              <w:spacing w:after="0"/>
              <w:rPr>
                <w:sz w:val="16"/>
                <w:szCs w:val="16"/>
                <w:color w:val="auto"/>
              </w:rPr>
            </w:pPr>
          </w:p>
        </w:tc>
        <w:tc>
          <w:tcPr>
            <w:tcW w:w="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3(i)</w:t>
            </w:r>
          </w:p>
        </w:tc>
        <w:tc>
          <w:tcPr>
            <w:tcW w:w="240" w:type="dxa"/>
            <w:vAlign w:val="bottom"/>
          </w:tcPr>
          <w:p>
            <w:pPr>
              <w:spacing w:after="0"/>
              <w:rPr>
                <w:sz w:val="16"/>
                <w:szCs w:val="16"/>
                <w:color w:val="auto"/>
              </w:rPr>
            </w:pPr>
          </w:p>
        </w:tc>
        <w:tc>
          <w:tcPr>
            <w:tcW w:w="10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Amended and Restated Certificate of Incorporation of Honeywell International Inc., as amended April 26, 2010 (incorporated by</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 to Exhibit 3(i) to Honeywell’s Form 8-K filed April 27, 2010)</w:t>
            </w:r>
          </w:p>
        </w:tc>
      </w:tr>
      <w:tr>
        <w:trPr>
          <w:trHeight w:val="391"/>
        </w:trPr>
        <w:tc>
          <w:tcPr>
            <w:tcW w:w="1160" w:type="dxa"/>
            <w:vAlign w:val="bottom"/>
            <w:gridSpan w:val="3"/>
          </w:tcPr>
          <w:p>
            <w:pPr>
              <w:spacing w:after="0"/>
              <w:rPr>
                <w:sz w:val="20"/>
                <w:szCs w:val="20"/>
                <w:color w:val="auto"/>
              </w:rPr>
            </w:pPr>
            <w:r>
              <w:rPr>
                <w:rFonts w:ascii="Arial" w:cs="Arial" w:eastAsia="Arial" w:hAnsi="Arial"/>
                <w:sz w:val="18"/>
                <w:szCs w:val="18"/>
                <w:color w:val="auto"/>
              </w:rPr>
              <w:t>3(ii)</w:t>
            </w:r>
          </w:p>
        </w:tc>
        <w:tc>
          <w:tcPr>
            <w:tcW w:w="10260" w:type="dxa"/>
            <w:vAlign w:val="bottom"/>
          </w:tcPr>
          <w:p>
            <w:pPr>
              <w:spacing w:after="0"/>
              <w:rPr>
                <w:sz w:val="20"/>
                <w:szCs w:val="20"/>
                <w:color w:val="auto"/>
              </w:rPr>
            </w:pPr>
            <w:r>
              <w:rPr>
                <w:rFonts w:ascii="Arial" w:cs="Arial" w:eastAsia="Arial" w:hAnsi="Arial"/>
                <w:sz w:val="18"/>
                <w:szCs w:val="18"/>
                <w:color w:val="auto"/>
              </w:rPr>
              <w:t>By-laws of Honeywell International Inc., as amended February 12, 2016 (incorporated by reference to Exhibit 3(ii) to Honeywell’s</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8-K filed February 12, 2016)</w:t>
            </w:r>
          </w:p>
        </w:tc>
      </w:tr>
    </w:tbl>
    <w:p>
      <w:pPr>
        <w:spacing w:after="0" w:line="188" w:lineRule="exact"/>
        <w:rPr>
          <w:sz w:val="20"/>
          <w:szCs w:val="20"/>
          <w:color w:val="auto"/>
        </w:rPr>
      </w:pPr>
    </w:p>
    <w:p>
      <w:pPr>
        <w:ind w:left="1160" w:right="200" w:hanging="1152"/>
        <w:spacing w:after="0" w:line="239" w:lineRule="auto"/>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Honeywell International Inc. is a party to several long-term debt instruments under which, in each case, the total amount of securities authorized does not exceed 10% of the total assets of Honeywell and its subsidiaries on a consolidated basis. Pursuant to paragraph 4(iii)(A) of Item 601(b) of Regulation S-K, Honeywell agrees to furnish a copy of such instruments to the Securities and Exchange Commission upon request.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jc w:val="right"/>
              <w:ind w:right="290"/>
              <w:spacing w:after="0"/>
              <w:rPr>
                <w:sz w:val="20"/>
                <w:szCs w:val="20"/>
                <w:color w:val="auto"/>
              </w:rPr>
            </w:pPr>
            <w:r>
              <w:rPr>
                <w:rFonts w:ascii="Arial" w:cs="Arial" w:eastAsia="Arial" w:hAnsi="Arial"/>
                <w:sz w:val="18"/>
                <w:szCs w:val="18"/>
                <w:color w:val="auto"/>
                <w:w w:val="95"/>
              </w:rPr>
              <w:t>10.1*</w:t>
            </w:r>
          </w:p>
        </w:tc>
        <w:tc>
          <w:tcPr>
            <w:tcW w:w="10620" w:type="dxa"/>
            <w:vAlign w:val="bottom"/>
          </w:tcPr>
          <w:p>
            <w:pPr>
              <w:ind w:left="360"/>
              <w:spacing w:after="0"/>
              <w:rPr>
                <w:sz w:val="20"/>
                <w:szCs w:val="20"/>
                <w:color w:val="auto"/>
              </w:rPr>
            </w:pPr>
            <w:r>
              <w:rPr>
                <w:rFonts w:ascii="Arial" w:cs="Arial" w:eastAsia="Arial" w:hAnsi="Arial"/>
                <w:sz w:val="18"/>
                <w:szCs w:val="18"/>
                <w:color w:val="auto"/>
              </w:rPr>
              <w:t>Deferred Compensation Plan for Non-Employee Directors of Honeywell International Inc., as amended and restated</w:t>
            </w:r>
          </w:p>
        </w:tc>
      </w:tr>
      <w:tr>
        <w:trPr>
          <w:trHeight w:val="203"/>
        </w:trPr>
        <w:tc>
          <w:tcPr>
            <w:tcW w:w="800" w:type="dxa"/>
            <w:vAlign w:val="bottom"/>
          </w:tcPr>
          <w:p>
            <w:pPr>
              <w:spacing w:after="0"/>
              <w:rPr>
                <w:sz w:val="17"/>
                <w:szCs w:val="17"/>
                <w:color w:val="auto"/>
              </w:rPr>
            </w:pPr>
          </w:p>
        </w:tc>
        <w:tc>
          <w:tcPr>
            <w:tcW w:w="10620" w:type="dxa"/>
            <w:vAlign w:val="bottom"/>
          </w:tcPr>
          <w:p>
            <w:pPr>
              <w:ind w:left="360"/>
              <w:spacing w:after="0" w:line="202" w:lineRule="exact"/>
              <w:rPr>
                <w:sz w:val="20"/>
                <w:szCs w:val="20"/>
                <w:color w:val="auto"/>
              </w:rPr>
            </w:pPr>
            <w:r>
              <w:rPr>
                <w:rFonts w:ascii="Arial" w:cs="Arial" w:eastAsia="Arial" w:hAnsi="Arial"/>
                <w:sz w:val="18"/>
                <w:szCs w:val="18"/>
                <w:color w:val="auto"/>
              </w:rPr>
              <w:t>(incorporated by reference to Exhibit 10.2 to Honeywell’s Form 10-Q for quarter ended June 30, 2003), and amended by Exhibit</w:t>
            </w:r>
          </w:p>
        </w:tc>
      </w:tr>
      <w:tr>
        <w:trPr>
          <w:trHeight w:val="203"/>
        </w:trPr>
        <w:tc>
          <w:tcPr>
            <w:tcW w:w="800" w:type="dxa"/>
            <w:vAlign w:val="bottom"/>
          </w:tcPr>
          <w:p>
            <w:pPr>
              <w:spacing w:after="0"/>
              <w:rPr>
                <w:sz w:val="17"/>
                <w:szCs w:val="17"/>
                <w:color w:val="auto"/>
              </w:rPr>
            </w:pPr>
          </w:p>
        </w:tc>
        <w:tc>
          <w:tcPr>
            <w:tcW w:w="10620" w:type="dxa"/>
            <w:vAlign w:val="bottom"/>
          </w:tcPr>
          <w:p>
            <w:pPr>
              <w:ind w:left="360"/>
              <w:spacing w:after="0" w:line="202" w:lineRule="exact"/>
              <w:rPr>
                <w:sz w:val="20"/>
                <w:szCs w:val="20"/>
                <w:color w:val="auto"/>
              </w:rPr>
            </w:pPr>
            <w:r>
              <w:rPr>
                <w:rFonts w:ascii="Arial" w:cs="Arial" w:eastAsia="Arial" w:hAnsi="Arial"/>
                <w:sz w:val="18"/>
                <w:szCs w:val="18"/>
                <w:color w:val="auto"/>
              </w:rPr>
              <w:t>10.1 to Honeywell’s Form 8-K filed December 21, 2004 and Exhibit 10.2 to Honeywell’s Form 10-K for the year ended December</w:t>
            </w:r>
          </w:p>
        </w:tc>
      </w:tr>
      <w:tr>
        <w:trPr>
          <w:trHeight w:val="217"/>
        </w:trPr>
        <w:tc>
          <w:tcPr>
            <w:tcW w:w="800" w:type="dxa"/>
            <w:vAlign w:val="bottom"/>
          </w:tcPr>
          <w:p>
            <w:pPr>
              <w:spacing w:after="0"/>
              <w:rPr>
                <w:sz w:val="18"/>
                <w:szCs w:val="18"/>
                <w:color w:val="auto"/>
              </w:rPr>
            </w:pPr>
          </w:p>
        </w:tc>
        <w:tc>
          <w:tcPr>
            <w:tcW w:w="10620" w:type="dxa"/>
            <w:vAlign w:val="bottom"/>
          </w:tcPr>
          <w:p>
            <w:pPr>
              <w:ind w:left="360"/>
              <w:spacing w:after="0"/>
              <w:rPr>
                <w:sz w:val="20"/>
                <w:szCs w:val="20"/>
                <w:color w:val="auto"/>
              </w:rPr>
            </w:pPr>
            <w:r>
              <w:rPr>
                <w:rFonts w:ascii="Arial" w:cs="Arial" w:eastAsia="Arial" w:hAnsi="Arial"/>
                <w:sz w:val="18"/>
                <w:szCs w:val="18"/>
                <w:color w:val="auto"/>
              </w:rPr>
              <w:t>31, 2005</w:t>
            </w:r>
          </w:p>
        </w:tc>
      </w:tr>
      <w:tr>
        <w:trPr>
          <w:trHeight w:val="391"/>
        </w:trPr>
        <w:tc>
          <w:tcPr>
            <w:tcW w:w="800" w:type="dxa"/>
            <w:vAlign w:val="bottom"/>
          </w:tcPr>
          <w:p>
            <w:pPr>
              <w:jc w:val="right"/>
              <w:ind w:right="290"/>
              <w:spacing w:after="0"/>
              <w:rPr>
                <w:sz w:val="20"/>
                <w:szCs w:val="20"/>
                <w:color w:val="auto"/>
              </w:rPr>
            </w:pPr>
            <w:r>
              <w:rPr>
                <w:rFonts w:ascii="Arial" w:cs="Arial" w:eastAsia="Arial" w:hAnsi="Arial"/>
                <w:sz w:val="18"/>
                <w:szCs w:val="18"/>
                <w:color w:val="auto"/>
                <w:w w:val="95"/>
              </w:rPr>
              <w:t>10.2*</w:t>
            </w:r>
          </w:p>
        </w:tc>
        <w:tc>
          <w:tcPr>
            <w:tcW w:w="10620" w:type="dxa"/>
            <w:vAlign w:val="bottom"/>
          </w:tcPr>
          <w:p>
            <w:pPr>
              <w:ind w:left="360"/>
              <w:spacing w:after="0"/>
              <w:rPr>
                <w:sz w:val="20"/>
                <w:szCs w:val="20"/>
                <w:color w:val="auto"/>
              </w:rPr>
            </w:pPr>
            <w:r>
              <w:rPr>
                <w:rFonts w:ascii="Arial" w:cs="Arial" w:eastAsia="Arial" w:hAnsi="Arial"/>
                <w:sz w:val="18"/>
                <w:szCs w:val="18"/>
                <w:color w:val="auto"/>
              </w:rPr>
              <w:t>Honeywell International Inc. Incentive Compensation Plan for Executive Employees, as amended and restated (incorporated by</w:t>
            </w:r>
          </w:p>
        </w:tc>
      </w:tr>
      <w:tr>
        <w:trPr>
          <w:trHeight w:val="217"/>
        </w:trPr>
        <w:tc>
          <w:tcPr>
            <w:tcW w:w="800" w:type="dxa"/>
            <w:vAlign w:val="bottom"/>
          </w:tcPr>
          <w:p>
            <w:pPr>
              <w:spacing w:after="0"/>
              <w:rPr>
                <w:sz w:val="18"/>
                <w:szCs w:val="18"/>
                <w:color w:val="auto"/>
              </w:rPr>
            </w:pPr>
          </w:p>
        </w:tc>
        <w:tc>
          <w:tcPr>
            <w:tcW w:w="10620" w:type="dxa"/>
            <w:vAlign w:val="bottom"/>
          </w:tcPr>
          <w:p>
            <w:pPr>
              <w:ind w:left="360"/>
              <w:spacing w:after="0"/>
              <w:rPr>
                <w:sz w:val="20"/>
                <w:szCs w:val="20"/>
                <w:color w:val="auto"/>
              </w:rPr>
            </w:pPr>
            <w:r>
              <w:rPr>
                <w:rFonts w:ascii="Arial" w:cs="Arial" w:eastAsia="Arial" w:hAnsi="Arial"/>
                <w:sz w:val="18"/>
                <w:szCs w:val="18"/>
                <w:color w:val="auto"/>
              </w:rPr>
              <w:t>reference to Exhibit 10.4 to Honeywell’s Form 10-K for the year ended December 31, 2013)</w:t>
            </w:r>
          </w:p>
        </w:tc>
      </w:tr>
      <w:tr>
        <w:trPr>
          <w:trHeight w:val="391"/>
        </w:trPr>
        <w:tc>
          <w:tcPr>
            <w:tcW w:w="800" w:type="dxa"/>
            <w:vAlign w:val="bottom"/>
          </w:tcPr>
          <w:p>
            <w:pPr>
              <w:jc w:val="right"/>
              <w:ind w:right="290"/>
              <w:spacing w:after="0"/>
              <w:rPr>
                <w:sz w:val="20"/>
                <w:szCs w:val="20"/>
                <w:color w:val="auto"/>
              </w:rPr>
            </w:pPr>
            <w:r>
              <w:rPr>
                <w:rFonts w:ascii="Arial" w:cs="Arial" w:eastAsia="Arial" w:hAnsi="Arial"/>
                <w:sz w:val="18"/>
                <w:szCs w:val="18"/>
                <w:color w:val="auto"/>
                <w:w w:val="95"/>
              </w:rPr>
              <w:t>10.3*</w:t>
            </w:r>
          </w:p>
        </w:tc>
        <w:tc>
          <w:tcPr>
            <w:tcW w:w="10620" w:type="dxa"/>
            <w:vAlign w:val="bottom"/>
          </w:tcPr>
          <w:p>
            <w:pPr>
              <w:ind w:left="360"/>
              <w:spacing w:after="0"/>
              <w:rPr>
                <w:sz w:val="20"/>
                <w:szCs w:val="20"/>
                <w:color w:val="auto"/>
              </w:rPr>
            </w:pPr>
            <w:r>
              <w:rPr>
                <w:rFonts w:ascii="Arial" w:cs="Arial" w:eastAsia="Arial" w:hAnsi="Arial"/>
                <w:sz w:val="18"/>
                <w:szCs w:val="18"/>
                <w:color w:val="auto"/>
              </w:rPr>
              <w:t>Supplemental Non-Qualified Savings Plan for Highly Compensated Employees of Honeywell International Inc. and its</w:t>
            </w:r>
          </w:p>
        </w:tc>
      </w:tr>
      <w:tr>
        <w:trPr>
          <w:trHeight w:val="203"/>
        </w:trPr>
        <w:tc>
          <w:tcPr>
            <w:tcW w:w="800" w:type="dxa"/>
            <w:vAlign w:val="bottom"/>
          </w:tcPr>
          <w:p>
            <w:pPr>
              <w:spacing w:after="0"/>
              <w:rPr>
                <w:sz w:val="17"/>
                <w:szCs w:val="17"/>
                <w:color w:val="auto"/>
              </w:rPr>
            </w:pPr>
          </w:p>
        </w:tc>
        <w:tc>
          <w:tcPr>
            <w:tcW w:w="10620" w:type="dxa"/>
            <w:vAlign w:val="bottom"/>
          </w:tcPr>
          <w:p>
            <w:pPr>
              <w:ind w:left="360"/>
              <w:spacing w:after="0" w:line="202" w:lineRule="exact"/>
              <w:rPr>
                <w:sz w:val="20"/>
                <w:szCs w:val="20"/>
                <w:color w:val="auto"/>
              </w:rPr>
            </w:pPr>
            <w:r>
              <w:rPr>
                <w:rFonts w:ascii="Arial" w:cs="Arial" w:eastAsia="Arial" w:hAnsi="Arial"/>
                <w:sz w:val="18"/>
                <w:szCs w:val="18"/>
                <w:color w:val="auto"/>
              </w:rPr>
              <w:t>Subsidiaries, as amended and restated (incorporated by reference to Exhibit 10.6 to Honeywell’s Form 10-K for the year ended</w:t>
            </w:r>
          </w:p>
        </w:tc>
      </w:tr>
      <w:tr>
        <w:trPr>
          <w:trHeight w:val="203"/>
        </w:trPr>
        <w:tc>
          <w:tcPr>
            <w:tcW w:w="800" w:type="dxa"/>
            <w:vAlign w:val="bottom"/>
          </w:tcPr>
          <w:p>
            <w:pPr>
              <w:spacing w:after="0"/>
              <w:rPr>
                <w:sz w:val="17"/>
                <w:szCs w:val="17"/>
                <w:color w:val="auto"/>
              </w:rPr>
            </w:pPr>
          </w:p>
        </w:tc>
        <w:tc>
          <w:tcPr>
            <w:tcW w:w="10620" w:type="dxa"/>
            <w:vAlign w:val="bottom"/>
          </w:tcPr>
          <w:p>
            <w:pPr>
              <w:ind w:left="360"/>
              <w:spacing w:after="0" w:line="202" w:lineRule="exact"/>
              <w:rPr>
                <w:sz w:val="20"/>
                <w:szCs w:val="20"/>
                <w:color w:val="auto"/>
              </w:rPr>
            </w:pPr>
            <w:r>
              <w:rPr>
                <w:rFonts w:ascii="Arial" w:cs="Arial" w:eastAsia="Arial" w:hAnsi="Arial"/>
                <w:sz w:val="18"/>
                <w:szCs w:val="18"/>
                <w:color w:val="auto"/>
              </w:rPr>
              <w:t>December 31, 2008), and amended by Exhibit 10.5 to Honeywell’s Form 10-K for the year ended December 31, 2010, Exhibit</w:t>
            </w:r>
          </w:p>
        </w:tc>
      </w:tr>
      <w:tr>
        <w:trPr>
          <w:trHeight w:val="203"/>
        </w:trPr>
        <w:tc>
          <w:tcPr>
            <w:tcW w:w="800" w:type="dxa"/>
            <w:vAlign w:val="bottom"/>
          </w:tcPr>
          <w:p>
            <w:pPr>
              <w:spacing w:after="0"/>
              <w:rPr>
                <w:sz w:val="17"/>
                <w:szCs w:val="17"/>
                <w:color w:val="auto"/>
              </w:rPr>
            </w:pPr>
          </w:p>
        </w:tc>
        <w:tc>
          <w:tcPr>
            <w:tcW w:w="10620" w:type="dxa"/>
            <w:vAlign w:val="bottom"/>
          </w:tcPr>
          <w:p>
            <w:pPr>
              <w:ind w:left="360"/>
              <w:spacing w:after="0" w:line="202" w:lineRule="exact"/>
              <w:rPr>
                <w:sz w:val="20"/>
                <w:szCs w:val="20"/>
                <w:color w:val="auto"/>
              </w:rPr>
            </w:pPr>
            <w:r>
              <w:rPr>
                <w:rFonts w:ascii="Arial" w:cs="Arial" w:eastAsia="Arial" w:hAnsi="Arial"/>
                <w:sz w:val="18"/>
                <w:szCs w:val="18"/>
                <w:color w:val="auto"/>
              </w:rPr>
              <w:t>10.1 to Honeywell’s Form 10-Q for the quarter ended June 30, 2012, Exhibit 10.5 to Honeywell’s Form 10-K for the year ended</w:t>
            </w:r>
          </w:p>
        </w:tc>
      </w:tr>
      <w:tr>
        <w:trPr>
          <w:trHeight w:val="217"/>
        </w:trPr>
        <w:tc>
          <w:tcPr>
            <w:tcW w:w="800" w:type="dxa"/>
            <w:vAlign w:val="bottom"/>
          </w:tcPr>
          <w:p>
            <w:pPr>
              <w:spacing w:after="0"/>
              <w:rPr>
                <w:sz w:val="18"/>
                <w:szCs w:val="18"/>
                <w:color w:val="auto"/>
              </w:rPr>
            </w:pPr>
          </w:p>
        </w:tc>
        <w:tc>
          <w:tcPr>
            <w:tcW w:w="10620" w:type="dxa"/>
            <w:vAlign w:val="bottom"/>
          </w:tcPr>
          <w:p>
            <w:pPr>
              <w:ind w:left="360"/>
              <w:spacing w:after="0"/>
              <w:rPr>
                <w:sz w:val="20"/>
                <w:szCs w:val="20"/>
                <w:color w:val="auto"/>
              </w:rPr>
            </w:pPr>
            <w:r>
              <w:rPr>
                <w:rFonts w:ascii="Arial" w:cs="Arial" w:eastAsia="Arial" w:hAnsi="Arial"/>
                <w:sz w:val="18"/>
                <w:szCs w:val="18"/>
                <w:color w:val="auto"/>
              </w:rPr>
              <w:t>December 31, 2013 and Exhibit 10.1 to Honeywell’s Form 10-Q for the quarter ended June 30, 2015</w:t>
            </w:r>
          </w:p>
        </w:tc>
      </w:tr>
      <w:tr>
        <w:trPr>
          <w:trHeight w:val="391"/>
        </w:trPr>
        <w:tc>
          <w:tcPr>
            <w:tcW w:w="800" w:type="dxa"/>
            <w:vAlign w:val="bottom"/>
          </w:tcPr>
          <w:p>
            <w:pPr>
              <w:jc w:val="right"/>
              <w:ind w:right="290"/>
              <w:spacing w:after="0"/>
              <w:rPr>
                <w:sz w:val="20"/>
                <w:szCs w:val="20"/>
                <w:color w:val="auto"/>
              </w:rPr>
            </w:pPr>
            <w:r>
              <w:rPr>
                <w:rFonts w:ascii="Arial" w:cs="Arial" w:eastAsia="Arial" w:hAnsi="Arial"/>
                <w:sz w:val="18"/>
                <w:szCs w:val="18"/>
                <w:color w:val="auto"/>
                <w:w w:val="95"/>
              </w:rPr>
              <w:t>10.4*</w:t>
            </w:r>
          </w:p>
        </w:tc>
        <w:tc>
          <w:tcPr>
            <w:tcW w:w="10620" w:type="dxa"/>
            <w:vAlign w:val="bottom"/>
          </w:tcPr>
          <w:p>
            <w:pPr>
              <w:ind w:left="360"/>
              <w:spacing w:after="0"/>
              <w:rPr>
                <w:sz w:val="20"/>
                <w:szCs w:val="20"/>
                <w:color w:val="auto"/>
              </w:rPr>
            </w:pPr>
            <w:r>
              <w:rPr>
                <w:rFonts w:ascii="Arial" w:cs="Arial" w:eastAsia="Arial" w:hAnsi="Arial"/>
                <w:sz w:val="18"/>
                <w:szCs w:val="18"/>
                <w:color w:val="auto"/>
              </w:rPr>
              <w:t>Honeywell International Inc. Severance Plan for Designated Officers, as amended and restated (incorporated by reference to</w:t>
            </w:r>
          </w:p>
        </w:tc>
      </w:tr>
      <w:tr>
        <w:trPr>
          <w:trHeight w:val="217"/>
        </w:trPr>
        <w:tc>
          <w:tcPr>
            <w:tcW w:w="800" w:type="dxa"/>
            <w:vAlign w:val="bottom"/>
          </w:tcPr>
          <w:p>
            <w:pPr>
              <w:spacing w:after="0"/>
              <w:rPr>
                <w:sz w:val="18"/>
                <w:szCs w:val="18"/>
                <w:color w:val="auto"/>
              </w:rPr>
            </w:pPr>
          </w:p>
        </w:tc>
        <w:tc>
          <w:tcPr>
            <w:tcW w:w="10620" w:type="dxa"/>
            <w:vAlign w:val="bottom"/>
          </w:tcPr>
          <w:p>
            <w:pPr>
              <w:ind w:left="360"/>
              <w:spacing w:after="0"/>
              <w:rPr>
                <w:sz w:val="20"/>
                <w:szCs w:val="20"/>
                <w:color w:val="auto"/>
              </w:rPr>
            </w:pPr>
            <w:r>
              <w:rPr>
                <w:rFonts w:ascii="Arial" w:cs="Arial" w:eastAsia="Arial" w:hAnsi="Arial"/>
                <w:sz w:val="18"/>
                <w:szCs w:val="18"/>
                <w:color w:val="auto"/>
              </w:rPr>
              <w:t>Exhibit 10.6 to Honeywell’s Form 10-K for the year ended December 31, 2013)</w:t>
            </w:r>
          </w:p>
        </w:tc>
      </w:tr>
      <w:tr>
        <w:trPr>
          <w:trHeight w:val="391"/>
        </w:trPr>
        <w:tc>
          <w:tcPr>
            <w:tcW w:w="800" w:type="dxa"/>
            <w:vAlign w:val="bottom"/>
          </w:tcPr>
          <w:p>
            <w:pPr>
              <w:jc w:val="right"/>
              <w:ind w:right="290"/>
              <w:spacing w:after="0"/>
              <w:rPr>
                <w:sz w:val="20"/>
                <w:szCs w:val="20"/>
                <w:color w:val="auto"/>
              </w:rPr>
            </w:pPr>
            <w:r>
              <w:rPr>
                <w:rFonts w:ascii="Arial" w:cs="Arial" w:eastAsia="Arial" w:hAnsi="Arial"/>
                <w:sz w:val="18"/>
                <w:szCs w:val="18"/>
                <w:color w:val="auto"/>
                <w:w w:val="95"/>
              </w:rPr>
              <w:t>10.5*</w:t>
            </w:r>
          </w:p>
        </w:tc>
        <w:tc>
          <w:tcPr>
            <w:tcW w:w="10620" w:type="dxa"/>
            <w:vAlign w:val="bottom"/>
          </w:tcPr>
          <w:p>
            <w:pPr>
              <w:ind w:left="360"/>
              <w:spacing w:after="0"/>
              <w:rPr>
                <w:sz w:val="20"/>
                <w:szCs w:val="20"/>
                <w:color w:val="auto"/>
              </w:rPr>
            </w:pPr>
            <w:r>
              <w:rPr>
                <w:rFonts w:ascii="Arial" w:cs="Arial" w:eastAsia="Arial" w:hAnsi="Arial"/>
                <w:sz w:val="18"/>
                <w:szCs w:val="18"/>
                <w:color w:val="auto"/>
              </w:rPr>
              <w:t>Salary and Incentive Award Deferral Plan for Selected Employees of Honeywell International Inc. and its Affiliates, as amended</w:t>
            </w:r>
          </w:p>
        </w:tc>
      </w:tr>
      <w:tr>
        <w:trPr>
          <w:trHeight w:val="203"/>
        </w:trPr>
        <w:tc>
          <w:tcPr>
            <w:tcW w:w="800" w:type="dxa"/>
            <w:vAlign w:val="bottom"/>
          </w:tcPr>
          <w:p>
            <w:pPr>
              <w:spacing w:after="0"/>
              <w:rPr>
                <w:sz w:val="17"/>
                <w:szCs w:val="17"/>
                <w:color w:val="auto"/>
              </w:rPr>
            </w:pPr>
          </w:p>
        </w:tc>
        <w:tc>
          <w:tcPr>
            <w:tcW w:w="10620" w:type="dxa"/>
            <w:vAlign w:val="bottom"/>
          </w:tcPr>
          <w:p>
            <w:pPr>
              <w:ind w:left="360"/>
              <w:spacing w:after="0" w:line="202" w:lineRule="exact"/>
              <w:rPr>
                <w:sz w:val="20"/>
                <w:szCs w:val="20"/>
                <w:color w:val="auto"/>
              </w:rPr>
            </w:pPr>
            <w:r>
              <w:rPr>
                <w:rFonts w:ascii="Arial" w:cs="Arial" w:eastAsia="Arial" w:hAnsi="Arial"/>
                <w:sz w:val="18"/>
                <w:szCs w:val="18"/>
                <w:color w:val="auto"/>
              </w:rPr>
              <w:t>and restated (incorporated by reference to Exhibit 10.8 to Honeywell’s Form 10-K for the year ended December 31, 2008), and</w:t>
            </w:r>
          </w:p>
        </w:tc>
      </w:tr>
      <w:tr>
        <w:trPr>
          <w:trHeight w:val="217"/>
        </w:trPr>
        <w:tc>
          <w:tcPr>
            <w:tcW w:w="800" w:type="dxa"/>
            <w:vAlign w:val="bottom"/>
          </w:tcPr>
          <w:p>
            <w:pPr>
              <w:spacing w:after="0"/>
              <w:rPr>
                <w:sz w:val="18"/>
                <w:szCs w:val="18"/>
                <w:color w:val="auto"/>
              </w:rPr>
            </w:pPr>
          </w:p>
        </w:tc>
        <w:tc>
          <w:tcPr>
            <w:tcW w:w="10620" w:type="dxa"/>
            <w:vAlign w:val="bottom"/>
          </w:tcPr>
          <w:p>
            <w:pPr>
              <w:ind w:left="360"/>
              <w:spacing w:after="0"/>
              <w:rPr>
                <w:sz w:val="20"/>
                <w:szCs w:val="20"/>
                <w:color w:val="auto"/>
              </w:rPr>
            </w:pPr>
            <w:r>
              <w:rPr>
                <w:rFonts w:ascii="Arial" w:cs="Arial" w:eastAsia="Arial" w:hAnsi="Arial"/>
                <w:sz w:val="18"/>
                <w:szCs w:val="18"/>
                <w:color w:val="auto"/>
              </w:rPr>
              <w:t>amended by Exhibit 10.7 to Honeywell’s Form 10-K for the year ended December 31, 2013</w:t>
            </w:r>
          </w:p>
        </w:tc>
      </w:tr>
      <w:tr>
        <w:trPr>
          <w:trHeight w:val="391"/>
        </w:trPr>
        <w:tc>
          <w:tcPr>
            <w:tcW w:w="800" w:type="dxa"/>
            <w:vAlign w:val="bottom"/>
          </w:tcPr>
          <w:p>
            <w:pPr>
              <w:jc w:val="right"/>
              <w:ind w:right="290"/>
              <w:spacing w:after="0"/>
              <w:rPr>
                <w:sz w:val="20"/>
                <w:szCs w:val="20"/>
                <w:color w:val="auto"/>
              </w:rPr>
            </w:pPr>
            <w:r>
              <w:rPr>
                <w:rFonts w:ascii="Arial" w:cs="Arial" w:eastAsia="Arial" w:hAnsi="Arial"/>
                <w:sz w:val="18"/>
                <w:szCs w:val="18"/>
                <w:color w:val="auto"/>
                <w:w w:val="95"/>
              </w:rPr>
              <w:t>10.6*</w:t>
            </w:r>
          </w:p>
        </w:tc>
        <w:tc>
          <w:tcPr>
            <w:tcW w:w="10620" w:type="dxa"/>
            <w:vAlign w:val="bottom"/>
          </w:tcPr>
          <w:p>
            <w:pPr>
              <w:ind w:left="360"/>
              <w:spacing w:after="0"/>
              <w:rPr>
                <w:sz w:val="20"/>
                <w:szCs w:val="20"/>
                <w:color w:val="auto"/>
              </w:rPr>
            </w:pPr>
            <w:r>
              <w:rPr>
                <w:rFonts w:ascii="Arial" w:cs="Arial" w:eastAsia="Arial" w:hAnsi="Arial"/>
                <w:sz w:val="18"/>
                <w:szCs w:val="18"/>
                <w:color w:val="auto"/>
              </w:rPr>
              <w:t>Honeywell International Inc. Supplemental Pension Plan, as amended and restated (incorporated by reference to Exhibit 10.10</w:t>
            </w:r>
          </w:p>
        </w:tc>
      </w:tr>
      <w:tr>
        <w:trPr>
          <w:trHeight w:val="203"/>
        </w:trPr>
        <w:tc>
          <w:tcPr>
            <w:tcW w:w="800" w:type="dxa"/>
            <w:vAlign w:val="bottom"/>
          </w:tcPr>
          <w:p>
            <w:pPr>
              <w:spacing w:after="0"/>
              <w:rPr>
                <w:sz w:val="17"/>
                <w:szCs w:val="17"/>
                <w:color w:val="auto"/>
              </w:rPr>
            </w:pPr>
          </w:p>
        </w:tc>
        <w:tc>
          <w:tcPr>
            <w:tcW w:w="10620" w:type="dxa"/>
            <w:vAlign w:val="bottom"/>
          </w:tcPr>
          <w:p>
            <w:pPr>
              <w:ind w:left="360"/>
              <w:spacing w:after="0" w:line="202" w:lineRule="exact"/>
              <w:rPr>
                <w:sz w:val="20"/>
                <w:szCs w:val="20"/>
                <w:color w:val="auto"/>
              </w:rPr>
            </w:pPr>
            <w:r>
              <w:rPr>
                <w:rFonts w:ascii="Arial" w:cs="Arial" w:eastAsia="Arial" w:hAnsi="Arial"/>
                <w:sz w:val="18"/>
                <w:szCs w:val="18"/>
                <w:color w:val="auto"/>
              </w:rPr>
              <w:t>to Honeywell’s Form 10-K for the year ended December 31, 2008), and amended by Exhibit 10.10 to Honeywell’s Form 10-K for</w:t>
            </w:r>
          </w:p>
        </w:tc>
      </w:tr>
      <w:tr>
        <w:trPr>
          <w:trHeight w:val="217"/>
        </w:trPr>
        <w:tc>
          <w:tcPr>
            <w:tcW w:w="800" w:type="dxa"/>
            <w:vAlign w:val="bottom"/>
          </w:tcPr>
          <w:p>
            <w:pPr>
              <w:spacing w:after="0"/>
              <w:rPr>
                <w:sz w:val="18"/>
                <w:szCs w:val="18"/>
                <w:color w:val="auto"/>
              </w:rPr>
            </w:pPr>
          </w:p>
        </w:tc>
        <w:tc>
          <w:tcPr>
            <w:tcW w:w="10620" w:type="dxa"/>
            <w:vAlign w:val="bottom"/>
          </w:tcPr>
          <w:p>
            <w:pPr>
              <w:ind w:left="360"/>
              <w:spacing w:after="0"/>
              <w:rPr>
                <w:sz w:val="20"/>
                <w:szCs w:val="20"/>
                <w:color w:val="auto"/>
              </w:rPr>
            </w:pPr>
            <w:r>
              <w:rPr>
                <w:rFonts w:ascii="Arial" w:cs="Arial" w:eastAsia="Arial" w:hAnsi="Arial"/>
                <w:sz w:val="18"/>
                <w:szCs w:val="18"/>
                <w:color w:val="auto"/>
              </w:rPr>
              <w:t>the year ended December 31, 2009 and Exhibit 10.7 to Honeywell’s Form 10-K for the year ended December 31, 2015</w:t>
            </w:r>
          </w:p>
        </w:tc>
      </w:tr>
      <w:tr>
        <w:trPr>
          <w:trHeight w:val="391"/>
        </w:trPr>
        <w:tc>
          <w:tcPr>
            <w:tcW w:w="800" w:type="dxa"/>
            <w:vAlign w:val="bottom"/>
          </w:tcPr>
          <w:p>
            <w:pPr>
              <w:jc w:val="right"/>
              <w:ind w:right="290"/>
              <w:spacing w:after="0"/>
              <w:rPr>
                <w:sz w:val="20"/>
                <w:szCs w:val="20"/>
                <w:color w:val="auto"/>
              </w:rPr>
            </w:pPr>
            <w:r>
              <w:rPr>
                <w:rFonts w:ascii="Arial" w:cs="Arial" w:eastAsia="Arial" w:hAnsi="Arial"/>
                <w:sz w:val="18"/>
                <w:szCs w:val="18"/>
                <w:color w:val="auto"/>
                <w:w w:val="95"/>
              </w:rPr>
              <w:t>10.7*</w:t>
            </w:r>
          </w:p>
        </w:tc>
        <w:tc>
          <w:tcPr>
            <w:tcW w:w="10620" w:type="dxa"/>
            <w:vAlign w:val="bottom"/>
          </w:tcPr>
          <w:p>
            <w:pPr>
              <w:ind w:left="360"/>
              <w:spacing w:after="0"/>
              <w:rPr>
                <w:sz w:val="20"/>
                <w:szCs w:val="20"/>
                <w:color w:val="auto"/>
              </w:rPr>
            </w:pPr>
            <w:r>
              <w:rPr>
                <w:rFonts w:ascii="Arial" w:cs="Arial" w:eastAsia="Arial" w:hAnsi="Arial"/>
                <w:sz w:val="18"/>
                <w:szCs w:val="18"/>
                <w:color w:val="auto"/>
              </w:rPr>
              <w:t>Honeywell International Inc. Supplemental Executive Retirement Plan for Executives in Career Band 6 and Above, as amended</w:t>
            </w:r>
          </w:p>
        </w:tc>
      </w:tr>
      <w:tr>
        <w:trPr>
          <w:trHeight w:val="203"/>
        </w:trPr>
        <w:tc>
          <w:tcPr>
            <w:tcW w:w="800" w:type="dxa"/>
            <w:vAlign w:val="bottom"/>
          </w:tcPr>
          <w:p>
            <w:pPr>
              <w:spacing w:after="0"/>
              <w:rPr>
                <w:sz w:val="17"/>
                <w:szCs w:val="17"/>
                <w:color w:val="auto"/>
              </w:rPr>
            </w:pPr>
          </w:p>
        </w:tc>
        <w:tc>
          <w:tcPr>
            <w:tcW w:w="10620" w:type="dxa"/>
            <w:vAlign w:val="bottom"/>
          </w:tcPr>
          <w:p>
            <w:pPr>
              <w:ind w:left="360"/>
              <w:spacing w:after="0" w:line="202" w:lineRule="exact"/>
              <w:rPr>
                <w:sz w:val="20"/>
                <w:szCs w:val="20"/>
                <w:color w:val="auto"/>
              </w:rPr>
            </w:pPr>
            <w:r>
              <w:rPr>
                <w:rFonts w:ascii="Arial" w:cs="Arial" w:eastAsia="Arial" w:hAnsi="Arial"/>
                <w:sz w:val="18"/>
                <w:szCs w:val="18"/>
                <w:color w:val="auto"/>
              </w:rPr>
              <w:t>and restated (incorporated by reference to Exhibit 10.12 to Honeywell’s Form 10-K for the year ended December 31, 2008), and</w:t>
            </w:r>
          </w:p>
        </w:tc>
      </w:tr>
      <w:tr>
        <w:trPr>
          <w:trHeight w:val="203"/>
        </w:trPr>
        <w:tc>
          <w:tcPr>
            <w:tcW w:w="800" w:type="dxa"/>
            <w:vAlign w:val="bottom"/>
          </w:tcPr>
          <w:p>
            <w:pPr>
              <w:spacing w:after="0"/>
              <w:rPr>
                <w:sz w:val="17"/>
                <w:szCs w:val="17"/>
                <w:color w:val="auto"/>
              </w:rPr>
            </w:pPr>
          </w:p>
        </w:tc>
        <w:tc>
          <w:tcPr>
            <w:tcW w:w="10620" w:type="dxa"/>
            <w:vAlign w:val="bottom"/>
          </w:tcPr>
          <w:p>
            <w:pPr>
              <w:ind w:left="360"/>
              <w:spacing w:after="0" w:line="202" w:lineRule="exact"/>
              <w:rPr>
                <w:sz w:val="20"/>
                <w:szCs w:val="20"/>
                <w:color w:val="auto"/>
              </w:rPr>
            </w:pPr>
            <w:r>
              <w:rPr>
                <w:rFonts w:ascii="Arial" w:cs="Arial" w:eastAsia="Arial" w:hAnsi="Arial"/>
                <w:sz w:val="18"/>
                <w:szCs w:val="18"/>
                <w:color w:val="auto"/>
              </w:rPr>
              <w:t>amended by Exhibit 10.12 to Honeywell’s Form 10-K for the year ended December 31, 2009, Exhibit 10.9 to Honeywell’s Form</w:t>
            </w:r>
          </w:p>
        </w:tc>
      </w:tr>
      <w:tr>
        <w:trPr>
          <w:trHeight w:val="217"/>
        </w:trPr>
        <w:tc>
          <w:tcPr>
            <w:tcW w:w="800" w:type="dxa"/>
            <w:vAlign w:val="bottom"/>
          </w:tcPr>
          <w:p>
            <w:pPr>
              <w:spacing w:after="0"/>
              <w:rPr>
                <w:sz w:val="18"/>
                <w:szCs w:val="18"/>
                <w:color w:val="auto"/>
              </w:rPr>
            </w:pPr>
          </w:p>
        </w:tc>
        <w:tc>
          <w:tcPr>
            <w:tcW w:w="10620" w:type="dxa"/>
            <w:vAlign w:val="bottom"/>
          </w:tcPr>
          <w:p>
            <w:pPr>
              <w:ind w:left="360"/>
              <w:spacing w:after="0"/>
              <w:rPr>
                <w:sz w:val="20"/>
                <w:szCs w:val="20"/>
                <w:color w:val="auto"/>
              </w:rPr>
            </w:pPr>
            <w:r>
              <w:rPr>
                <w:rFonts w:ascii="Arial" w:cs="Arial" w:eastAsia="Arial" w:hAnsi="Arial"/>
                <w:sz w:val="18"/>
                <w:szCs w:val="18"/>
                <w:color w:val="auto"/>
              </w:rPr>
              <w:t>10-K for the year ended December 31, 2013, and Exhibit 10.8 to Honeywell’s Form 10-K for the year ended December 31, 2015</w:t>
            </w:r>
          </w:p>
        </w:tc>
      </w:tr>
      <w:tr>
        <w:trPr>
          <w:trHeight w:val="392"/>
        </w:trPr>
        <w:tc>
          <w:tcPr>
            <w:tcW w:w="800" w:type="dxa"/>
            <w:vAlign w:val="bottom"/>
          </w:tcPr>
          <w:p>
            <w:pPr>
              <w:spacing w:after="0"/>
              <w:rPr>
                <w:sz w:val="24"/>
                <w:szCs w:val="24"/>
                <w:color w:val="auto"/>
              </w:rPr>
            </w:pPr>
          </w:p>
        </w:tc>
        <w:tc>
          <w:tcPr>
            <w:tcW w:w="10620" w:type="dxa"/>
            <w:vAlign w:val="bottom"/>
          </w:tcPr>
          <w:p>
            <w:pPr>
              <w:ind w:left="4820"/>
              <w:spacing w:after="0"/>
              <w:rPr>
                <w:sz w:val="20"/>
                <w:szCs w:val="20"/>
                <w:color w:val="auto"/>
              </w:rPr>
            </w:pPr>
            <w:r>
              <w:rPr>
                <w:rFonts w:ascii="Arial" w:cs="Arial" w:eastAsia="Arial" w:hAnsi="Arial"/>
                <w:sz w:val="18"/>
                <w:szCs w:val="18"/>
                <w:color w:val="auto"/>
              </w:rPr>
              <w:t>94</w:t>
            </w:r>
          </w:p>
        </w:tc>
      </w:tr>
      <w:tr>
        <w:trPr>
          <w:trHeight w:val="250"/>
        </w:trPr>
        <w:tc>
          <w:tcPr>
            <w:tcW w:w="800" w:type="dxa"/>
            <w:vAlign w:val="bottom"/>
            <w:tcBorders>
              <w:bottom w:val="single" w:sz="8" w:color="C0C0C0"/>
            </w:tcBorders>
          </w:tcPr>
          <w:p>
            <w:pPr>
              <w:spacing w:after="0"/>
              <w:rPr>
                <w:sz w:val="21"/>
                <w:szCs w:val="21"/>
                <w:color w:val="auto"/>
              </w:rPr>
            </w:pPr>
          </w:p>
        </w:tc>
        <w:tc>
          <w:tcPr>
            <w:tcW w:w="1062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0" w:right="23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Exhibit</w:t>
            </w:r>
          </w:p>
        </w:tc>
        <w:tc>
          <w:tcPr>
            <w:tcW w:w="1026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No.</w:t>
            </w:r>
          </w:p>
        </w:tc>
        <w:tc>
          <w:tcPr>
            <w:tcW w:w="10260" w:type="dxa"/>
            <w:vAlign w:val="bottom"/>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0" w:type="dxa"/>
            <w:vAlign w:val="bottom"/>
          </w:tcPr>
          <w:p>
            <w:pPr>
              <w:spacing w:after="0"/>
              <w:rPr>
                <w:sz w:val="16"/>
                <w:szCs w:val="16"/>
                <w:color w:val="auto"/>
              </w:rPr>
            </w:pPr>
          </w:p>
        </w:tc>
        <w:tc>
          <w:tcPr>
            <w:tcW w:w="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10.8*</w:t>
            </w:r>
          </w:p>
        </w:tc>
        <w:tc>
          <w:tcPr>
            <w:tcW w:w="240" w:type="dxa"/>
            <w:vAlign w:val="bottom"/>
          </w:tcPr>
          <w:p>
            <w:pPr>
              <w:spacing w:after="0"/>
              <w:rPr>
                <w:sz w:val="16"/>
                <w:szCs w:val="16"/>
                <w:color w:val="auto"/>
              </w:rPr>
            </w:pPr>
          </w:p>
        </w:tc>
        <w:tc>
          <w:tcPr>
            <w:tcW w:w="10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Honeywell Supplemental Defined Benefit Retirement Plan, as amended and restated (incorporated by reference to Exhibit 10.13</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to Honeywell’s Form 10-K for the year ended December 31, 2008), and amended by Exhibit 10.13 to Honeywell’s Form 10-K for</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the year ended December 31, 2009 and Exhibit 10.9 to Honeywell’s Form 10-K for the year ended December 31, 2015</w:t>
            </w:r>
          </w:p>
        </w:tc>
      </w:tr>
      <w:tr>
        <w:trPr>
          <w:trHeight w:val="391"/>
        </w:trPr>
        <w:tc>
          <w:tcPr>
            <w:tcW w:w="920" w:type="dxa"/>
            <w:vAlign w:val="bottom"/>
            <w:gridSpan w:val="2"/>
          </w:tcPr>
          <w:p>
            <w:pPr>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Honeywell International Inc. Severance Plan for Corporate Staff Employees (Involuntary Termination Following a Change in</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Control), as amended and restated (incorporated by reference to Exhibit 10.12 to Honeywell’s Form 10-K for the year ended</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December 31, 2013)</w:t>
            </w:r>
          </w:p>
        </w:tc>
      </w:tr>
      <w:tr>
        <w:trPr>
          <w:trHeight w:val="391"/>
        </w:trPr>
        <w:tc>
          <w:tcPr>
            <w:tcW w:w="920" w:type="dxa"/>
            <w:vAlign w:val="bottom"/>
            <w:gridSpan w:val="2"/>
          </w:tcPr>
          <w:p>
            <w:pPr>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Employment Agreement dated as of February 18, 2002 between Honeywell and David M. Cote (incorporated by reference to</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Exhibit 10.24 to Honeywell’s Form 8-K filed March 4, 2002), and amended by Exhibit 10.3 to Honeywell’s Form 10-Q for the</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quarter ended September 30, 2008, Exhibit 10.17 to Honeywell’s Form 10-K for the year ended December 31, 2008, and Exhibit</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10.1 to Honeywell’s Form 10-Q for the quarter ended March 31, 2013</w:t>
            </w:r>
          </w:p>
        </w:tc>
      </w:tr>
      <w:tr>
        <w:trPr>
          <w:trHeight w:val="391"/>
        </w:trPr>
        <w:tc>
          <w:tcPr>
            <w:tcW w:w="920" w:type="dxa"/>
            <w:vAlign w:val="bottom"/>
            <w:gridSpan w:val="2"/>
          </w:tcPr>
          <w:p>
            <w:pPr>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Deferred Compensation Agreement dated August 4, 2006 between Honeywell and David M. Cote (incorporated by reference to</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Exhibit 10.22 to Honeywell’s Form 10-K for the year ended December 31, 2006) and amended by Exhibit 10.22 to Honeywell’s</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10-K for the year ended December 31, 2009</w:t>
            </w:r>
          </w:p>
        </w:tc>
      </w:tr>
      <w:tr>
        <w:trPr>
          <w:trHeight w:val="391"/>
        </w:trPr>
        <w:tc>
          <w:tcPr>
            <w:tcW w:w="920" w:type="dxa"/>
            <w:vAlign w:val="bottom"/>
            <w:gridSpan w:val="2"/>
          </w:tcPr>
          <w:p>
            <w:pPr>
              <w:spacing w:after="0"/>
              <w:rPr>
                <w:sz w:val="20"/>
                <w:szCs w:val="20"/>
                <w:color w:val="auto"/>
              </w:rPr>
            </w:pPr>
            <w:r>
              <w:rPr>
                <w:rFonts w:ascii="Arial" w:cs="Arial" w:eastAsia="Arial" w:hAnsi="Arial"/>
                <w:sz w:val="18"/>
                <w:szCs w:val="18"/>
                <w:color w:val="auto"/>
              </w:rPr>
              <w:t>10.12*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Honeywell Supplemental Retirement Plan (incorporated by reference to Exhibit 10.24 to Honeywell’s Form 10-K for the year</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ended December 31, 2006)</w:t>
            </w:r>
          </w:p>
        </w:tc>
      </w:tr>
      <w:tr>
        <w:trPr>
          <w:trHeight w:val="391"/>
        </w:trPr>
        <w:tc>
          <w:tcPr>
            <w:tcW w:w="920" w:type="dxa"/>
            <w:vAlign w:val="bottom"/>
            <w:gridSpan w:val="2"/>
          </w:tcPr>
          <w:p>
            <w:pPr>
              <w:spacing w:after="0"/>
              <w:rPr>
                <w:sz w:val="20"/>
                <w:szCs w:val="20"/>
                <w:color w:val="auto"/>
              </w:rPr>
            </w:pPr>
            <w:r>
              <w:rPr>
                <w:rFonts w:ascii="Arial" w:cs="Arial" w:eastAsia="Arial" w:hAnsi="Arial"/>
                <w:sz w:val="18"/>
                <w:szCs w:val="18"/>
                <w:color w:val="auto"/>
              </w:rPr>
              <w:t>10.13*</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Pittway Corporation Supplemental Executive Retirement Plan (incorporated by reference to Exhibit 10.25 to Honeywell’s Form</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10-K for the year ended December 31, 2006) and amended by Exhibit 10.25 to Honeywell’s Form 10-K for the year ended</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December 31, 2008, Exhibit 10.25 to Honeywell’s 10-K for the year ended December 31, 2009, and amended by Exhibit 10.16 to</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Honeywell’s Form 10-K for the year ended December 31, 2015</w:t>
            </w:r>
          </w:p>
        </w:tc>
      </w:tr>
      <w:tr>
        <w:trPr>
          <w:trHeight w:val="391"/>
        </w:trPr>
        <w:tc>
          <w:tcPr>
            <w:tcW w:w="920" w:type="dxa"/>
            <w:vAlign w:val="bottom"/>
            <w:gridSpan w:val="2"/>
          </w:tcPr>
          <w:p>
            <w:pPr>
              <w:spacing w:after="0"/>
              <w:rPr>
                <w:sz w:val="20"/>
                <w:szCs w:val="20"/>
                <w:color w:val="auto"/>
              </w:rPr>
            </w:pPr>
            <w:r>
              <w:rPr>
                <w:rFonts w:ascii="Arial" w:cs="Arial" w:eastAsia="Arial" w:hAnsi="Arial"/>
                <w:sz w:val="18"/>
                <w:szCs w:val="18"/>
                <w:color w:val="auto"/>
              </w:rPr>
              <w:t>10.14*</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2006 Stock Incentive Plan of Honeywell International Inc. and Its Affiliates, as amended and restated (incorporated by reference</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to Exhibit 10.26 to Honeywell’s Form 10-K for the year ended December 31, 2008), and amended by Exhibit 10.1 to Honeywell’s</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10-Q for the quarter ended March 31, 2011</w:t>
            </w:r>
          </w:p>
        </w:tc>
      </w:tr>
      <w:tr>
        <w:trPr>
          <w:trHeight w:val="391"/>
        </w:trPr>
        <w:tc>
          <w:tcPr>
            <w:tcW w:w="920" w:type="dxa"/>
            <w:vAlign w:val="bottom"/>
            <w:gridSpan w:val="2"/>
          </w:tcPr>
          <w:p>
            <w:pPr>
              <w:spacing w:after="0"/>
              <w:rPr>
                <w:sz w:val="20"/>
                <w:szCs w:val="20"/>
                <w:color w:val="auto"/>
              </w:rPr>
            </w:pPr>
            <w:r>
              <w:rPr>
                <w:rFonts w:ascii="Arial" w:cs="Arial" w:eastAsia="Arial" w:hAnsi="Arial"/>
                <w:sz w:val="18"/>
                <w:szCs w:val="18"/>
                <w:color w:val="auto"/>
              </w:rPr>
              <w:t>10.15*</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2006 Stock Incentive Plan of Honeywell International Inc. and Its Affiliates—Form of Option Award Agreement (incorporated by</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 to Exhibit 10.2 to Honeywell’s Form 10-Q for the quarter ended March 31, 2009)</w:t>
            </w:r>
          </w:p>
        </w:tc>
      </w:tr>
      <w:tr>
        <w:trPr>
          <w:trHeight w:val="391"/>
        </w:trPr>
        <w:tc>
          <w:tcPr>
            <w:tcW w:w="920" w:type="dxa"/>
            <w:vAlign w:val="bottom"/>
            <w:gridSpan w:val="2"/>
          </w:tcPr>
          <w:p>
            <w:pPr>
              <w:spacing w:after="0"/>
              <w:rPr>
                <w:sz w:val="20"/>
                <w:szCs w:val="20"/>
                <w:color w:val="auto"/>
              </w:rPr>
            </w:pPr>
            <w:r>
              <w:rPr>
                <w:rFonts w:ascii="Arial" w:cs="Arial" w:eastAsia="Arial" w:hAnsi="Arial"/>
                <w:sz w:val="18"/>
                <w:szCs w:val="18"/>
                <w:color w:val="auto"/>
              </w:rPr>
              <w:t>10.16*</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2006 Stock Incentive Plan of Honeywell International Inc. and Its Affiliates—Form of Restricted Unit Agreement (incorporated by</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 to Exhibit 10.1 to Honeywell’s Form 10-Q for the quarter ended March 31, 2009)</w:t>
            </w:r>
          </w:p>
        </w:tc>
      </w:tr>
      <w:tr>
        <w:trPr>
          <w:trHeight w:val="391"/>
        </w:trPr>
        <w:tc>
          <w:tcPr>
            <w:tcW w:w="920" w:type="dxa"/>
            <w:vAlign w:val="bottom"/>
            <w:gridSpan w:val="2"/>
          </w:tcPr>
          <w:p>
            <w:pPr>
              <w:spacing w:after="0"/>
              <w:rPr>
                <w:sz w:val="20"/>
                <w:szCs w:val="20"/>
                <w:color w:val="auto"/>
              </w:rPr>
            </w:pPr>
            <w:r>
              <w:rPr>
                <w:rFonts w:ascii="Arial" w:cs="Arial" w:eastAsia="Arial" w:hAnsi="Arial"/>
                <w:sz w:val="18"/>
                <w:szCs w:val="18"/>
                <w:color w:val="auto"/>
              </w:rPr>
              <w:t>10.17*</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2006 Stock Incentive Plan of Honeywell International Inc. and Its Affiliates— Form of Performance Share Agreement</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by reference to Exhibit 10.30 to Honeywell’s Form 10-K for the year ended December 31, 2006)</w:t>
            </w:r>
          </w:p>
        </w:tc>
      </w:tr>
      <w:tr>
        <w:trPr>
          <w:trHeight w:val="391"/>
        </w:trPr>
        <w:tc>
          <w:tcPr>
            <w:tcW w:w="920" w:type="dxa"/>
            <w:vAlign w:val="bottom"/>
            <w:gridSpan w:val="2"/>
          </w:tcPr>
          <w:p>
            <w:pPr>
              <w:spacing w:after="0"/>
              <w:rPr>
                <w:sz w:val="20"/>
                <w:szCs w:val="20"/>
                <w:color w:val="auto"/>
              </w:rPr>
            </w:pPr>
            <w:r>
              <w:rPr>
                <w:rFonts w:ascii="Arial" w:cs="Arial" w:eastAsia="Arial" w:hAnsi="Arial"/>
                <w:sz w:val="18"/>
                <w:szCs w:val="18"/>
                <w:color w:val="auto"/>
              </w:rPr>
              <w:t>10.18*</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2006 Stock Plan for Non-Employee Directors of Honeywell International Inc., as amended and restated (incorporated by</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reference to Exhibit 10.31 to Honeywell’s Form 10-K for the year ended December 31, 2008), and amended by Exhibit 10.27 to</w:t>
            </w:r>
          </w:p>
        </w:tc>
      </w:tr>
    </w:tbl>
    <w:p>
      <w:pPr>
        <w:ind w:left="1160" w:right="200"/>
        <w:spacing w:after="0" w:line="246" w:lineRule="auto"/>
        <w:rPr>
          <w:sz w:val="20"/>
          <w:szCs w:val="20"/>
          <w:color w:val="auto"/>
        </w:rPr>
      </w:pPr>
      <w:r>
        <w:rPr>
          <w:rFonts w:ascii="Arial" w:cs="Arial" w:eastAsia="Arial" w:hAnsi="Arial"/>
          <w:sz w:val="18"/>
          <w:szCs w:val="18"/>
          <w:color w:val="auto"/>
        </w:rPr>
        <w:t>Honeywell’s Form 10-K for the year ended December 31, 2011 and Exhibit 10.24 to Honeywell’s Form 10-K for the year ended December 31, 2014</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Exhibit</w:t>
            </w:r>
          </w:p>
        </w:tc>
        <w:tc>
          <w:tcPr>
            <w:tcW w:w="1026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No.</w:t>
            </w:r>
          </w:p>
        </w:tc>
        <w:tc>
          <w:tcPr>
            <w:tcW w:w="10260" w:type="dxa"/>
            <w:vAlign w:val="bottom"/>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0" w:type="dxa"/>
            <w:vAlign w:val="bottom"/>
          </w:tcPr>
          <w:p>
            <w:pPr>
              <w:spacing w:after="0"/>
              <w:rPr>
                <w:sz w:val="16"/>
                <w:szCs w:val="16"/>
                <w:color w:val="auto"/>
              </w:rPr>
            </w:pPr>
          </w:p>
        </w:tc>
        <w:tc>
          <w:tcPr>
            <w:tcW w:w="900" w:type="dxa"/>
            <w:vAlign w:val="bottom"/>
            <w:tcBorders>
              <w:top w:val="single" w:sz="8" w:color="auto"/>
            </w:tcBorders>
          </w:tcPr>
          <w:p>
            <w:pPr>
              <w:jc w:val="right"/>
              <w:ind w:right="310"/>
              <w:spacing w:after="0" w:line="195" w:lineRule="exact"/>
              <w:rPr>
                <w:sz w:val="20"/>
                <w:szCs w:val="20"/>
                <w:color w:val="auto"/>
              </w:rPr>
            </w:pPr>
            <w:r>
              <w:rPr>
                <w:rFonts w:ascii="Arial" w:cs="Arial" w:eastAsia="Arial" w:hAnsi="Arial"/>
                <w:sz w:val="18"/>
                <w:szCs w:val="18"/>
                <w:color w:val="auto"/>
                <w:w w:val="92"/>
              </w:rPr>
              <w:t>10.19*</w:t>
            </w:r>
          </w:p>
        </w:tc>
        <w:tc>
          <w:tcPr>
            <w:tcW w:w="240" w:type="dxa"/>
            <w:vAlign w:val="bottom"/>
          </w:tcPr>
          <w:p>
            <w:pPr>
              <w:spacing w:after="0"/>
              <w:rPr>
                <w:sz w:val="16"/>
                <w:szCs w:val="16"/>
                <w:color w:val="auto"/>
              </w:rPr>
            </w:pPr>
          </w:p>
        </w:tc>
        <w:tc>
          <w:tcPr>
            <w:tcW w:w="10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2006 Stock Plan for Non-Employee Directors of Honeywell International Inc.—Form of Option Agreement (incorporated by</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 to Exhibit 10.3 to Honeywell’s Form 10-Q for the quarter ended March 31, 2012)</w:t>
            </w:r>
          </w:p>
        </w:tc>
      </w:tr>
      <w:tr>
        <w:trPr>
          <w:trHeight w:val="391"/>
        </w:trPr>
        <w:tc>
          <w:tcPr>
            <w:tcW w:w="920" w:type="dxa"/>
            <w:vAlign w:val="bottom"/>
            <w:gridSpan w:val="2"/>
          </w:tcPr>
          <w:p>
            <w:pPr>
              <w:jc w:val="right"/>
              <w:ind w:right="310"/>
              <w:spacing w:after="0"/>
              <w:rPr>
                <w:sz w:val="20"/>
                <w:szCs w:val="20"/>
                <w:color w:val="auto"/>
              </w:rPr>
            </w:pPr>
            <w:r>
              <w:rPr>
                <w:rFonts w:ascii="Arial" w:cs="Arial" w:eastAsia="Arial" w:hAnsi="Arial"/>
                <w:sz w:val="18"/>
                <w:szCs w:val="18"/>
                <w:color w:val="auto"/>
                <w:w w:val="95"/>
              </w:rPr>
              <w:t>10.20*</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2006 Stock Plan for Non-Employee Directors of Honeywell International Inc.—Form of Restricted Unit Agreement (incorporated</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by reference to Exhibit 10.4 to Honeywell’s Form 10-Q for the quarter ended March 31, 2012)</w:t>
            </w:r>
          </w:p>
        </w:tc>
      </w:tr>
      <w:tr>
        <w:trPr>
          <w:trHeight w:val="391"/>
        </w:trPr>
        <w:tc>
          <w:tcPr>
            <w:tcW w:w="920" w:type="dxa"/>
            <w:vAlign w:val="bottom"/>
            <w:gridSpan w:val="2"/>
          </w:tcPr>
          <w:p>
            <w:pPr>
              <w:jc w:val="right"/>
              <w:ind w:right="310"/>
              <w:spacing w:after="0"/>
              <w:rPr>
                <w:sz w:val="20"/>
                <w:szCs w:val="20"/>
                <w:color w:val="auto"/>
              </w:rPr>
            </w:pPr>
            <w:r>
              <w:rPr>
                <w:rFonts w:ascii="Arial" w:cs="Arial" w:eastAsia="Arial" w:hAnsi="Arial"/>
                <w:sz w:val="18"/>
                <w:szCs w:val="18"/>
                <w:color w:val="auto"/>
                <w:w w:val="95"/>
              </w:rPr>
              <w:t>10.21*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9"/>
              </w:rPr>
              <w:t>2007 Honeywell Global Employee Stock Plan (incorporated by reference to Honeywell’s Proxy Statement, dated March 12, 2007,</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filed pursuant to Rule 14a-6 of the Securities Exchange Act of 1934)</w:t>
            </w:r>
          </w:p>
        </w:tc>
      </w:tr>
      <w:tr>
        <w:trPr>
          <w:trHeight w:val="391"/>
        </w:trPr>
        <w:tc>
          <w:tcPr>
            <w:tcW w:w="920" w:type="dxa"/>
            <w:vAlign w:val="bottom"/>
            <w:gridSpan w:val="2"/>
          </w:tcPr>
          <w:p>
            <w:pPr>
              <w:jc w:val="right"/>
              <w:ind w:right="310"/>
              <w:spacing w:after="0"/>
              <w:rPr>
                <w:sz w:val="20"/>
                <w:szCs w:val="20"/>
                <w:color w:val="auto"/>
              </w:rPr>
            </w:pPr>
            <w:r>
              <w:rPr>
                <w:rFonts w:ascii="Arial" w:cs="Arial" w:eastAsia="Arial" w:hAnsi="Arial"/>
                <w:sz w:val="18"/>
                <w:szCs w:val="18"/>
                <w:color w:val="auto"/>
                <w:w w:val="95"/>
              </w:rPr>
              <w:t>10.22*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Letter Agreement dated July 20, 2007 between Honeywell and Roger Fradin (incorporated by reference to Exhibit 10.1 to</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Honeywell’s Form 10-Q for the quarter ended September 30, 2007) and amended by Exhibit 10.36 to Honeywell’s Form 10-K for</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the year ended December 31, 2009</w:t>
            </w:r>
          </w:p>
        </w:tc>
      </w:tr>
      <w:tr>
        <w:trPr>
          <w:trHeight w:val="391"/>
        </w:trPr>
        <w:tc>
          <w:tcPr>
            <w:tcW w:w="920" w:type="dxa"/>
            <w:vAlign w:val="bottom"/>
            <w:gridSpan w:val="2"/>
          </w:tcPr>
          <w:p>
            <w:pPr>
              <w:jc w:val="right"/>
              <w:ind w:right="310"/>
              <w:spacing w:after="0"/>
              <w:rPr>
                <w:sz w:val="20"/>
                <w:szCs w:val="20"/>
                <w:color w:val="auto"/>
              </w:rPr>
            </w:pPr>
            <w:r>
              <w:rPr>
                <w:rFonts w:ascii="Arial" w:cs="Arial" w:eastAsia="Arial" w:hAnsi="Arial"/>
                <w:sz w:val="18"/>
                <w:szCs w:val="18"/>
                <w:color w:val="auto"/>
                <w:w w:val="95"/>
              </w:rPr>
              <w:t>10.23*</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Letter Agreement dated October 6, 2010 between Honeywell and Roger Fradin (incorporated by reference to Exhibit 10.34 to</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Honeywell’s Form 10-K for the year ended December 31, 2010) and amended by Exhibit 10.1 to Honeywell’s Form 10-Q for the</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quarter ended September 30, 2012</w:t>
            </w:r>
          </w:p>
        </w:tc>
      </w:tr>
      <w:tr>
        <w:trPr>
          <w:trHeight w:val="391"/>
        </w:trPr>
        <w:tc>
          <w:tcPr>
            <w:tcW w:w="920" w:type="dxa"/>
            <w:vAlign w:val="bottom"/>
            <w:gridSpan w:val="2"/>
          </w:tcPr>
          <w:p>
            <w:pPr>
              <w:jc w:val="right"/>
              <w:ind w:right="310"/>
              <w:spacing w:after="0"/>
              <w:rPr>
                <w:sz w:val="20"/>
                <w:szCs w:val="20"/>
                <w:color w:val="auto"/>
              </w:rPr>
            </w:pPr>
            <w:r>
              <w:rPr>
                <w:rFonts w:ascii="Arial" w:cs="Arial" w:eastAsia="Arial" w:hAnsi="Arial"/>
                <w:sz w:val="18"/>
                <w:szCs w:val="18"/>
                <w:color w:val="auto"/>
                <w:w w:val="95"/>
              </w:rPr>
              <w:t>10.24*</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Employee Non-Competition Agreement dated October 26, 2010 for Andreas Kramvis (incorporated by reference to Exhibit 10.35</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to Honeywell’s Form 10-K for the year ended December 31, 2010)</w:t>
            </w:r>
          </w:p>
        </w:tc>
      </w:tr>
      <w:tr>
        <w:trPr>
          <w:trHeight w:val="391"/>
        </w:trPr>
        <w:tc>
          <w:tcPr>
            <w:tcW w:w="920" w:type="dxa"/>
            <w:vAlign w:val="bottom"/>
            <w:gridSpan w:val="2"/>
          </w:tcPr>
          <w:p>
            <w:pPr>
              <w:jc w:val="right"/>
              <w:ind w:right="310"/>
              <w:spacing w:after="0"/>
              <w:rPr>
                <w:sz w:val="20"/>
                <w:szCs w:val="20"/>
                <w:color w:val="auto"/>
              </w:rPr>
            </w:pPr>
            <w:r>
              <w:rPr>
                <w:rFonts w:ascii="Arial" w:cs="Arial" w:eastAsia="Arial" w:hAnsi="Arial"/>
                <w:sz w:val="18"/>
                <w:szCs w:val="18"/>
                <w:color w:val="auto"/>
                <w:w w:val="95"/>
              </w:rPr>
              <w:t>10.25*</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2006 Stock Incentive Plan of Honeywell International Inc. and its Affiliates — Form of Restricted Unit Agreement, Form 2</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by reference to Exhibit 10.2 to Honeywell’s Form 10-Q for the quarter ended June 30, 2010)</w:t>
            </w:r>
          </w:p>
        </w:tc>
      </w:tr>
      <w:tr>
        <w:trPr>
          <w:trHeight w:val="391"/>
        </w:trPr>
        <w:tc>
          <w:tcPr>
            <w:tcW w:w="920" w:type="dxa"/>
            <w:vAlign w:val="bottom"/>
            <w:gridSpan w:val="2"/>
          </w:tcPr>
          <w:p>
            <w:pPr>
              <w:jc w:val="right"/>
              <w:ind w:right="310"/>
              <w:spacing w:after="0"/>
              <w:rPr>
                <w:sz w:val="20"/>
                <w:szCs w:val="20"/>
                <w:color w:val="auto"/>
              </w:rPr>
            </w:pPr>
            <w:r>
              <w:rPr>
                <w:rFonts w:ascii="Arial" w:cs="Arial" w:eastAsia="Arial" w:hAnsi="Arial"/>
                <w:sz w:val="18"/>
                <w:szCs w:val="18"/>
                <w:color w:val="auto"/>
                <w:w w:val="95"/>
              </w:rPr>
              <w:t>10.26*</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2006 Stock Incentive Plan of Honeywell International Inc. and Its Affiliates—Form of Option Award Agreement, Form 2</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by reference to Exhibit 10.37 to Honeywell’s Form 10-K for the year ended December 31, 2010)</w:t>
            </w:r>
          </w:p>
        </w:tc>
      </w:tr>
      <w:tr>
        <w:trPr>
          <w:trHeight w:val="391"/>
        </w:trPr>
        <w:tc>
          <w:tcPr>
            <w:tcW w:w="920" w:type="dxa"/>
            <w:vAlign w:val="bottom"/>
            <w:gridSpan w:val="2"/>
          </w:tcPr>
          <w:p>
            <w:pPr>
              <w:jc w:val="right"/>
              <w:ind w:right="310"/>
              <w:spacing w:after="0"/>
              <w:rPr>
                <w:sz w:val="20"/>
                <w:szCs w:val="20"/>
                <w:color w:val="auto"/>
              </w:rPr>
            </w:pPr>
            <w:r>
              <w:rPr>
                <w:rFonts w:ascii="Arial" w:cs="Arial" w:eastAsia="Arial" w:hAnsi="Arial"/>
                <w:sz w:val="18"/>
                <w:szCs w:val="18"/>
                <w:color w:val="auto"/>
                <w:w w:val="95"/>
              </w:rPr>
              <w:t>10.27*</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Letter Agreement dated September 3, 2009 between Honeywell and Timothy Mahoney (incorporated by reference to Exhibit</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10.38 to Honeywell’s Form 10-K for the year ended December 31, 2010)</w:t>
            </w:r>
          </w:p>
        </w:tc>
      </w:tr>
      <w:tr>
        <w:trPr>
          <w:trHeight w:val="391"/>
        </w:trPr>
        <w:tc>
          <w:tcPr>
            <w:tcW w:w="920" w:type="dxa"/>
            <w:vAlign w:val="bottom"/>
            <w:gridSpan w:val="2"/>
          </w:tcPr>
          <w:p>
            <w:pPr>
              <w:jc w:val="right"/>
              <w:ind w:right="310"/>
              <w:spacing w:after="0"/>
              <w:rPr>
                <w:sz w:val="20"/>
                <w:szCs w:val="20"/>
                <w:color w:val="auto"/>
              </w:rPr>
            </w:pPr>
            <w:r>
              <w:rPr>
                <w:rFonts w:ascii="Arial" w:cs="Arial" w:eastAsia="Arial" w:hAnsi="Arial"/>
                <w:sz w:val="18"/>
                <w:szCs w:val="18"/>
                <w:color w:val="auto"/>
                <w:w w:val="95"/>
              </w:rPr>
              <w:t>10.28*</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Honeywell International Inc. Noncompete Agreement for Senior Executives (incorporated by reference to Exhibit 10.39</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to Honeywell’s Form 10-K for the year ended December 31, 2010)</w:t>
            </w:r>
          </w:p>
        </w:tc>
      </w:tr>
      <w:tr>
        <w:trPr>
          <w:trHeight w:val="391"/>
        </w:trPr>
        <w:tc>
          <w:tcPr>
            <w:tcW w:w="920" w:type="dxa"/>
            <w:vAlign w:val="bottom"/>
            <w:gridSpan w:val="2"/>
          </w:tcPr>
          <w:p>
            <w:pPr>
              <w:jc w:val="right"/>
              <w:ind w:right="310"/>
              <w:spacing w:after="0"/>
              <w:rPr>
                <w:sz w:val="20"/>
                <w:szCs w:val="20"/>
                <w:color w:val="auto"/>
              </w:rPr>
            </w:pPr>
            <w:r>
              <w:rPr>
                <w:rFonts w:ascii="Arial" w:cs="Arial" w:eastAsia="Arial" w:hAnsi="Arial"/>
                <w:sz w:val="18"/>
                <w:szCs w:val="18"/>
                <w:color w:val="auto"/>
                <w:w w:val="95"/>
              </w:rPr>
              <w:t>10.29*</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2011 Stock Incentive Plan of Honeywell International Inc. and its Affiliates (incorporated by reference to Honeywell’s Proxy</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Statement, dated March 10, 2011, filed pursuant to Rule 14a-6 of the Securities Exchange Act of 1934), and amended by Exhibit</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10.36 to Honeywell’s Form 10-K for the year ended December 31, 2012 and Exhibit 10.1 to Honeywell’s Form 10-Q for the</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quarter ended March 31, 2014</w:t>
            </w:r>
          </w:p>
        </w:tc>
      </w:tr>
      <w:tr>
        <w:trPr>
          <w:trHeight w:val="391"/>
        </w:trPr>
        <w:tc>
          <w:tcPr>
            <w:tcW w:w="920" w:type="dxa"/>
            <w:vAlign w:val="bottom"/>
            <w:gridSpan w:val="2"/>
          </w:tcPr>
          <w:p>
            <w:pPr>
              <w:jc w:val="right"/>
              <w:ind w:right="310"/>
              <w:spacing w:after="0"/>
              <w:rPr>
                <w:sz w:val="20"/>
                <w:szCs w:val="20"/>
                <w:color w:val="auto"/>
              </w:rPr>
            </w:pPr>
            <w:r>
              <w:rPr>
                <w:rFonts w:ascii="Arial" w:cs="Arial" w:eastAsia="Arial" w:hAnsi="Arial"/>
                <w:sz w:val="18"/>
                <w:szCs w:val="18"/>
                <w:color w:val="auto"/>
                <w:w w:val="95"/>
              </w:rPr>
              <w:t>10.30*</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2011 Stock Incentive Plan of Honeywell International Inc. and its Affiliates—Form of Restricted Unit Agreement (incorporated by</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 to Exhibit 10.2 to Honeywell’s Form 10-Q for the quarter ended March 31, 2014)</w:t>
            </w:r>
          </w:p>
        </w:tc>
      </w:tr>
      <w:tr>
        <w:trPr>
          <w:trHeight w:val="391"/>
        </w:trPr>
        <w:tc>
          <w:tcPr>
            <w:tcW w:w="920" w:type="dxa"/>
            <w:vAlign w:val="bottom"/>
            <w:gridSpan w:val="2"/>
          </w:tcPr>
          <w:p>
            <w:pPr>
              <w:jc w:val="right"/>
              <w:ind w:right="310"/>
              <w:spacing w:after="0"/>
              <w:rPr>
                <w:sz w:val="20"/>
                <w:szCs w:val="20"/>
                <w:color w:val="auto"/>
              </w:rPr>
            </w:pPr>
            <w:r>
              <w:rPr>
                <w:rFonts w:ascii="Arial" w:cs="Arial" w:eastAsia="Arial" w:hAnsi="Arial"/>
                <w:sz w:val="18"/>
                <w:szCs w:val="18"/>
                <w:color w:val="auto"/>
                <w:w w:val="95"/>
              </w:rPr>
              <w:t>10.31*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2011 Stock Incentive Plan of Honeywell International Inc. and its Affiliates—Form of Restricted Unit Agreement, Form</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 (incorporated by reference to Exhibit 10.3 to Honeywell’s Form 10-Q for the quarter ended March 31, 2014)</w:t>
            </w:r>
          </w:p>
        </w:tc>
      </w:tr>
      <w:tr>
        <w:trPr>
          <w:trHeight w:val="391"/>
        </w:trPr>
        <w:tc>
          <w:tcPr>
            <w:tcW w:w="920" w:type="dxa"/>
            <w:vAlign w:val="bottom"/>
            <w:gridSpan w:val="2"/>
          </w:tcPr>
          <w:p>
            <w:pPr>
              <w:jc w:val="right"/>
              <w:ind w:right="310"/>
              <w:spacing w:after="0"/>
              <w:rPr>
                <w:sz w:val="20"/>
                <w:szCs w:val="20"/>
                <w:color w:val="auto"/>
              </w:rPr>
            </w:pPr>
            <w:r>
              <w:rPr>
                <w:rFonts w:ascii="Arial" w:cs="Arial" w:eastAsia="Arial" w:hAnsi="Arial"/>
                <w:sz w:val="18"/>
                <w:szCs w:val="18"/>
                <w:color w:val="auto"/>
                <w:w w:val="95"/>
              </w:rPr>
              <w:t>10.32*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2011 Stock Incentive Plan of Honeywell International Inc. and Its Affiliates—Form of Stock Option Award Agreement</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by reference to Exhibit 10.4 to Honeywell’s Form 10-Q for the quarter ended March 31, 2014)</w:t>
            </w:r>
          </w:p>
        </w:tc>
      </w:tr>
      <w:tr>
        <w:trPr>
          <w:trHeight w:val="39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60" w:type="dxa"/>
            <w:vAlign w:val="bottom"/>
          </w:tcPr>
          <w:p>
            <w:pPr>
              <w:ind w:left="4460"/>
              <w:spacing w:after="0"/>
              <w:rPr>
                <w:sz w:val="20"/>
                <w:szCs w:val="20"/>
                <w:color w:val="auto"/>
              </w:rPr>
            </w:pPr>
            <w:r>
              <w:rPr>
                <w:rFonts w:ascii="Arial" w:cs="Arial" w:eastAsia="Arial" w:hAnsi="Arial"/>
                <w:sz w:val="18"/>
                <w:szCs w:val="18"/>
                <w:color w:val="auto"/>
              </w:rPr>
              <w:t>96</w:t>
            </w:r>
          </w:p>
        </w:tc>
      </w:tr>
      <w:tr>
        <w:trPr>
          <w:trHeight w:val="250"/>
        </w:trPr>
        <w:tc>
          <w:tcPr>
            <w:tcW w:w="20" w:type="dxa"/>
            <w:vAlign w:val="bottom"/>
          </w:tcPr>
          <w:p>
            <w:pPr>
              <w:spacing w:after="0"/>
              <w:rPr>
                <w:sz w:val="21"/>
                <w:szCs w:val="21"/>
                <w:color w:val="auto"/>
              </w:rPr>
            </w:pPr>
          </w:p>
        </w:tc>
        <w:tc>
          <w:tcPr>
            <w:tcW w:w="90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1026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396" w:right="239" w:bottom="1440" w:gutter="0" w:footer="0" w:header="0"/>
        </w:sectPr>
      </w:pPr>
    </w:p>
    <w:bookmarkStart w:id="96" w:name="page97"/>
    <w:bookmarkEnd w:id="96"/>
    <w:p>
      <w:pPr>
        <w:ind w:left="160"/>
        <w:spacing w:after="0"/>
        <w:rPr>
          <w:sz w:val="20"/>
          <w:szCs w:val="20"/>
          <w:color w:val="auto"/>
        </w:rPr>
      </w:pPr>
      <w:r>
        <w:rPr>
          <w:rFonts w:ascii="Arial" w:cs="Arial" w:eastAsia="Arial" w:hAnsi="Arial"/>
          <w:sz w:val="18"/>
          <w:szCs w:val="18"/>
          <w:b w:val="1"/>
          <w:bCs w:val="1"/>
          <w:color w:val="auto"/>
        </w:rPr>
        <w:t>Exhibit</w:t>
      </w:r>
    </w:p>
    <w:p>
      <w:pPr>
        <w:spacing w:after="0" w:line="18" w:lineRule="exact"/>
        <w:rPr>
          <w:sz w:val="20"/>
          <w:szCs w:val="20"/>
          <w:color w:val="auto"/>
        </w:rPr>
      </w:pPr>
    </w:p>
    <w:p>
      <w:pPr>
        <w:ind w:left="280"/>
        <w:spacing w:after="0"/>
        <w:tabs>
          <w:tab w:leader="none" w:pos="578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tabs>
          <w:tab w:leader="none" w:pos="11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7"/>
          <w:szCs w:val="17"/>
          <w:color w:val="auto"/>
        </w:rPr>
        <w:t>2011 Stock Incentive Plan of Honeywell International Inc. and Its Affiliates—Form of Stock Option Award Agreement, Form 2</w:t>
      </w:r>
    </w:p>
    <w:p>
      <w:pPr>
        <w:jc w:val="center"/>
        <w:ind w:right="400"/>
        <w:spacing w:after="0"/>
        <w:rPr>
          <w:sz w:val="20"/>
          <w:szCs w:val="20"/>
          <w:color w:val="auto"/>
        </w:rPr>
      </w:pPr>
      <w:r>
        <w:rPr>
          <w:rFonts w:ascii="Arial" w:cs="Arial" w:eastAsia="Arial" w:hAnsi="Arial"/>
          <w:sz w:val="18"/>
          <w:szCs w:val="18"/>
          <w:color w:val="auto"/>
        </w:rPr>
        <w:t>(incorporated by reference to Exhibit 10.39 to Honeywell’s Form 10-K for the year ended December 31, 2014)</w:t>
      </w:r>
    </w:p>
    <w:p>
      <w:pPr>
        <w:spacing w:after="0" w:line="198" w:lineRule="exact"/>
        <w:rPr>
          <w:sz w:val="20"/>
          <w:szCs w:val="20"/>
          <w:color w:val="auto"/>
        </w:rPr>
      </w:pPr>
    </w:p>
    <w:p>
      <w:pPr>
        <w:ind w:left="1160" w:right="280" w:hanging="1147"/>
        <w:spacing w:after="0" w:line="246" w:lineRule="auto"/>
        <w:tabs>
          <w:tab w:leader="none" w:pos="114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8"/>
          <w:szCs w:val="18"/>
          <w:color w:val="auto"/>
        </w:rPr>
        <w:t>2011 Stock Incentive Plan of Honeywell International Inc. and Its Affiliates—Form of Growth Plan Agreement (incorporated by reference to Exhibit 10.5 to Honeywell’s Form 10-Q for the quarter ended March 31, 2014)</w:t>
      </w:r>
    </w:p>
    <w:p>
      <w:pPr>
        <w:spacing w:after="0" w:line="183" w:lineRule="exact"/>
        <w:rPr>
          <w:sz w:val="20"/>
          <w:szCs w:val="20"/>
          <w:color w:val="auto"/>
        </w:rPr>
      </w:pPr>
    </w:p>
    <w:p>
      <w:pPr>
        <w:ind w:left="1160" w:right="220" w:hanging="1147"/>
        <w:spacing w:after="0" w:line="246" w:lineRule="auto"/>
        <w:tabs>
          <w:tab w:leader="none" w:pos="114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Letter Agreement dated August 4, 2011 between Honeywell International Inc. and David M. Cote (incorporated by reference to Exhibit 10.1 to Honeywell’s Form 10-Q for the quarter ended September 30, 2011)</w:t>
      </w:r>
    </w:p>
    <w:p>
      <w:pPr>
        <w:spacing w:after="0" w:line="183" w:lineRule="exact"/>
        <w:rPr>
          <w:sz w:val="20"/>
          <w:szCs w:val="20"/>
          <w:color w:val="auto"/>
        </w:rPr>
      </w:pPr>
    </w:p>
    <w:p>
      <w:pPr>
        <w:ind w:left="1160" w:right="500" w:hanging="1147"/>
        <w:spacing w:after="0" w:line="246" w:lineRule="auto"/>
        <w:tabs>
          <w:tab w:leader="none" w:pos="114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8"/>
          <w:szCs w:val="18"/>
          <w:color w:val="auto"/>
        </w:rPr>
        <w:t>Letter Agreement dated April 7, 2014 between Honeywell International Inc. and Roger Fradin (incorporated by reference to Exhibit 10.8 to Honeywell’s Form 10-Q for the quarter ended March 31, 2014)</w:t>
      </w:r>
    </w:p>
    <w:p>
      <w:pPr>
        <w:spacing w:after="0" w:line="183" w:lineRule="exact"/>
        <w:rPr>
          <w:sz w:val="20"/>
          <w:szCs w:val="20"/>
          <w:color w:val="auto"/>
        </w:rPr>
      </w:pPr>
    </w:p>
    <w:p>
      <w:pPr>
        <w:ind w:left="1160" w:right="180" w:hanging="1147"/>
        <w:spacing w:after="0" w:line="246" w:lineRule="auto"/>
        <w:tabs>
          <w:tab w:leader="none" w:pos="114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8"/>
          <w:szCs w:val="18"/>
          <w:color w:val="auto"/>
        </w:rPr>
        <w:t>Letter Agreement dated April 7, 2014 between Honeywell International Inc. and Andreas Kramvis (incorporated by reference to Exhibit 10.9 to Honeywell’s Form 10-Q for the quarter ended March 31, 2014)</w:t>
      </w:r>
    </w:p>
    <w:p>
      <w:pPr>
        <w:spacing w:after="0" w:line="183" w:lineRule="exact"/>
        <w:rPr>
          <w:sz w:val="20"/>
          <w:szCs w:val="20"/>
          <w:color w:val="auto"/>
        </w:rPr>
      </w:pPr>
    </w:p>
    <w:p>
      <w:pPr>
        <w:ind w:left="1160" w:hanging="1147"/>
        <w:spacing w:after="0" w:line="246" w:lineRule="auto"/>
        <w:tabs>
          <w:tab w:leader="none" w:pos="114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8"/>
          <w:szCs w:val="18"/>
          <w:color w:val="auto"/>
        </w:rPr>
        <w:t>Letter Agreement dated April 7, 2014 between Honeywell International Inc. and Thomas A. Szlosek (incorporated by reference to Exhibit 10.10 to Honeywell’s Form 10-Q for the quarter ended March 31, 2014)</w:t>
      </w:r>
    </w:p>
    <w:p>
      <w:pPr>
        <w:spacing w:after="0" w:line="183" w:lineRule="exact"/>
        <w:rPr>
          <w:sz w:val="20"/>
          <w:szCs w:val="20"/>
          <w:color w:val="auto"/>
        </w:rPr>
      </w:pPr>
    </w:p>
    <w:p>
      <w:pPr>
        <w:jc w:val="both"/>
        <w:ind w:left="1160" w:right="460" w:hanging="1147"/>
        <w:spacing w:after="0"/>
        <w:tabs>
          <w:tab w:leader="none" w:pos="114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8"/>
          <w:szCs w:val="18"/>
          <w:color w:val="auto"/>
        </w:rPr>
        <w:t>CEO Retention Agreement, as approved by the Board of Directors of Honeywell International Inc. on October 31, 2014 and agreed to by David M. Cote on December 11, 2014 (incorporated by reference to Exhibit 99.2 to Honeywell’s Form 8-K filed December 12, 2014)</w:t>
      </w:r>
    </w:p>
    <w:p>
      <w:pPr>
        <w:spacing w:after="0" w:line="189" w:lineRule="exact"/>
        <w:rPr>
          <w:sz w:val="20"/>
          <w:szCs w:val="20"/>
          <w:color w:val="auto"/>
        </w:rPr>
      </w:pPr>
    </w:p>
    <w:p>
      <w:pPr>
        <w:ind w:left="1160" w:right="80" w:hanging="1147"/>
        <w:spacing w:after="0" w:line="246" w:lineRule="auto"/>
        <w:tabs>
          <w:tab w:leader="none" w:pos="114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8"/>
          <w:szCs w:val="18"/>
          <w:color w:val="auto"/>
        </w:rPr>
        <w:t>Chief Executive Officer Business Continuity Agreement as approved by the Board of Directors of Honeywell International Inc. on June 28, 2016 (incorporated by reference to Exhibit 99.1 to Honeywell’s Form 8-K filed June 28, 2016)</w:t>
      </w:r>
    </w:p>
    <w:p>
      <w:pPr>
        <w:spacing w:after="0" w:line="183" w:lineRule="exact"/>
        <w:rPr>
          <w:sz w:val="20"/>
          <w:szCs w:val="20"/>
          <w:color w:val="auto"/>
        </w:rPr>
      </w:pPr>
    </w:p>
    <w:p>
      <w:pPr>
        <w:ind w:left="1160" w:right="80" w:hanging="1147"/>
        <w:spacing w:after="0" w:line="246" w:lineRule="auto"/>
        <w:tabs>
          <w:tab w:leader="none" w:pos="114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8"/>
          <w:szCs w:val="18"/>
          <w:color w:val="auto"/>
        </w:rPr>
        <w:t>Letter Agreement dated February 24, 2012 between Honeywell and Darius Adamczyk (incorporated by reference to Exhibit 10.1 to Honeywell’s Form 10-Q for the quarter ended March 31, 2016)</w:t>
      </w:r>
    </w:p>
    <w:p>
      <w:pPr>
        <w:spacing w:after="0" w:line="1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7"/>
          <w:szCs w:val="17"/>
          <w:color w:val="auto"/>
        </w:rPr>
        <w:t>Offer letter dated March 31, 2016 from Honeywell International Inc. to Darius Adamczyk (incorporated by reference to Exhibit</w:t>
      </w:r>
    </w:p>
    <w:p>
      <w:pPr>
        <w:ind w:left="1160"/>
        <w:spacing w:after="0"/>
        <w:rPr>
          <w:sz w:val="20"/>
          <w:szCs w:val="20"/>
          <w:color w:val="auto"/>
        </w:rPr>
      </w:pPr>
      <w:r>
        <w:rPr>
          <w:rFonts w:ascii="Arial" w:cs="Arial" w:eastAsia="Arial" w:hAnsi="Arial"/>
          <w:sz w:val="18"/>
          <w:szCs w:val="18"/>
          <w:color w:val="auto"/>
        </w:rPr>
        <w:t>99.1 to Honeywell’s Form 8-K filed April 6, 2016)</w:t>
      </w:r>
    </w:p>
    <w:p>
      <w:pPr>
        <w:spacing w:after="0" w:line="19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7"/>
          <w:szCs w:val="17"/>
          <w:color w:val="auto"/>
        </w:rPr>
        <w:t>Offer letter dated March 11, 2013 from Honeywell International Inc. to Krishna Mikkilineni (filed herewith)</w:t>
      </w:r>
    </w:p>
    <w:p>
      <w:pPr>
        <w:spacing w:after="0" w:line="198" w:lineRule="exact"/>
        <w:rPr>
          <w:sz w:val="20"/>
          <w:szCs w:val="20"/>
          <w:color w:val="auto"/>
        </w:rPr>
      </w:pPr>
    </w:p>
    <w:p>
      <w:pPr>
        <w:ind w:left="1160" w:right="540" w:hanging="1147"/>
        <w:spacing w:after="0" w:line="246" w:lineRule="auto"/>
        <w:tabs>
          <w:tab w:leader="none" w:pos="114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8"/>
          <w:szCs w:val="18"/>
          <w:color w:val="auto"/>
        </w:rPr>
        <w:t>2016 Stock Incentive Plan of Honeywell International Inc. and its Affiliates (incorporated by reference to Honeywell’s Proxy Statement, dated March 10, 2016, filed pursuant to Rule 14a-6 of the Securities Exchange Act of 1934)</w:t>
      </w:r>
    </w:p>
    <w:p>
      <w:pPr>
        <w:spacing w:after="0" w:line="183" w:lineRule="exact"/>
        <w:rPr>
          <w:sz w:val="20"/>
          <w:szCs w:val="20"/>
          <w:color w:val="auto"/>
        </w:rPr>
      </w:pPr>
    </w:p>
    <w:p>
      <w:pPr>
        <w:ind w:left="1160" w:right="100" w:hanging="1147"/>
        <w:spacing w:after="0" w:line="246" w:lineRule="auto"/>
        <w:tabs>
          <w:tab w:leader="none" w:pos="114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8"/>
          <w:szCs w:val="18"/>
          <w:color w:val="auto"/>
        </w:rPr>
        <w:t>2016 Stock Incentive Plan of Honeywell International Inc. and its Affiliates—Form of Restricted Unit Agreement (incorporated by reference to Exhibit 10.1 to Honeywell’s Form 10-Q for the quarter ended June 30, 2016)</w:t>
      </w:r>
    </w:p>
    <w:p>
      <w:pPr>
        <w:spacing w:after="0" w:line="183" w:lineRule="exact"/>
        <w:rPr>
          <w:sz w:val="20"/>
          <w:szCs w:val="20"/>
          <w:color w:val="auto"/>
        </w:rPr>
      </w:pPr>
    </w:p>
    <w:p>
      <w:pPr>
        <w:jc w:val="center"/>
        <w:ind w:right="780"/>
        <w:spacing w:after="0" w:line="246" w:lineRule="auto"/>
        <w:rPr>
          <w:sz w:val="20"/>
          <w:szCs w:val="20"/>
          <w:color w:val="auto"/>
        </w:rPr>
      </w:pPr>
      <w:r>
        <w:rPr>
          <w:rFonts w:ascii="Arial" w:cs="Arial" w:eastAsia="Arial" w:hAnsi="Arial"/>
          <w:sz w:val="18"/>
          <w:szCs w:val="18"/>
          <w:color w:val="auto"/>
        </w:rPr>
        <w:t>10.46*       2016 Stock Incentive Plan of Honeywell International Inc. and its Affiliates—Form of Restricted Unit Agreement, Form 2 (incorporated by reference to Exhibit 10.2 to Honeywell’s Form 10-Q for the quarter ended June 30, 2016)</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Exhibit</w:t>
            </w:r>
          </w:p>
        </w:tc>
        <w:tc>
          <w:tcPr>
            <w:tcW w:w="1026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No.</w:t>
            </w:r>
          </w:p>
        </w:tc>
        <w:tc>
          <w:tcPr>
            <w:tcW w:w="10260" w:type="dxa"/>
            <w:vAlign w:val="bottom"/>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0" w:type="dxa"/>
            <w:vAlign w:val="bottom"/>
          </w:tcPr>
          <w:p>
            <w:pPr>
              <w:spacing w:after="0"/>
              <w:rPr>
                <w:sz w:val="16"/>
                <w:szCs w:val="16"/>
                <w:color w:val="auto"/>
              </w:rPr>
            </w:pPr>
          </w:p>
        </w:tc>
        <w:tc>
          <w:tcPr>
            <w:tcW w:w="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10.47*</w:t>
            </w:r>
          </w:p>
        </w:tc>
        <w:tc>
          <w:tcPr>
            <w:tcW w:w="240" w:type="dxa"/>
            <w:vAlign w:val="bottom"/>
          </w:tcPr>
          <w:p>
            <w:pPr>
              <w:spacing w:after="0"/>
              <w:rPr>
                <w:sz w:val="16"/>
                <w:szCs w:val="16"/>
                <w:color w:val="auto"/>
              </w:rPr>
            </w:pPr>
          </w:p>
        </w:tc>
        <w:tc>
          <w:tcPr>
            <w:tcW w:w="10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2016 Stock Incentive Plan of Honeywell International Inc. and its Affiliates—Form of Stock Option Award Agreement</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by reference to Exhibit 10.3 to Honeywell’s Form 10-Q for the quarter ended June 30, 2016)</w:t>
            </w:r>
          </w:p>
        </w:tc>
      </w:tr>
      <w:tr>
        <w:trPr>
          <w:trHeight w:val="391"/>
        </w:trPr>
        <w:tc>
          <w:tcPr>
            <w:tcW w:w="920" w:type="dxa"/>
            <w:vAlign w:val="bottom"/>
            <w:gridSpan w:val="2"/>
          </w:tcPr>
          <w:p>
            <w:pPr>
              <w:spacing w:after="0"/>
              <w:rPr>
                <w:sz w:val="20"/>
                <w:szCs w:val="20"/>
                <w:color w:val="auto"/>
              </w:rPr>
            </w:pPr>
            <w:r>
              <w:rPr>
                <w:rFonts w:ascii="Arial" w:cs="Arial" w:eastAsia="Arial" w:hAnsi="Arial"/>
                <w:sz w:val="18"/>
                <w:szCs w:val="18"/>
                <w:color w:val="auto"/>
              </w:rPr>
              <w:t>10.48*</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2016 Stock Incentive Plan of Honeywell International Inc. and its Affiliates—Form of Growth Plan Agreement (incorporated by</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 to Exhibit 10.4 to Honeywell’s Form 10-Q for the quarter ended June 30, 2016)</w:t>
            </w:r>
          </w:p>
        </w:tc>
      </w:tr>
      <w:tr>
        <w:trPr>
          <w:trHeight w:val="391"/>
        </w:trPr>
        <w:tc>
          <w:tcPr>
            <w:tcW w:w="920" w:type="dxa"/>
            <w:vAlign w:val="bottom"/>
            <w:gridSpan w:val="2"/>
          </w:tcPr>
          <w:p>
            <w:pPr>
              <w:spacing w:after="0"/>
              <w:rPr>
                <w:sz w:val="20"/>
                <w:szCs w:val="20"/>
                <w:color w:val="auto"/>
              </w:rPr>
            </w:pPr>
            <w:r>
              <w:rPr>
                <w:rFonts w:ascii="Arial" w:cs="Arial" w:eastAsia="Arial" w:hAnsi="Arial"/>
                <w:sz w:val="18"/>
                <w:szCs w:val="18"/>
                <w:color w:val="auto"/>
              </w:rPr>
              <w:t>10.49*</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2016 Stock Plan for Non-Employee Directors (incorporated by reference to Honeywell’s Proxy Statement, dated March 10, 2016,</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filed pursuant to Rule 14a-6 of the Securities Exchange Act of 1934)</w:t>
            </w:r>
          </w:p>
        </w:tc>
      </w:tr>
      <w:tr>
        <w:trPr>
          <w:trHeight w:val="391"/>
        </w:trPr>
        <w:tc>
          <w:tcPr>
            <w:tcW w:w="920" w:type="dxa"/>
            <w:vAlign w:val="bottom"/>
            <w:gridSpan w:val="2"/>
          </w:tcPr>
          <w:p>
            <w:pPr>
              <w:spacing w:after="0"/>
              <w:rPr>
                <w:sz w:val="20"/>
                <w:szCs w:val="20"/>
                <w:color w:val="auto"/>
              </w:rPr>
            </w:pPr>
            <w:r>
              <w:rPr>
                <w:rFonts w:ascii="Arial" w:cs="Arial" w:eastAsia="Arial" w:hAnsi="Arial"/>
                <w:sz w:val="18"/>
                <w:szCs w:val="18"/>
                <w:color w:val="auto"/>
              </w:rPr>
              <w:t>10.50*</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2016 Stock Plan for Non-Employee Directors of Honeywell International Inc.—Form of Stock Option Award Agreement</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by reference to Exhibit 10.5 to Honeywell’s Form 10-Q for the quarter ended June 30, 2016)</w:t>
            </w:r>
          </w:p>
        </w:tc>
      </w:tr>
      <w:tr>
        <w:trPr>
          <w:trHeight w:val="391"/>
        </w:trPr>
        <w:tc>
          <w:tcPr>
            <w:tcW w:w="920" w:type="dxa"/>
            <w:vAlign w:val="bottom"/>
            <w:gridSpan w:val="2"/>
          </w:tcPr>
          <w:p>
            <w:pPr>
              <w:spacing w:after="0"/>
              <w:rPr>
                <w:sz w:val="20"/>
                <w:szCs w:val="20"/>
                <w:color w:val="auto"/>
              </w:rPr>
            </w:pPr>
            <w:r>
              <w:rPr>
                <w:rFonts w:ascii="Arial" w:cs="Arial" w:eastAsia="Arial" w:hAnsi="Arial"/>
                <w:sz w:val="18"/>
                <w:szCs w:val="18"/>
                <w:color w:val="auto"/>
              </w:rPr>
              <w:t>10.51*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2016 Stock Plan for Non-Employee Directors of Honeywell International Inc.—Form of Restricted Unit Agreement (incorporated</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by reference to Exhibit 10.6 to Honeywell’s Form 10-Q for the quarter ended June 30, 2016)</w:t>
            </w:r>
          </w:p>
        </w:tc>
      </w:tr>
      <w:tr>
        <w:trPr>
          <w:trHeight w:val="391"/>
        </w:trPr>
        <w:tc>
          <w:tcPr>
            <w:tcW w:w="920" w:type="dxa"/>
            <w:vAlign w:val="bottom"/>
            <w:gridSpan w:val="2"/>
          </w:tcPr>
          <w:p>
            <w:pPr>
              <w:spacing w:after="0"/>
              <w:rPr>
                <w:sz w:val="20"/>
                <w:szCs w:val="20"/>
                <w:color w:val="auto"/>
              </w:rPr>
            </w:pPr>
            <w:r>
              <w:rPr>
                <w:rFonts w:ascii="Arial" w:cs="Arial" w:eastAsia="Arial" w:hAnsi="Arial"/>
                <w:sz w:val="18"/>
                <w:szCs w:val="18"/>
                <w:color w:val="auto"/>
              </w:rPr>
              <w:t>10.52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Amended and Restated Five Year Credit Agreement dated as of July 10, 2015 among Honeywell International Inc., the banks,</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financial institutions and other institutional lenders parties thereto, Citibank, N.A., as administrative agent, Citibank International</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Limited, as swing line agent, JPMorgan Chase Bank, N.A., as syndication agent, Bank of America, N.A., Barclays Bank PLC,</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Deutsche Bank Securities Inc., Goldman Sachs Bank USA, Morgan Stanley MUFG Loan Partners, LLC and Wells Fargo Bank,</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National Association, as documentation agents, and Citigroup Global Markets Inc., and J.P. Morgan Securities LLC, as joint lead</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arrangers and co-book managers (incorporated by reference to Exhibit 10.1 to Honeywell’s Form 8-K filed July 10, 2015)</w:t>
            </w:r>
          </w:p>
        </w:tc>
      </w:tr>
      <w:tr>
        <w:trPr>
          <w:trHeight w:val="391"/>
        </w:trPr>
        <w:tc>
          <w:tcPr>
            <w:tcW w:w="920" w:type="dxa"/>
            <w:vAlign w:val="bottom"/>
            <w:gridSpan w:val="2"/>
          </w:tcPr>
          <w:p>
            <w:pPr>
              <w:spacing w:after="0"/>
              <w:rPr>
                <w:sz w:val="20"/>
                <w:szCs w:val="20"/>
                <w:color w:val="auto"/>
              </w:rPr>
            </w:pPr>
            <w:r>
              <w:rPr>
                <w:rFonts w:ascii="Arial" w:cs="Arial" w:eastAsia="Arial" w:hAnsi="Arial"/>
                <w:sz w:val="18"/>
                <w:szCs w:val="18"/>
                <w:color w:val="auto"/>
              </w:rPr>
              <w:t>10.53</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Amendment No. 1, dated as of September 30, 2015, to the Amended and Restated Five Year Credit Agreement dated as of July</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10, 2015 among Honeywell International Inc., the banks, financial institutions and other institutional lenders parties thereto,</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Citibank, N.A., as administrative agent, Citibank International Limited, as swing line agent, JPMorgan Chase Bank, N.A., as</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syndication agent, Bank of America, N.A., Barclays Bank PLC, Deutsche Bank Securities Inc., Goldman Sachs Bank USA,</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Morgan Stanley MUFG Loan Partners, LLC and Wells Fargo Bank, National Association, as documentation agents, and</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Citigroup Global Markets Inc. and J.P. Morgan Securities LLC, as joint lead arrangers and co-book managers. (incorporated by</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 to Exhibit 10.1 to Honeywell’s Form 8-K filed October 1, 2015)</w:t>
            </w:r>
          </w:p>
        </w:tc>
      </w:tr>
      <w:tr>
        <w:trPr>
          <w:trHeight w:val="391"/>
        </w:trPr>
        <w:tc>
          <w:tcPr>
            <w:tcW w:w="920" w:type="dxa"/>
            <w:vAlign w:val="bottom"/>
            <w:gridSpan w:val="2"/>
          </w:tcPr>
          <w:p>
            <w:pPr>
              <w:spacing w:after="0"/>
              <w:rPr>
                <w:sz w:val="20"/>
                <w:szCs w:val="20"/>
                <w:color w:val="auto"/>
              </w:rPr>
            </w:pPr>
            <w:r>
              <w:rPr>
                <w:rFonts w:ascii="Arial" w:cs="Arial" w:eastAsia="Arial" w:hAnsi="Arial"/>
                <w:sz w:val="18"/>
                <w:szCs w:val="18"/>
                <w:color w:val="auto"/>
              </w:rPr>
              <w:t>10.54</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Amendment No. 2, dated as of April 29, 2016, to the Amended and Restated Five Year Credit Agreement dated as of July 10,</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2015, as amended by Amendment No. 1 dated as of September 30, 2015, among Honeywell International Inc., the banks,</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financial institutions and other institutional lenders parties thereto, Citibank, N.A., as administrative agent, Citibank International</w:t>
            </w:r>
          </w:p>
        </w:tc>
      </w:tr>
    </w:tbl>
    <w:p>
      <w:pPr>
        <w:ind w:left="1160" w:right="120"/>
        <w:spacing w:after="0" w:line="239" w:lineRule="auto"/>
        <w:rPr>
          <w:sz w:val="20"/>
          <w:szCs w:val="20"/>
          <w:color w:val="auto"/>
        </w:rPr>
      </w:pPr>
      <w:r>
        <w:rPr>
          <w:rFonts w:ascii="Arial" w:cs="Arial" w:eastAsia="Arial" w:hAnsi="Arial"/>
          <w:sz w:val="18"/>
          <w:szCs w:val="18"/>
          <w:color w:val="auto"/>
        </w:rPr>
        <w:t>Limited, as swing line agent, JPMorgan Chase Bank, N.A., as syndication agent, Bank of America, N.A., Barclays Bank PLC, Deutsche Bank Securities Inc., Goldman Sachs Bank USA, Morgan Stanley MUFG Loan Partners, LLC and Wells Fargo Bank, National Association, as documentation agents, and Citigroup Global Markets Inc. and J.P. Morgan Securities LLC, as joint lead arrangers and co-book managers. (incorporated by reference to Exhibit 10.2 to Honeywell’s Form 8-K filed April 29, 2016)</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w:t>
            </w:r>
          </w:p>
        </w:tc>
        <w:tc>
          <w:tcPr>
            <w:tcW w:w="1026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b w:val="1"/>
                <w:bCs w:val="1"/>
                <w:color w:val="auto"/>
              </w:rPr>
              <w:t>No.</w:t>
            </w:r>
          </w:p>
        </w:tc>
        <w:tc>
          <w:tcPr>
            <w:tcW w:w="10260" w:type="dxa"/>
            <w:vAlign w:val="bottom"/>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0" w:type="dxa"/>
            <w:vAlign w:val="bottom"/>
          </w:tcPr>
          <w:p>
            <w:pPr>
              <w:spacing w:after="0"/>
              <w:rPr>
                <w:sz w:val="16"/>
                <w:szCs w:val="16"/>
                <w:color w:val="auto"/>
              </w:rPr>
            </w:pPr>
          </w:p>
        </w:tc>
        <w:tc>
          <w:tcPr>
            <w:tcW w:w="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10.55</w:t>
            </w:r>
          </w:p>
        </w:tc>
        <w:tc>
          <w:tcPr>
            <w:tcW w:w="240" w:type="dxa"/>
            <w:vAlign w:val="bottom"/>
          </w:tcPr>
          <w:p>
            <w:pPr>
              <w:spacing w:after="0"/>
              <w:rPr>
                <w:sz w:val="16"/>
                <w:szCs w:val="16"/>
                <w:color w:val="auto"/>
              </w:rPr>
            </w:pPr>
          </w:p>
        </w:tc>
        <w:tc>
          <w:tcPr>
            <w:tcW w:w="10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364-Day Credit Agreement, dated as of April 29, 2016, among Honeywell International Inc., the banks, financial institutions and</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other institutional lenders parties thereto, Citibank, N.A., as administrative agent, JPMorgan Chase Bank, N.A., as syndication</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agent, Bank of America, N.A., Barclays Bank PLC, Deutsche Bank Securities Inc., Goldman Sachs Bank USA, Morgan Stanley</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MUFG Loan Partners, LLC and Wells Fargo Bank, National Association, as documentation agents, and Citigroup Global Markets</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Inc. and JPMorgan Chase Bank, N.A., as joint lead arrangers and co-book managers. (incorporated by reference to Exhibit 10.1</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to Honeywell’s Form 8-K filed April 29, 2016)</w:t>
            </w:r>
          </w:p>
        </w:tc>
      </w:tr>
      <w:tr>
        <w:trPr>
          <w:trHeight w:val="405"/>
        </w:trPr>
        <w:tc>
          <w:tcPr>
            <w:tcW w:w="920" w:type="dxa"/>
            <w:vAlign w:val="bottom"/>
            <w:gridSpan w:val="2"/>
          </w:tcPr>
          <w:p>
            <w:pPr>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Statement re: Computation of Ratio of Earnings to Fixed Charges (filed herewith)</w:t>
            </w:r>
          </w:p>
        </w:tc>
      </w:tr>
      <w:tr>
        <w:trPr>
          <w:trHeight w:val="405"/>
        </w:trPr>
        <w:tc>
          <w:tcPr>
            <w:tcW w:w="920" w:type="dxa"/>
            <w:vAlign w:val="bottom"/>
            <w:gridSpan w:val="2"/>
          </w:tcPr>
          <w:p>
            <w:pPr>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Subsidiaries of the Registrant (filed herewith)</w:t>
            </w:r>
          </w:p>
        </w:tc>
      </w:tr>
      <w:tr>
        <w:trPr>
          <w:trHeight w:val="405"/>
        </w:trPr>
        <w:tc>
          <w:tcPr>
            <w:tcW w:w="920" w:type="dxa"/>
            <w:vAlign w:val="bottom"/>
            <w:gridSpan w:val="2"/>
          </w:tcPr>
          <w:p>
            <w:pPr>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Deloitte &amp; Touche LLP (filed herewith)</w:t>
            </w:r>
          </w:p>
        </w:tc>
      </w:tr>
      <w:tr>
        <w:trPr>
          <w:trHeight w:val="405"/>
        </w:trPr>
        <w:tc>
          <w:tcPr>
            <w:tcW w:w="920" w:type="dxa"/>
            <w:vAlign w:val="bottom"/>
            <w:gridSpan w:val="2"/>
          </w:tcPr>
          <w:p>
            <w:pPr>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PricewaterhouseCoopers LLC (filed herewith)</w:t>
            </w:r>
          </w:p>
        </w:tc>
      </w:tr>
      <w:tr>
        <w:trPr>
          <w:trHeight w:val="405"/>
        </w:trPr>
        <w:tc>
          <w:tcPr>
            <w:tcW w:w="920" w:type="dxa"/>
            <w:vAlign w:val="bottom"/>
            <w:gridSpan w:val="2"/>
          </w:tcPr>
          <w:p>
            <w:pPr>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Powers of Attorney (filed herewith)</w:t>
            </w:r>
          </w:p>
        </w:tc>
      </w:tr>
      <w:tr>
        <w:trPr>
          <w:trHeight w:val="405"/>
        </w:trPr>
        <w:tc>
          <w:tcPr>
            <w:tcW w:w="920" w:type="dxa"/>
            <w:vAlign w:val="bottom"/>
            <w:gridSpan w:val="2"/>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 (filed herewith)</w:t>
            </w:r>
          </w:p>
        </w:tc>
      </w:tr>
      <w:tr>
        <w:trPr>
          <w:trHeight w:val="405"/>
        </w:trPr>
        <w:tc>
          <w:tcPr>
            <w:tcW w:w="920" w:type="dxa"/>
            <w:vAlign w:val="bottom"/>
            <w:gridSpan w:val="2"/>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 (filed herewith)</w:t>
            </w:r>
          </w:p>
        </w:tc>
      </w:tr>
      <w:tr>
        <w:trPr>
          <w:trHeight w:val="391"/>
        </w:trPr>
        <w:tc>
          <w:tcPr>
            <w:tcW w:w="920" w:type="dxa"/>
            <w:vAlign w:val="bottom"/>
            <w:gridSpan w:val="2"/>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Principal Executive Officer Pursuant to 18 U.S.C. Section 1350, as Adopted Pursuant to Section 906 of the</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Sarbanes-Oxley Act of 2002 (filed herewith)</w:t>
            </w:r>
          </w:p>
        </w:tc>
      </w:tr>
      <w:tr>
        <w:trPr>
          <w:trHeight w:val="391"/>
        </w:trPr>
        <w:tc>
          <w:tcPr>
            <w:tcW w:w="920" w:type="dxa"/>
            <w:vAlign w:val="bottom"/>
            <w:gridSpan w:val="2"/>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Principal Financial Officer Pursuant to 18 U.S.C. Section 1350, as Adopted Pursuant to Section 906 of the</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Sarbanes-Oxley Act of 2002 (filed herewith)</w:t>
            </w:r>
          </w:p>
        </w:tc>
      </w:tr>
      <w:tr>
        <w:trPr>
          <w:trHeight w:val="391"/>
        </w:trPr>
        <w:tc>
          <w:tcPr>
            <w:tcW w:w="11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260" w:type="dxa"/>
            <w:vAlign w:val="bottom"/>
          </w:tcPr>
          <w:p>
            <w:pPr>
              <w:spacing w:after="0"/>
              <w:rPr>
                <w:sz w:val="20"/>
                <w:szCs w:val="20"/>
                <w:color w:val="auto"/>
              </w:rPr>
            </w:pPr>
            <w:r>
              <w:rPr>
                <w:rFonts w:ascii="Arial" w:cs="Arial" w:eastAsia="Arial" w:hAnsi="Arial"/>
                <w:sz w:val="18"/>
                <w:szCs w:val="18"/>
                <w:color w:val="auto"/>
              </w:rPr>
              <w:t>XBRL Instance Document (filed herewith)</w:t>
            </w:r>
          </w:p>
        </w:tc>
      </w:tr>
      <w:tr>
        <w:trPr>
          <w:trHeight w:val="203"/>
        </w:trPr>
        <w:tc>
          <w:tcPr>
            <w:tcW w:w="1160" w:type="dxa"/>
            <w:vAlign w:val="bottom"/>
            <w:gridSpan w:val="3"/>
          </w:tcPr>
          <w:p>
            <w:pPr>
              <w:spacing w:after="0" w:line="202" w:lineRule="exact"/>
              <w:rPr>
                <w:sz w:val="20"/>
                <w:szCs w:val="20"/>
                <w:color w:val="auto"/>
              </w:rPr>
            </w:pPr>
            <w:r>
              <w:rPr>
                <w:rFonts w:ascii="Arial" w:cs="Arial" w:eastAsia="Arial" w:hAnsi="Arial"/>
                <w:sz w:val="18"/>
                <w:szCs w:val="18"/>
                <w:color w:val="auto"/>
              </w:rPr>
              <w:t>101.SCH</w:t>
            </w: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XBRL Taxonomy Extension Schema (filed herewith)</w:t>
            </w:r>
          </w:p>
        </w:tc>
      </w:tr>
      <w:tr>
        <w:trPr>
          <w:trHeight w:val="203"/>
        </w:trPr>
        <w:tc>
          <w:tcPr>
            <w:tcW w:w="1160" w:type="dxa"/>
            <w:vAlign w:val="bottom"/>
            <w:gridSpan w:val="3"/>
          </w:tcPr>
          <w:p>
            <w:pPr>
              <w:spacing w:after="0" w:line="202" w:lineRule="exact"/>
              <w:rPr>
                <w:sz w:val="20"/>
                <w:szCs w:val="20"/>
                <w:color w:val="auto"/>
              </w:rPr>
            </w:pPr>
            <w:r>
              <w:rPr>
                <w:rFonts w:ascii="Arial" w:cs="Arial" w:eastAsia="Arial" w:hAnsi="Arial"/>
                <w:sz w:val="18"/>
                <w:szCs w:val="18"/>
                <w:color w:val="auto"/>
              </w:rPr>
              <w:t>101.CAL</w:t>
            </w: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XBRL Taxonomy Extension Calculation Linkbase (filed herewith)</w:t>
            </w:r>
          </w:p>
        </w:tc>
      </w:tr>
      <w:tr>
        <w:trPr>
          <w:trHeight w:val="203"/>
        </w:trPr>
        <w:tc>
          <w:tcPr>
            <w:tcW w:w="1160" w:type="dxa"/>
            <w:vAlign w:val="bottom"/>
            <w:gridSpan w:val="3"/>
          </w:tcPr>
          <w:p>
            <w:pPr>
              <w:spacing w:after="0" w:line="202" w:lineRule="exact"/>
              <w:rPr>
                <w:sz w:val="20"/>
                <w:szCs w:val="20"/>
                <w:color w:val="auto"/>
              </w:rPr>
            </w:pPr>
            <w:r>
              <w:rPr>
                <w:rFonts w:ascii="Arial" w:cs="Arial" w:eastAsia="Arial" w:hAnsi="Arial"/>
                <w:sz w:val="18"/>
                <w:szCs w:val="18"/>
                <w:color w:val="auto"/>
              </w:rPr>
              <w:t>101.DEF</w:t>
            </w: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XBRL Taxonomy Extension Definition Linkbase (filed herewith)</w:t>
            </w:r>
          </w:p>
        </w:tc>
      </w:tr>
      <w:tr>
        <w:trPr>
          <w:trHeight w:val="203"/>
        </w:trPr>
        <w:tc>
          <w:tcPr>
            <w:tcW w:w="1160" w:type="dxa"/>
            <w:vAlign w:val="bottom"/>
            <w:gridSpan w:val="3"/>
          </w:tcPr>
          <w:p>
            <w:pPr>
              <w:spacing w:after="0" w:line="202" w:lineRule="exact"/>
              <w:rPr>
                <w:sz w:val="20"/>
                <w:szCs w:val="20"/>
                <w:color w:val="auto"/>
              </w:rPr>
            </w:pPr>
            <w:r>
              <w:rPr>
                <w:rFonts w:ascii="Arial" w:cs="Arial" w:eastAsia="Arial" w:hAnsi="Arial"/>
                <w:sz w:val="18"/>
                <w:szCs w:val="18"/>
                <w:color w:val="auto"/>
              </w:rPr>
              <w:t>101.LAB</w:t>
            </w: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XBRL Taxonomy Extension Label Linkbase (filed herewith)</w:t>
            </w:r>
          </w:p>
        </w:tc>
      </w:tr>
      <w:tr>
        <w:trPr>
          <w:trHeight w:val="217"/>
        </w:trPr>
        <w:tc>
          <w:tcPr>
            <w:tcW w:w="11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Presentation Linkbase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137160</wp:posOffset>
            </wp:positionV>
            <wp:extent cx="68091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The Exhibits identified above with an asterisk (*) are management contracts or compensatory plans or arrangements.</w:t>
      </w:r>
    </w:p>
    <w:p>
      <w:pPr>
        <w:spacing w:after="0" w:line="17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10.43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514985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154940</wp:posOffset>
            </wp:positionV>
            <wp:extent cx="1191895" cy="2228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918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March 11,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Krishna P. Mikkilineni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Honeywell Tech Solutions Lab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151/1, Doraisanipalya, Bannerghatta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Bangalore, India 560076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Krishna,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am pleased to confirm our offer to you as Senior Vice President, Engineering, Operations and Information Technology (Band 7), located in Morristown, New Jersey reporting to David Cote, Chairman and CEO of Honeywell. In this position, you will be an Executive Officer of Honeywell for purposes of SEC Section16 reporting. The effective date of your promotion will be determined by Dave Cote (“Effective Date”), subject to the terms and conditions of this letter agreement (“Agreement”).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your new role, you will be entitled to the following compensation and benefits package, as previously approved by the Management Development and Compensation Committee of the Company’s Board of Directors: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COMPENSATION</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As of the Effective Date, your annual base salary will be increased to $600,000. Base salary reviews occur annually (beginning in 2014) and</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adjustments are based on your performance and other relevant factors.</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Annual Incentive Compensation: </w:t>
      </w:r>
      <w:r>
        <w:rPr>
          <w:rFonts w:ascii="Arial" w:cs="Arial" w:eastAsia="Arial" w:hAnsi="Arial"/>
          <w:sz w:val="18"/>
          <w:szCs w:val="18"/>
          <w:color w:val="auto"/>
        </w:rPr>
        <w:t>As of the Effective Date, your target incentive compensation opportunity will be increased to 75% of your annual cash</w:t>
      </w:r>
      <w:r>
        <w:rPr>
          <w:rFonts w:ascii="Arial" w:cs="Arial" w:eastAsia="Arial" w:hAnsi="Arial"/>
          <w:sz w:val="18"/>
          <w:szCs w:val="18"/>
          <w:b w:val="1"/>
          <w:bCs w:val="1"/>
          <w:color w:val="auto"/>
        </w:rPr>
        <w:t xml:space="preserve"> </w:t>
      </w:r>
      <w:r>
        <w:rPr>
          <w:rFonts w:ascii="Arial" w:cs="Arial" w:eastAsia="Arial" w:hAnsi="Arial"/>
          <w:sz w:val="18"/>
          <w:szCs w:val="18"/>
          <w:color w:val="auto"/>
        </w:rPr>
        <w:t>base salary earnings during the year. For 2013, your bonus will be determined by pro-rating your bonus based on your old target award percentage of 65% and your new target percentage of 75%.</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Long-Term Incentive Awards</w:t>
      </w:r>
      <w:r>
        <w:rPr>
          <w:rFonts w:ascii="Arial" w:cs="Arial" w:eastAsia="Arial" w:hAnsi="Arial"/>
          <w:sz w:val="18"/>
          <w:szCs w:val="18"/>
          <w:color w:val="auto"/>
        </w:rPr>
        <w:t>: You will be eligible for an annual stock option award with the size determined by the MDCC based on your performance and</w:t>
      </w:r>
      <w:r>
        <w:rPr>
          <w:rFonts w:ascii="Arial" w:cs="Arial" w:eastAsia="Arial" w:hAnsi="Arial"/>
          <w:sz w:val="18"/>
          <w:szCs w:val="18"/>
          <w:b w:val="1"/>
          <w:bCs w:val="1"/>
          <w:color w:val="auto"/>
        </w:rPr>
        <w:t xml:space="preserve"> </w:t>
      </w:r>
      <w:r>
        <w:rPr>
          <w:rFonts w:ascii="Arial" w:cs="Arial" w:eastAsia="Arial" w:hAnsi="Arial"/>
          <w:sz w:val="18"/>
          <w:szCs w:val="18"/>
          <w:color w:val="auto"/>
        </w:rPr>
        <w:t>future career potential with Honeywell. Stock options generally vest ratably over four years. In addition, as a recognized member of Honeywell’s leadership team, you will be eligible to receive Growth Plan Units under the Growth Plan.</w:t>
      </w:r>
    </w:p>
    <w:p>
      <w:pPr>
        <w:spacing w:after="0" w:line="18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to your eligibility for annual long-term incentive awards, you will receive a special, one-time award of 20,000 stock options as a component of this offer. This award will be granted under the terms of the 2011 Stock Incentive Plan of Honeywell International Inc. and Its Affiliates (the “Stock Incentive Plan”) and the relevant award agreement. These stock options will vest ratably over four years.</w:t>
      </w:r>
    </w:p>
    <w:p>
      <w:pPr>
        <w:spacing w:after="0" w:line="1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0" w:name="page101"/>
    <w:bookmarkEnd w:id="100"/>
    <w:p>
      <w:pPr>
        <w:spacing w:after="0"/>
        <w:rPr>
          <w:sz w:val="20"/>
          <w:szCs w:val="20"/>
          <w:color w:val="auto"/>
        </w:rPr>
      </w:pPr>
      <w:r>
        <w:rPr>
          <w:rFonts w:ascii="Arial" w:cs="Arial" w:eastAsia="Arial" w:hAnsi="Arial"/>
          <w:sz w:val="22"/>
          <w:szCs w:val="22"/>
          <w:b w:val="1"/>
          <w:bCs w:val="1"/>
          <w:u w:val="single" w:color="auto"/>
          <w:color w:val="auto"/>
        </w:rPr>
        <w:t>OTHER EXECUTIVE BENEFITS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You will also be entitled to the following Executive Benefits:</w:t>
      </w:r>
    </w:p>
    <w:p>
      <w:pPr>
        <w:spacing w:after="0" w:line="22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Vacation: You will be eligible for five (5) weeks of vacation.</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Excess Liability Insurance: Honeywell will pay the annual premium for an Excess Liability Insurance policy that provides $10,000,000 of coverage per occurrence.</w:t>
      </w:r>
    </w:p>
    <w:p>
      <w:pPr>
        <w:jc w:val="both"/>
        <w:ind w:left="660" w:hanging="328"/>
        <w:spacing w:after="0" w:line="25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Executive Severance: Honeywell’s Senior Severance Plan currently provides for 36 months of base salary continuation and target bonus if your employment is involuntary terminated for a reason other than Gross Cause (as defined in the severance plan document in effect when you terminate employment). You will be required to execute a release of claims against Honeywell and its affiliates and related parties and you may be required to agree to certain non-solicitation, non-disclosure and non-competition covenants as a condition of receiving executive severance benefits. For additional information, please consult the actual plan document.</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REPATRIATION AND DOMESTIC RELOCATION</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condition of the offer is that you agree to relocate from Bangalore, India to the Unites States. As part of this move, you are eligible for repatriation and domestic relocation benefits. You will be contacted by SIRVA (repatriation) &amp; Brookfield (relocation) after you return your signed offer letter to initiate the relocation process.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regular policy benefits, you will also be provided with additional relocation benefits,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vMerge w:val="restart"/>
          </w:tcPr>
          <w:p>
            <w:pPr>
              <w:spacing w:after="0"/>
              <w:rPr>
                <w:sz w:val="20"/>
                <w:szCs w:val="20"/>
                <w:color w:val="auto"/>
              </w:rPr>
            </w:pPr>
            <w:r>
              <w:rPr>
                <w:rFonts w:ascii="Arial" w:cs="Arial" w:eastAsia="Arial" w:hAnsi="Arial"/>
                <w:sz w:val="18"/>
                <w:szCs w:val="18"/>
                <w:color w:val="auto"/>
              </w:rPr>
              <w:t>Additional Miscellaneous Relocation Allowance</w:t>
            </w:r>
          </w:p>
        </w:tc>
        <w:tc>
          <w:tcPr>
            <w:tcW w:w="620" w:type="dxa"/>
            <w:vAlign w:val="bottom"/>
            <w:gridSpan w:val="2"/>
          </w:tcPr>
          <w:p>
            <w:pPr>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24"/>
        </w:trPr>
        <w:tc>
          <w:tcPr>
            <w:tcW w:w="7320" w:type="dxa"/>
            <w:vAlign w:val="bottom"/>
            <w:vMerge w:val="continue"/>
          </w:tcPr>
          <w:p>
            <w:pPr>
              <w:spacing w:after="0"/>
              <w:rPr>
                <w:sz w:val="19"/>
                <w:szCs w:val="19"/>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9"/>
              </w:rPr>
              <w:t>$30,000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 will also be permitted to apply up to 30-days of the leaving country temporary housing benefits provided under the repatriation policy to extend the 60-day temporary housing benefit up to 90-days.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direct payments made to you under this Repatriation and Domestic Relocation section of this Offer Letter shall be grossed up for tax purposes at the assumed tax rate of 51%.</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Should you voluntarily leave Honeywell within 24 months of your relocation to the United States, you will be obligated to repay to Honeywell, in cash and within 30 days of your termination date, 100% of the costs associated with your relocation, including any tax gross ups.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01" w:name="page102"/>
    <w:bookmarkEnd w:id="101"/>
    <w:p>
      <w:pPr>
        <w:spacing w:after="0"/>
        <w:rPr>
          <w:sz w:val="20"/>
          <w:szCs w:val="20"/>
          <w:color w:val="auto"/>
        </w:rPr>
      </w:pPr>
      <w:r>
        <w:rPr>
          <w:rFonts w:ascii="Arial" w:cs="Arial" w:eastAsia="Arial" w:hAnsi="Arial"/>
          <w:sz w:val="22"/>
          <w:szCs w:val="22"/>
          <w:b w:val="1"/>
          <w:bCs w:val="1"/>
          <w:u w:val="single" w:color="auto"/>
          <w:color w:val="auto"/>
        </w:rPr>
        <w:t>STOCK OWNERSHIP GUIDELINES FOR HONEYWELL OFFICERS</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an Officer of the Corporation, you will be required to hold four-times your annual base salary in Honeywell shares in accordance with the Corporation’s Stock Ownership Guidelines. The following table provides an overview of the Stock Ownership Guidelines. A copy of the Stock Ownership Guidelines policy documents will be separately provided to you.</w:t>
      </w:r>
    </w:p>
    <w:p>
      <w:pPr>
        <w:sectPr>
          <w:pgSz w:w="11900" w:h="16838" w:orient="portrait"/>
          <w:cols w:equalWidth="0" w:num="1">
            <w:col w:w="11420"/>
          </w:cols>
          <w:pgMar w:left="240" w:top="396"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Honeywell Shares Counted for Ownership Purposes: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268" w:hanging="268"/>
        <w:spacing w:after="0"/>
        <w:tabs>
          <w:tab w:leader="none" w:pos="268"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Unvested restricted stock units (RSUs)</w:t>
      </w:r>
    </w:p>
    <w:p>
      <w:pPr>
        <w:spacing w:after="0" w:line="23" w:lineRule="exact"/>
        <w:rPr>
          <w:rFonts w:ascii="Arial" w:cs="Arial" w:eastAsia="Arial" w:hAnsi="Arial"/>
          <w:sz w:val="18"/>
          <w:szCs w:val="18"/>
          <w:color w:val="auto"/>
        </w:rPr>
      </w:pPr>
    </w:p>
    <w:p>
      <w:pPr>
        <w:ind w:left="268" w:hanging="268"/>
        <w:spacing w:after="0"/>
        <w:tabs>
          <w:tab w:leader="none" w:pos="268"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Deferred restricted stock units</w:t>
      </w:r>
    </w:p>
    <w:p>
      <w:pPr>
        <w:spacing w:after="0" w:line="9" w:lineRule="exact"/>
        <w:rPr>
          <w:rFonts w:ascii="Arial" w:cs="Arial" w:eastAsia="Arial" w:hAnsi="Arial"/>
          <w:sz w:val="18"/>
          <w:szCs w:val="18"/>
          <w:color w:val="auto"/>
        </w:rPr>
      </w:pPr>
    </w:p>
    <w:p>
      <w:pPr>
        <w:ind w:left="268" w:hanging="268"/>
        <w:spacing w:after="0"/>
        <w:tabs>
          <w:tab w:leader="none" w:pos="268" w:val="left"/>
        </w:tabs>
        <w:numPr>
          <w:ilvl w:val="0"/>
          <w:numId w:val="40"/>
        </w:numPr>
        <w:rPr>
          <w:rFonts w:ascii="Arial" w:cs="Arial" w:eastAsia="Arial" w:hAnsi="Arial"/>
          <w:sz w:val="16"/>
          <w:szCs w:val="16"/>
          <w:color w:val="auto"/>
        </w:rPr>
      </w:pPr>
      <w:r>
        <w:rPr>
          <w:rFonts w:ascii="Arial" w:cs="Arial" w:eastAsia="Arial" w:hAnsi="Arial"/>
          <w:sz w:val="16"/>
          <w:szCs w:val="16"/>
          <w:color w:val="auto"/>
        </w:rPr>
        <w:t>Shares in tax qualified and non-qualified savings plans</w:t>
      </w:r>
    </w:p>
    <w:p>
      <w:pPr>
        <w:spacing w:after="0" w:line="32" w:lineRule="exact"/>
        <w:rPr>
          <w:rFonts w:ascii="Arial" w:cs="Arial" w:eastAsia="Arial" w:hAnsi="Arial"/>
          <w:sz w:val="16"/>
          <w:szCs w:val="16"/>
          <w:color w:val="auto"/>
        </w:rPr>
      </w:pPr>
    </w:p>
    <w:p>
      <w:pPr>
        <w:ind w:left="268" w:hanging="268"/>
        <w:spacing w:after="0"/>
        <w:tabs>
          <w:tab w:leader="none" w:pos="268"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Private holdings</w:t>
      </w:r>
    </w:p>
    <w:p>
      <w:pPr>
        <w:spacing w:after="0" w:line="200" w:lineRule="exact"/>
        <w:rPr>
          <w:sz w:val="20"/>
          <w:szCs w:val="20"/>
          <w:color w:val="auto"/>
        </w:rPr>
      </w:pPr>
    </w:p>
    <w:p>
      <w:pPr>
        <w:sectPr>
          <w:pgSz w:w="11900" w:h="16838" w:orient="portrait"/>
          <w:cols w:equalWidth="0" w:num="2">
            <w:col w:w="3820" w:space="492"/>
            <w:col w:w="7108"/>
          </w:cols>
          <w:pgMar w:left="240" w:top="396" w:right="239" w:bottom="1440" w:gutter="0" w:footer="0" w:header="0"/>
          <w:type w:val="continuous"/>
        </w:sectPr>
      </w:pPr>
    </w:p>
    <w:p>
      <w:pPr>
        <w:spacing w:after="0" w:line="11" w:lineRule="exact"/>
        <w:rPr>
          <w:sz w:val="20"/>
          <w:szCs w:val="20"/>
          <w:color w:val="auto"/>
        </w:rPr>
      </w:pPr>
    </w:p>
    <w:p>
      <w:pPr>
        <w:spacing w:after="0"/>
        <w:tabs>
          <w:tab w:leader="none" w:pos="4300" w:val="left"/>
          <w:tab w:leader="none" w:pos="4560" w:val="left"/>
        </w:tabs>
        <w:rPr>
          <w:sz w:val="20"/>
          <w:szCs w:val="20"/>
          <w:color w:val="auto"/>
        </w:rPr>
      </w:pPr>
      <w:r>
        <w:rPr>
          <w:rFonts w:ascii="Arial" w:cs="Arial" w:eastAsia="Arial" w:hAnsi="Arial"/>
          <w:sz w:val="18"/>
          <w:szCs w:val="18"/>
          <w:color w:val="auto"/>
        </w:rPr>
        <w:t>Ownership Threshold: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4X base salary</w:t>
      </w:r>
    </w:p>
    <w:p>
      <w:pPr>
        <w:spacing w:after="0" w:line="225" w:lineRule="exact"/>
        <w:rPr>
          <w:sz w:val="20"/>
          <w:szCs w:val="20"/>
          <w:color w:val="auto"/>
        </w:rPr>
      </w:pPr>
    </w:p>
    <w:p>
      <w:pPr>
        <w:spacing w:after="0"/>
        <w:tabs>
          <w:tab w:leader="none" w:pos="4300" w:val="left"/>
          <w:tab w:leader="none" w:pos="4560" w:val="left"/>
        </w:tabs>
        <w:rPr>
          <w:sz w:val="20"/>
          <w:szCs w:val="20"/>
          <w:color w:val="auto"/>
        </w:rPr>
      </w:pPr>
      <w:r>
        <w:rPr>
          <w:rFonts w:ascii="Arial" w:cs="Arial" w:eastAsia="Arial" w:hAnsi="Arial"/>
          <w:sz w:val="18"/>
          <w:szCs w:val="18"/>
          <w:color w:val="auto"/>
        </w:rPr>
        <w:t>Retention Requirements: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Indefinite holding requirement until ownership threshold is met for net gain shares from RSU</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vesting, payment of deferred RSUs and all stock option exercises</w:t>
      </w:r>
    </w:p>
    <w:p>
      <w:pPr>
        <w:spacing w:after="0" w:line="9" w:lineRule="exact"/>
        <w:rPr>
          <w:sz w:val="20"/>
          <w:szCs w:val="20"/>
          <w:color w:val="auto"/>
        </w:rPr>
      </w:pPr>
    </w:p>
    <w:p>
      <w:pPr>
        <w:ind w:left="4320"/>
        <w:spacing w:after="0"/>
        <w:tabs>
          <w:tab w:leader="none" w:pos="4560" w:val="left"/>
        </w:tabs>
        <w:rPr>
          <w:sz w:val="20"/>
          <w:szCs w:val="20"/>
          <w:color w:val="auto"/>
        </w:rPr>
      </w:pPr>
      <w:r>
        <w:rPr>
          <w:rFonts w:ascii="Arial" w:cs="Arial" w:eastAsia="Arial" w:hAnsi="Arial"/>
          <w:sz w:val="16"/>
          <w:szCs w:val="16"/>
          <w:color w:val="auto"/>
        </w:rPr>
        <w:t>·</w:t>
        <w:tab/>
        <w:t>One year for net gain shares from RSU vesting and all stock option exercises (Note: payment</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of deferred RSUs are exempt from the one year minimum hold requirement)</w:t>
      </w:r>
    </w:p>
    <w:p>
      <w:pPr>
        <w:spacing w:after="0" w:line="211" w:lineRule="exact"/>
        <w:rPr>
          <w:sz w:val="20"/>
          <w:szCs w:val="20"/>
          <w:color w:val="auto"/>
        </w:rPr>
      </w:pPr>
    </w:p>
    <w:p>
      <w:pPr>
        <w:spacing w:after="0"/>
        <w:tabs>
          <w:tab w:leader="none" w:pos="4300" w:val="left"/>
          <w:tab w:leader="none" w:pos="4560" w:val="left"/>
        </w:tabs>
        <w:rPr>
          <w:sz w:val="20"/>
          <w:szCs w:val="20"/>
          <w:color w:val="auto"/>
        </w:rPr>
      </w:pPr>
      <w:r>
        <w:rPr>
          <w:rFonts w:ascii="Arial" w:cs="Arial" w:eastAsia="Arial" w:hAnsi="Arial"/>
          <w:sz w:val="18"/>
          <w:szCs w:val="18"/>
          <w:color w:val="auto"/>
        </w:rPr>
        <w:t>Time Limit: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 time requirement to meet ownership threshold</w:t>
      </w:r>
    </w:p>
    <w:p>
      <w:pPr>
        <w:spacing w:after="0" w:line="23" w:lineRule="exact"/>
        <w:rPr>
          <w:sz w:val="20"/>
          <w:szCs w:val="20"/>
          <w:color w:val="auto"/>
        </w:rPr>
      </w:pPr>
    </w:p>
    <w:p>
      <w:pPr>
        <w:ind w:left="4580" w:hanging="268"/>
        <w:spacing w:after="0"/>
        <w:tabs>
          <w:tab w:leader="none" w:pos="4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Must meet threshold in order to sell stock</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Note that you currently satisfy the 4x multiple requirement based on your outstanding restricted stock holdings.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ACCEPTANCE OF OFFER</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condition of this employment offer, you are required to execute, in the form attached hereto, Honeywell’s “Employee Agreement Relating to Trade Secrets, Proprietary and Confidential Information” (“IP Agreement”). This IP Agreement replaces, in its entirety, any previous intellectual property agreement that you may have executed while an employee of Honeywell.</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your offer of employment with Honeywell as described herein is contingent upon your signing and returning a copy of the “Honeywell International Inc. Noncompete Agreement for Senior Executives” (“Noncompete Agreement”) before your start date. A copy of this Noncompete Agreement is attached.</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Honeywell has a long and distinguished history. But, more importantly, we are a company with a terrific future and a great place to work. Our performance culture drives growth for us and competitive advantage for our customers. We hire the best people; give them every possible opportunity to learn, grow, and develop; and reward them for their contributions. We offer career paths that span product lines, job types, businesses, and countries.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type w:val="continuous"/>
        </w:sectPr>
      </w:pPr>
    </w:p>
    <w:bookmarkStart w:id="102" w:name="page103"/>
    <w:bookmarkEnd w:id="102"/>
    <w:p>
      <w:pPr>
        <w:spacing w:after="0" w:line="277" w:lineRule="auto"/>
        <w:rPr>
          <w:sz w:val="20"/>
          <w:szCs w:val="20"/>
          <w:color w:val="auto"/>
        </w:rPr>
      </w:pPr>
      <w:r>
        <w:rPr>
          <w:rFonts w:ascii="Arial" w:cs="Arial" w:eastAsia="Arial" w:hAnsi="Arial"/>
          <w:sz w:val="18"/>
          <w:szCs w:val="18"/>
          <w:color w:val="auto"/>
        </w:rPr>
        <w:t>Krishna, we are excited to be extending this offer to you and look forward to working with you in your expanded role. Your experience and background is an asset to our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Finally, please print and sign this Agreement, the IP Agreement and the Noncompete Agreement and return them to me as soon as possible.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or need any further information about our offer, please contact me directly.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Congratulations,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 James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Human Resources and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Honeywell International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Read and Accepted:</w:t>
      </w:r>
    </w:p>
    <w:p>
      <w:pPr>
        <w:sectPr>
          <w:pgSz w:w="11900" w:h="16838" w:orient="portrait"/>
          <w:cols w:equalWidth="0" w:num="1">
            <w:col w:w="11420"/>
          </w:cols>
          <w:pgMar w:left="240" w:top="409"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Krishna P. Mikkilineni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KRISHNA P. MIKKILINENI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16979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4/4/13</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11" w:lineRule="exact"/>
        <w:rPr>
          <w:sz w:val="20"/>
          <w:szCs w:val="20"/>
          <w:color w:val="auto"/>
        </w:rPr>
      </w:pPr>
    </w:p>
    <w:p>
      <w:pPr>
        <w:sectPr>
          <w:pgSz w:w="11900" w:h="16838" w:orient="portrait"/>
          <w:cols w:equalWidth="0" w:num="2">
            <w:col w:w="7260" w:space="720"/>
            <w:col w:w="3440"/>
          </w:cols>
          <w:pgMar w:left="240" w:top="409" w:right="239" w:bottom="1440" w:gutter="0" w:footer="0" w:header="0"/>
          <w:type w:val="continuous"/>
        </w:sectPr>
      </w:pPr>
    </w:p>
    <w:p>
      <w:pPr>
        <w:spacing w:after="0" w:line="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businesses experience changing conditions. Accordingly, we reserve the right to change work assignments, reporting relationships and staffing levels to meet business needs, and your employment with Honeywell will be on an “at will” basis. This means that there is no guarantee of employment for any specific period, and either you or Honeywell may terminate your employment at any time. The descriptions of benefits and perquisites described in this offer letter are for general information purposes only and are not intended to modify any plan document, summary plan description (“SPD”) or prospectus. For a complete description of any benefit or perquisite, you may request a copy of the applicable plan document, SPD or prospectus. The Company reserves the right to modify, amend or terminate any benefit plan or perquisite in its sole and absolute discretion.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29"/>
          <w:szCs w:val="29"/>
          <w:b w:val="1"/>
          <w:bCs w:val="1"/>
          <w:color w:val="auto"/>
        </w:rPr>
        <w:t>HONEYWELL INTERNATIONAL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Employee Agreement Relating to Trade Secrets,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Proprietary and Confidential Information</w:t>
      </w:r>
    </w:p>
    <w:p>
      <w:pPr>
        <w:spacing w:after="0" w:line="20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In consideration of my employment, continued employment, compensation, and the equipment, materials, facilities and Honeywell “Trade Secrets, Proprietary and Confidential Information” (as hereinafter defined) supplied to me, I understand and agree that:</w:t>
      </w:r>
    </w:p>
    <w:p>
      <w:pPr>
        <w:spacing w:after="0" w:line="162" w:lineRule="exact"/>
        <w:rPr>
          <w:sz w:val="20"/>
          <w:szCs w:val="20"/>
          <w:color w:val="auto"/>
        </w:rPr>
      </w:pPr>
    </w:p>
    <w:p>
      <w:pPr>
        <w:jc w:val="both"/>
        <w:ind w:left="660" w:right="140" w:hanging="652"/>
        <w:spacing w:after="0" w:line="261" w:lineRule="auto"/>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Records of Inventions. </w:t>
      </w:r>
      <w:r>
        <w:rPr>
          <w:rFonts w:ascii="Arial" w:cs="Arial" w:eastAsia="Arial" w:hAnsi="Arial"/>
          <w:sz w:val="18"/>
          <w:szCs w:val="18"/>
          <w:color w:val="auto"/>
        </w:rPr>
        <w:t>I will keep complete and current written records of all Inventions I Make during the period of time I am employed by</w:t>
      </w:r>
      <w:r>
        <w:rPr>
          <w:rFonts w:ascii="Arial" w:cs="Arial" w:eastAsia="Arial" w:hAnsi="Arial"/>
          <w:sz w:val="18"/>
          <w:szCs w:val="18"/>
          <w:b w:val="1"/>
          <w:bCs w:val="1"/>
          <w:color w:val="auto"/>
        </w:rPr>
        <w:t xml:space="preserve"> </w:t>
      </w:r>
      <w:r>
        <w:rPr>
          <w:rFonts w:ascii="Arial" w:cs="Arial" w:eastAsia="Arial" w:hAnsi="Arial"/>
          <w:sz w:val="18"/>
          <w:szCs w:val="18"/>
          <w:color w:val="auto"/>
        </w:rPr>
        <w:t>Honeywell and promptly disclose all such Inventions in writing to Honeywell for the purpose of adequately determining Honeywell’s rights in each such Invention. I will supplement any such disclosures to the extent Honeywell may request that I do so. If I have any doubt as to whether or not to disclose an Invention to Honeywell, I will disclose it.</w:t>
      </w:r>
    </w:p>
    <w:p>
      <w:pPr>
        <w:spacing w:after="0" w:line="180" w:lineRule="exact"/>
        <w:rPr>
          <w:rFonts w:ascii="Arial" w:cs="Arial" w:eastAsia="Arial" w:hAnsi="Arial"/>
          <w:sz w:val="18"/>
          <w:szCs w:val="18"/>
          <w:b w:val="1"/>
          <w:bCs w:val="1"/>
          <w:color w:val="auto"/>
        </w:rPr>
      </w:pPr>
    </w:p>
    <w:p>
      <w:pPr>
        <w:jc w:val="both"/>
        <w:ind w:left="660" w:right="140" w:hanging="652"/>
        <w:spacing w:after="0" w:line="272" w:lineRule="auto"/>
        <w:tabs>
          <w:tab w:leader="none" w:pos="660"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Disclosure of Inventions after Termination. </w:t>
      </w:r>
      <w:r>
        <w:rPr>
          <w:rFonts w:ascii="Arial" w:cs="Arial" w:eastAsia="Arial" w:hAnsi="Arial"/>
          <w:sz w:val="17"/>
          <w:szCs w:val="17"/>
          <w:color w:val="auto"/>
        </w:rPr>
        <w:t>I will promptly and completely disclose in writing to Honeywell’s Law Department all Inventions</w:t>
      </w:r>
      <w:r>
        <w:rPr>
          <w:rFonts w:ascii="Arial" w:cs="Arial" w:eastAsia="Arial" w:hAnsi="Arial"/>
          <w:sz w:val="17"/>
          <w:szCs w:val="17"/>
          <w:b w:val="1"/>
          <w:bCs w:val="1"/>
          <w:color w:val="auto"/>
        </w:rPr>
        <w:t xml:space="preserve"> </w:t>
      </w:r>
      <w:r>
        <w:rPr>
          <w:rFonts w:ascii="Arial" w:cs="Arial" w:eastAsia="Arial" w:hAnsi="Arial"/>
          <w:sz w:val="17"/>
          <w:szCs w:val="17"/>
          <w:color w:val="auto"/>
        </w:rPr>
        <w:t>which I Make during the one year immediately following the end of my employment by Honeywell which relate either to my work assignment at Honeywell or to Honeywell’s Trade Secrets, Proprietary and Confidential Information for the purpose of determining Honeywell’s rights in each such Invention before filing any application for patents on such Inventions. I will not file any patent application relating to any such Invention without the prior written consent of Honeywell’s Law Department. If I do not prove that I Made the Invention entirely after leaving Honeywell’s employment, the Invention is presumed to have been Made during the period of time I was employed by Honeywell. I acknowledge that the conditions of this paragraph are no greater than is necessary for protecting Honeywell’s interests in Honeywell’s Trade Secrets, Proprietary and Confidential Information and in Inventions to which it is rightfully entitled.</w:t>
      </w:r>
    </w:p>
    <w:p>
      <w:pPr>
        <w:spacing w:after="0" w:line="172" w:lineRule="exact"/>
        <w:rPr>
          <w:rFonts w:ascii="Arial" w:cs="Arial" w:eastAsia="Arial" w:hAnsi="Arial"/>
          <w:sz w:val="17"/>
          <w:szCs w:val="17"/>
          <w:b w:val="1"/>
          <w:bCs w:val="1"/>
          <w:color w:val="auto"/>
        </w:rPr>
      </w:pPr>
    </w:p>
    <w:p>
      <w:pPr>
        <w:jc w:val="both"/>
        <w:ind w:left="660" w:right="140" w:hanging="652"/>
        <w:spacing w:after="0" w:line="291" w:lineRule="auto"/>
        <w:tabs>
          <w:tab w:leader="none" w:pos="66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Ownership of Inventions. </w:t>
      </w:r>
      <w:r>
        <w:rPr>
          <w:rFonts w:ascii="Arial" w:cs="Arial" w:eastAsia="Arial" w:hAnsi="Arial"/>
          <w:sz w:val="16"/>
          <w:szCs w:val="16"/>
          <w:color w:val="auto"/>
        </w:rPr>
        <w:t>Each and every Invention I Make during the period of time I am employed by Honeywell (a) which relates directly to</w:t>
      </w:r>
      <w:r>
        <w:rPr>
          <w:rFonts w:ascii="Arial" w:cs="Arial" w:eastAsia="Arial" w:hAnsi="Arial"/>
          <w:sz w:val="16"/>
          <w:szCs w:val="16"/>
          <w:b w:val="1"/>
          <w:bCs w:val="1"/>
          <w:color w:val="auto"/>
        </w:rPr>
        <w:t xml:space="preserve"> </w:t>
      </w:r>
      <w:r>
        <w:rPr>
          <w:rFonts w:ascii="Arial" w:cs="Arial" w:eastAsia="Arial" w:hAnsi="Arial"/>
          <w:sz w:val="16"/>
          <w:szCs w:val="16"/>
          <w:color w:val="auto"/>
        </w:rPr>
        <w:t>the business of Honeywell or to Honeywell’s actual or demonstrably anticipated research or development, or (b) which results from any work I perform for Honeywell is the sole and exclusive property of Honeywell, and I agree to assign and hereby assign my entire right, title and interest in each such Invention to Honeywell. Each Invention I Make during the period of time I am employed by Honeywell for which no equipment, supplies, facilities or Honeywell Trade Secrets, Proprietary or Confidential Information was used and which was developed entirely on my own time is my property, unless (a) the Invention relates directly to the business of Honeywell or to Honeywell’s actual or demonstrably anticipated research or development, or (b) the Invention results from any work performed by me for Honeywell. If I assert any property right in an Invention I Make during the period of time I am employed by Honeywell, I will promptly notify Honeywell’s Law Department in writing.</w:t>
      </w:r>
    </w:p>
    <w:p>
      <w:pPr>
        <w:spacing w:after="0" w:line="160" w:lineRule="exact"/>
        <w:rPr>
          <w:rFonts w:ascii="Arial" w:cs="Arial" w:eastAsia="Arial" w:hAnsi="Arial"/>
          <w:sz w:val="16"/>
          <w:szCs w:val="16"/>
          <w:b w:val="1"/>
          <w:bCs w:val="1"/>
          <w:color w:val="auto"/>
        </w:rPr>
      </w:pPr>
    </w:p>
    <w:p>
      <w:pPr>
        <w:jc w:val="both"/>
        <w:ind w:left="660" w:right="60" w:hanging="652"/>
        <w:spacing w:after="0" w:line="271" w:lineRule="auto"/>
        <w:tabs>
          <w:tab w:leader="none" w:pos="660"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Cooperation with Honeywell. </w:t>
      </w:r>
      <w:r>
        <w:rPr>
          <w:rFonts w:ascii="Arial" w:cs="Arial" w:eastAsia="Arial" w:hAnsi="Arial"/>
          <w:sz w:val="17"/>
          <w:szCs w:val="17"/>
          <w:color w:val="auto"/>
        </w:rPr>
        <w:t>I will assist and fully cooperate with Honeywell in obtaining, maintaining, and asserting the fullest measure of legal</w:t>
      </w:r>
      <w:r>
        <w:rPr>
          <w:rFonts w:ascii="Arial" w:cs="Arial" w:eastAsia="Arial" w:hAnsi="Arial"/>
          <w:sz w:val="17"/>
          <w:szCs w:val="17"/>
          <w:b w:val="1"/>
          <w:bCs w:val="1"/>
          <w:color w:val="auto"/>
        </w:rPr>
        <w:t xml:space="preserve"> </w:t>
      </w:r>
      <w:r>
        <w:rPr>
          <w:rFonts w:ascii="Arial" w:cs="Arial" w:eastAsia="Arial" w:hAnsi="Arial"/>
          <w:sz w:val="17"/>
          <w:szCs w:val="17"/>
          <w:color w:val="auto"/>
        </w:rPr>
        <w:t>protection, which Honeywell elects to obtain, maintain or assert for Inventions in which it has a property right. I will also assist and fully cooperate with Honeywell in defending Honeywell against claims of violation of the intellectual property rights of others. I will be paid my reasonable expenses in assisting, and cooperating with, Honeywell. I will execute any lawful document Honeywell requests me to execute relating to obtaining, maintaining, or asserting legal protection for any said Invention or in defending against claims of the violation of the intellectual property rights of others (including, but not limited to, executing applications, assignments, oaths, declarations, and affidavits) and I will make myself available for interviews, depositions and testimony. In the event that Honeywell is unable, after reasonable effort, to secure my signature on any document or documents needed to apply for or prosecute any patent, copyright, or other right or protection relating to an Invention, for any other reason whatsoever, I hereby irrevocably designate and appoint Honeywell and its duly authorized officers and agents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IP Agreement – US-NC</w:t>
            </w:r>
          </w:p>
        </w:tc>
        <w:tc>
          <w:tcPr>
            <w:tcW w:w="4520" w:type="dxa"/>
            <w:vAlign w:val="bottom"/>
          </w:tcPr>
          <w:p>
            <w:pPr>
              <w:ind w:left="1780"/>
              <w:spacing w:after="0"/>
              <w:rPr>
                <w:sz w:val="20"/>
                <w:szCs w:val="20"/>
                <w:color w:val="auto"/>
              </w:rPr>
            </w:pPr>
            <w:r>
              <w:rPr>
                <w:rFonts w:ascii="Arial" w:cs="Arial" w:eastAsia="Arial" w:hAnsi="Arial"/>
                <w:sz w:val="18"/>
                <w:szCs w:val="18"/>
                <w:color w:val="auto"/>
              </w:rPr>
              <w:t>Page 1 of 7</w:t>
            </w:r>
          </w:p>
        </w:tc>
        <w:tc>
          <w:tcPr>
            <w:tcW w:w="3380" w:type="dxa"/>
            <w:vAlign w:val="bottom"/>
          </w:tcPr>
          <w:p>
            <w:pPr>
              <w:ind w:left="1920"/>
              <w:spacing w:after="0"/>
              <w:rPr>
                <w:sz w:val="20"/>
                <w:szCs w:val="20"/>
                <w:color w:val="auto"/>
              </w:rPr>
            </w:pPr>
            <w:r>
              <w:rPr>
                <w:rFonts w:ascii="Arial" w:cs="Arial" w:eastAsia="Arial" w:hAnsi="Arial"/>
                <w:sz w:val="18"/>
                <w:szCs w:val="18"/>
                <w:color w:val="auto"/>
                <w:w w:val="88"/>
              </w:rPr>
              <w:t>Revised 09-15-2012</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283530</w:t>
            </w:r>
          </w:p>
        </w:tc>
        <w:tc>
          <w:tcPr>
            <w:tcW w:w="452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17"/>
        </w:trPr>
        <w:tc>
          <w:tcPr>
            <w:tcW w:w="3520" w:type="dxa"/>
            <w:vAlign w:val="bottom"/>
          </w:tcPr>
          <w:p>
            <w:pPr>
              <w:spacing w:after="0"/>
              <w:rPr>
                <w:sz w:val="20"/>
                <w:szCs w:val="20"/>
                <w:color w:val="auto"/>
              </w:rPr>
            </w:pPr>
            <w:r>
              <w:rPr>
                <w:rFonts w:ascii="Arial" w:cs="Arial" w:eastAsia="Arial" w:hAnsi="Arial"/>
                <w:sz w:val="18"/>
                <w:szCs w:val="18"/>
                <w:color w:val="auto"/>
              </w:rPr>
              <w:t>Honeywell Internal</w:t>
            </w:r>
          </w:p>
        </w:tc>
        <w:tc>
          <w:tcPr>
            <w:tcW w:w="45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77"/>
        </w:trPr>
        <w:tc>
          <w:tcPr>
            <w:tcW w:w="3520" w:type="dxa"/>
            <w:vAlign w:val="bottom"/>
            <w:tcBorders>
              <w:bottom w:val="single" w:sz="8" w:color="C0C0C0"/>
            </w:tcBorders>
          </w:tcPr>
          <w:p>
            <w:pPr>
              <w:spacing w:after="0"/>
              <w:rPr>
                <w:sz w:val="24"/>
                <w:szCs w:val="24"/>
                <w:color w:val="auto"/>
              </w:rPr>
            </w:pPr>
          </w:p>
        </w:tc>
        <w:tc>
          <w:tcPr>
            <w:tcW w:w="4520" w:type="dxa"/>
            <w:vAlign w:val="bottom"/>
            <w:tcBorders>
              <w:bottom w:val="single" w:sz="8" w:color="C0C0C0"/>
            </w:tcBorders>
          </w:tcPr>
          <w:p>
            <w:pPr>
              <w:spacing w:after="0"/>
              <w:rPr>
                <w:sz w:val="24"/>
                <w:szCs w:val="24"/>
                <w:color w:val="auto"/>
              </w:rPr>
            </w:pPr>
          </w:p>
        </w:tc>
        <w:tc>
          <w:tcPr>
            <w:tcW w:w="338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391" w:right="239" w:bottom="1440" w:gutter="0" w:footer="0" w:header="0"/>
        </w:sectPr>
      </w:pPr>
    </w:p>
    <w:bookmarkStart w:id="104" w:name="page105"/>
    <w:bookmarkEnd w:id="104"/>
    <w:p>
      <w:pPr>
        <w:jc w:val="both"/>
        <w:ind w:left="660" w:right="80"/>
        <w:spacing w:after="0" w:line="264" w:lineRule="auto"/>
        <w:rPr>
          <w:sz w:val="20"/>
          <w:szCs w:val="20"/>
          <w:color w:val="auto"/>
        </w:rPr>
      </w:pPr>
      <w:r>
        <w:rPr>
          <w:rFonts w:ascii="Arial" w:cs="Arial" w:eastAsia="Arial" w:hAnsi="Arial"/>
          <w:sz w:val="18"/>
          <w:szCs w:val="18"/>
          <w:color w:val="auto"/>
        </w:rPr>
        <w:t>as my agent and attorney-in-fact, to act for and on my behalf to execute and file any such application or applications, and to do all other lawfully-permitted acts to further the prosecution and issuance of patents, copyrights, or similar protections thereon with the same legal force and effect as if executed by me.</w:t>
      </w:r>
    </w:p>
    <w:p>
      <w:pPr>
        <w:spacing w:after="0" w:line="177" w:lineRule="exact"/>
        <w:rPr>
          <w:sz w:val="20"/>
          <w:szCs w:val="20"/>
          <w:color w:val="auto"/>
        </w:rPr>
      </w:pPr>
    </w:p>
    <w:p>
      <w:pPr>
        <w:jc w:val="both"/>
        <w:ind w:left="660" w:right="60" w:hanging="652"/>
        <w:spacing w:after="0" w:line="274" w:lineRule="auto"/>
        <w:tabs>
          <w:tab w:leader="none" w:pos="660"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Pre-employment Inventions. </w:t>
      </w:r>
      <w:r>
        <w:rPr>
          <w:rFonts w:ascii="Arial" w:cs="Arial" w:eastAsia="Arial" w:hAnsi="Arial"/>
          <w:sz w:val="17"/>
          <w:szCs w:val="17"/>
          <w:color w:val="auto"/>
        </w:rPr>
        <w:t>On Schedule A, which is an integral part of this agreement, I have completely identified (without disclosing any trade</w:t>
      </w:r>
      <w:r>
        <w:rPr>
          <w:rFonts w:ascii="Arial" w:cs="Arial" w:eastAsia="Arial" w:hAnsi="Arial"/>
          <w:sz w:val="17"/>
          <w:szCs w:val="17"/>
          <w:b w:val="1"/>
          <w:bCs w:val="1"/>
          <w:color w:val="auto"/>
        </w:rPr>
        <w:t xml:space="preserve"> </w:t>
      </w:r>
      <w:r>
        <w:rPr>
          <w:rFonts w:ascii="Arial" w:cs="Arial" w:eastAsia="Arial" w:hAnsi="Arial"/>
          <w:sz w:val="17"/>
          <w:szCs w:val="17"/>
          <w:color w:val="auto"/>
        </w:rPr>
        <w:t>secret, proprietary or other confidential information) every Invention I Made before my employment by Honeywell in which I have an ownership interest and which is not the subject matter of an issued patent or a printed publication at the time I sign this agreement. If I become aware of any projected or actual use of any such Invention by Honeywell, I will promptly notify Honeywell in writing of said use. Except as to the Inventions listed on Schedule A or those which are the subject matter of an issued patent or a printed publication at the time I sign this agreement, I will not assert any rights against Honeywell with respect to any Invention Made before my employment by Honeywell.</w:t>
      </w:r>
    </w:p>
    <w:p>
      <w:pPr>
        <w:spacing w:after="0" w:line="173" w:lineRule="exact"/>
        <w:rPr>
          <w:rFonts w:ascii="Arial" w:cs="Arial" w:eastAsia="Arial" w:hAnsi="Arial"/>
          <w:sz w:val="17"/>
          <w:szCs w:val="17"/>
          <w:b w:val="1"/>
          <w:bCs w:val="1"/>
          <w:color w:val="auto"/>
        </w:rPr>
      </w:pPr>
    </w:p>
    <w:p>
      <w:pPr>
        <w:jc w:val="both"/>
        <w:ind w:left="660" w:right="60" w:hanging="652"/>
        <w:spacing w:after="0" w:line="267" w:lineRule="auto"/>
        <w:tabs>
          <w:tab w:leader="none" w:pos="660"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Honeywell’s Trade Secrets, Proprietary and Confidential Information. </w:t>
      </w:r>
      <w:r>
        <w:rPr>
          <w:rFonts w:ascii="Arial" w:cs="Arial" w:eastAsia="Arial" w:hAnsi="Arial"/>
          <w:sz w:val="17"/>
          <w:szCs w:val="17"/>
          <w:color w:val="auto"/>
        </w:rPr>
        <w:t>I will never, directly or indirectly, during or after my employment with</w:t>
      </w:r>
      <w:r>
        <w:rPr>
          <w:rFonts w:ascii="Arial" w:cs="Arial" w:eastAsia="Arial" w:hAnsi="Arial"/>
          <w:sz w:val="17"/>
          <w:szCs w:val="17"/>
          <w:b w:val="1"/>
          <w:bCs w:val="1"/>
          <w:color w:val="auto"/>
        </w:rPr>
        <w:t xml:space="preserve"> </w:t>
      </w:r>
      <w:r>
        <w:rPr>
          <w:rFonts w:ascii="Arial" w:cs="Arial" w:eastAsia="Arial" w:hAnsi="Arial"/>
          <w:sz w:val="17"/>
          <w:szCs w:val="17"/>
          <w:color w:val="auto"/>
        </w:rPr>
        <w:t>Honeywell misappropriate, use or disclose Honeywell’s Trade Secrets, Proprietary and Confidential Information except in furthering Honeywell’s business nor will I disclose or disseminate at any time Honeywell’s Trade Secrets, Proprietary and Confidential Information to anyone who is not an officer, director, employee, attorney or authorized agent of Honeywell without the prior written consent of Honeywell’s Law Department unless the specific item of Honeywell’s Trade Secrets, Proprietary and Confidential Information: (a) is now in, or hereafter, (through no breach of this agreement) becomes general public knowledge, or (b) prior to my disclosure, dissemination or use, was lawfully acquired by me without any obligation to retain the information in confidence. In this connection, I will not publish any of Honeywell’s Trade Secrets, Proprietary and Confidential Information for dissemination outside Honeywell or file any patent application relating to any Invention I Make during the period of time I am employed by Honeywell without the prior written approval of Honeywell’s Law Department. I will execute any agreement relating to the protection of Honeywell’s Trade Secrets, Proprietary and Confidential Information or such information of any third party whose intellectual property Honeywell is under a legal obligation to protect if Honeywell requests that I do so. I will not engage without the prior written consent of Honeywell’s Law Department, either during the period of time I am employed by Honeywell or for a period of two years following my Termination of Employment for any reason, in any activity or employment in the faithful performance of which it could be reasonably anticipated that I would use or disclose Honeywell’s Trade Secrets, Proprietary and Confidential Information. All documents and tangible things embodying or containing Honeywell’s Trade Secrets, Proprietary and Confidential Information are Honeywell’s exclusive property. I have access to them solely for performing the duties of my employment by Honeywell. I will protect the confidentiality of their content and comply with all security policies and procedures, which may, from time to time, be established by Honeywell. I will return all of them and all copies, facsimiles and specimens of them and any other tangible forms of Honeywell’s Trade Secrets, Proprietary and Confidential Information in my possession, custody or control to Honeywell before leaving the employment of Honeywell.</w:t>
      </w:r>
    </w:p>
    <w:p>
      <w:pPr>
        <w:spacing w:after="0" w:line="193" w:lineRule="exact"/>
        <w:rPr>
          <w:rFonts w:ascii="Arial" w:cs="Arial" w:eastAsia="Arial" w:hAnsi="Arial"/>
          <w:sz w:val="17"/>
          <w:szCs w:val="17"/>
          <w:b w:val="1"/>
          <w:bCs w:val="1"/>
          <w:color w:val="auto"/>
        </w:rPr>
      </w:pPr>
    </w:p>
    <w:p>
      <w:pPr>
        <w:jc w:val="both"/>
        <w:ind w:left="660" w:right="60"/>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I understand that I have the right to use or practice any skill or expertise generally associated with my employment but not special or unique to Honeywell, but that I do not have the right to use, practice or disclose Honeywell’s Trade Secrets, Proprietary and Confidential Information for my own benefit or for the benefit of any third party.</w:t>
      </w:r>
    </w:p>
    <w:p>
      <w:pPr>
        <w:spacing w:after="0" w:line="177" w:lineRule="exact"/>
        <w:rPr>
          <w:rFonts w:ascii="Arial" w:cs="Arial" w:eastAsia="Arial" w:hAnsi="Arial"/>
          <w:sz w:val="17"/>
          <w:szCs w:val="17"/>
          <w:b w:val="1"/>
          <w:bCs w:val="1"/>
          <w:color w:val="auto"/>
        </w:rPr>
      </w:pPr>
    </w:p>
    <w:p>
      <w:pPr>
        <w:jc w:val="both"/>
        <w:ind w:left="660" w:right="60" w:hanging="652"/>
        <w:spacing w:after="0" w:line="261" w:lineRule="auto"/>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Trade Secrets, Proprietary or Confidential Information from Previous Employment. </w:t>
      </w:r>
      <w:r>
        <w:rPr>
          <w:rFonts w:ascii="Arial" w:cs="Arial" w:eastAsia="Arial" w:hAnsi="Arial"/>
          <w:sz w:val="18"/>
          <w:szCs w:val="18"/>
          <w:color w:val="auto"/>
        </w:rPr>
        <w:t>I certify that I have not, and will not, disclose or use</w:t>
      </w:r>
      <w:r>
        <w:rPr>
          <w:rFonts w:ascii="Arial" w:cs="Arial" w:eastAsia="Arial" w:hAnsi="Arial"/>
          <w:sz w:val="18"/>
          <w:szCs w:val="18"/>
          <w:b w:val="1"/>
          <w:bCs w:val="1"/>
          <w:color w:val="auto"/>
        </w:rPr>
        <w:t xml:space="preserve"> </w:t>
      </w:r>
      <w:r>
        <w:rPr>
          <w:rFonts w:ascii="Arial" w:cs="Arial" w:eastAsia="Arial" w:hAnsi="Arial"/>
          <w:sz w:val="18"/>
          <w:szCs w:val="18"/>
          <w:color w:val="auto"/>
        </w:rPr>
        <w:t>during my employment by Honeywell, any trade secrets, proprietary or confidential information which I acquired as a result of any previous employment or under a contractual obligation of confidentiality before my employment by Honeywell. I understand that Honeywell has no interest in and will not accept disclosure by me of any trade secrets, proprietary or confidential information,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IP Agreement – US-NC</w:t>
            </w:r>
          </w:p>
        </w:tc>
        <w:tc>
          <w:tcPr>
            <w:tcW w:w="4520" w:type="dxa"/>
            <w:vAlign w:val="bottom"/>
          </w:tcPr>
          <w:p>
            <w:pPr>
              <w:ind w:left="1780"/>
              <w:spacing w:after="0"/>
              <w:rPr>
                <w:sz w:val="20"/>
                <w:szCs w:val="20"/>
                <w:color w:val="auto"/>
              </w:rPr>
            </w:pPr>
            <w:r>
              <w:rPr>
                <w:rFonts w:ascii="Arial" w:cs="Arial" w:eastAsia="Arial" w:hAnsi="Arial"/>
                <w:sz w:val="18"/>
                <w:szCs w:val="18"/>
                <w:color w:val="auto"/>
              </w:rPr>
              <w:t>Page 2 of 7</w:t>
            </w:r>
          </w:p>
        </w:tc>
        <w:tc>
          <w:tcPr>
            <w:tcW w:w="3380" w:type="dxa"/>
            <w:vAlign w:val="bottom"/>
          </w:tcPr>
          <w:p>
            <w:pPr>
              <w:ind w:left="1920"/>
              <w:spacing w:after="0"/>
              <w:rPr>
                <w:sz w:val="20"/>
                <w:szCs w:val="20"/>
                <w:color w:val="auto"/>
              </w:rPr>
            </w:pPr>
            <w:r>
              <w:rPr>
                <w:rFonts w:ascii="Arial" w:cs="Arial" w:eastAsia="Arial" w:hAnsi="Arial"/>
                <w:sz w:val="18"/>
                <w:szCs w:val="18"/>
                <w:color w:val="auto"/>
                <w:w w:val="88"/>
              </w:rPr>
              <w:t>Revised 09-15-2012</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283530</w:t>
            </w:r>
          </w:p>
        </w:tc>
        <w:tc>
          <w:tcPr>
            <w:tcW w:w="452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17"/>
        </w:trPr>
        <w:tc>
          <w:tcPr>
            <w:tcW w:w="3520" w:type="dxa"/>
            <w:vAlign w:val="bottom"/>
          </w:tcPr>
          <w:p>
            <w:pPr>
              <w:spacing w:after="0"/>
              <w:rPr>
                <w:sz w:val="20"/>
                <w:szCs w:val="20"/>
                <w:color w:val="auto"/>
              </w:rPr>
            </w:pPr>
            <w:r>
              <w:rPr>
                <w:rFonts w:ascii="Arial" w:cs="Arial" w:eastAsia="Arial" w:hAnsi="Arial"/>
                <w:sz w:val="18"/>
                <w:szCs w:val="18"/>
                <w:color w:val="auto"/>
              </w:rPr>
              <w:t>Honeywell Internal</w:t>
            </w:r>
          </w:p>
        </w:tc>
        <w:tc>
          <w:tcPr>
            <w:tcW w:w="45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77"/>
        </w:trPr>
        <w:tc>
          <w:tcPr>
            <w:tcW w:w="3520" w:type="dxa"/>
            <w:vAlign w:val="bottom"/>
            <w:tcBorders>
              <w:bottom w:val="single" w:sz="8" w:color="C0C0C0"/>
            </w:tcBorders>
          </w:tcPr>
          <w:p>
            <w:pPr>
              <w:spacing w:after="0"/>
              <w:rPr>
                <w:sz w:val="24"/>
                <w:szCs w:val="24"/>
                <w:color w:val="auto"/>
              </w:rPr>
            </w:pPr>
          </w:p>
        </w:tc>
        <w:tc>
          <w:tcPr>
            <w:tcW w:w="4520" w:type="dxa"/>
            <w:vAlign w:val="bottom"/>
            <w:tcBorders>
              <w:bottom w:val="single" w:sz="8" w:color="C0C0C0"/>
            </w:tcBorders>
          </w:tcPr>
          <w:p>
            <w:pPr>
              <w:spacing w:after="0"/>
              <w:rPr>
                <w:sz w:val="24"/>
                <w:szCs w:val="24"/>
                <w:color w:val="auto"/>
              </w:rPr>
            </w:pPr>
          </w:p>
        </w:tc>
        <w:tc>
          <w:tcPr>
            <w:tcW w:w="338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105" w:name="page106"/>
    <w:bookmarkEnd w:id="105"/>
    <w:p>
      <w:pPr>
        <w:jc w:val="both"/>
        <w:ind w:left="660" w:right="60"/>
        <w:spacing w:after="0" w:line="255" w:lineRule="auto"/>
        <w:rPr>
          <w:sz w:val="20"/>
          <w:szCs w:val="20"/>
          <w:color w:val="auto"/>
        </w:rPr>
      </w:pPr>
      <w:r>
        <w:rPr>
          <w:rFonts w:ascii="Arial" w:cs="Arial" w:eastAsia="Arial" w:hAnsi="Arial"/>
          <w:sz w:val="18"/>
          <w:szCs w:val="18"/>
          <w:color w:val="auto"/>
        </w:rPr>
        <w:t>which belongs to a third party. If I am ever placed in a position where I will be required or am given an assignment that will require me to use, directly or indirectly, any trade secrets, proprietary or confidential information of any person, previous employer or any third party, I will promptly inform Honeywell’s Law Department and my supervisor before I undertake any activity that would involve the use or disclosure of such information or present the appearance to any such third party that I have used or disclosed such information. If I fail to do so, Honeywell may elect not to indemnify me in the event of litigation and may take such other actions, as it deems appropriate, up to and including termination of my employment.</w:t>
      </w:r>
    </w:p>
    <w:p>
      <w:pPr>
        <w:spacing w:after="0" w:line="189" w:lineRule="exact"/>
        <w:rPr>
          <w:sz w:val="20"/>
          <w:szCs w:val="20"/>
          <w:color w:val="auto"/>
        </w:rPr>
      </w:pPr>
    </w:p>
    <w:p>
      <w:pPr>
        <w:jc w:val="both"/>
        <w:ind w:left="660" w:right="60" w:hanging="652"/>
        <w:spacing w:after="0" w:line="266" w:lineRule="auto"/>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Prior Restrictive Obligation. </w:t>
      </w:r>
      <w:r>
        <w:rPr>
          <w:rFonts w:ascii="Arial" w:cs="Arial" w:eastAsia="Arial" w:hAnsi="Arial"/>
          <w:sz w:val="18"/>
          <w:szCs w:val="18"/>
          <w:color w:val="auto"/>
        </w:rPr>
        <w:t>On Schedule B, which is an integral part of this agreement, I have completely identified all prior obligations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and oral), which restrict my ability to perform the duties of my employment by Honeywell, including all confidentiality agreements and covenants restricting future employment.</w:t>
      </w:r>
    </w:p>
    <w:p>
      <w:pPr>
        <w:spacing w:after="0" w:line="176" w:lineRule="exact"/>
        <w:rPr>
          <w:rFonts w:ascii="Arial" w:cs="Arial" w:eastAsia="Arial" w:hAnsi="Arial"/>
          <w:sz w:val="18"/>
          <w:szCs w:val="18"/>
          <w:b w:val="1"/>
          <w:bCs w:val="1"/>
          <w:color w:val="auto"/>
        </w:rPr>
      </w:pPr>
    </w:p>
    <w:p>
      <w:pPr>
        <w:jc w:val="both"/>
        <w:ind w:left="660" w:right="60" w:hanging="652"/>
        <w:spacing w:after="0" w:line="254" w:lineRule="auto"/>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Nonsolicitation of Honeywell Employees. </w:t>
      </w:r>
      <w:r>
        <w:rPr>
          <w:rFonts w:ascii="Arial" w:cs="Arial" w:eastAsia="Arial" w:hAnsi="Arial"/>
          <w:sz w:val="18"/>
          <w:szCs w:val="18"/>
          <w:color w:val="auto"/>
        </w:rPr>
        <w:t>I acknowledge that Honeywell has invested, and will continue to invest, significant time and money to</w:t>
      </w:r>
      <w:r>
        <w:rPr>
          <w:rFonts w:ascii="Arial" w:cs="Arial" w:eastAsia="Arial" w:hAnsi="Arial"/>
          <w:sz w:val="18"/>
          <w:szCs w:val="18"/>
          <w:b w:val="1"/>
          <w:bCs w:val="1"/>
          <w:color w:val="auto"/>
        </w:rPr>
        <w:t xml:space="preserve"> </w:t>
      </w:r>
      <w:r>
        <w:rPr>
          <w:rFonts w:ascii="Arial" w:cs="Arial" w:eastAsia="Arial" w:hAnsi="Arial"/>
          <w:sz w:val="18"/>
          <w:szCs w:val="18"/>
          <w:color w:val="auto"/>
        </w:rPr>
        <w:t>recruit and retain its employees. Therefore, recognizing that in the course of my employment I have obtained valuable information about Honeywell employees, their respective talents and areas of expertise, I agree that, during my employment and for a period of two years following my Termination of Employment from Honeywell for any reason, I will not directly or indirectly, for my own account or for others, (i) solicit (or assist another in soliciting) for employment or for the performance of services, (ii) offer or cause to be offered employment or other service engagement, or (iii) participate in any manner in the employment or hiring for services of any current or former Honeywell employee with whom I had contact or of whom I became aware in my last two years of Honeywell employment, unless it has been more than 12 months since that individual left Honeywell. Nor will I, for my own account or for others, in any way induce or attempt to induce such individual to leave the employment of Honeywell.</w:t>
      </w:r>
    </w:p>
    <w:p>
      <w:pPr>
        <w:spacing w:after="0" w:line="189" w:lineRule="exact"/>
        <w:rPr>
          <w:rFonts w:ascii="Arial" w:cs="Arial" w:eastAsia="Arial" w:hAnsi="Arial"/>
          <w:sz w:val="18"/>
          <w:szCs w:val="18"/>
          <w:b w:val="1"/>
          <w:bCs w:val="1"/>
          <w:color w:val="auto"/>
        </w:rPr>
      </w:pPr>
    </w:p>
    <w:p>
      <w:pPr>
        <w:jc w:val="both"/>
        <w:ind w:left="660" w:right="60" w:hanging="652"/>
        <w:spacing w:after="0" w:line="269" w:lineRule="auto"/>
        <w:tabs>
          <w:tab w:leader="none" w:pos="66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Nonsolicitation of Honeywell Customers, Suppliers, Business Partners and Vendors. </w:t>
      </w:r>
      <w:r>
        <w:rPr>
          <w:rFonts w:ascii="Arial" w:cs="Arial" w:eastAsia="Arial" w:hAnsi="Arial"/>
          <w:sz w:val="17"/>
          <w:szCs w:val="17"/>
          <w:color w:val="auto"/>
        </w:rPr>
        <w:t>I acknowledge that Honeywell has invested and will</w:t>
      </w:r>
      <w:r>
        <w:rPr>
          <w:rFonts w:ascii="Arial" w:cs="Arial" w:eastAsia="Arial" w:hAnsi="Arial"/>
          <w:sz w:val="17"/>
          <w:szCs w:val="17"/>
          <w:b w:val="1"/>
          <w:bCs w:val="1"/>
          <w:color w:val="auto"/>
        </w:rPr>
        <w:t xml:space="preserve"> </w:t>
      </w:r>
      <w:r>
        <w:rPr>
          <w:rFonts w:ascii="Arial" w:cs="Arial" w:eastAsia="Arial" w:hAnsi="Arial"/>
          <w:sz w:val="17"/>
          <w:szCs w:val="17"/>
          <w:color w:val="auto"/>
        </w:rPr>
        <w:t>continue to invest significant time and money to develop valuable, continuing relationships with existing and prospective clients and customers of Honeywell. Therefore, recognizing that in the course of my employment I have obtained valuable information about Honeywell customers, suppliers, business partners, and/or vendors, and their requirements, I agree that during my employment and for a period of two years following my Termination of Employment from Honeywell for any reason, I will not directly or indirectly, for my own account or for others, solicit or assist others in soliciting or attempt to solicit (or assist others in attempting to solicit), (i) any existing clients, customers, suppliers, business partners, and/or vendors of Honeywell with whom I had contact, or of whom I became aware while employed by Honeywell during the two-year period prior to my Termination of Employment, or (ii) any prospective clients, customers, suppliers, business partners, and/or vendors of Honeywell with whom I had contact and with whom Honeywell took significant steps to do business during the two-year period prior to my Termination of Employment, for the purpose of inducing such existing or prospective clients, customers, suppliers, business partners, and/or vendors to cease doing business or reduce their business with Honeywell or to purchase, lease or utilize products or services that are competitive with, similar to, or that may be used as substitutes for any products or services offered by Honeywell.</w:t>
      </w:r>
    </w:p>
    <w:p>
      <w:pPr>
        <w:spacing w:after="0" w:line="179" w:lineRule="exact"/>
        <w:rPr>
          <w:rFonts w:ascii="Arial" w:cs="Arial" w:eastAsia="Arial" w:hAnsi="Arial"/>
          <w:sz w:val="17"/>
          <w:szCs w:val="17"/>
          <w:b w:val="1"/>
          <w:bCs w:val="1"/>
          <w:color w:val="auto"/>
        </w:rPr>
      </w:pPr>
    </w:p>
    <w:p>
      <w:pPr>
        <w:jc w:val="both"/>
        <w:ind w:left="660" w:right="60" w:hanging="652"/>
        <w:spacing w:after="0" w:line="289" w:lineRule="auto"/>
        <w:tabs>
          <w:tab w:leader="none" w:pos="66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to Future Employers. </w:t>
      </w:r>
      <w:r>
        <w:rPr>
          <w:rFonts w:ascii="Arial" w:cs="Arial" w:eastAsia="Arial" w:hAnsi="Arial"/>
          <w:sz w:val="17"/>
          <w:szCs w:val="17"/>
          <w:color w:val="auto"/>
        </w:rPr>
        <w:t>For the period of two years immediately following the end of my employment by Honeywell, I will inform each new</w:t>
      </w:r>
      <w:r>
        <w:rPr>
          <w:rFonts w:ascii="Arial" w:cs="Arial" w:eastAsia="Arial" w:hAnsi="Arial"/>
          <w:sz w:val="17"/>
          <w:szCs w:val="17"/>
          <w:b w:val="1"/>
          <w:bCs w:val="1"/>
          <w:color w:val="auto"/>
        </w:rPr>
        <w:t xml:space="preserve"> </w:t>
      </w:r>
      <w:r>
        <w:rPr>
          <w:rFonts w:ascii="Arial" w:cs="Arial" w:eastAsia="Arial" w:hAnsi="Arial"/>
          <w:sz w:val="17"/>
          <w:szCs w:val="17"/>
          <w:color w:val="auto"/>
        </w:rPr>
        <w:t>employer, prior to accepting employment, of the existence of this agreement and provide that employer with a copy of it. Honeywell has the right to inform any future employer of the existence of this agreement and to provide any future employers with a copy of it.</w:t>
      </w:r>
    </w:p>
    <w:p>
      <w:pPr>
        <w:spacing w:after="0" w:line="158" w:lineRule="exact"/>
        <w:rPr>
          <w:rFonts w:ascii="Arial" w:cs="Arial" w:eastAsia="Arial" w:hAnsi="Arial"/>
          <w:sz w:val="17"/>
          <w:szCs w:val="17"/>
          <w:b w:val="1"/>
          <w:bCs w:val="1"/>
          <w:color w:val="auto"/>
        </w:rPr>
      </w:pPr>
    </w:p>
    <w:p>
      <w:pPr>
        <w:jc w:val="both"/>
        <w:ind w:left="660" w:right="60" w:hanging="652"/>
        <w:spacing w:after="0" w:line="266" w:lineRule="auto"/>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Copyright. </w:t>
      </w:r>
      <w:r>
        <w:rPr>
          <w:rFonts w:ascii="Arial" w:cs="Arial" w:eastAsia="Arial" w:hAnsi="Arial"/>
          <w:sz w:val="18"/>
          <w:szCs w:val="18"/>
          <w:color w:val="auto"/>
        </w:rPr>
        <w:t>As to all works prepared by me which are: (i) within the scope of my employment, or (ii) based upon information I acquired from</w:t>
      </w:r>
      <w:r>
        <w:rPr>
          <w:rFonts w:ascii="Arial" w:cs="Arial" w:eastAsia="Arial" w:hAnsi="Arial"/>
          <w:sz w:val="18"/>
          <w:szCs w:val="18"/>
          <w:b w:val="1"/>
          <w:bCs w:val="1"/>
          <w:color w:val="auto"/>
        </w:rPr>
        <w:t xml:space="preserve"> </w:t>
      </w:r>
      <w:r>
        <w:rPr>
          <w:rFonts w:ascii="Arial" w:cs="Arial" w:eastAsia="Arial" w:hAnsi="Arial"/>
          <w:sz w:val="18"/>
          <w:szCs w:val="18"/>
          <w:color w:val="auto"/>
        </w:rPr>
        <w:t>Honeywell which is not normally made available to the public, or (iii) commissioned by Honeywell, but not within my scope of employment, I hereby agree to:</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IP Agreement – US-NC</w:t>
            </w:r>
          </w:p>
        </w:tc>
        <w:tc>
          <w:tcPr>
            <w:tcW w:w="4520" w:type="dxa"/>
            <w:vAlign w:val="bottom"/>
          </w:tcPr>
          <w:p>
            <w:pPr>
              <w:ind w:left="1780"/>
              <w:spacing w:after="0"/>
              <w:rPr>
                <w:sz w:val="20"/>
                <w:szCs w:val="20"/>
                <w:color w:val="auto"/>
              </w:rPr>
            </w:pPr>
            <w:r>
              <w:rPr>
                <w:rFonts w:ascii="Arial" w:cs="Arial" w:eastAsia="Arial" w:hAnsi="Arial"/>
                <w:sz w:val="18"/>
                <w:szCs w:val="18"/>
                <w:color w:val="auto"/>
              </w:rPr>
              <w:t>Page 3 of 7</w:t>
            </w:r>
          </w:p>
        </w:tc>
        <w:tc>
          <w:tcPr>
            <w:tcW w:w="3380" w:type="dxa"/>
            <w:vAlign w:val="bottom"/>
          </w:tcPr>
          <w:p>
            <w:pPr>
              <w:ind w:left="1920"/>
              <w:spacing w:after="0"/>
              <w:rPr>
                <w:sz w:val="20"/>
                <w:szCs w:val="20"/>
                <w:color w:val="auto"/>
              </w:rPr>
            </w:pPr>
            <w:r>
              <w:rPr>
                <w:rFonts w:ascii="Arial" w:cs="Arial" w:eastAsia="Arial" w:hAnsi="Arial"/>
                <w:sz w:val="18"/>
                <w:szCs w:val="18"/>
                <w:color w:val="auto"/>
                <w:w w:val="88"/>
              </w:rPr>
              <w:t>Revised 09-15-2012</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283530</w:t>
            </w:r>
          </w:p>
        </w:tc>
        <w:tc>
          <w:tcPr>
            <w:tcW w:w="452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17"/>
        </w:trPr>
        <w:tc>
          <w:tcPr>
            <w:tcW w:w="3520" w:type="dxa"/>
            <w:vAlign w:val="bottom"/>
          </w:tcPr>
          <w:p>
            <w:pPr>
              <w:spacing w:after="0"/>
              <w:rPr>
                <w:sz w:val="20"/>
                <w:szCs w:val="20"/>
                <w:color w:val="auto"/>
              </w:rPr>
            </w:pPr>
            <w:r>
              <w:rPr>
                <w:rFonts w:ascii="Arial" w:cs="Arial" w:eastAsia="Arial" w:hAnsi="Arial"/>
                <w:sz w:val="18"/>
                <w:szCs w:val="18"/>
                <w:color w:val="auto"/>
              </w:rPr>
              <w:t>Honeywell Internal</w:t>
            </w:r>
          </w:p>
        </w:tc>
        <w:tc>
          <w:tcPr>
            <w:tcW w:w="45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77"/>
        </w:trPr>
        <w:tc>
          <w:tcPr>
            <w:tcW w:w="3520" w:type="dxa"/>
            <w:vAlign w:val="bottom"/>
            <w:tcBorders>
              <w:bottom w:val="single" w:sz="8" w:color="C0C0C0"/>
            </w:tcBorders>
          </w:tcPr>
          <w:p>
            <w:pPr>
              <w:spacing w:after="0"/>
              <w:rPr>
                <w:sz w:val="24"/>
                <w:szCs w:val="24"/>
                <w:color w:val="auto"/>
              </w:rPr>
            </w:pPr>
          </w:p>
        </w:tc>
        <w:tc>
          <w:tcPr>
            <w:tcW w:w="4520" w:type="dxa"/>
            <w:vAlign w:val="bottom"/>
            <w:tcBorders>
              <w:bottom w:val="single" w:sz="8" w:color="C0C0C0"/>
            </w:tcBorders>
          </w:tcPr>
          <w:p>
            <w:pPr>
              <w:spacing w:after="0"/>
              <w:rPr>
                <w:sz w:val="24"/>
                <w:szCs w:val="24"/>
                <w:color w:val="auto"/>
              </w:rPr>
            </w:pPr>
          </w:p>
        </w:tc>
        <w:tc>
          <w:tcPr>
            <w:tcW w:w="338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106" w:name="page107"/>
    <w:bookmarkEnd w:id="106"/>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Submit to Honeywell’s Law Department and to my supervisor for approval for publication or oral dissemination;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Assign all right, title and interest in and to the copyright in all such works to Honeywell;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Waive any claim of moral rights, author’s rights, droit moral, or any equivalent rights to the extent necessary or permitted by law.</w:t>
      </w:r>
    </w:p>
    <w:p>
      <w:pPr>
        <w:spacing w:after="0" w:line="237"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I hereby release and allow Honeywell to use, for any lawful purpose, any voice reproduction, photograph, or other video likeness of me made in the course of my employment.</w:t>
      </w:r>
    </w:p>
    <w:p>
      <w:pPr>
        <w:spacing w:after="0" w:line="166" w:lineRule="exact"/>
        <w:rPr>
          <w:sz w:val="20"/>
          <w:szCs w:val="20"/>
          <w:color w:val="auto"/>
        </w:rPr>
      </w:pPr>
    </w:p>
    <w:p>
      <w:pPr>
        <w:jc w:val="both"/>
        <w:ind w:left="660" w:right="80" w:hanging="652"/>
        <w:spacing w:after="0" w:line="266" w:lineRule="auto"/>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Acknowledgement of Receipt. </w:t>
      </w:r>
      <w:r>
        <w:rPr>
          <w:rFonts w:ascii="Arial" w:cs="Arial" w:eastAsia="Arial" w:hAnsi="Arial"/>
          <w:sz w:val="18"/>
          <w:szCs w:val="18"/>
          <w:color w:val="auto"/>
        </w:rPr>
        <w:t>I acknowledge that I have received a copy of this agreement prior to accepting employment, continued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 consideration as recited herein and that execution of this agreement was an express condition of my employment, continued employment or receipt of other consideration recited herein.</w:t>
      </w:r>
    </w:p>
    <w:p>
      <w:pPr>
        <w:spacing w:after="0" w:line="176" w:lineRule="exact"/>
        <w:rPr>
          <w:rFonts w:ascii="Arial" w:cs="Arial" w:eastAsia="Arial" w:hAnsi="Arial"/>
          <w:sz w:val="18"/>
          <w:szCs w:val="18"/>
          <w:b w:val="1"/>
          <w:bCs w:val="1"/>
          <w:color w:val="auto"/>
        </w:rPr>
      </w:pPr>
    </w:p>
    <w:p>
      <w:pPr>
        <w:jc w:val="both"/>
        <w:ind w:left="660" w:right="60" w:hanging="652"/>
        <w:spacing w:after="0" w:line="270" w:lineRule="auto"/>
        <w:tabs>
          <w:tab w:leader="none" w:pos="66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Effectiveness of Agreement. </w:t>
      </w:r>
      <w:r>
        <w:rPr>
          <w:rFonts w:ascii="Arial" w:cs="Arial" w:eastAsia="Arial" w:hAnsi="Arial"/>
          <w:sz w:val="17"/>
          <w:szCs w:val="17"/>
          <w:color w:val="auto"/>
        </w:rPr>
        <w:t>I acknowledge that the provisions of this agreement are in addition to, and in no way intended to limit, restrict or</w:t>
      </w:r>
      <w:r>
        <w:rPr>
          <w:rFonts w:ascii="Arial" w:cs="Arial" w:eastAsia="Arial" w:hAnsi="Arial"/>
          <w:sz w:val="17"/>
          <w:szCs w:val="17"/>
          <w:b w:val="1"/>
          <w:bCs w:val="1"/>
          <w:color w:val="auto"/>
        </w:rPr>
        <w:t xml:space="preserve"> </w:t>
      </w:r>
      <w:r>
        <w:rPr>
          <w:rFonts w:ascii="Arial" w:cs="Arial" w:eastAsia="Arial" w:hAnsi="Arial"/>
          <w:sz w:val="17"/>
          <w:szCs w:val="17"/>
          <w:color w:val="auto"/>
        </w:rPr>
        <w:t>narrow any prior or existing agreement with Honeywell. This agreement does not replace or supersede any prior or existing employment or other agreement with Honeywell, but rather, shall be read in conjunction with such prior or existing agreements and shall be interpreted in a manner to provide Honeywell the maximum protection and the most effective and complete assignment of inventions provided by all agreements I have with Honeywell. The terms of this agreement are to be read consistent with the terms of any other intellectual property, trade secret or confidentiality agreements that I have executed with Honeywell; provided, however, to the extent there is a conflict between/among such agreements, such agreements shall be read in concert and construed as providing the broadest possible protections to Honeywell, even if such construction would require provisions of more than one such agreement to be given effect. This agreement shall be deemed effective as of the first day of my employment by Honeywell and shall continue throughout the entire period of time I am employed by Honeywell and my obligations will continue after, and survive, the end of my employment by Honeywell.</w:t>
      </w:r>
    </w:p>
    <w:p>
      <w:pPr>
        <w:spacing w:after="0" w:line="177" w:lineRule="exact"/>
        <w:rPr>
          <w:rFonts w:ascii="Arial" w:cs="Arial" w:eastAsia="Arial" w:hAnsi="Arial"/>
          <w:sz w:val="17"/>
          <w:szCs w:val="17"/>
          <w:b w:val="1"/>
          <w:bCs w:val="1"/>
          <w:color w:val="auto"/>
        </w:rPr>
      </w:pPr>
    </w:p>
    <w:p>
      <w:pPr>
        <w:ind w:left="660" w:right="880" w:hanging="652"/>
        <w:spacing w:after="0" w:line="282" w:lineRule="auto"/>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Identity of Future Employer. </w:t>
      </w:r>
      <w:r>
        <w:rPr>
          <w:rFonts w:ascii="Arial" w:cs="Arial" w:eastAsia="Arial" w:hAnsi="Arial"/>
          <w:sz w:val="18"/>
          <w:szCs w:val="18"/>
          <w:color w:val="auto"/>
        </w:rPr>
        <w:t>Upon termination of my employment for any reason, if reasonably requested by Honeywell, I shall advise</w:t>
      </w:r>
      <w:r>
        <w:rPr>
          <w:rFonts w:ascii="Arial" w:cs="Arial" w:eastAsia="Arial" w:hAnsi="Arial"/>
          <w:sz w:val="18"/>
          <w:szCs w:val="18"/>
          <w:b w:val="1"/>
          <w:bCs w:val="1"/>
          <w:color w:val="auto"/>
        </w:rPr>
        <w:t xml:space="preserve"> </w:t>
      </w:r>
      <w:r>
        <w:rPr>
          <w:rFonts w:ascii="Arial" w:cs="Arial" w:eastAsia="Arial" w:hAnsi="Arial"/>
          <w:sz w:val="18"/>
          <w:szCs w:val="18"/>
          <w:color w:val="auto"/>
        </w:rPr>
        <w:t>Honeywell of the name and address of my intended future employer.</w:t>
      </w:r>
    </w:p>
    <w:p>
      <w:pPr>
        <w:spacing w:after="0" w:line="161" w:lineRule="exact"/>
        <w:rPr>
          <w:rFonts w:ascii="Arial" w:cs="Arial" w:eastAsia="Arial" w:hAnsi="Arial"/>
          <w:sz w:val="18"/>
          <w:szCs w:val="18"/>
          <w:b w:val="1"/>
          <w:bCs w:val="1"/>
          <w:color w:val="auto"/>
        </w:rPr>
      </w:pPr>
    </w:p>
    <w:p>
      <w:pPr>
        <w:jc w:val="both"/>
        <w:ind w:left="660" w:right="60" w:hanging="652"/>
        <w:spacing w:after="0" w:line="256" w:lineRule="auto"/>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Remedies. </w:t>
      </w:r>
      <w:r>
        <w:rPr>
          <w:rFonts w:ascii="Arial" w:cs="Arial" w:eastAsia="Arial" w:hAnsi="Arial"/>
          <w:sz w:val="18"/>
          <w:szCs w:val="18"/>
          <w:color w:val="auto"/>
        </w:rPr>
        <w:t>I acknowledge that a remedy at law for any breach or threatened breach of the provisions of this Agreement would be inadequate and</w:t>
      </w:r>
      <w:r>
        <w:rPr>
          <w:rFonts w:ascii="Arial" w:cs="Arial" w:eastAsia="Arial" w:hAnsi="Arial"/>
          <w:sz w:val="18"/>
          <w:szCs w:val="18"/>
          <w:b w:val="1"/>
          <w:bCs w:val="1"/>
          <w:color w:val="auto"/>
        </w:rPr>
        <w:t xml:space="preserve"> </w:t>
      </w:r>
      <w:r>
        <w:rPr>
          <w:rFonts w:ascii="Arial" w:cs="Arial" w:eastAsia="Arial" w:hAnsi="Arial"/>
          <w:sz w:val="18"/>
          <w:szCs w:val="18"/>
          <w:color w:val="auto"/>
        </w:rPr>
        <w:t>therefore agree that Honeywell shall be entitled to injunctive relief in case of any such breach or threatened breach. In the event that a court determines that I have breached or threatened to breach this agreement, I agree to reimburse Honeywell for all attorneys’ fees and costs incurred in enforcing the terms of the agreement. However, nothing contained herein shall be construed as prohibiting Honeywell from pursuing any other remedies available for any such breach or threatened breach against me or my then-current employer which may also include but not be limited to contract damages, lost profits and punitive damages.</w:t>
      </w:r>
    </w:p>
    <w:p>
      <w:pPr>
        <w:spacing w:after="0" w:line="187" w:lineRule="exact"/>
        <w:rPr>
          <w:rFonts w:ascii="Arial" w:cs="Arial" w:eastAsia="Arial" w:hAnsi="Arial"/>
          <w:sz w:val="18"/>
          <w:szCs w:val="18"/>
          <w:b w:val="1"/>
          <w:bCs w:val="1"/>
          <w:color w:val="auto"/>
        </w:rPr>
      </w:pPr>
    </w:p>
    <w:p>
      <w:pPr>
        <w:ind w:left="660" w:right="80" w:hanging="652"/>
        <w:spacing w:after="0" w:line="347" w:lineRule="auto"/>
        <w:tabs>
          <w:tab w:leader="none" w:pos="660"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Successors; Binding Agreement. </w:t>
      </w:r>
      <w:r>
        <w:rPr>
          <w:rFonts w:ascii="Arial" w:cs="Arial" w:eastAsia="Arial" w:hAnsi="Arial"/>
          <w:sz w:val="16"/>
          <w:szCs w:val="16"/>
          <w:color w:val="auto"/>
        </w:rPr>
        <w:t>This agreement binds my heirs, executors, administrators, legal representatives and assigns and inures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of Honeywell and its successors and assigns. Only a written amendment executed by both Honeywell and me can modify this agreement.</w:t>
      </w:r>
    </w:p>
    <w:p>
      <w:pPr>
        <w:spacing w:after="0" w:line="116" w:lineRule="exact"/>
        <w:rPr>
          <w:rFonts w:ascii="Arial" w:cs="Arial" w:eastAsia="Arial" w:hAnsi="Arial"/>
          <w:sz w:val="16"/>
          <w:szCs w:val="16"/>
          <w:b w:val="1"/>
          <w:bCs w:val="1"/>
          <w:color w:val="auto"/>
        </w:rPr>
      </w:pPr>
    </w:p>
    <w:p>
      <w:pPr>
        <w:ind w:left="660" w:right="300" w:hanging="652"/>
        <w:spacing w:after="0" w:line="282" w:lineRule="auto"/>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shall be governed by and construed in accordance with the laws of the State of New Jersey without regard to its</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of conflicts of law.</w:t>
      </w:r>
    </w:p>
    <w:p>
      <w:pPr>
        <w:spacing w:after="0" w:line="161" w:lineRule="exact"/>
        <w:rPr>
          <w:rFonts w:ascii="Arial" w:cs="Arial" w:eastAsia="Arial" w:hAnsi="Arial"/>
          <w:sz w:val="18"/>
          <w:szCs w:val="18"/>
          <w:b w:val="1"/>
          <w:bCs w:val="1"/>
          <w:color w:val="auto"/>
        </w:rPr>
      </w:pPr>
    </w:p>
    <w:p>
      <w:pPr>
        <w:ind w:left="660" w:right="80" w:hanging="652"/>
        <w:spacing w:after="0" w:line="282" w:lineRule="auto"/>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Validity. </w:t>
      </w:r>
      <w:r>
        <w:rPr>
          <w:rFonts w:ascii="Arial" w:cs="Arial" w:eastAsia="Arial" w:hAnsi="Arial"/>
          <w:sz w:val="18"/>
          <w:szCs w:val="18"/>
          <w:color w:val="auto"/>
        </w:rPr>
        <w:t>It is the desire and intent of the parties hereto that the provisions of this agreement shall be enforced to the fullest extent legally-permissible. Accordingly, if any particular provision(s) of this agreement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IP Agreement – US-NC</w:t>
            </w:r>
          </w:p>
        </w:tc>
        <w:tc>
          <w:tcPr>
            <w:tcW w:w="4520" w:type="dxa"/>
            <w:vAlign w:val="bottom"/>
          </w:tcPr>
          <w:p>
            <w:pPr>
              <w:ind w:left="1780"/>
              <w:spacing w:after="0"/>
              <w:rPr>
                <w:sz w:val="20"/>
                <w:szCs w:val="20"/>
                <w:color w:val="auto"/>
              </w:rPr>
            </w:pPr>
            <w:r>
              <w:rPr>
                <w:rFonts w:ascii="Arial" w:cs="Arial" w:eastAsia="Arial" w:hAnsi="Arial"/>
                <w:sz w:val="18"/>
                <w:szCs w:val="18"/>
                <w:color w:val="auto"/>
              </w:rPr>
              <w:t>Page 4 of 7</w:t>
            </w:r>
          </w:p>
        </w:tc>
        <w:tc>
          <w:tcPr>
            <w:tcW w:w="3380" w:type="dxa"/>
            <w:vAlign w:val="bottom"/>
          </w:tcPr>
          <w:p>
            <w:pPr>
              <w:ind w:left="1920"/>
              <w:spacing w:after="0"/>
              <w:rPr>
                <w:sz w:val="20"/>
                <w:szCs w:val="20"/>
                <w:color w:val="auto"/>
              </w:rPr>
            </w:pPr>
            <w:r>
              <w:rPr>
                <w:rFonts w:ascii="Arial" w:cs="Arial" w:eastAsia="Arial" w:hAnsi="Arial"/>
                <w:sz w:val="18"/>
                <w:szCs w:val="18"/>
                <w:color w:val="auto"/>
                <w:w w:val="88"/>
              </w:rPr>
              <w:t>Revised 09-15-2012</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283530</w:t>
            </w:r>
          </w:p>
        </w:tc>
        <w:tc>
          <w:tcPr>
            <w:tcW w:w="452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17"/>
        </w:trPr>
        <w:tc>
          <w:tcPr>
            <w:tcW w:w="3520" w:type="dxa"/>
            <w:vAlign w:val="bottom"/>
          </w:tcPr>
          <w:p>
            <w:pPr>
              <w:spacing w:after="0"/>
              <w:rPr>
                <w:sz w:val="20"/>
                <w:szCs w:val="20"/>
                <w:color w:val="auto"/>
              </w:rPr>
            </w:pPr>
            <w:r>
              <w:rPr>
                <w:rFonts w:ascii="Arial" w:cs="Arial" w:eastAsia="Arial" w:hAnsi="Arial"/>
                <w:sz w:val="18"/>
                <w:szCs w:val="18"/>
                <w:color w:val="auto"/>
              </w:rPr>
              <w:t>Honeywell Internal</w:t>
            </w:r>
          </w:p>
        </w:tc>
        <w:tc>
          <w:tcPr>
            <w:tcW w:w="45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77"/>
        </w:trPr>
        <w:tc>
          <w:tcPr>
            <w:tcW w:w="3520" w:type="dxa"/>
            <w:vAlign w:val="bottom"/>
            <w:tcBorders>
              <w:bottom w:val="single" w:sz="8" w:color="C0C0C0"/>
            </w:tcBorders>
          </w:tcPr>
          <w:p>
            <w:pPr>
              <w:spacing w:after="0"/>
              <w:rPr>
                <w:sz w:val="24"/>
                <w:szCs w:val="24"/>
                <w:color w:val="auto"/>
              </w:rPr>
            </w:pPr>
          </w:p>
        </w:tc>
        <w:tc>
          <w:tcPr>
            <w:tcW w:w="4520" w:type="dxa"/>
            <w:vAlign w:val="bottom"/>
            <w:tcBorders>
              <w:bottom w:val="single" w:sz="8" w:color="C0C0C0"/>
            </w:tcBorders>
          </w:tcPr>
          <w:p>
            <w:pPr>
              <w:spacing w:after="0"/>
              <w:rPr>
                <w:sz w:val="24"/>
                <w:szCs w:val="24"/>
                <w:color w:val="auto"/>
              </w:rPr>
            </w:pPr>
          </w:p>
        </w:tc>
        <w:tc>
          <w:tcPr>
            <w:tcW w:w="338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107" w:name="page108"/>
    <w:bookmarkEnd w:id="107"/>
    <w:p>
      <w:pPr>
        <w:jc w:val="both"/>
        <w:ind w:left="660" w:right="60"/>
        <w:spacing w:after="0" w:line="276" w:lineRule="auto"/>
        <w:rPr>
          <w:sz w:val="20"/>
          <w:szCs w:val="20"/>
          <w:color w:val="auto"/>
        </w:rPr>
      </w:pPr>
      <w:r>
        <w:rPr>
          <w:rFonts w:ascii="Arial" w:cs="Arial" w:eastAsia="Arial" w:hAnsi="Arial"/>
          <w:sz w:val="17"/>
          <w:szCs w:val="17"/>
          <w:color w:val="auto"/>
        </w:rPr>
        <w:t>shall be adjudicated to be invalid or unenforceable, the court may modify or sever such provision(s), such modification or deletion to apply only with respect to the operation of such provision(s) in the particular jurisdiction in which such adjudication is made. In addition, if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 The remaining provisions of this agreement shall remain in full force and effect.</w:t>
      </w:r>
    </w:p>
    <w:p>
      <w:pPr>
        <w:spacing w:after="0" w:line="169"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b w:val="1"/>
          <w:bCs w:val="1"/>
          <w:color w:val="auto"/>
        </w:rPr>
      </w:pPr>
    </w:p>
    <w:p>
      <w:pPr>
        <w:jc w:val="both"/>
        <w:ind w:left="1300" w:right="60" w:hanging="644"/>
        <w:spacing w:after="0" w:line="259"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“Honeywell” collectively identifies Honeywell International Inc. (a Delaware corporation having a place of business at Columbia Road and Park Avenue, Morris Township, Morris County, New Jersey), its predecessors, designees and successors and its past, present and future operating companies, divisions, subsidiaries, affiliates and other business units, including businesses acquired by purchase of stock, merger or otherwise.</w:t>
      </w:r>
    </w:p>
    <w:p>
      <w:pPr>
        <w:spacing w:after="0" w:line="186" w:lineRule="exact"/>
        <w:rPr>
          <w:rFonts w:ascii="Arial" w:cs="Arial" w:eastAsia="Arial" w:hAnsi="Arial"/>
          <w:sz w:val="18"/>
          <w:szCs w:val="18"/>
          <w:color w:val="auto"/>
        </w:rPr>
      </w:pPr>
    </w:p>
    <w:p>
      <w:pPr>
        <w:jc w:val="both"/>
        <w:ind w:left="1300" w:right="60" w:hanging="644"/>
        <w:spacing w:after="0" w:line="254"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“Trade Secrets, Proprietary and Confidential Information” means information which is not generally known in the industry in which Honeywell is engaged, which may be disclosed to me or which I may learn, observe, discover or otherwise acquire during, or as a result of, my employment by Honeywell and which includes, without limitation, any information, whether patentable, patented or not, relating to any existing or contemplated products, inventions, services, technology, ideas, concepts, designs, patterns, processes, compounds, formulae, programs, devices, tools, compilations of information, methods, techniques, and including information relating to any research, development, manufacture, purchasing, engineering, know-how, business plans, sales or market methods, methods of doing business, customer lists, customer usages or requirements, or supplier information, which is owned or licensed by Honeywell or held by Honeywell in confidence.</w:t>
      </w:r>
    </w:p>
    <w:p>
      <w:pPr>
        <w:spacing w:after="0" w:line="192" w:lineRule="exact"/>
        <w:rPr>
          <w:rFonts w:ascii="Arial" w:cs="Arial" w:eastAsia="Arial" w:hAnsi="Arial"/>
          <w:sz w:val="18"/>
          <w:szCs w:val="18"/>
          <w:color w:val="auto"/>
        </w:rPr>
      </w:pPr>
    </w:p>
    <w:p>
      <w:pPr>
        <w:jc w:val="both"/>
        <w:ind w:left="1300" w:right="80" w:hanging="644"/>
        <w:spacing w:after="0" w:line="264"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“Invention” includes not only inventions (whether or not patentable), but also innovations, improvements, discoveries, ideas and all other forms of intellectual property (including, but not limited to, copyright works and mask works) – whether or not any of the foregoing constitutes trade secret or other confidential information.</w:t>
      </w:r>
    </w:p>
    <w:p>
      <w:pPr>
        <w:spacing w:after="0" w:line="181" w:lineRule="exact"/>
        <w:rPr>
          <w:rFonts w:ascii="Arial" w:cs="Arial" w:eastAsia="Arial" w:hAnsi="Arial"/>
          <w:sz w:val="18"/>
          <w:szCs w:val="18"/>
          <w:color w:val="auto"/>
        </w:rPr>
      </w:pPr>
    </w:p>
    <w:p>
      <w:pPr>
        <w:ind w:left="1300" w:right="80" w:hanging="644"/>
        <w:spacing w:after="0" w:line="277"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“Make” or “Made” when used in relation to Invention includes any one or any combination of (i) conception, (ii) reduction to practice, or (iii) development of an Invention and is without regard to whether I am a sole or joint inventor.</w:t>
      </w:r>
    </w:p>
    <w:p>
      <w:pPr>
        <w:spacing w:after="0" w:line="170" w:lineRule="exact"/>
        <w:rPr>
          <w:rFonts w:ascii="Arial" w:cs="Arial" w:eastAsia="Arial" w:hAnsi="Arial"/>
          <w:sz w:val="18"/>
          <w:szCs w:val="18"/>
          <w:color w:val="auto"/>
        </w:rPr>
      </w:pPr>
    </w:p>
    <w:p>
      <w:pPr>
        <w:jc w:val="both"/>
        <w:ind w:left="1300" w:right="80" w:hanging="644"/>
        <w:spacing w:after="0" w:line="264"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“Termination of Employment” shall be defined as any separation from employment with Honeywell regardless of the reason, including any and all voluntary and involuntary reasons for termination. The termination date for purposes of this Agreement shall be the last day I actively perform services for Honeywell.</w:t>
      </w:r>
    </w:p>
    <w:p>
      <w:pPr>
        <w:spacing w:after="0" w:line="177" w:lineRule="exact"/>
        <w:rPr>
          <w:rFonts w:ascii="Arial" w:cs="Arial" w:eastAsia="Arial" w:hAnsi="Arial"/>
          <w:sz w:val="18"/>
          <w:szCs w:val="18"/>
          <w:color w:val="auto"/>
        </w:rPr>
      </w:pPr>
    </w:p>
    <w:p>
      <w:pPr>
        <w:ind w:left="660" w:right="80" w:hanging="652"/>
        <w:spacing w:after="0" w:line="282" w:lineRule="auto"/>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Headings Descriptive. </w:t>
      </w:r>
      <w:r>
        <w:rPr>
          <w:rFonts w:ascii="Arial" w:cs="Arial" w:eastAsia="Arial" w:hAnsi="Arial"/>
          <w:sz w:val="18"/>
          <w:szCs w:val="18"/>
          <w:color w:val="auto"/>
        </w:rPr>
        <w:t>The headings of the several paragraphs of this agreement are inserted for convenience only and shall not in any way affect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meaning or construction of this agreement.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/s/ Krishna Mikkilineni</w:t>
            </w:r>
          </w:p>
        </w:tc>
        <w:tc>
          <w:tcPr>
            <w:tcW w:w="4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91"/>
              </w:rPr>
              <w:t>4/4/13</w:t>
            </w:r>
          </w:p>
        </w:tc>
        <w:tc>
          <w:tcPr>
            <w:tcW w:w="296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3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KRISHNA MIKKILINENI</w:t>
            </w:r>
          </w:p>
        </w:tc>
        <w:tc>
          <w:tcPr>
            <w:tcW w:w="4560" w:type="dxa"/>
            <w:vAlign w:val="bottom"/>
          </w:tcPr>
          <w:p>
            <w:pPr>
              <w:spacing w:after="0"/>
              <w:rPr>
                <w:sz w:val="19"/>
                <w:szCs w:val="19"/>
                <w:color w:val="auto"/>
              </w:rPr>
            </w:pPr>
          </w:p>
        </w:tc>
        <w:tc>
          <w:tcPr>
            <w:tcW w:w="4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DATE</w:t>
            </w:r>
          </w:p>
        </w:tc>
        <w:tc>
          <w:tcPr>
            <w:tcW w:w="2960" w:type="dxa"/>
            <w:vAlign w:val="bottom"/>
          </w:tcPr>
          <w:p>
            <w:pPr>
              <w:spacing w:after="0"/>
              <w:rPr>
                <w:sz w:val="19"/>
                <w:szCs w:val="19"/>
                <w:color w:val="auto"/>
              </w:rPr>
            </w:pPr>
          </w:p>
        </w:tc>
      </w:tr>
      <w:tr>
        <w:trPr>
          <w:trHeight w:val="404"/>
        </w:trPr>
        <w:tc>
          <w:tcPr>
            <w:tcW w:w="3420" w:type="dxa"/>
            <w:vAlign w:val="bottom"/>
            <w:gridSpan w:val="2"/>
          </w:tcPr>
          <w:p>
            <w:pPr>
              <w:spacing w:after="0"/>
              <w:rPr>
                <w:sz w:val="20"/>
                <w:szCs w:val="20"/>
                <w:color w:val="auto"/>
              </w:rPr>
            </w:pPr>
            <w:r>
              <w:rPr>
                <w:rFonts w:ascii="Arial" w:cs="Arial" w:eastAsia="Arial" w:hAnsi="Arial"/>
                <w:sz w:val="18"/>
                <w:szCs w:val="18"/>
                <w:color w:val="auto"/>
              </w:rPr>
              <w:t>IP Agreement – US-NC</w:t>
            </w:r>
          </w:p>
        </w:tc>
        <w:tc>
          <w:tcPr>
            <w:tcW w:w="4560" w:type="dxa"/>
            <w:vAlign w:val="bottom"/>
          </w:tcPr>
          <w:p>
            <w:pPr>
              <w:ind w:left="1880"/>
              <w:spacing w:after="0"/>
              <w:rPr>
                <w:sz w:val="20"/>
                <w:szCs w:val="20"/>
                <w:color w:val="auto"/>
              </w:rPr>
            </w:pPr>
            <w:r>
              <w:rPr>
                <w:rFonts w:ascii="Arial" w:cs="Arial" w:eastAsia="Arial" w:hAnsi="Arial"/>
                <w:sz w:val="18"/>
                <w:szCs w:val="18"/>
                <w:color w:val="auto"/>
              </w:rPr>
              <w:t>Page 5 of 7</w:t>
            </w:r>
          </w:p>
        </w:tc>
        <w:tc>
          <w:tcPr>
            <w:tcW w:w="480" w:type="dxa"/>
            <w:vAlign w:val="bottom"/>
          </w:tcPr>
          <w:p>
            <w:pPr>
              <w:spacing w:after="0"/>
              <w:rPr>
                <w:sz w:val="24"/>
                <w:szCs w:val="24"/>
                <w:color w:val="auto"/>
              </w:rPr>
            </w:pPr>
          </w:p>
        </w:tc>
        <w:tc>
          <w:tcPr>
            <w:tcW w:w="2960" w:type="dxa"/>
            <w:vAlign w:val="bottom"/>
          </w:tcPr>
          <w:p>
            <w:pPr>
              <w:ind w:left="1500"/>
              <w:spacing w:after="0"/>
              <w:rPr>
                <w:sz w:val="20"/>
                <w:szCs w:val="20"/>
                <w:color w:val="auto"/>
              </w:rPr>
            </w:pPr>
            <w:r>
              <w:rPr>
                <w:rFonts w:ascii="Arial" w:cs="Arial" w:eastAsia="Arial" w:hAnsi="Arial"/>
                <w:sz w:val="18"/>
                <w:szCs w:val="18"/>
                <w:color w:val="auto"/>
                <w:w w:val="88"/>
              </w:rPr>
              <w:t>Revised 09-15-2012</w:t>
            </w: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283530</w:t>
            </w:r>
          </w:p>
        </w:tc>
        <w:tc>
          <w:tcPr>
            <w:tcW w:w="4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217"/>
        </w:trPr>
        <w:tc>
          <w:tcPr>
            <w:tcW w:w="3420" w:type="dxa"/>
            <w:vAlign w:val="bottom"/>
            <w:gridSpan w:val="2"/>
          </w:tcPr>
          <w:p>
            <w:pPr>
              <w:spacing w:after="0"/>
              <w:rPr>
                <w:sz w:val="20"/>
                <w:szCs w:val="20"/>
                <w:color w:val="auto"/>
              </w:rPr>
            </w:pPr>
            <w:r>
              <w:rPr>
                <w:rFonts w:ascii="Arial" w:cs="Arial" w:eastAsia="Arial" w:hAnsi="Arial"/>
                <w:sz w:val="18"/>
                <w:szCs w:val="18"/>
                <w:color w:val="auto"/>
              </w:rPr>
              <w:t>Honeywell Internal</w:t>
            </w:r>
          </w:p>
        </w:tc>
        <w:tc>
          <w:tcPr>
            <w:tcW w:w="4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77"/>
        </w:trPr>
        <w:tc>
          <w:tcPr>
            <w:tcW w:w="20" w:type="dxa"/>
            <w:vAlign w:val="bottom"/>
            <w:tcBorders>
              <w:bottom w:val="single" w:sz="8" w:color="C0C0C0"/>
            </w:tcBorders>
          </w:tcPr>
          <w:p>
            <w:pPr>
              <w:spacing w:after="0"/>
              <w:rPr>
                <w:sz w:val="24"/>
                <w:szCs w:val="24"/>
                <w:color w:val="auto"/>
              </w:rPr>
            </w:pPr>
          </w:p>
        </w:tc>
        <w:tc>
          <w:tcPr>
            <w:tcW w:w="3400" w:type="dxa"/>
            <w:vAlign w:val="bottom"/>
            <w:tcBorders>
              <w:bottom w:val="single" w:sz="8" w:color="C0C0C0"/>
            </w:tcBorders>
          </w:tcPr>
          <w:p>
            <w:pPr>
              <w:spacing w:after="0"/>
              <w:rPr>
                <w:sz w:val="24"/>
                <w:szCs w:val="24"/>
                <w:color w:val="auto"/>
              </w:rPr>
            </w:pPr>
          </w:p>
        </w:tc>
        <w:tc>
          <w:tcPr>
            <w:tcW w:w="4560" w:type="dxa"/>
            <w:vAlign w:val="bottom"/>
            <w:tcBorders>
              <w:bottom w:val="single" w:sz="8" w:color="C0C0C0"/>
            </w:tcBorders>
          </w:tcPr>
          <w:p>
            <w:pPr>
              <w:spacing w:after="0"/>
              <w:rPr>
                <w:sz w:val="24"/>
                <w:szCs w:val="24"/>
                <w:color w:val="auto"/>
              </w:rPr>
            </w:pPr>
          </w:p>
        </w:tc>
        <w:tc>
          <w:tcPr>
            <w:tcW w:w="480" w:type="dxa"/>
            <w:vAlign w:val="bottom"/>
            <w:tcBorders>
              <w:bottom w:val="single" w:sz="8" w:color="C0C0C0"/>
            </w:tcBorders>
          </w:tcPr>
          <w:p>
            <w:pPr>
              <w:spacing w:after="0"/>
              <w:rPr>
                <w:sz w:val="24"/>
                <w:szCs w:val="24"/>
                <w:color w:val="auto"/>
              </w:rPr>
            </w:pPr>
          </w:p>
        </w:tc>
        <w:tc>
          <w:tcPr>
            <w:tcW w:w="296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20"/>
          <w:szCs w:val="20"/>
          <w:b w:val="1"/>
          <w:bCs w:val="1"/>
          <w:color w:val="auto"/>
        </w:rPr>
        <w:t>SCHEDULE A</w:t>
      </w:r>
    </w:p>
    <w:p>
      <w:pPr>
        <w:spacing w:after="0" w:line="197"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HAVE YOU MADE ANY INVENTIONS BEFORE THE TERM OF YOUR EMPLOYMENT WITH HONEYWELL, IN WHICH YOU HAVE AN OWNERSHIP INTEREST AND WHICH ARE NOT THE SUBJECT MATTER OF ISSUED PATENTS OR PRINTED PUBLICATIONS?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(If there are none, please enter the word “NONE”)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Please describe each such Invention without disclosing trade secrets, proprietary or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880745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735330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[Attach additional sheets if more space is needed.]</w:t>
            </w:r>
          </w:p>
        </w:tc>
        <w:tc>
          <w:tcPr>
            <w:tcW w:w="3560" w:type="dxa"/>
            <w:vAlign w:val="bottom"/>
            <w:tcBorders>
              <w:top w:val="single" w:sz="8" w:color="auto"/>
            </w:tcBorders>
          </w:tcPr>
          <w:p>
            <w:pPr>
              <w:spacing w:after="0"/>
              <w:rPr>
                <w:sz w:val="21"/>
                <w:szCs w:val="21"/>
                <w:color w:val="auto"/>
              </w:rPr>
            </w:pPr>
          </w:p>
        </w:tc>
        <w:tc>
          <w:tcPr>
            <w:tcW w:w="3380" w:type="dxa"/>
            <w:vAlign w:val="bottom"/>
            <w:tcBorders>
              <w:top w:val="single" w:sz="8" w:color="auto"/>
            </w:tcBorders>
          </w:tcPr>
          <w:p>
            <w:pPr>
              <w:spacing w:after="0"/>
              <w:rPr>
                <w:sz w:val="21"/>
                <w:szCs w:val="21"/>
                <w:color w:val="auto"/>
              </w:rPr>
            </w:pPr>
          </w:p>
        </w:tc>
      </w:tr>
      <w:tr>
        <w:trPr>
          <w:trHeight w:val="404"/>
        </w:trPr>
        <w:tc>
          <w:tcPr>
            <w:tcW w:w="4480" w:type="dxa"/>
            <w:vAlign w:val="bottom"/>
          </w:tcPr>
          <w:p>
            <w:pPr>
              <w:spacing w:after="0"/>
              <w:rPr>
                <w:sz w:val="20"/>
                <w:szCs w:val="20"/>
                <w:color w:val="auto"/>
              </w:rPr>
            </w:pPr>
            <w:r>
              <w:rPr>
                <w:rFonts w:ascii="Arial" w:cs="Arial" w:eastAsia="Arial" w:hAnsi="Arial"/>
                <w:sz w:val="18"/>
                <w:szCs w:val="18"/>
                <w:color w:val="auto"/>
              </w:rPr>
              <w:t>IP Agreement – US-NC</w:t>
            </w:r>
          </w:p>
        </w:tc>
        <w:tc>
          <w:tcPr>
            <w:tcW w:w="3560" w:type="dxa"/>
            <w:vAlign w:val="bottom"/>
          </w:tcPr>
          <w:p>
            <w:pPr>
              <w:ind w:left="820"/>
              <w:spacing w:after="0"/>
              <w:rPr>
                <w:sz w:val="20"/>
                <w:szCs w:val="20"/>
                <w:color w:val="auto"/>
              </w:rPr>
            </w:pPr>
            <w:r>
              <w:rPr>
                <w:rFonts w:ascii="Arial" w:cs="Arial" w:eastAsia="Arial" w:hAnsi="Arial"/>
                <w:sz w:val="18"/>
                <w:szCs w:val="18"/>
                <w:color w:val="auto"/>
              </w:rPr>
              <w:t>Page 6 of 7</w:t>
            </w:r>
          </w:p>
        </w:tc>
        <w:tc>
          <w:tcPr>
            <w:tcW w:w="3380" w:type="dxa"/>
            <w:vAlign w:val="bottom"/>
          </w:tcPr>
          <w:p>
            <w:pPr>
              <w:ind w:left="1920"/>
              <w:spacing w:after="0"/>
              <w:rPr>
                <w:sz w:val="20"/>
                <w:szCs w:val="20"/>
                <w:color w:val="auto"/>
              </w:rPr>
            </w:pPr>
            <w:r>
              <w:rPr>
                <w:rFonts w:ascii="Arial" w:cs="Arial" w:eastAsia="Arial" w:hAnsi="Arial"/>
                <w:sz w:val="18"/>
                <w:szCs w:val="18"/>
                <w:color w:val="auto"/>
                <w:w w:val="88"/>
              </w:rPr>
              <w:t>Revised 09-15-2012</w:t>
            </w: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283530</w:t>
            </w:r>
          </w:p>
        </w:tc>
        <w:tc>
          <w:tcPr>
            <w:tcW w:w="356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17"/>
        </w:trPr>
        <w:tc>
          <w:tcPr>
            <w:tcW w:w="4480" w:type="dxa"/>
            <w:vAlign w:val="bottom"/>
          </w:tcPr>
          <w:p>
            <w:pPr>
              <w:spacing w:after="0"/>
              <w:rPr>
                <w:sz w:val="20"/>
                <w:szCs w:val="20"/>
                <w:color w:val="auto"/>
              </w:rPr>
            </w:pPr>
            <w:r>
              <w:rPr>
                <w:rFonts w:ascii="Arial" w:cs="Arial" w:eastAsia="Arial" w:hAnsi="Arial"/>
                <w:sz w:val="18"/>
                <w:szCs w:val="18"/>
                <w:color w:val="auto"/>
              </w:rPr>
              <w:t>Honeywell Internal</w:t>
            </w:r>
          </w:p>
        </w:tc>
        <w:tc>
          <w:tcPr>
            <w:tcW w:w="356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77"/>
        </w:trPr>
        <w:tc>
          <w:tcPr>
            <w:tcW w:w="4480" w:type="dxa"/>
            <w:vAlign w:val="bottom"/>
            <w:tcBorders>
              <w:bottom w:val="single" w:sz="8" w:color="C0C0C0"/>
            </w:tcBorders>
          </w:tcPr>
          <w:p>
            <w:pPr>
              <w:spacing w:after="0"/>
              <w:rPr>
                <w:sz w:val="24"/>
                <w:szCs w:val="24"/>
                <w:color w:val="auto"/>
              </w:rPr>
            </w:pPr>
          </w:p>
        </w:tc>
        <w:tc>
          <w:tcPr>
            <w:tcW w:w="3560" w:type="dxa"/>
            <w:vAlign w:val="bottom"/>
            <w:tcBorders>
              <w:bottom w:val="single" w:sz="8" w:color="C0C0C0"/>
            </w:tcBorders>
          </w:tcPr>
          <w:p>
            <w:pPr>
              <w:spacing w:after="0"/>
              <w:rPr>
                <w:sz w:val="24"/>
                <w:szCs w:val="24"/>
                <w:color w:val="auto"/>
              </w:rPr>
            </w:pPr>
          </w:p>
        </w:tc>
        <w:tc>
          <w:tcPr>
            <w:tcW w:w="338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441"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20"/>
          <w:szCs w:val="20"/>
          <w:b w:val="1"/>
          <w:bCs w:val="1"/>
          <w:color w:val="auto"/>
        </w:rPr>
        <w:t>SCHEDULE B</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DO YOU HAVE ANY PRIOR OBLIGATIONS (WRITTEN OR ORAL) WHICH WOULD RESTRICT YOUR ABILITY TO PERFORM THE DUTIES OF YOUR EMPLOYMENT WITH HONEYWELL?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there are none, please enter the word “NONE”)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Please give date of, and parties to, obligations and the nature and substance of the restriction.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880745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735330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[Attach additional sheets if more space is needed.]</w:t>
            </w:r>
          </w:p>
        </w:tc>
        <w:tc>
          <w:tcPr>
            <w:tcW w:w="3560" w:type="dxa"/>
            <w:vAlign w:val="bottom"/>
            <w:tcBorders>
              <w:top w:val="single" w:sz="8" w:color="auto"/>
            </w:tcBorders>
          </w:tcPr>
          <w:p>
            <w:pPr>
              <w:spacing w:after="0"/>
              <w:rPr>
                <w:sz w:val="21"/>
                <w:szCs w:val="21"/>
                <w:color w:val="auto"/>
              </w:rPr>
            </w:pPr>
          </w:p>
        </w:tc>
        <w:tc>
          <w:tcPr>
            <w:tcW w:w="3380" w:type="dxa"/>
            <w:vAlign w:val="bottom"/>
            <w:tcBorders>
              <w:top w:val="single" w:sz="8" w:color="auto"/>
            </w:tcBorders>
          </w:tcPr>
          <w:p>
            <w:pPr>
              <w:spacing w:after="0"/>
              <w:rPr>
                <w:sz w:val="21"/>
                <w:szCs w:val="21"/>
                <w:color w:val="auto"/>
              </w:rPr>
            </w:pPr>
          </w:p>
        </w:tc>
      </w:tr>
      <w:tr>
        <w:trPr>
          <w:trHeight w:val="404"/>
        </w:trPr>
        <w:tc>
          <w:tcPr>
            <w:tcW w:w="4480" w:type="dxa"/>
            <w:vAlign w:val="bottom"/>
          </w:tcPr>
          <w:p>
            <w:pPr>
              <w:spacing w:after="0"/>
              <w:rPr>
                <w:sz w:val="20"/>
                <w:szCs w:val="20"/>
                <w:color w:val="auto"/>
              </w:rPr>
            </w:pPr>
            <w:r>
              <w:rPr>
                <w:rFonts w:ascii="Arial" w:cs="Arial" w:eastAsia="Arial" w:hAnsi="Arial"/>
                <w:sz w:val="18"/>
                <w:szCs w:val="18"/>
                <w:color w:val="auto"/>
              </w:rPr>
              <w:t>IP Agreement – US-NC</w:t>
            </w:r>
          </w:p>
        </w:tc>
        <w:tc>
          <w:tcPr>
            <w:tcW w:w="3560" w:type="dxa"/>
            <w:vAlign w:val="bottom"/>
          </w:tcPr>
          <w:p>
            <w:pPr>
              <w:ind w:left="820"/>
              <w:spacing w:after="0"/>
              <w:rPr>
                <w:sz w:val="20"/>
                <w:szCs w:val="20"/>
                <w:color w:val="auto"/>
              </w:rPr>
            </w:pPr>
            <w:r>
              <w:rPr>
                <w:rFonts w:ascii="Arial" w:cs="Arial" w:eastAsia="Arial" w:hAnsi="Arial"/>
                <w:sz w:val="18"/>
                <w:szCs w:val="18"/>
                <w:color w:val="auto"/>
              </w:rPr>
              <w:t>Page 7 of 7</w:t>
            </w:r>
          </w:p>
        </w:tc>
        <w:tc>
          <w:tcPr>
            <w:tcW w:w="3380" w:type="dxa"/>
            <w:vAlign w:val="bottom"/>
          </w:tcPr>
          <w:p>
            <w:pPr>
              <w:ind w:left="1920"/>
              <w:spacing w:after="0"/>
              <w:rPr>
                <w:sz w:val="20"/>
                <w:szCs w:val="20"/>
                <w:color w:val="auto"/>
              </w:rPr>
            </w:pPr>
            <w:r>
              <w:rPr>
                <w:rFonts w:ascii="Arial" w:cs="Arial" w:eastAsia="Arial" w:hAnsi="Arial"/>
                <w:sz w:val="18"/>
                <w:szCs w:val="18"/>
                <w:color w:val="auto"/>
                <w:w w:val="88"/>
              </w:rPr>
              <w:t>Revised 09-15-2012</w:t>
            </w: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283530</w:t>
            </w:r>
          </w:p>
        </w:tc>
        <w:tc>
          <w:tcPr>
            <w:tcW w:w="356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17"/>
        </w:trPr>
        <w:tc>
          <w:tcPr>
            <w:tcW w:w="4480" w:type="dxa"/>
            <w:vAlign w:val="bottom"/>
          </w:tcPr>
          <w:p>
            <w:pPr>
              <w:spacing w:after="0"/>
              <w:rPr>
                <w:sz w:val="20"/>
                <w:szCs w:val="20"/>
                <w:color w:val="auto"/>
              </w:rPr>
            </w:pPr>
            <w:r>
              <w:rPr>
                <w:rFonts w:ascii="Arial" w:cs="Arial" w:eastAsia="Arial" w:hAnsi="Arial"/>
                <w:sz w:val="18"/>
                <w:szCs w:val="18"/>
                <w:color w:val="auto"/>
              </w:rPr>
              <w:t>Honeywell Internal</w:t>
            </w:r>
          </w:p>
        </w:tc>
        <w:tc>
          <w:tcPr>
            <w:tcW w:w="356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77"/>
        </w:trPr>
        <w:tc>
          <w:tcPr>
            <w:tcW w:w="4480" w:type="dxa"/>
            <w:vAlign w:val="bottom"/>
            <w:tcBorders>
              <w:bottom w:val="single" w:sz="8" w:color="C0C0C0"/>
            </w:tcBorders>
          </w:tcPr>
          <w:p>
            <w:pPr>
              <w:spacing w:after="0"/>
              <w:rPr>
                <w:sz w:val="24"/>
                <w:szCs w:val="24"/>
                <w:color w:val="auto"/>
              </w:rPr>
            </w:pPr>
          </w:p>
        </w:tc>
        <w:tc>
          <w:tcPr>
            <w:tcW w:w="3560" w:type="dxa"/>
            <w:vAlign w:val="bottom"/>
            <w:tcBorders>
              <w:bottom w:val="single" w:sz="8" w:color="C0C0C0"/>
            </w:tcBorders>
          </w:tcPr>
          <w:p>
            <w:pPr>
              <w:spacing w:after="0"/>
              <w:rPr>
                <w:sz w:val="24"/>
                <w:szCs w:val="24"/>
                <w:color w:val="auto"/>
              </w:rPr>
            </w:pPr>
          </w:p>
        </w:tc>
        <w:tc>
          <w:tcPr>
            <w:tcW w:w="338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441" w:right="239" w:bottom="1440" w:gutter="0" w:footer="0" w:header="0"/>
        </w:sectPr>
      </w:pPr>
    </w:p>
    <w:bookmarkStart w:id="110" w:name="page111"/>
    <w:bookmarkEnd w:id="110"/>
    <w:p>
      <w:pPr>
        <w:jc w:val="center"/>
        <w:spacing w:after="0" w:line="255" w:lineRule="auto"/>
        <w:rPr>
          <w:sz w:val="20"/>
          <w:szCs w:val="20"/>
          <w:color w:val="auto"/>
        </w:rPr>
      </w:pPr>
      <w:r>
        <w:rPr>
          <w:rFonts w:ascii="Arial" w:cs="Arial" w:eastAsia="Arial" w:hAnsi="Arial"/>
          <w:sz w:val="32"/>
          <w:szCs w:val="32"/>
          <w:b w:val="1"/>
          <w:bCs w:val="1"/>
          <w:color w:val="auto"/>
        </w:rPr>
        <w:t>HONEYWELL INTERNATIONAL NONCOMPETE AGREEMENT FOR SENIOR EXECUTIVES</w:t>
      </w:r>
    </w:p>
    <w:p>
      <w:pPr>
        <w:spacing w:after="0" w:line="31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consideration of my transfer, promotion, or hire into my role as a Senior Executive of the company, my employment, continued employment, compensation and the equipment, materials, facilities and the Trade Secrets, Proprietary and Confidential Information supplied to me, I agree to the following:</w:t>
      </w:r>
    </w:p>
    <w:p>
      <w:pPr>
        <w:spacing w:after="0" w:line="120" w:lineRule="exact"/>
        <w:rPr>
          <w:sz w:val="20"/>
          <w:szCs w:val="20"/>
          <w:color w:val="auto"/>
        </w:rPr>
      </w:pPr>
    </w:p>
    <w:p>
      <w:pPr>
        <w:jc w:val="both"/>
        <w:ind w:firstLine="8"/>
        <w:spacing w:after="0" w:line="270" w:lineRule="auto"/>
        <w:tabs>
          <w:tab w:leader="none" w:pos="187"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Noncompetition. </w:t>
      </w:r>
      <w:r>
        <w:rPr>
          <w:rFonts w:ascii="Arial" w:cs="Arial" w:eastAsia="Arial" w:hAnsi="Arial"/>
          <w:sz w:val="17"/>
          <w:szCs w:val="17"/>
          <w:color w:val="auto"/>
        </w:rPr>
        <w:t>I acknowledge that in the course of my employment with or provision of services to Honeywell, I have and will become familiar with</w:t>
      </w:r>
      <w:r>
        <w:rPr>
          <w:rFonts w:ascii="Arial" w:cs="Arial" w:eastAsia="Arial" w:hAnsi="Arial"/>
          <w:sz w:val="17"/>
          <w:szCs w:val="17"/>
          <w:b w:val="1"/>
          <w:bCs w:val="1"/>
          <w:color w:val="auto"/>
        </w:rPr>
        <w:t xml:space="preserve"> </w:t>
      </w:r>
      <w:r>
        <w:rPr>
          <w:rFonts w:ascii="Arial" w:cs="Arial" w:eastAsia="Arial" w:hAnsi="Arial"/>
          <w:sz w:val="17"/>
          <w:szCs w:val="17"/>
          <w:color w:val="auto"/>
        </w:rPr>
        <w:t>Trade Secrets, Proprietary and Confidential Information concerning Honeywell, its businesses and employees, including but not limited to, Honeywell’s business methods, business systems, strategic plans, plans for acquisition or disposition of products, expansion plans, financial status and plans, financial data, customer lists and data, and personnel information. I understand and agree that as part of my continued employment with Honeywell, I will continue to have access to and receive Trade Secrets, Proprietary and Confidential Information concerning Honeywell. I further acknowledge that Honeywell operates in a very competitive business environment and my services are and will be of special, unique and extraordinary value to Honeywell. I further acknowledge that I have been given and will continue to be given access to, and develop relationships with, customers of Honeywell at the time and expense of Honeywell and have and will continue to receive training, experience and expertise from Honeywell that make my services of special, unique and extraordinary value to Honeywell. I further acknowledge and agree that I will not, directly or indirectly, at any time during or after my employment with Honeywell, except in the course of performing my duties at Honeywell, disclose, disseminate, make available or use Honeywell’s Trade Secrets, Proprietary and Confidential Information.</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 agree that, during my employment and for a period of two (2) years following my Termination of Employment with Honeywell for any reason, I will not become employed by, perform services for, or otherwise become associated with (as an employee, officer, director, principal, agent, manager, partner, co-partner or consultant or any other individual or representative role) a Competing Business (as defined below). This restriction shall apply to any Competing Business that conducts business in the same or substantially similar geographic area in which any Honeywell business, for which I was employed or performed services in a job covered by this Program during the Look Back Period, conducts business or plans to conduct business as of my Termination of Employment. I acknowledge (i) that Honeywell’s business is conducted throughout the United States and around the world, (ii) notwithstanding the state of incorporation or principal office of Honeywell, it is expected that Honeywell will have business activities and have valuable business relationships within its industry throughout the United States and around the world, and (iii) as part of my responsibilities, I may be conducting business throughout the United States and around the world in furtherance of Honeywell’s business and its relationships.</w:t>
      </w:r>
    </w:p>
    <w:p>
      <w:pPr>
        <w:spacing w:after="0" w:line="18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 “Competing Business” shall mean any business, person, entity or group of business entities, regardless of whether organized as a corporation, partnership (general or limited), joint venture, association or other organization, that (i) conducts or is planning to conduct a business</w:t>
      </w:r>
    </w:p>
    <w:p>
      <w:pPr>
        <w:spacing w:after="0" w:line="147" w:lineRule="exact"/>
        <w:rPr>
          <w:sz w:val="20"/>
          <w:szCs w:val="20"/>
          <w:color w:val="auto"/>
        </w:rPr>
      </w:pPr>
    </w:p>
    <w:p>
      <w:pPr>
        <w:spacing w:after="0"/>
        <w:tabs>
          <w:tab w:leader="none" w:pos="5280" w:val="left"/>
          <w:tab w:leader="none" w:pos="9940" w:val="left"/>
        </w:tabs>
        <w:rPr>
          <w:sz w:val="20"/>
          <w:szCs w:val="20"/>
          <w:color w:val="auto"/>
        </w:rPr>
      </w:pPr>
      <w:r>
        <w:rPr>
          <w:rFonts w:ascii="Arial" w:cs="Arial" w:eastAsia="Arial" w:hAnsi="Arial"/>
          <w:sz w:val="18"/>
          <w:szCs w:val="18"/>
          <w:color w:val="auto"/>
        </w:rPr>
        <w:t>Noncompete Agreement – US</w:t>
      </w:r>
      <w:r>
        <w:rPr>
          <w:sz w:val="20"/>
          <w:szCs w:val="20"/>
          <w:color w:val="auto"/>
        </w:rPr>
        <w:tab/>
      </w:r>
      <w:r>
        <w:rPr>
          <w:rFonts w:ascii="Arial" w:cs="Arial" w:eastAsia="Arial" w:hAnsi="Arial"/>
          <w:sz w:val="18"/>
          <w:szCs w:val="18"/>
          <w:color w:val="auto"/>
        </w:rPr>
        <w:t>Page 1 of 6</w:t>
      </w:r>
      <w:r>
        <w:rPr>
          <w:sz w:val="20"/>
          <w:szCs w:val="20"/>
          <w:color w:val="auto"/>
        </w:rPr>
        <w:tab/>
      </w:r>
      <w:r>
        <w:rPr>
          <w:rFonts w:ascii="Arial" w:cs="Arial" w:eastAsia="Arial" w:hAnsi="Arial"/>
          <w:sz w:val="16"/>
          <w:szCs w:val="16"/>
          <w:color w:val="auto"/>
        </w:rPr>
        <w:t>Revised 02-01-2012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11" w:name="page112"/>
    <w:bookmarkEnd w:id="111"/>
    <w:p>
      <w:pPr>
        <w:jc w:val="both"/>
        <w:spacing w:after="0" w:line="269" w:lineRule="auto"/>
        <w:rPr>
          <w:sz w:val="20"/>
          <w:szCs w:val="20"/>
          <w:color w:val="auto"/>
        </w:rPr>
      </w:pPr>
      <w:r>
        <w:rPr>
          <w:rFonts w:ascii="Arial" w:cs="Arial" w:eastAsia="Arial" w:hAnsi="Arial"/>
          <w:sz w:val="17"/>
          <w:szCs w:val="17"/>
          <w:color w:val="auto"/>
        </w:rPr>
        <w:t>similar to and/or in competition with any business conducted or planned by any Honeywell business for which I (A) was employed or performed services in a job covered by this Program, or (B) had knowledge of operations over the Look Back Period, or (ii) designs, develops, produces, offers for sale or sells a product or service that can be used as a substitute for, or is generally intended to satisfy the same customer needs for, any one or more products or services designed, developed, manufactured, produced or offered for sale or sold by any Honeywell business for which I (X) was employed or performed services in a job covered by this Program, or (Y) had knowledge of operations during the Look Back Period. I acknowledge that I will be deemed to have knowledge of a business if I received, was in possession of or otherwise had access to Trade Secrets, Proprietary and Confidential Information regarding such business. For purposes of illustration only, I acknowledge and understand that each of the corporations or entities (and any related entities, subsidiaries, affiliates or successors) set forth on the Addendum attached hereto is a Competing Business as of the date hereof. I further acknowledge and agree that the Addendum attached hereto is not an exhaustive list and is not intended to include all of Honeywell’s current or future competitors, which I acknowledge may include other persons or entities in the future. I further acknowledge and understand that if I have any questions about whether any prior Honeywell position which I have held over the last two years is subject to this Program and shall be used to identify Competing Businesses, I should contact my Human Resource representative.</w:t>
      </w:r>
    </w:p>
    <w:p>
      <w:pPr>
        <w:spacing w:after="0" w:line="18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Honeywell recognizes that some businesses, persons, entities, or group of businesses that are Competing Businesses as defined above may also have lines of business or parts of their business that do not compete with Honeywell as defined above, and the restrictions contained herein are not intended to include such lines of business or parts of their businesses. I understand and agree that if I intend to become employed by, perform services for, or otherwise become associated with (as an employee, officer, director, principal, agent, manager, partner, co-partner or consultant or any other individual or representative role) a Competing Business as defined above, it is presumed that the restriction contained herein applies. I further understand and agree that if I do not believe the restriction contained herein should apply, I must demonstrate to Honeywell that I will only be employed by, perform services for, or otherwise become associated with (as an employee, officer, director, principal, agent, manager, partner, co-partner or consultant or any other individual or representative role) a line of business in, or part of, a Competing Business that does not compete with Honeywell as defined above.</w:t>
      </w:r>
    </w:p>
    <w:p>
      <w:pPr>
        <w:spacing w:after="0" w:line="162" w:lineRule="exact"/>
        <w:rPr>
          <w:sz w:val="20"/>
          <w:szCs w:val="20"/>
          <w:color w:val="auto"/>
        </w:rPr>
      </w:pPr>
    </w:p>
    <w:p>
      <w:pPr>
        <w:jc w:val="both"/>
        <w:ind w:firstLine="8"/>
        <w:spacing w:after="0" w:line="290" w:lineRule="auto"/>
        <w:tabs>
          <w:tab w:leader="none" w:pos="183"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Reasonableness of Restrictions and Validity. </w:t>
      </w:r>
      <w:r>
        <w:rPr>
          <w:rFonts w:ascii="Arial" w:cs="Arial" w:eastAsia="Arial" w:hAnsi="Arial"/>
          <w:sz w:val="16"/>
          <w:szCs w:val="16"/>
          <w:color w:val="auto"/>
        </w:rPr>
        <w:t>I agree that the terms of this Agreement are reasonable and do not impose a greater restraint than necessary</w:t>
      </w:r>
      <w:r>
        <w:rPr>
          <w:rFonts w:ascii="Arial" w:cs="Arial" w:eastAsia="Arial" w:hAnsi="Arial"/>
          <w:sz w:val="16"/>
          <w:szCs w:val="16"/>
          <w:b w:val="1"/>
          <w:bCs w:val="1"/>
          <w:color w:val="auto"/>
        </w:rPr>
        <w:t xml:space="preserve"> </w:t>
      </w:r>
      <w:r>
        <w:rPr>
          <w:rFonts w:ascii="Arial" w:cs="Arial" w:eastAsia="Arial" w:hAnsi="Arial"/>
          <w:sz w:val="16"/>
          <w:szCs w:val="16"/>
          <w:color w:val="auto"/>
        </w:rPr>
        <w:t>to protect Honeywell’s legitimate protectable business interests, including the protection of its Trade Secrets, Proprietary and Confidential Information. It is the desire and intent of the parties hereto that the provisions of this Agreement shall be enforced to the fullest extent legally-permissible. Accordingly, if any particular provision(s) of this Agreement shall be adjudicated to be overbroad, invalid or unenforceable, the court may modify or sever such provision(s), such modification or deletion to apply only with respect to the operation of such provision(s) in the particular jurisdiction in which such adjudication is made. In addition, if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 The remaining provisions of this Agreement shall remain in full force and effect. I also agree that the parties shall request that a court of competent jurisdiction not invalidate or ignore the terms of this Agreement, but instead honor this provision by reforming</w:t>
      </w:r>
    </w:p>
    <w:p>
      <w:pPr>
        <w:spacing w:after="0" w:line="164" w:lineRule="exact"/>
        <w:rPr>
          <w:sz w:val="20"/>
          <w:szCs w:val="20"/>
          <w:color w:val="auto"/>
        </w:rPr>
      </w:pPr>
    </w:p>
    <w:p>
      <w:pPr>
        <w:spacing w:after="0"/>
        <w:tabs>
          <w:tab w:leader="none" w:pos="5280" w:val="left"/>
          <w:tab w:leader="none" w:pos="9940" w:val="left"/>
        </w:tabs>
        <w:rPr>
          <w:sz w:val="20"/>
          <w:szCs w:val="20"/>
          <w:color w:val="auto"/>
        </w:rPr>
      </w:pPr>
      <w:r>
        <w:rPr>
          <w:rFonts w:ascii="Arial" w:cs="Arial" w:eastAsia="Arial" w:hAnsi="Arial"/>
          <w:sz w:val="18"/>
          <w:szCs w:val="18"/>
          <w:color w:val="auto"/>
        </w:rPr>
        <w:t>Noncompete Agreement – US</w:t>
      </w:r>
      <w:r>
        <w:rPr>
          <w:sz w:val="20"/>
          <w:szCs w:val="20"/>
          <w:color w:val="auto"/>
        </w:rPr>
        <w:tab/>
      </w:r>
      <w:r>
        <w:rPr>
          <w:rFonts w:ascii="Arial" w:cs="Arial" w:eastAsia="Arial" w:hAnsi="Arial"/>
          <w:sz w:val="18"/>
          <w:szCs w:val="18"/>
          <w:color w:val="auto"/>
        </w:rPr>
        <w:t>Page 2 of 6</w:t>
      </w:r>
      <w:r>
        <w:rPr>
          <w:sz w:val="20"/>
          <w:szCs w:val="20"/>
          <w:color w:val="auto"/>
        </w:rPr>
        <w:tab/>
      </w:r>
      <w:r>
        <w:rPr>
          <w:rFonts w:ascii="Arial" w:cs="Arial" w:eastAsia="Arial" w:hAnsi="Arial"/>
          <w:sz w:val="16"/>
          <w:szCs w:val="16"/>
          <w:color w:val="auto"/>
        </w:rPr>
        <w:t>Revised 02-01-2012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12" w:name="page113"/>
    <w:bookmarkEnd w:id="112"/>
    <w:p>
      <w:pPr>
        <w:ind w:right="80"/>
        <w:spacing w:after="0" w:line="277" w:lineRule="auto"/>
        <w:rPr>
          <w:sz w:val="20"/>
          <w:szCs w:val="20"/>
          <w:color w:val="auto"/>
        </w:rPr>
      </w:pPr>
      <w:r>
        <w:rPr>
          <w:rFonts w:ascii="Arial" w:cs="Arial" w:eastAsia="Arial" w:hAnsi="Arial"/>
          <w:sz w:val="18"/>
          <w:szCs w:val="18"/>
          <w:color w:val="auto"/>
        </w:rPr>
        <w:t>or modifying any overbroad or otherwise invalid terms to the extent necessary to render the terms valid and enforceable and then enforcing the Agreement as so reformed or modified.</w:t>
      </w:r>
    </w:p>
    <w:p>
      <w:pPr>
        <w:spacing w:after="0" w:line="166" w:lineRule="exact"/>
        <w:rPr>
          <w:sz w:val="20"/>
          <w:szCs w:val="20"/>
          <w:color w:val="auto"/>
        </w:rPr>
      </w:pPr>
    </w:p>
    <w:p>
      <w:pPr>
        <w:ind w:firstLine="8"/>
        <w:spacing w:after="0" w:line="270" w:lineRule="auto"/>
        <w:tabs>
          <w:tab w:leader="none" w:pos="18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Remedies. </w:t>
      </w:r>
      <w:r>
        <w:rPr>
          <w:rFonts w:ascii="Arial" w:cs="Arial" w:eastAsia="Arial" w:hAnsi="Arial"/>
          <w:sz w:val="17"/>
          <w:szCs w:val="17"/>
          <w:color w:val="auto"/>
        </w:rPr>
        <w:t>I acknowledge that a remedy at law for any breach or threatened breach of the provisions of this Agreement would be inadequate and therefore</w:t>
      </w:r>
      <w:r>
        <w:rPr>
          <w:rFonts w:ascii="Arial" w:cs="Arial" w:eastAsia="Arial" w:hAnsi="Arial"/>
          <w:sz w:val="17"/>
          <w:szCs w:val="17"/>
          <w:b w:val="1"/>
          <w:bCs w:val="1"/>
          <w:color w:val="auto"/>
        </w:rPr>
        <w:t xml:space="preserve"> </w:t>
      </w:r>
      <w:r>
        <w:rPr>
          <w:rFonts w:ascii="Arial" w:cs="Arial" w:eastAsia="Arial" w:hAnsi="Arial"/>
          <w:sz w:val="17"/>
          <w:szCs w:val="17"/>
          <w:color w:val="auto"/>
        </w:rPr>
        <w:t>agree that Honeywell shall be entitled to injunctive relief in case of any such breach or threatened breach. I acknowledge and agree Honeywell may apply to any court of law or equity of competent jurisdiction for specific performance and/or injunctive relief (without posting a bond or other security) in order to enforce or prevent any violation of the provisions of this Agreement, and that money damages would not be an adequate remedy for any breach of the provisions of this Agreement. I acknowledge and agree that a violation of this Agreement would cause irreparable harm to Honeywell, and I covenant that I will not assert in any proceeding that a violation or further violation of this Agreement: (i) will not result in irreparable harm to Honeywell; or (ii) could be remedied adequately at law. Honeywell’s right to injunctive relief shall be cumulative and in addition to any other remedies available at law or equity. In the event that a court determines that I have breached or threatened to breach this Agreement, I agree to reimburse Honeywell for all attorneys’ fees and costs incurred in enforcing the terms of this Agreement. However, nothing contained herein shall be construed as prohibiting Honeywell from pursuing any other remedies available for any such breach or threatened breach against me or my new employer, which may also include, but not be limited to, contract damages, lost profits and punitive damages.</w:t>
      </w:r>
    </w:p>
    <w:p>
      <w:pPr>
        <w:spacing w:after="0" w:line="174" w:lineRule="exact"/>
        <w:rPr>
          <w:rFonts w:ascii="Arial" w:cs="Arial" w:eastAsia="Arial" w:hAnsi="Arial"/>
          <w:sz w:val="17"/>
          <w:szCs w:val="17"/>
          <w:b w:val="1"/>
          <w:bCs w:val="1"/>
          <w:color w:val="auto"/>
        </w:rPr>
      </w:pPr>
    </w:p>
    <w:p>
      <w:pPr>
        <w:ind w:right="60" w:firstLine="8"/>
        <w:spacing w:after="0" w:line="290" w:lineRule="auto"/>
        <w:tabs>
          <w:tab w:leader="none" w:pos="180"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Harm and Injunctive Relief. </w:t>
      </w:r>
      <w:r>
        <w:rPr>
          <w:rFonts w:ascii="Arial" w:cs="Arial" w:eastAsia="Arial" w:hAnsi="Arial"/>
          <w:sz w:val="16"/>
          <w:szCs w:val="16"/>
          <w:color w:val="auto"/>
        </w:rPr>
        <w:t>I agree and acknowledge that the restrictions contained in this Agreement do not preclude me from earning a livelihood, nor</w:t>
      </w:r>
      <w:r>
        <w:rPr>
          <w:rFonts w:ascii="Arial" w:cs="Arial" w:eastAsia="Arial" w:hAnsi="Arial"/>
          <w:sz w:val="16"/>
          <w:szCs w:val="16"/>
          <w:b w:val="1"/>
          <w:bCs w:val="1"/>
          <w:color w:val="auto"/>
        </w:rPr>
        <w:t xml:space="preserve"> </w:t>
      </w:r>
      <w:r>
        <w:rPr>
          <w:rFonts w:ascii="Arial" w:cs="Arial" w:eastAsia="Arial" w:hAnsi="Arial"/>
          <w:sz w:val="16"/>
          <w:szCs w:val="16"/>
          <w:color w:val="auto"/>
        </w:rPr>
        <w:t>do they unreasonably impose limitations on my ability to earn a living. I further agree and acknowledge that the potential harm to Honeywell of the non-enforcement of this Agreement outweighs any potential harm to me from its enforcement by injunction or otherwise. I acknowledge that I have carefully read this Agreement and have given careful consideration to the restraints imposed upon me by this Agreement, and am in full accord as to their necessity for the reasonable and proper protection of Honeywell’s legitimate protectable business interests, including the protection of its Trade Secrets, Proprietary and Confidential Information. I agree and acknowledge that I have been provided adequate and reasonable consideration in exchange for the obligations under this Agreement, including employment or continued employment by Honeywell, goodwill, access or continued access to Honeywell’s Trade Secrets, Proprietary and Confidential Information, access or continued access to customers, and additional good and valuable consideration. I expressly acknowledge and agree that each and every restraint imposed by this Agreement is reasonable with respect to subject matter, duration and geographical scope.</w:t>
      </w:r>
    </w:p>
    <w:p>
      <w:pPr>
        <w:spacing w:after="0" w:line="159" w:lineRule="exact"/>
        <w:rPr>
          <w:rFonts w:ascii="Arial" w:cs="Arial" w:eastAsia="Arial" w:hAnsi="Arial"/>
          <w:sz w:val="16"/>
          <w:szCs w:val="16"/>
          <w:b w:val="1"/>
          <w:bCs w:val="1"/>
          <w:color w:val="auto"/>
        </w:rPr>
      </w:pPr>
    </w:p>
    <w:p>
      <w:pPr>
        <w:ind w:right="40" w:firstLine="8"/>
        <w:spacing w:after="0" w:line="272" w:lineRule="auto"/>
        <w:tabs>
          <w:tab w:leader="none" w:pos="18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Binding Agreement, Amendment, Successors. </w:t>
      </w:r>
      <w:r>
        <w:rPr>
          <w:rFonts w:ascii="Arial" w:cs="Arial" w:eastAsia="Arial" w:hAnsi="Arial"/>
          <w:sz w:val="17"/>
          <w:szCs w:val="17"/>
          <w:color w:val="auto"/>
        </w:rPr>
        <w:t>I acknowledge that the provisions of this Agreement are in addition to, and in no way intended to limit,</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 or narrow any prior or existing employment or other agreement with Honeywell. This Agreement does not replace or supersede any prior or existing employment or other agreement with Honeywell, but rather, shall be read in conjunction with such prior or existing agreements and shall be interpreted in a manner to provide Honeywell the maximum protection provided by all agreements I have with Honeywell. The terms of the restriction in Paragraph 1 and the other terms in this Agreement are to be read consistent with the terms of any other noncompete or other agreements that I have executed with Honeywell; provided, however, to the extent there is a conflict between/among such agreements, such agreements shall be construed as providing the broadest possible protections to Honeywell, even if such construction would require provisions of more than one such agreement to be given effect. No waiver of this Agreement will be effective unless it is in writing and signed by Honeywell</w:t>
      </w:r>
    </w:p>
    <w:p>
      <w:pPr>
        <w:spacing w:after="0" w:line="176" w:lineRule="exact"/>
        <w:rPr>
          <w:sz w:val="20"/>
          <w:szCs w:val="20"/>
          <w:color w:val="auto"/>
        </w:rPr>
      </w:pPr>
    </w:p>
    <w:p>
      <w:pPr>
        <w:spacing w:after="0"/>
        <w:tabs>
          <w:tab w:leader="none" w:pos="5280" w:val="left"/>
          <w:tab w:leader="none" w:pos="9940" w:val="left"/>
        </w:tabs>
        <w:rPr>
          <w:sz w:val="20"/>
          <w:szCs w:val="20"/>
          <w:color w:val="auto"/>
        </w:rPr>
      </w:pPr>
      <w:r>
        <w:rPr>
          <w:rFonts w:ascii="Arial" w:cs="Arial" w:eastAsia="Arial" w:hAnsi="Arial"/>
          <w:sz w:val="18"/>
          <w:szCs w:val="18"/>
          <w:color w:val="auto"/>
        </w:rPr>
        <w:t>Noncompete Agreement – US</w:t>
      </w:r>
      <w:r>
        <w:rPr>
          <w:sz w:val="20"/>
          <w:szCs w:val="20"/>
          <w:color w:val="auto"/>
        </w:rPr>
        <w:tab/>
      </w:r>
      <w:r>
        <w:rPr>
          <w:rFonts w:ascii="Arial" w:cs="Arial" w:eastAsia="Arial" w:hAnsi="Arial"/>
          <w:sz w:val="18"/>
          <w:szCs w:val="18"/>
          <w:color w:val="auto"/>
        </w:rPr>
        <w:t>Page 3 of 6</w:t>
      </w:r>
      <w:r>
        <w:rPr>
          <w:sz w:val="20"/>
          <w:szCs w:val="20"/>
          <w:color w:val="auto"/>
        </w:rPr>
        <w:tab/>
      </w:r>
      <w:r>
        <w:rPr>
          <w:rFonts w:ascii="Arial" w:cs="Arial" w:eastAsia="Arial" w:hAnsi="Arial"/>
          <w:sz w:val="16"/>
          <w:szCs w:val="16"/>
          <w:color w:val="auto"/>
        </w:rPr>
        <w:t>Revised 02-01-2012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13" w:name="page114"/>
    <w:bookmarkEnd w:id="113"/>
    <w:p>
      <w:pPr>
        <w:jc w:val="both"/>
        <w:spacing w:after="0" w:line="302" w:lineRule="auto"/>
        <w:rPr>
          <w:sz w:val="20"/>
          <w:szCs w:val="20"/>
          <w:color w:val="auto"/>
        </w:rPr>
      </w:pPr>
      <w:r>
        <w:rPr>
          <w:rFonts w:ascii="Arial" w:cs="Arial" w:eastAsia="Arial" w:hAnsi="Arial"/>
          <w:sz w:val="16"/>
          <w:szCs w:val="16"/>
          <w:color w:val="auto"/>
        </w:rPr>
        <w:t>International’s Senior Vice President for Human Resources and Communications or his/her designee. This Agreement may not be superseded or amended by any other agreement between myself and Honeywell unless such agreement specifically and expressly states that it is intended to supersede this Agreement and is executed by Honeywell International’s Senior Vice President for Human Resources and Communications or his/her designee. This Agreement binds my heirs, executors, administrators, legal representatives and assigns and inures to the benefit of Honeywell and its successors and assigns.</w:t>
      </w:r>
    </w:p>
    <w:p>
      <w:pPr>
        <w:spacing w:after="0" w:line="150" w:lineRule="exact"/>
        <w:rPr>
          <w:sz w:val="20"/>
          <w:szCs w:val="20"/>
          <w:color w:val="auto"/>
        </w:rPr>
      </w:pPr>
    </w:p>
    <w:p>
      <w:pPr>
        <w:ind w:firstLine="8"/>
        <w:spacing w:after="0" w:line="282" w:lineRule="auto"/>
        <w:tabs>
          <w:tab w:leader="none" w:pos="1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Acknowledgement of Receipt. </w:t>
      </w:r>
      <w:r>
        <w:rPr>
          <w:rFonts w:ascii="Arial" w:cs="Arial" w:eastAsia="Arial" w:hAnsi="Arial"/>
          <w:sz w:val="18"/>
          <w:szCs w:val="18"/>
          <w:color w:val="auto"/>
        </w:rPr>
        <w:t>I acknowledge that I received a copy of this Agreement prior to accepting my transfer, promotion, or hire into my new role</w:t>
      </w:r>
      <w:r>
        <w:rPr>
          <w:rFonts w:ascii="Arial" w:cs="Arial" w:eastAsia="Arial" w:hAnsi="Arial"/>
          <w:sz w:val="18"/>
          <w:szCs w:val="18"/>
          <w:b w:val="1"/>
          <w:bCs w:val="1"/>
          <w:color w:val="auto"/>
        </w:rPr>
        <w:t xml:space="preserve"> </w:t>
      </w:r>
      <w:r>
        <w:rPr>
          <w:rFonts w:ascii="Arial" w:cs="Arial" w:eastAsia="Arial" w:hAnsi="Arial"/>
          <w:sz w:val="18"/>
          <w:szCs w:val="18"/>
          <w:color w:val="auto"/>
        </w:rPr>
        <w:t>and that execution of this Agreement was an express condition of such transfer, promotion, or hire.</w:t>
      </w:r>
    </w:p>
    <w:p>
      <w:pPr>
        <w:spacing w:after="0" w:line="161" w:lineRule="exact"/>
        <w:rPr>
          <w:rFonts w:ascii="Arial" w:cs="Arial" w:eastAsia="Arial" w:hAnsi="Arial"/>
          <w:sz w:val="18"/>
          <w:szCs w:val="18"/>
          <w:b w:val="1"/>
          <w:bCs w:val="1"/>
          <w:color w:val="auto"/>
        </w:rPr>
      </w:pPr>
    </w:p>
    <w:p>
      <w:pPr>
        <w:jc w:val="both"/>
        <w:ind w:firstLine="8"/>
        <w:spacing w:after="0" w:line="266" w:lineRule="auto"/>
        <w:tabs>
          <w:tab w:leader="none" w:pos="1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Effectiveness of Agreement. </w:t>
      </w:r>
      <w:r>
        <w:rPr>
          <w:rFonts w:ascii="Arial" w:cs="Arial" w:eastAsia="Arial" w:hAnsi="Arial"/>
          <w:sz w:val="18"/>
          <w:szCs w:val="18"/>
          <w:color w:val="auto"/>
        </w:rPr>
        <w:t>This Agreement becomes effective when I sign it, the obligations under it continue throughout the entire period of time I am</w:t>
      </w:r>
      <w:r>
        <w:rPr>
          <w:rFonts w:ascii="Arial" w:cs="Arial" w:eastAsia="Arial" w:hAnsi="Arial"/>
          <w:sz w:val="18"/>
          <w:szCs w:val="18"/>
          <w:b w:val="1"/>
          <w:bCs w:val="1"/>
          <w:color w:val="auto"/>
        </w:rPr>
        <w:t xml:space="preserve"> </w:t>
      </w:r>
      <w:r>
        <w:rPr>
          <w:rFonts w:ascii="Arial" w:cs="Arial" w:eastAsia="Arial" w:hAnsi="Arial"/>
          <w:sz w:val="18"/>
          <w:szCs w:val="18"/>
          <w:color w:val="auto"/>
        </w:rPr>
        <w:t>employed by Honeywell, without regard to the business within Honeywell with which I am associated and these obligations will continue after, and survive, the end of my employment with Honeywell.</w:t>
      </w:r>
    </w:p>
    <w:p>
      <w:pPr>
        <w:spacing w:after="0" w:line="176" w:lineRule="exact"/>
        <w:rPr>
          <w:rFonts w:ascii="Arial" w:cs="Arial" w:eastAsia="Arial" w:hAnsi="Arial"/>
          <w:sz w:val="18"/>
          <w:szCs w:val="18"/>
          <w:b w:val="1"/>
          <w:bCs w:val="1"/>
          <w:color w:val="auto"/>
        </w:rPr>
      </w:pPr>
    </w:p>
    <w:p>
      <w:pPr>
        <w:jc w:val="both"/>
        <w:ind w:firstLine="8"/>
        <w:spacing w:after="0" w:line="266" w:lineRule="auto"/>
        <w:tabs>
          <w:tab w:leader="none" w:pos="187"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to Future Employers. </w:t>
      </w:r>
      <w:r>
        <w:rPr>
          <w:rFonts w:ascii="Arial" w:cs="Arial" w:eastAsia="Arial" w:hAnsi="Arial"/>
          <w:sz w:val="18"/>
          <w:szCs w:val="18"/>
          <w:color w:val="auto"/>
        </w:rPr>
        <w:t>For the period of two (2) years immediately following the end of my employment with Honeywell, I will inform each new</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prior to accepting employment, of the existence of this Agreement and provide that employer with a copy of it. Honeywell has the right to inform any future employer of the existence of this Agreement and to provide any future employers with a copy of it.</w:t>
      </w:r>
    </w:p>
    <w:p>
      <w:pPr>
        <w:spacing w:after="0" w:line="176" w:lineRule="exact"/>
        <w:rPr>
          <w:rFonts w:ascii="Arial" w:cs="Arial" w:eastAsia="Arial" w:hAnsi="Arial"/>
          <w:sz w:val="18"/>
          <w:szCs w:val="18"/>
          <w:b w:val="1"/>
          <w:bCs w:val="1"/>
          <w:color w:val="auto"/>
        </w:rPr>
      </w:pPr>
    </w:p>
    <w:p>
      <w:pPr>
        <w:jc w:val="both"/>
        <w:ind w:firstLine="8"/>
        <w:spacing w:after="0" w:line="266" w:lineRule="auto"/>
        <w:tabs>
          <w:tab w:leader="none" w:pos="1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and Venue. </w:t>
      </w:r>
      <w:r>
        <w:rPr>
          <w:rFonts w:ascii="Arial" w:cs="Arial" w:eastAsia="Arial" w:hAnsi="Arial"/>
          <w:sz w:val="18"/>
          <w:szCs w:val="18"/>
          <w:color w:val="auto"/>
        </w:rPr>
        <w:t>This Agreement shall be governed by and construed in accordance with the laws of the State of New Jersey without regard to</w:t>
      </w:r>
      <w:r>
        <w:rPr>
          <w:rFonts w:ascii="Arial" w:cs="Arial" w:eastAsia="Arial" w:hAnsi="Arial"/>
          <w:sz w:val="18"/>
          <w:szCs w:val="18"/>
          <w:b w:val="1"/>
          <w:bCs w:val="1"/>
          <w:color w:val="auto"/>
        </w:rPr>
        <w:t xml:space="preserve"> </w:t>
      </w:r>
      <w:r>
        <w:rPr>
          <w:rFonts w:ascii="Arial" w:cs="Arial" w:eastAsia="Arial" w:hAnsi="Arial"/>
          <w:sz w:val="18"/>
          <w:szCs w:val="18"/>
          <w:color w:val="auto"/>
        </w:rPr>
        <w:t>its principles of conflicts of law. I hereby consent to the exclusive jurisdiction and venue in the federal and state courts of the State of New Jersey, Morris County, for the resolution of all disputes arising under, or relating to, this Agreement.</w:t>
      </w:r>
    </w:p>
    <w:p>
      <w:pPr>
        <w:spacing w:after="0" w:line="176" w:lineRule="exact"/>
        <w:rPr>
          <w:rFonts w:ascii="Arial" w:cs="Arial" w:eastAsia="Arial" w:hAnsi="Arial"/>
          <w:sz w:val="18"/>
          <w:szCs w:val="18"/>
          <w:b w:val="1"/>
          <w:bCs w:val="1"/>
          <w:color w:val="auto"/>
        </w:rPr>
      </w:pPr>
    </w:p>
    <w:p>
      <w:pPr>
        <w:ind w:left="280" w:hanging="272"/>
        <w:spacing w:after="0"/>
        <w:tabs>
          <w:tab w:leader="none" w:pos="2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Definitions.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“Honeywell” collectively identifies Honeywell International Inc. (a Delaware corporation having a place of business at Columbia Road and Park Avenue, Morris Township, Morris County, New Jersey), its predecessors, designees and successors and its past, present and future operating companies, divisions, subsidiaries, affiliates and other business units, including businesses acquired by purchase of assets, stock, merger or otherwise.</w:t>
      </w:r>
    </w:p>
    <w:p>
      <w:pPr>
        <w:spacing w:after="0" w:line="16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“Look Back Period” means the two (2) year period ending on the date of my Termination of Employment.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“Program” refers to the noncompete initiative implemented by Honeywell requiring that employees occupying certain jobs in Salary Bands 5 – 7 (Senior Executives) execute this noncompete Agreement.</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“Trade Secrets, Proprietary and Confidential Information” means information which is not generally known in the industry in which Honeywell International is engaged, which may be disclosed to me or which I may learn, observe, discover or otherwise acquire during, or as a result</w:t>
      </w:r>
    </w:p>
    <w:p>
      <w:pPr>
        <w:spacing w:after="0" w:line="147" w:lineRule="exact"/>
        <w:rPr>
          <w:sz w:val="20"/>
          <w:szCs w:val="20"/>
          <w:color w:val="auto"/>
        </w:rPr>
      </w:pPr>
    </w:p>
    <w:p>
      <w:pPr>
        <w:spacing w:after="0"/>
        <w:tabs>
          <w:tab w:leader="none" w:pos="5280" w:val="left"/>
          <w:tab w:leader="none" w:pos="9940" w:val="left"/>
        </w:tabs>
        <w:rPr>
          <w:sz w:val="20"/>
          <w:szCs w:val="20"/>
          <w:color w:val="auto"/>
        </w:rPr>
      </w:pPr>
      <w:r>
        <w:rPr>
          <w:rFonts w:ascii="Arial" w:cs="Arial" w:eastAsia="Arial" w:hAnsi="Arial"/>
          <w:sz w:val="18"/>
          <w:szCs w:val="18"/>
          <w:color w:val="auto"/>
        </w:rPr>
        <w:t>Noncompete Agreement – US</w:t>
      </w:r>
      <w:r>
        <w:rPr>
          <w:sz w:val="20"/>
          <w:szCs w:val="20"/>
          <w:color w:val="auto"/>
        </w:rPr>
        <w:tab/>
      </w:r>
      <w:r>
        <w:rPr>
          <w:rFonts w:ascii="Arial" w:cs="Arial" w:eastAsia="Arial" w:hAnsi="Arial"/>
          <w:sz w:val="18"/>
          <w:szCs w:val="18"/>
          <w:color w:val="auto"/>
        </w:rPr>
        <w:t>Page 4 of 6</w:t>
      </w:r>
      <w:r>
        <w:rPr>
          <w:sz w:val="20"/>
          <w:szCs w:val="20"/>
          <w:color w:val="auto"/>
        </w:rPr>
        <w:tab/>
      </w:r>
      <w:r>
        <w:rPr>
          <w:rFonts w:ascii="Arial" w:cs="Arial" w:eastAsia="Arial" w:hAnsi="Arial"/>
          <w:sz w:val="16"/>
          <w:szCs w:val="16"/>
          <w:color w:val="auto"/>
        </w:rPr>
        <w:t>Revised 02-01-2012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14" w:name="page115"/>
    <w:bookmarkEnd w:id="114"/>
    <w:p>
      <w:pPr>
        <w:jc w:val="both"/>
        <w:spacing w:after="0" w:line="273" w:lineRule="auto"/>
        <w:rPr>
          <w:sz w:val="20"/>
          <w:szCs w:val="20"/>
          <w:color w:val="auto"/>
        </w:rPr>
      </w:pPr>
      <w:r>
        <w:rPr>
          <w:rFonts w:ascii="Arial" w:cs="Arial" w:eastAsia="Arial" w:hAnsi="Arial"/>
          <w:sz w:val="17"/>
          <w:szCs w:val="17"/>
          <w:color w:val="auto"/>
        </w:rPr>
        <w:t>of, my employment by Honeywell and which includes, without limitation, any information, whether patentable, patented or not, relating to any existing or contemplated products, inventions, services, technology, ideas, concepts, designs, patterns, processes, compounds, formulae, programs, devices, tools, compilations of information, methods, techniques, and including information relating to any research, development, manufacture, purchasing, engineering, know-how, business plans, sales or market methods, methods of doing business, business systems, strategic plans, plans for acquisition or disposition of products, expansion plans, financial status and plans, financial data, personnel information, customer lists or data, customer usages or requirements, or supplier information, which is owned or licensed by Honeywell International or held by Honeywell International in confidence.</w:t>
      </w:r>
    </w:p>
    <w:p>
      <w:pPr>
        <w:spacing w:after="0" w:line="17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“Termination of Employment” means any separation from employment with Honeywell regardless of the reason, including any and all voluntary and involuntary reasons for termination. The termination date for purposes of this Agreement shall be the last day I actively perform services for Honeywell.</w:t>
      </w:r>
    </w:p>
    <w:p>
      <w:pPr>
        <w:spacing w:after="0" w:line="120" w:lineRule="exact"/>
        <w:rPr>
          <w:sz w:val="20"/>
          <w:szCs w:val="20"/>
          <w:color w:val="auto"/>
        </w:rPr>
      </w:pPr>
    </w:p>
    <w:p>
      <w:pPr>
        <w:ind w:firstLine="8"/>
        <w:spacing w:after="0" w:line="282" w:lineRule="auto"/>
        <w:tabs>
          <w:tab w:leader="none" w:pos="287"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Headings. </w:t>
      </w:r>
      <w:r>
        <w:rPr>
          <w:rFonts w:ascii="Arial" w:cs="Arial" w:eastAsia="Arial" w:hAnsi="Arial"/>
          <w:sz w:val="18"/>
          <w:szCs w:val="18"/>
          <w:color w:val="auto"/>
        </w:rPr>
        <w:t>The headings of the paragraphs of this Agreement are inserted for convenience only and shall not in any way affect the meaning or</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of this Agreement.</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have carefully read this Agreement. I understand and accept its terms. I understand and agree that I will continue to be bound by the provisions of this Agreement after my employment with Honeywell has ended.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vMerge w:val="restart"/>
          </w:tcPr>
          <w:p>
            <w:pPr>
              <w:spacing w:after="0"/>
              <w:rPr>
                <w:sz w:val="20"/>
                <w:szCs w:val="20"/>
                <w:color w:val="auto"/>
              </w:rPr>
            </w:pPr>
            <w:r>
              <w:rPr>
                <w:rFonts w:ascii="Arial" w:cs="Arial" w:eastAsia="Arial" w:hAnsi="Arial"/>
                <w:sz w:val="18"/>
                <w:szCs w:val="18"/>
                <w:color w:val="auto"/>
              </w:rPr>
              <w:t xml:space="preserve">Signature: </w:t>
            </w:r>
            <w:r>
              <w:rPr>
                <w:rFonts w:ascii="Arial" w:cs="Arial" w:eastAsia="Arial" w:hAnsi="Arial"/>
                <w:sz w:val="18"/>
                <w:szCs w:val="18"/>
                <w:b w:val="1"/>
                <w:bCs w:val="1"/>
                <w:color w:val="auto"/>
              </w:rPr>
              <w:t>/s/ Krishna Mikkilineni</w:t>
            </w:r>
          </w:p>
        </w:tc>
        <w:tc>
          <w:tcPr>
            <w:tcW w:w="2220" w:type="dxa"/>
            <w:vAlign w:val="bottom"/>
          </w:tcPr>
          <w:p>
            <w:pPr>
              <w:spacing w:after="0"/>
              <w:rPr>
                <w:sz w:val="17"/>
                <w:szCs w:val="17"/>
                <w:color w:val="auto"/>
              </w:rPr>
            </w:pPr>
          </w:p>
        </w:tc>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KRISHNA MIKKILINENI</w:t>
            </w: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960" w:type="dxa"/>
            <w:vAlign w:val="bottom"/>
            <w:vMerge w:val="continue"/>
          </w:tcPr>
          <w:p>
            <w:pPr>
              <w:spacing w:after="0"/>
              <w:rPr>
                <w:sz w:val="20"/>
                <w:szCs w:val="20"/>
                <w:color w:val="auto"/>
              </w:rPr>
            </w:pPr>
          </w:p>
        </w:tc>
        <w:tc>
          <w:tcPr>
            <w:tcW w:w="222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Honeywell Executive Name</w:t>
            </w:r>
          </w:p>
        </w:tc>
        <w:tc>
          <w:tcPr>
            <w:tcW w:w="0" w:type="dxa"/>
            <w:vAlign w:val="bottom"/>
          </w:tcPr>
          <w:p>
            <w:pPr>
              <w:spacing w:after="0"/>
              <w:rPr>
                <w:sz w:val="1"/>
                <w:szCs w:val="1"/>
                <w:color w:val="auto"/>
              </w:rPr>
            </w:pP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Date: 4/4/13</w:t>
            </w:r>
          </w:p>
        </w:tc>
        <w:tc>
          <w:tcPr>
            <w:tcW w:w="2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IP Agreement – US-NC</w:t>
            </w:r>
          </w:p>
        </w:tc>
        <w:tc>
          <w:tcPr>
            <w:tcW w:w="2220" w:type="dxa"/>
            <w:vAlign w:val="bottom"/>
          </w:tcPr>
          <w:p>
            <w:pPr>
              <w:ind w:left="1340"/>
              <w:spacing w:after="0"/>
              <w:rPr>
                <w:sz w:val="20"/>
                <w:szCs w:val="20"/>
                <w:color w:val="auto"/>
              </w:rPr>
            </w:pPr>
            <w:r>
              <w:rPr>
                <w:rFonts w:ascii="Arial" w:cs="Arial" w:eastAsia="Arial" w:hAnsi="Arial"/>
                <w:sz w:val="18"/>
                <w:szCs w:val="18"/>
                <w:color w:val="auto"/>
                <w:w w:val="93"/>
              </w:rPr>
              <w:t>Page 5 of 6</w:t>
            </w:r>
          </w:p>
        </w:tc>
        <w:tc>
          <w:tcPr>
            <w:tcW w:w="2120" w:type="dxa"/>
            <w:vAlign w:val="bottom"/>
          </w:tcPr>
          <w:p>
            <w:pPr>
              <w:spacing w:after="0"/>
              <w:rPr>
                <w:sz w:val="24"/>
                <w:szCs w:val="24"/>
                <w:color w:val="auto"/>
              </w:rPr>
            </w:pPr>
          </w:p>
        </w:tc>
        <w:tc>
          <w:tcPr>
            <w:tcW w:w="3120" w:type="dxa"/>
            <w:vAlign w:val="bottom"/>
          </w:tcPr>
          <w:p>
            <w:pPr>
              <w:ind w:left="1660"/>
              <w:spacing w:after="0"/>
              <w:rPr>
                <w:sz w:val="20"/>
                <w:szCs w:val="20"/>
                <w:color w:val="auto"/>
              </w:rPr>
            </w:pPr>
            <w:r>
              <w:rPr>
                <w:rFonts w:ascii="Arial" w:cs="Arial" w:eastAsia="Arial" w:hAnsi="Arial"/>
                <w:sz w:val="18"/>
                <w:szCs w:val="18"/>
                <w:color w:val="auto"/>
                <w:w w:val="88"/>
              </w:rPr>
              <w:t>Revised 09-15-2012</w:t>
            </w:r>
          </w:p>
        </w:tc>
        <w:tc>
          <w:tcPr>
            <w:tcW w:w="0" w:type="dxa"/>
            <w:vAlign w:val="bottom"/>
          </w:tcPr>
          <w:p>
            <w:pPr>
              <w:spacing w:after="0"/>
              <w:rPr>
                <w:sz w:val="1"/>
                <w:szCs w:val="1"/>
                <w:color w:val="auto"/>
              </w:rPr>
            </w:pPr>
          </w:p>
        </w:tc>
      </w:tr>
      <w:tr>
        <w:trPr>
          <w:trHeight w:val="277"/>
        </w:trPr>
        <w:tc>
          <w:tcPr>
            <w:tcW w:w="3960" w:type="dxa"/>
            <w:vAlign w:val="bottom"/>
            <w:tcBorders>
              <w:bottom w:val="single" w:sz="8" w:color="C0C0C0"/>
            </w:tcBorders>
          </w:tcPr>
          <w:p>
            <w:pPr>
              <w:spacing w:after="0"/>
              <w:rPr>
                <w:sz w:val="24"/>
                <w:szCs w:val="24"/>
                <w:color w:val="auto"/>
              </w:rPr>
            </w:pPr>
          </w:p>
        </w:tc>
        <w:tc>
          <w:tcPr>
            <w:tcW w:w="2220" w:type="dxa"/>
            <w:vAlign w:val="bottom"/>
            <w:tcBorders>
              <w:bottom w:val="single" w:sz="8" w:color="C0C0C0"/>
            </w:tcBorders>
          </w:tcPr>
          <w:p>
            <w:pPr>
              <w:spacing w:after="0"/>
              <w:rPr>
                <w:sz w:val="24"/>
                <w:szCs w:val="24"/>
                <w:color w:val="auto"/>
              </w:rPr>
            </w:pPr>
          </w:p>
        </w:tc>
        <w:tc>
          <w:tcPr>
            <w:tcW w:w="2120" w:type="dxa"/>
            <w:vAlign w:val="bottom"/>
            <w:tcBorders>
              <w:bottom w:val="single" w:sz="8" w:color="C0C0C0"/>
            </w:tcBorders>
          </w:tcPr>
          <w:p>
            <w:pPr>
              <w:spacing w:after="0"/>
              <w:rPr>
                <w:sz w:val="24"/>
                <w:szCs w:val="24"/>
                <w:color w:val="auto"/>
              </w:rPr>
            </w:pPr>
          </w:p>
        </w:tc>
        <w:tc>
          <w:tcPr>
            <w:tcW w:w="31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9"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25"/>
          <w:szCs w:val="25"/>
          <w:b w:val="1"/>
          <w:bCs w:val="1"/>
          <w:color w:val="auto"/>
        </w:rPr>
        <w:t>ADDENDUM TO</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HONEYWELL INTERNATIONAL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NONCOMPETE AGREEMENT FOR SENIOR EXECUTIVES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Krishna Mikkilineni</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EMPLOYED AS Senior Vice President, Engineering,</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Operations and Information Technology</w:t>
      </w:r>
    </w:p>
    <w:p>
      <w:pPr>
        <w:spacing w:after="0" w:line="20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Pursuant to Paragraph 1 of your Honeywell International Inc. Noncompete Agreement for Senior Executives (“Noncompete Agreement”), this Addendum contains a list, for illustration purposes only, of specific competitors that are considered a “Competing Business,” as that term is used in your Noncompete Agreement, and are therefore covered by the restrictions contained in Paragraph 1 of your Noncompete Agreement. This list is not an exhaustive list and is not intended to include all of Honeywell’s, or your specific business’ or unit’s, current or future competitors, which you acknowledge in Paragraph 1 of your Noncompete Agreement may include other persons or entities now or in the future.</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Based on your current role and responsibilities with Honeywell as Senior Vice President</w:t>
      </w:r>
      <w:r>
        <w:rPr>
          <w:rFonts w:ascii="Arial" w:cs="Arial" w:eastAsia="Arial" w:hAnsi="Arial"/>
          <w:sz w:val="18"/>
          <w:szCs w:val="18"/>
          <w:b w:val="1"/>
          <w:bCs w:val="1"/>
          <w:color w:val="auto"/>
        </w:rPr>
        <w:t>,</w:t>
      </w:r>
      <w:r>
        <w:rPr>
          <w:rFonts w:ascii="Arial" w:cs="Arial" w:eastAsia="Arial" w:hAnsi="Arial"/>
          <w:sz w:val="18"/>
          <w:szCs w:val="18"/>
          <w:color w:val="auto"/>
        </w:rPr>
        <w:t xml:space="preserve"> Engineering, Operations and Information Technology, the following companies are considered key competitors for your job, and therefore, fall within the definition of a Competing Business as that term is used in your Noncompete Agreement:</w:t>
      </w:r>
    </w:p>
    <w:p>
      <w:pPr>
        <w:spacing w:after="0" w:line="176"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b w:val="1"/>
          <w:bCs w:val="1"/>
          <w:color w:val="auto"/>
        </w:rPr>
        <w:t>General Electric, United Technologies, Rockwell Collins, Lockheed Martin, Northrop Grumman, Garmin, Thales, Williams, Emerson, Invensys, Johnson Controls, Schneider Electric, Siemens, Yamatake, Ingersoll Rand, Rockwell Automation, Bosch, Mine Safety Appliances, 3M, Tyco, ABB, Yokogawa, Philips, Intermec Technologies, Motorola Solutions (Symbol), Arkema, Axens, BASF, DSM, Dupont, Shell/Criterion, Albermarle, Sinopec, Chevron Lummus Global, Solvay Fluor, Celanese, Borg-Warner, Holset, IHI, MHI, Bosch-Mahle JV, SchaefflerContinental, Voight, APB, Cummins, Behr, Modine, Valeo, Advics, Akebono, Continental, Federal-Mogul, ITT Corp., JBI, Nisshinbo, TMD Friction, TRW, Saxid, Affina, Centric</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previously noted, this is not an exhaustive list and there may be other current and future persons or entities that would meet the definition of a Competing Business, as set forth in your Noncompete Agreement. In addition, pursuant to Paragraph 1 of your Noncompete Agreement, please note that the term Competing Business, as defined in your Noncompete Agreement, will include competitors of any Honeywell business in which you have worked in a job subject to the Program (as defined in your Noncompete Agreement) during the Look Back Period (as defined in your Noncompete Agreement). Accordingly, if you worked in multiple Honeywell businesses in covered positions during your tenure, it is very likely that the list of Competing Businesses subject to restriction under the terms of your Noncompete Agreement will be broader than the above illustrative list. If you have questions about whether any prior Honeywell position which you have held during the Look Back Period subjects you to similar restrictions, and will be used to identify Competing Business(es), you should contact your Human Resource representative.</w:t>
      </w:r>
    </w:p>
    <w:p>
      <w:pPr>
        <w:spacing w:after="0" w:line="179" w:lineRule="exact"/>
        <w:rPr>
          <w:sz w:val="20"/>
          <w:szCs w:val="20"/>
          <w:color w:val="auto"/>
        </w:rPr>
      </w:pPr>
    </w:p>
    <w:p>
      <w:pPr>
        <w:spacing w:after="0"/>
        <w:tabs>
          <w:tab w:leader="none" w:pos="5280" w:val="left"/>
          <w:tab w:leader="none" w:pos="9940" w:val="left"/>
        </w:tabs>
        <w:rPr>
          <w:sz w:val="20"/>
          <w:szCs w:val="20"/>
          <w:color w:val="auto"/>
        </w:rPr>
      </w:pPr>
      <w:r>
        <w:rPr>
          <w:rFonts w:ascii="Arial" w:cs="Arial" w:eastAsia="Arial" w:hAnsi="Arial"/>
          <w:sz w:val="18"/>
          <w:szCs w:val="18"/>
          <w:color w:val="auto"/>
        </w:rPr>
        <w:t>IP Agreement – US-NC</w:t>
      </w:r>
      <w:r>
        <w:rPr>
          <w:sz w:val="20"/>
          <w:szCs w:val="20"/>
          <w:color w:val="auto"/>
        </w:rPr>
        <w:tab/>
      </w:r>
      <w:r>
        <w:rPr>
          <w:rFonts w:ascii="Arial" w:cs="Arial" w:eastAsia="Arial" w:hAnsi="Arial"/>
          <w:sz w:val="18"/>
          <w:szCs w:val="18"/>
          <w:color w:val="auto"/>
        </w:rPr>
        <w:t>Page 6 of 6</w:t>
      </w:r>
      <w:r>
        <w:rPr>
          <w:sz w:val="20"/>
          <w:szCs w:val="20"/>
          <w:color w:val="auto"/>
        </w:rPr>
        <w:tab/>
      </w:r>
      <w:r>
        <w:rPr>
          <w:rFonts w:ascii="Arial" w:cs="Arial" w:eastAsia="Arial" w:hAnsi="Arial"/>
          <w:sz w:val="16"/>
          <w:szCs w:val="16"/>
          <w:color w:val="auto"/>
        </w:rPr>
        <w:t>Revised 09-15-2012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16" w:name="page117"/>
    <w:bookmarkEnd w:id="116"/>
    <w:p>
      <w:pPr>
        <w:ind w:left="10460"/>
        <w:spacing w:after="0"/>
        <w:rPr>
          <w:sz w:val="20"/>
          <w:szCs w:val="20"/>
          <w:color w:val="auto"/>
        </w:rPr>
      </w:pPr>
      <w:r>
        <w:rPr>
          <w:rFonts w:ascii="Arial" w:cs="Arial" w:eastAsia="Arial" w:hAnsi="Arial"/>
          <w:sz w:val="17"/>
          <w:szCs w:val="17"/>
          <w:b w:val="1"/>
          <w:bCs w:val="1"/>
          <w:color w:val="auto"/>
        </w:rPr>
        <w:t>EXHIBIT 12</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STATEMENT RE: COMPUTATION OF RATIO OF EARNINGS TO FIXED CHARGES</w:t>
      </w:r>
    </w:p>
    <w:p>
      <w:pPr>
        <w:jc w:val="center"/>
        <w:ind w:right="-39"/>
        <w:spacing w:after="0"/>
        <w:rPr>
          <w:sz w:val="20"/>
          <w:szCs w:val="20"/>
          <w:color w:val="auto"/>
        </w:rPr>
      </w:pPr>
      <w:r>
        <w:rPr>
          <w:rFonts w:ascii="Arial" w:cs="Arial" w:eastAsia="Arial" w:hAnsi="Arial"/>
          <w:sz w:val="18"/>
          <w:szCs w:val="18"/>
          <w:b w:val="1"/>
          <w:bCs w:val="1"/>
          <w:color w:val="auto"/>
        </w:rPr>
        <w:t>(Dollars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80" w:type="dxa"/>
            <w:vAlign w:val="bottom"/>
            <w:tcBorders>
              <w:bottom w:val="single" w:sz="8" w:color="E5FF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E5FF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E5FF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E5FF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E5FF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10"/>
        </w:trPr>
        <w:tc>
          <w:tcPr>
            <w:tcW w:w="53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Determination of Earnings:</w:t>
            </w:r>
          </w:p>
        </w:tc>
        <w:tc>
          <w:tcPr>
            <w:tcW w:w="22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180"/>
              <w:spacing w:after="0" w:line="202" w:lineRule="exact"/>
              <w:rPr>
                <w:sz w:val="20"/>
                <w:szCs w:val="20"/>
                <w:color w:val="auto"/>
              </w:rPr>
            </w:pPr>
            <w:r>
              <w:rPr>
                <w:rFonts w:ascii="Arial" w:cs="Arial" w:eastAsia="Arial" w:hAnsi="Arial"/>
                <w:sz w:val="18"/>
                <w:szCs w:val="18"/>
                <w:color w:val="auto"/>
              </w:rPr>
              <w:t>Income before taxes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6,447</w:t>
            </w:r>
          </w:p>
        </w:tc>
        <w:tc>
          <w:tcPr>
            <w:tcW w:w="22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6,586</w:t>
            </w:r>
          </w:p>
        </w:tc>
        <w:tc>
          <w:tcPr>
            <w:tcW w:w="22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5,818</w:t>
            </w:r>
          </w:p>
        </w:tc>
        <w:tc>
          <w:tcPr>
            <w:tcW w:w="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5,412</w:t>
            </w:r>
          </w:p>
        </w:tc>
        <w:tc>
          <w:tcPr>
            <w:tcW w:w="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Add (Deduct):</w:t>
            </w:r>
          </w:p>
        </w:tc>
        <w:tc>
          <w:tcPr>
            <w:tcW w:w="22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capitalized interest</w:t>
            </w:r>
          </w:p>
        </w:tc>
        <w:tc>
          <w:tcPr>
            <w:tcW w:w="220" w:type="dxa"/>
            <w:vAlign w:val="bottom"/>
          </w:tcPr>
          <w:p>
            <w:pPr>
              <w:spacing w:after="0"/>
              <w:rPr>
                <w:sz w:val="17"/>
                <w:szCs w:val="17"/>
                <w:color w:val="auto"/>
              </w:rPr>
            </w:pPr>
          </w:p>
        </w:tc>
        <w:tc>
          <w:tcPr>
            <w:tcW w:w="8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538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Fixed charges</w:t>
            </w:r>
          </w:p>
        </w:tc>
        <w:tc>
          <w:tcPr>
            <w:tcW w:w="2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379</w:t>
            </w: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356</w:t>
            </w: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364</w:t>
            </w: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371</w:t>
            </w:r>
          </w:p>
        </w:tc>
        <w:tc>
          <w:tcPr>
            <w:tcW w:w="2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5380" w:type="dxa"/>
            <w:vAlign w:val="bottom"/>
            <w:tcBorders>
              <w:bottom w:val="single" w:sz="8" w:color="E5FFFF"/>
            </w:tcBorders>
          </w:tcPr>
          <w:p>
            <w:pPr>
              <w:ind w:left="360"/>
              <w:spacing w:after="0"/>
              <w:rPr>
                <w:sz w:val="20"/>
                <w:szCs w:val="20"/>
                <w:color w:val="auto"/>
              </w:rPr>
            </w:pPr>
            <w:r>
              <w:rPr>
                <w:rFonts w:ascii="Arial" w:cs="Arial" w:eastAsia="Arial" w:hAnsi="Arial"/>
                <w:sz w:val="18"/>
                <w:szCs w:val="18"/>
                <w:color w:val="auto"/>
              </w:rPr>
              <w:t>Equity income, net of distributions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7"/>
        </w:trPr>
        <w:tc>
          <w:tcPr>
            <w:tcW w:w="5380" w:type="dxa"/>
            <w:vAlign w:val="bottom"/>
            <w:shd w:val="clear" w:color="auto" w:fill="E5FFFF"/>
          </w:tcPr>
          <w:p>
            <w:pPr>
              <w:ind w:left="540"/>
              <w:spacing w:after="0"/>
              <w:rPr>
                <w:sz w:val="20"/>
                <w:szCs w:val="20"/>
                <w:color w:val="auto"/>
              </w:rPr>
            </w:pPr>
            <w:r>
              <w:rPr>
                <w:rFonts w:ascii="Arial" w:cs="Arial" w:eastAsia="Arial" w:hAnsi="Arial"/>
                <w:sz w:val="18"/>
                <w:szCs w:val="18"/>
                <w:b w:val="1"/>
                <w:bCs w:val="1"/>
                <w:color w:val="auto"/>
              </w:rPr>
              <w:t>Total earnings, as defined</w:t>
            </w:r>
          </w:p>
        </w:tc>
        <w:tc>
          <w:tcPr>
            <w:tcW w:w="22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rPr>
              <w:t>6,814</w:t>
            </w:r>
          </w:p>
        </w:tc>
        <w:tc>
          <w:tcPr>
            <w:tcW w:w="220" w:type="dxa"/>
            <w:vAlign w:val="bottom"/>
            <w:shd w:val="clear" w:color="auto" w:fill="E5FFFF"/>
          </w:tcPr>
          <w:p>
            <w:pPr>
              <w:spacing w:after="0"/>
              <w:rPr>
                <w:sz w:val="20"/>
                <w:szCs w:val="20"/>
                <w:color w:val="auto"/>
              </w:rPr>
            </w:pPr>
          </w:p>
        </w:tc>
        <w:tc>
          <w:tcPr>
            <w:tcW w:w="22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rPr>
              <w:t>6,931</w:t>
            </w:r>
          </w:p>
        </w:tc>
        <w:tc>
          <w:tcPr>
            <w:tcW w:w="220" w:type="dxa"/>
            <w:vAlign w:val="bottom"/>
            <w:shd w:val="clear" w:color="auto" w:fill="E5FFFF"/>
          </w:tcPr>
          <w:p>
            <w:pPr>
              <w:spacing w:after="0"/>
              <w:rPr>
                <w:sz w:val="20"/>
                <w:szCs w:val="20"/>
                <w:color w:val="auto"/>
              </w:rPr>
            </w:pPr>
          </w:p>
        </w:tc>
        <w:tc>
          <w:tcPr>
            <w:tcW w:w="22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6,165</w:t>
            </w:r>
          </w:p>
        </w:tc>
        <w:tc>
          <w:tcPr>
            <w:tcW w:w="4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rPr>
              <w:t>5,767</w:t>
            </w:r>
          </w:p>
        </w:tc>
        <w:tc>
          <w:tcPr>
            <w:tcW w:w="42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4,254</w:t>
            </w:r>
          </w:p>
        </w:tc>
        <w:tc>
          <w:tcPr>
            <w:tcW w:w="0" w:type="dxa"/>
            <w:vAlign w:val="bottom"/>
          </w:tcPr>
          <w:p>
            <w:pPr>
              <w:spacing w:after="0"/>
              <w:rPr>
                <w:sz w:val="1"/>
                <w:szCs w:val="1"/>
                <w:color w:val="auto"/>
              </w:rPr>
            </w:pPr>
          </w:p>
        </w:tc>
      </w:tr>
      <w:tr>
        <w:trPr>
          <w:trHeight w:val="20"/>
        </w:trPr>
        <w:tc>
          <w:tcPr>
            <w:tcW w:w="5380" w:type="dxa"/>
            <w:vAlign w:val="bottom"/>
            <w:tcBorders>
              <w:top w:val="single" w:sz="8" w:color="E5FFFF"/>
              <w:bottom w:val="single" w:sz="8" w:color="E5FFFF"/>
            </w:tcBorders>
            <w:vMerge w:val="restart"/>
          </w:tcPr>
          <w:p>
            <w:pPr>
              <w:spacing w:after="0"/>
              <w:rPr>
                <w:sz w:val="20"/>
                <w:szCs w:val="20"/>
                <w:color w:val="auto"/>
              </w:rPr>
            </w:pPr>
            <w:r>
              <w:rPr>
                <w:rFonts w:ascii="Arial" w:cs="Arial" w:eastAsia="Arial" w:hAnsi="Arial"/>
                <w:sz w:val="18"/>
                <w:szCs w:val="18"/>
                <w:b w:val="1"/>
                <w:bCs w:val="1"/>
                <w:color w:val="auto"/>
              </w:rPr>
              <w:t>Fixed Charges: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E5FFFF"/>
          </w:tcPr>
          <w:p>
            <w:pPr>
              <w:ind w:left="180"/>
              <w:spacing w:after="0" w:line="243" w:lineRule="exact"/>
              <w:rPr>
                <w:sz w:val="20"/>
                <w:szCs w:val="20"/>
                <w:color w:val="auto"/>
              </w:rPr>
            </w:pPr>
            <w:r>
              <w:rPr>
                <w:rFonts w:ascii="Arial" w:cs="Arial" w:eastAsia="Arial" w:hAnsi="Arial"/>
                <w:sz w:val="17"/>
                <w:szCs w:val="17"/>
                <w:color w:val="auto"/>
              </w:rPr>
              <w:t>Rents</w:t>
            </w:r>
            <w:r>
              <w:rPr>
                <w:rFonts w:ascii="Arial" w:cs="Arial" w:eastAsia="Arial" w:hAnsi="Arial"/>
                <w:sz w:val="28"/>
                <w:szCs w:val="28"/>
                <w:color w:val="auto"/>
                <w:vertAlign w:val="superscript"/>
              </w:rPr>
              <w:t>(1)</w:t>
            </w:r>
          </w:p>
        </w:tc>
        <w:tc>
          <w:tcPr>
            <w:tcW w:w="22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rPr>
              <w:t>41</w:t>
            </w:r>
          </w:p>
        </w:tc>
        <w:tc>
          <w:tcPr>
            <w:tcW w:w="220" w:type="dxa"/>
            <w:vAlign w:val="bottom"/>
            <w:shd w:val="clear" w:color="auto" w:fill="E5FFFF"/>
          </w:tcPr>
          <w:p>
            <w:pPr>
              <w:spacing w:after="0"/>
              <w:rPr>
                <w:sz w:val="21"/>
                <w:szCs w:val="21"/>
                <w:color w:val="auto"/>
              </w:rPr>
            </w:pPr>
          </w:p>
        </w:tc>
        <w:tc>
          <w:tcPr>
            <w:tcW w:w="22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rPr>
              <w:t>46</w:t>
            </w:r>
          </w:p>
        </w:tc>
        <w:tc>
          <w:tcPr>
            <w:tcW w:w="220" w:type="dxa"/>
            <w:vAlign w:val="bottom"/>
            <w:shd w:val="clear" w:color="auto" w:fill="E5FFFF"/>
          </w:tcPr>
          <w:p>
            <w:pPr>
              <w:spacing w:after="0"/>
              <w:rPr>
                <w:sz w:val="21"/>
                <w:szCs w:val="21"/>
                <w:color w:val="auto"/>
              </w:rPr>
            </w:pPr>
          </w:p>
        </w:tc>
        <w:tc>
          <w:tcPr>
            <w:tcW w:w="22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46</w:t>
            </w:r>
          </w:p>
        </w:tc>
        <w:tc>
          <w:tcPr>
            <w:tcW w:w="4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rPr>
              <w:t>44</w:t>
            </w:r>
          </w:p>
        </w:tc>
        <w:tc>
          <w:tcPr>
            <w:tcW w:w="42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38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Interest and other financial charges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338</w:t>
            </w:r>
          </w:p>
        </w:tc>
        <w:tc>
          <w:tcPr>
            <w:tcW w:w="22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310</w:t>
            </w:r>
          </w:p>
        </w:tc>
        <w:tc>
          <w:tcPr>
            <w:tcW w:w="22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318</w:t>
            </w:r>
          </w:p>
        </w:tc>
        <w:tc>
          <w:tcPr>
            <w:tcW w:w="22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327</w:t>
            </w:r>
          </w:p>
        </w:tc>
        <w:tc>
          <w:tcPr>
            <w:tcW w:w="20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196"/>
        </w:trPr>
        <w:tc>
          <w:tcPr>
            <w:tcW w:w="53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379</w:t>
            </w: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356</w:t>
            </w: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364</w:t>
            </w: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371</w:t>
            </w:r>
          </w:p>
        </w:tc>
        <w:tc>
          <w:tcPr>
            <w:tcW w:w="2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538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Capitalized interest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5380" w:type="dxa"/>
            <w:vAlign w:val="bottom"/>
            <w:shd w:val="clear" w:color="auto" w:fill="E5FFFF"/>
          </w:tcPr>
          <w:p>
            <w:pPr>
              <w:ind w:left="540"/>
              <w:spacing w:after="0"/>
              <w:rPr>
                <w:sz w:val="20"/>
                <w:szCs w:val="20"/>
                <w:color w:val="auto"/>
              </w:rPr>
            </w:pPr>
            <w:r>
              <w:rPr>
                <w:rFonts w:ascii="Arial" w:cs="Arial" w:eastAsia="Arial" w:hAnsi="Arial"/>
                <w:sz w:val="18"/>
                <w:szCs w:val="18"/>
                <w:b w:val="1"/>
                <w:bCs w:val="1"/>
                <w:color w:val="auto"/>
              </w:rPr>
              <w:t>Total fixed charges</w:t>
            </w:r>
          </w:p>
        </w:tc>
        <w:tc>
          <w:tcPr>
            <w:tcW w:w="22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rPr>
              <w:t>401</w:t>
            </w:r>
          </w:p>
        </w:tc>
        <w:tc>
          <w:tcPr>
            <w:tcW w:w="220" w:type="dxa"/>
            <w:vAlign w:val="bottom"/>
            <w:shd w:val="clear" w:color="auto" w:fill="E5FFFF"/>
          </w:tcPr>
          <w:p>
            <w:pPr>
              <w:spacing w:after="0"/>
              <w:rPr>
                <w:sz w:val="20"/>
                <w:szCs w:val="20"/>
                <w:color w:val="auto"/>
              </w:rPr>
            </w:pPr>
          </w:p>
        </w:tc>
        <w:tc>
          <w:tcPr>
            <w:tcW w:w="22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rPr>
              <w:t>376</w:t>
            </w:r>
          </w:p>
        </w:tc>
        <w:tc>
          <w:tcPr>
            <w:tcW w:w="220" w:type="dxa"/>
            <w:vAlign w:val="bottom"/>
            <w:shd w:val="clear" w:color="auto" w:fill="E5FFFF"/>
          </w:tcPr>
          <w:p>
            <w:pPr>
              <w:spacing w:after="0"/>
              <w:rPr>
                <w:sz w:val="20"/>
                <w:szCs w:val="20"/>
                <w:color w:val="auto"/>
              </w:rPr>
            </w:pPr>
          </w:p>
        </w:tc>
        <w:tc>
          <w:tcPr>
            <w:tcW w:w="22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385</w:t>
            </w:r>
          </w:p>
        </w:tc>
        <w:tc>
          <w:tcPr>
            <w:tcW w:w="4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rPr>
              <w:t>390</w:t>
            </w:r>
          </w:p>
        </w:tc>
        <w:tc>
          <w:tcPr>
            <w:tcW w:w="42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0"/>
        </w:trPr>
        <w:tc>
          <w:tcPr>
            <w:tcW w:w="538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80" w:type="dxa"/>
            <w:vAlign w:val="bottom"/>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22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16.99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18.43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16.01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14.79</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10.08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right="500" w:hanging="352"/>
        <w:spacing w:after="0" w:line="246" w:lineRule="auto"/>
        <w:tabs>
          <w:tab w:leader="none" w:pos="3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Denotes the equivalent of an appropriate portion of rentals representative of the interest factor on all rentals other than for capitalized leases.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ind w:left="400"/>
              <w:spacing w:after="0"/>
              <w:rPr>
                <w:sz w:val="20"/>
                <w:szCs w:val="20"/>
                <w:color w:val="auto"/>
              </w:rPr>
            </w:pPr>
            <w:r>
              <w:rPr>
                <w:rFonts w:ascii="Arial" w:cs="Arial" w:eastAsia="Arial" w:hAnsi="Arial"/>
                <w:sz w:val="18"/>
                <w:szCs w:val="18"/>
                <w:b w:val="1"/>
                <w:bCs w:val="1"/>
                <w:color w:val="auto"/>
                <w:w w:val="97"/>
              </w:rPr>
              <w:t>EXHIBIT 21</w:t>
            </w: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7520" w:type="dxa"/>
            <w:vAlign w:val="bottom"/>
            <w:gridSpan w:val="2"/>
          </w:tcPr>
          <w:p>
            <w:pPr>
              <w:jc w:val="center"/>
              <w:ind w:left="3770"/>
              <w:spacing w:after="0"/>
              <w:rPr>
                <w:sz w:val="20"/>
                <w:szCs w:val="20"/>
                <w:color w:val="auto"/>
              </w:rPr>
            </w:pPr>
            <w:r>
              <w:rPr>
                <w:rFonts w:ascii="Arial" w:cs="Arial" w:eastAsia="Arial" w:hAnsi="Arial"/>
                <w:sz w:val="18"/>
                <w:szCs w:val="18"/>
                <w:b w:val="1"/>
                <w:bCs w:val="1"/>
                <w:color w:val="auto"/>
                <w:w w:val="99"/>
              </w:rPr>
              <w:t>HONEYWELL INTERNATIONAL INC.</w:t>
            </w: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520" w:type="dxa"/>
            <w:vAlign w:val="bottom"/>
            <w:gridSpan w:val="2"/>
          </w:tcPr>
          <w:p>
            <w:pPr>
              <w:jc w:val="center"/>
              <w:ind w:left="3770"/>
              <w:spacing w:after="0"/>
              <w:rPr>
                <w:sz w:val="20"/>
                <w:szCs w:val="20"/>
                <w:color w:val="auto"/>
              </w:rPr>
            </w:pPr>
            <w:r>
              <w:rPr>
                <w:rFonts w:ascii="Arial" w:cs="Arial" w:eastAsia="Arial" w:hAnsi="Arial"/>
                <w:sz w:val="18"/>
                <w:szCs w:val="18"/>
                <w:b w:val="1"/>
                <w:bCs w:val="1"/>
                <w:color w:val="auto"/>
              </w:rPr>
              <w:t>SUBSIDIARIES OF THE REGISTRANT</w:t>
            </w: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Country or State</w:t>
            </w:r>
          </w:p>
        </w:tc>
        <w:tc>
          <w:tcPr>
            <w:tcW w:w="1360" w:type="dxa"/>
            <w:vAlign w:val="bottom"/>
          </w:tcPr>
          <w:p>
            <w:pPr>
              <w:ind w:left="4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520" w:type="dxa"/>
            <w:vAlign w:val="bottom"/>
            <w:gridSpan w:val="2"/>
          </w:tcPr>
          <w:p>
            <w:pPr>
              <w:ind w:left="3440"/>
              <w:spacing w:after="0"/>
              <w:rPr>
                <w:sz w:val="20"/>
                <w:szCs w:val="20"/>
                <w:color w:val="auto"/>
              </w:rPr>
            </w:pPr>
            <w:r>
              <w:rPr>
                <w:rFonts w:ascii="Arial" w:cs="Arial" w:eastAsia="Arial" w:hAnsi="Arial"/>
                <w:sz w:val="14"/>
                <w:szCs w:val="14"/>
                <w:b w:val="1"/>
                <w:bCs w:val="1"/>
                <w:color w:val="auto"/>
              </w:rPr>
              <w:t>Name</w:t>
            </w:r>
          </w:p>
        </w:tc>
        <w:tc>
          <w:tcPr>
            <w:tcW w:w="2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of Incorporation</w:t>
            </w:r>
          </w:p>
        </w:tc>
        <w:tc>
          <w:tcPr>
            <w:tcW w:w="1360" w:type="dxa"/>
            <w:vAlign w:val="bottom"/>
          </w:tcPr>
          <w:p>
            <w:pPr>
              <w:ind w:left="300"/>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AlliedSignal Aerospace Service Corporation</w:t>
            </w:r>
          </w:p>
        </w:tc>
        <w:tc>
          <w:tcPr>
            <w:tcW w:w="2520" w:type="dxa"/>
            <w:vAlign w:val="bottom"/>
            <w:gridSpan w:val="2"/>
            <w:shd w:val="clear" w:color="auto" w:fill="E5FFFF"/>
          </w:tcPr>
          <w:p>
            <w:pPr>
              <w:jc w:val="center"/>
              <w:ind w:right="200"/>
              <w:spacing w:after="0"/>
              <w:rPr>
                <w:sz w:val="20"/>
                <w:szCs w:val="20"/>
                <w:color w:val="auto"/>
              </w:rPr>
            </w:pPr>
            <w:r>
              <w:rPr>
                <w:rFonts w:ascii="Arial" w:cs="Arial" w:eastAsia="Arial" w:hAnsi="Arial"/>
                <w:sz w:val="18"/>
                <w:szCs w:val="18"/>
                <w:color w:val="auto"/>
                <w:w w:val="99"/>
              </w:rPr>
              <w:t>Delaware</w:t>
            </w:r>
          </w:p>
        </w:tc>
        <w:tc>
          <w:tcPr>
            <w:tcW w:w="136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COM DEV Ltd.</w:t>
            </w:r>
          </w:p>
        </w:tc>
        <w:tc>
          <w:tcPr>
            <w:tcW w:w="252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Canada</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Elster GmbH</w:t>
            </w:r>
          </w:p>
        </w:tc>
        <w:tc>
          <w:tcPr>
            <w:tcW w:w="252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9"/>
              </w:rPr>
              <w:t>Germany</w:t>
            </w:r>
          </w:p>
        </w:tc>
        <w:tc>
          <w:tcPr>
            <w:tcW w:w="136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Elster s.r.o.</w:t>
            </w:r>
          </w:p>
        </w:tc>
        <w:tc>
          <w:tcPr>
            <w:tcW w:w="25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Slovakia</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Grimes Aerospace Company</w:t>
            </w:r>
          </w:p>
        </w:tc>
        <w:tc>
          <w:tcPr>
            <w:tcW w:w="2520" w:type="dxa"/>
            <w:vAlign w:val="bottom"/>
            <w:gridSpan w:val="2"/>
            <w:shd w:val="clear" w:color="auto" w:fill="E5FFFF"/>
          </w:tcPr>
          <w:p>
            <w:pPr>
              <w:jc w:val="center"/>
              <w:ind w:right="200"/>
              <w:spacing w:after="0"/>
              <w:rPr>
                <w:sz w:val="20"/>
                <w:szCs w:val="20"/>
                <w:color w:val="auto"/>
              </w:rPr>
            </w:pPr>
            <w:r>
              <w:rPr>
                <w:rFonts w:ascii="Arial" w:cs="Arial" w:eastAsia="Arial" w:hAnsi="Arial"/>
                <w:sz w:val="18"/>
                <w:szCs w:val="18"/>
                <w:color w:val="auto"/>
                <w:w w:val="99"/>
              </w:rPr>
              <w:t>Delaware</w:t>
            </w:r>
          </w:p>
        </w:tc>
        <w:tc>
          <w:tcPr>
            <w:tcW w:w="136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Hand Held Products, Inc.</w:t>
            </w:r>
          </w:p>
        </w:tc>
        <w:tc>
          <w:tcPr>
            <w:tcW w:w="25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Delaware</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Honeywell Aerospace de México, S. de R.L. de C.V.</w:t>
            </w:r>
          </w:p>
        </w:tc>
        <w:tc>
          <w:tcPr>
            <w:tcW w:w="252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rPr>
              <w:t>Mexico</w:t>
            </w:r>
          </w:p>
        </w:tc>
        <w:tc>
          <w:tcPr>
            <w:tcW w:w="136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Honeywell Automation India Limited</w:t>
            </w:r>
          </w:p>
        </w:tc>
        <w:tc>
          <w:tcPr>
            <w:tcW w:w="252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India</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Honeywell Automotive Parts Services (Shanghai) Co., Ltd.</w:t>
            </w:r>
          </w:p>
        </w:tc>
        <w:tc>
          <w:tcPr>
            <w:tcW w:w="252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7"/>
              </w:rPr>
              <w:t>China</w:t>
            </w:r>
          </w:p>
        </w:tc>
        <w:tc>
          <w:tcPr>
            <w:tcW w:w="136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Honeywell Aerospace Avionics Malaysia Sdn Bhd</w:t>
            </w:r>
          </w:p>
        </w:tc>
        <w:tc>
          <w:tcPr>
            <w:tcW w:w="252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Malaysia</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Honeywell Aerospace UK</w:t>
            </w:r>
          </w:p>
        </w:tc>
        <w:tc>
          <w:tcPr>
            <w:tcW w:w="2520" w:type="dxa"/>
            <w:vAlign w:val="bottom"/>
            <w:gridSpan w:val="2"/>
            <w:shd w:val="clear" w:color="auto" w:fill="E5FFFF"/>
          </w:tcPr>
          <w:p>
            <w:pPr>
              <w:jc w:val="center"/>
              <w:ind w:right="200"/>
              <w:spacing w:after="0"/>
              <w:rPr>
                <w:sz w:val="20"/>
                <w:szCs w:val="20"/>
                <w:color w:val="auto"/>
              </w:rPr>
            </w:pPr>
            <w:r>
              <w:rPr>
                <w:rFonts w:ascii="Arial" w:cs="Arial" w:eastAsia="Arial" w:hAnsi="Arial"/>
                <w:sz w:val="18"/>
                <w:szCs w:val="18"/>
                <w:color w:val="auto"/>
                <w:w w:val="99"/>
              </w:rPr>
              <w:t>United Kingdom</w:t>
            </w:r>
          </w:p>
        </w:tc>
        <w:tc>
          <w:tcPr>
            <w:tcW w:w="136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Honeywell (China) Co., Ltd.</w:t>
            </w:r>
          </w:p>
        </w:tc>
        <w:tc>
          <w:tcPr>
            <w:tcW w:w="252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China</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Honeywell Co., Ltd.</w:t>
            </w:r>
          </w:p>
        </w:tc>
        <w:tc>
          <w:tcPr>
            <w:tcW w:w="2520" w:type="dxa"/>
            <w:vAlign w:val="bottom"/>
            <w:gridSpan w:val="2"/>
            <w:shd w:val="clear" w:color="auto" w:fill="E5FFFF"/>
          </w:tcPr>
          <w:p>
            <w:pPr>
              <w:jc w:val="center"/>
              <w:ind w:right="200"/>
              <w:spacing w:after="0"/>
              <w:rPr>
                <w:sz w:val="20"/>
                <w:szCs w:val="20"/>
                <w:color w:val="auto"/>
              </w:rPr>
            </w:pPr>
            <w:r>
              <w:rPr>
                <w:rFonts w:ascii="Arial" w:cs="Arial" w:eastAsia="Arial" w:hAnsi="Arial"/>
                <w:sz w:val="18"/>
                <w:szCs w:val="18"/>
                <w:color w:val="auto"/>
                <w:w w:val="99"/>
              </w:rPr>
              <w:t>Korea</w:t>
            </w:r>
          </w:p>
        </w:tc>
        <w:tc>
          <w:tcPr>
            <w:tcW w:w="136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Honeywell Control Systems Limited</w:t>
            </w:r>
          </w:p>
        </w:tc>
        <w:tc>
          <w:tcPr>
            <w:tcW w:w="25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United Kingdom</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Honeywell Deutschland Holding GmbH</w:t>
            </w:r>
          </w:p>
        </w:tc>
        <w:tc>
          <w:tcPr>
            <w:tcW w:w="252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9"/>
              </w:rPr>
              <w:t>Germany</w:t>
            </w:r>
          </w:p>
        </w:tc>
        <w:tc>
          <w:tcPr>
            <w:tcW w:w="136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Honeywell Electronic Materials, Inc.</w:t>
            </w:r>
          </w:p>
        </w:tc>
        <w:tc>
          <w:tcPr>
            <w:tcW w:w="252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Washington</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Honeywell Europe NV</w:t>
            </w:r>
          </w:p>
        </w:tc>
        <w:tc>
          <w:tcPr>
            <w:tcW w:w="252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rPr>
              <w:t>Belgium</w:t>
            </w:r>
          </w:p>
        </w:tc>
        <w:tc>
          <w:tcPr>
            <w:tcW w:w="136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Honeywell Finance LP</w:t>
            </w:r>
          </w:p>
        </w:tc>
        <w:tc>
          <w:tcPr>
            <w:tcW w:w="25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Delaware</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Honeywell Holdings Pty. Ltd.</w:t>
            </w:r>
          </w:p>
        </w:tc>
        <w:tc>
          <w:tcPr>
            <w:tcW w:w="252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9"/>
              </w:rPr>
              <w:t>Australia</w:t>
            </w:r>
          </w:p>
        </w:tc>
        <w:tc>
          <w:tcPr>
            <w:tcW w:w="136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Honeywell International Sàrl</w:t>
            </w:r>
          </w:p>
        </w:tc>
        <w:tc>
          <w:tcPr>
            <w:tcW w:w="2520" w:type="dxa"/>
            <w:vAlign w:val="bottom"/>
            <w:gridSpan w:val="2"/>
          </w:tcPr>
          <w:p>
            <w:pPr>
              <w:jc w:val="center"/>
              <w:ind w:right="220"/>
              <w:spacing w:after="0"/>
              <w:rPr>
                <w:sz w:val="20"/>
                <w:szCs w:val="20"/>
                <w:color w:val="auto"/>
              </w:rPr>
            </w:pPr>
            <w:r>
              <w:rPr>
                <w:rFonts w:ascii="Arial" w:cs="Arial" w:eastAsia="Arial" w:hAnsi="Arial"/>
                <w:sz w:val="18"/>
                <w:szCs w:val="18"/>
                <w:color w:val="auto"/>
              </w:rPr>
              <w:t>Switzerland</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Honeywell International Services SRL</w:t>
            </w:r>
          </w:p>
        </w:tc>
        <w:tc>
          <w:tcPr>
            <w:tcW w:w="2520" w:type="dxa"/>
            <w:vAlign w:val="bottom"/>
            <w:gridSpan w:val="2"/>
            <w:shd w:val="clear" w:color="auto" w:fill="E5FFFF"/>
          </w:tcPr>
          <w:p>
            <w:pPr>
              <w:jc w:val="center"/>
              <w:ind w:right="200"/>
              <w:spacing w:after="0"/>
              <w:rPr>
                <w:sz w:val="20"/>
                <w:szCs w:val="20"/>
                <w:color w:val="auto"/>
              </w:rPr>
            </w:pPr>
            <w:r>
              <w:rPr>
                <w:rFonts w:ascii="Arial" w:cs="Arial" w:eastAsia="Arial" w:hAnsi="Arial"/>
                <w:sz w:val="18"/>
                <w:szCs w:val="18"/>
                <w:color w:val="auto"/>
                <w:w w:val="99"/>
              </w:rPr>
              <w:t>Romania</w:t>
            </w:r>
          </w:p>
        </w:tc>
        <w:tc>
          <w:tcPr>
            <w:tcW w:w="136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Honeywell Japan Inc.</w:t>
            </w:r>
          </w:p>
        </w:tc>
        <w:tc>
          <w:tcPr>
            <w:tcW w:w="2520" w:type="dxa"/>
            <w:vAlign w:val="bottom"/>
            <w:gridSpan w:val="2"/>
          </w:tcPr>
          <w:p>
            <w:pPr>
              <w:jc w:val="center"/>
              <w:ind w:right="220"/>
              <w:spacing w:after="0"/>
              <w:rPr>
                <w:sz w:val="20"/>
                <w:szCs w:val="20"/>
                <w:color w:val="auto"/>
              </w:rPr>
            </w:pPr>
            <w:r>
              <w:rPr>
                <w:rFonts w:ascii="Arial" w:cs="Arial" w:eastAsia="Arial" w:hAnsi="Arial"/>
                <w:sz w:val="18"/>
                <w:szCs w:val="18"/>
                <w:color w:val="auto"/>
              </w:rPr>
              <w:t>Japan</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Honeywell Korea Ltd.</w:t>
            </w:r>
          </w:p>
        </w:tc>
        <w:tc>
          <w:tcPr>
            <w:tcW w:w="2520" w:type="dxa"/>
            <w:vAlign w:val="bottom"/>
            <w:gridSpan w:val="2"/>
            <w:shd w:val="clear" w:color="auto" w:fill="E5FFFF"/>
          </w:tcPr>
          <w:p>
            <w:pPr>
              <w:jc w:val="center"/>
              <w:ind w:right="200"/>
              <w:spacing w:after="0"/>
              <w:rPr>
                <w:sz w:val="20"/>
                <w:szCs w:val="20"/>
                <w:color w:val="auto"/>
              </w:rPr>
            </w:pPr>
            <w:r>
              <w:rPr>
                <w:rFonts w:ascii="Arial" w:cs="Arial" w:eastAsia="Arial" w:hAnsi="Arial"/>
                <w:sz w:val="18"/>
                <w:szCs w:val="18"/>
                <w:color w:val="auto"/>
                <w:w w:val="99"/>
              </w:rPr>
              <w:t>Korea</w:t>
            </w:r>
          </w:p>
        </w:tc>
        <w:tc>
          <w:tcPr>
            <w:tcW w:w="136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Honeywell Limited</w:t>
            </w:r>
          </w:p>
        </w:tc>
        <w:tc>
          <w:tcPr>
            <w:tcW w:w="25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Australia</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Honeywell Limited / Honeywell Limitée</w:t>
            </w:r>
          </w:p>
        </w:tc>
        <w:tc>
          <w:tcPr>
            <w:tcW w:w="252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8"/>
              </w:rPr>
              <w:t>Canada</w:t>
            </w:r>
          </w:p>
        </w:tc>
        <w:tc>
          <w:tcPr>
            <w:tcW w:w="136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Honeywell Safety Products USA, Inc.</w:t>
            </w:r>
          </w:p>
        </w:tc>
        <w:tc>
          <w:tcPr>
            <w:tcW w:w="25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Delaware</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Honeywell Specialty Chemicals Seelze GmbH</w:t>
            </w:r>
          </w:p>
        </w:tc>
        <w:tc>
          <w:tcPr>
            <w:tcW w:w="252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9"/>
              </w:rPr>
              <w:t>Germany</w:t>
            </w:r>
          </w:p>
        </w:tc>
        <w:tc>
          <w:tcPr>
            <w:tcW w:w="136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Honeywell Technologies Sàrl</w:t>
            </w:r>
          </w:p>
        </w:tc>
        <w:tc>
          <w:tcPr>
            <w:tcW w:w="2520" w:type="dxa"/>
            <w:vAlign w:val="bottom"/>
            <w:gridSpan w:val="2"/>
          </w:tcPr>
          <w:p>
            <w:pPr>
              <w:jc w:val="center"/>
              <w:ind w:right="220"/>
              <w:spacing w:after="0"/>
              <w:rPr>
                <w:sz w:val="20"/>
                <w:szCs w:val="20"/>
                <w:color w:val="auto"/>
              </w:rPr>
            </w:pPr>
            <w:r>
              <w:rPr>
                <w:rFonts w:ascii="Arial" w:cs="Arial" w:eastAsia="Arial" w:hAnsi="Arial"/>
                <w:sz w:val="18"/>
                <w:szCs w:val="18"/>
                <w:color w:val="auto"/>
              </w:rPr>
              <w:t>Switzerland</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Honeywell Technology Solutions Lab Pvt. Ltd.</w:t>
            </w:r>
          </w:p>
        </w:tc>
        <w:tc>
          <w:tcPr>
            <w:tcW w:w="252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7"/>
              </w:rPr>
              <w:t>India</w:t>
            </w:r>
          </w:p>
        </w:tc>
        <w:tc>
          <w:tcPr>
            <w:tcW w:w="136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Honeywell UK Limited</w:t>
            </w:r>
          </w:p>
        </w:tc>
        <w:tc>
          <w:tcPr>
            <w:tcW w:w="25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United Kingdom</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Intelligrated Systems, LLC</w:t>
            </w:r>
          </w:p>
        </w:tc>
        <w:tc>
          <w:tcPr>
            <w:tcW w:w="2520" w:type="dxa"/>
            <w:vAlign w:val="bottom"/>
            <w:gridSpan w:val="2"/>
            <w:shd w:val="clear" w:color="auto" w:fill="E5FFFF"/>
          </w:tcPr>
          <w:p>
            <w:pPr>
              <w:jc w:val="center"/>
              <w:ind w:right="200"/>
              <w:spacing w:after="0"/>
              <w:rPr>
                <w:sz w:val="20"/>
                <w:szCs w:val="20"/>
                <w:color w:val="auto"/>
              </w:rPr>
            </w:pPr>
            <w:r>
              <w:rPr>
                <w:rFonts w:ascii="Arial" w:cs="Arial" w:eastAsia="Arial" w:hAnsi="Arial"/>
                <w:sz w:val="18"/>
                <w:szCs w:val="18"/>
                <w:color w:val="auto"/>
                <w:w w:val="99"/>
              </w:rPr>
              <w:t>Delaware</w:t>
            </w:r>
          </w:p>
        </w:tc>
        <w:tc>
          <w:tcPr>
            <w:tcW w:w="136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Intermec Technologies Corporation</w:t>
            </w:r>
          </w:p>
        </w:tc>
        <w:tc>
          <w:tcPr>
            <w:tcW w:w="252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Washington</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Life Safety Distribution AG</w:t>
            </w:r>
          </w:p>
        </w:tc>
        <w:tc>
          <w:tcPr>
            <w:tcW w:w="252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rPr>
              <w:t>Switzerland</w:t>
            </w:r>
          </w:p>
        </w:tc>
        <w:tc>
          <w:tcPr>
            <w:tcW w:w="136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Novar ED&amp;S Limited</w:t>
            </w:r>
          </w:p>
        </w:tc>
        <w:tc>
          <w:tcPr>
            <w:tcW w:w="25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United Kingdom</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UOP LLC</w:t>
            </w:r>
          </w:p>
        </w:tc>
        <w:tc>
          <w:tcPr>
            <w:tcW w:w="2520" w:type="dxa"/>
            <w:vAlign w:val="bottom"/>
            <w:gridSpan w:val="2"/>
            <w:shd w:val="clear" w:color="auto" w:fill="E5FFFF"/>
          </w:tcPr>
          <w:p>
            <w:pPr>
              <w:jc w:val="center"/>
              <w:ind w:right="200"/>
              <w:spacing w:after="0"/>
              <w:rPr>
                <w:sz w:val="20"/>
                <w:szCs w:val="20"/>
                <w:color w:val="auto"/>
              </w:rPr>
            </w:pPr>
            <w:r>
              <w:rPr>
                <w:rFonts w:ascii="Arial" w:cs="Arial" w:eastAsia="Arial" w:hAnsi="Arial"/>
                <w:sz w:val="18"/>
                <w:szCs w:val="18"/>
                <w:color w:val="auto"/>
                <w:w w:val="99"/>
              </w:rPr>
              <w:t>Delaware</w:t>
            </w:r>
          </w:p>
        </w:tc>
        <w:tc>
          <w:tcPr>
            <w:tcW w:w="136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UOP Russell LLC</w:t>
            </w:r>
          </w:p>
        </w:tc>
        <w:tc>
          <w:tcPr>
            <w:tcW w:w="25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Delaware</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391"/>
        </w:trPr>
        <w:tc>
          <w:tcPr>
            <w:tcW w:w="7320" w:type="dxa"/>
            <w:vAlign w:val="bottom"/>
            <w:gridSpan w:val="2"/>
          </w:tcPr>
          <w:p>
            <w:pPr>
              <w:jc w:val="center"/>
              <w:ind w:left="4010"/>
              <w:spacing w:after="0"/>
              <w:rPr>
                <w:sz w:val="20"/>
                <w:szCs w:val="20"/>
                <w:color w:val="auto"/>
              </w:rPr>
            </w:pPr>
            <w:r>
              <w:rPr>
                <w:rFonts w:ascii="Arial" w:cs="Arial" w:eastAsia="Arial" w:hAnsi="Arial"/>
                <w:sz w:val="18"/>
                <w:szCs w:val="18"/>
                <w:color w:val="auto"/>
                <w:w w:val="86"/>
              </w:rPr>
              <w:t>101</w:t>
            </w:r>
          </w:p>
        </w:tc>
        <w:tc>
          <w:tcPr>
            <w:tcW w:w="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230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136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23.1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consent to the incorporation by reference in Registration Statement on Form S-3 (No. 033-55425, 333-22355, 333-101455, and 333-208501), Form S-8 (No. 033 -58347, 333-49280, 333-136083, 333-136086, 333-146932, 333-148995, 333-175260, 333-195331, 333-210889, and 333-210899), and Form S-4 (No. 333-82049) of our report dated February 10, 2017, relating to the consolidated financial statements of Honeywell International Inc. and subsidiaries (the “Company”) and the effectiveness of the Company’s internal control over financial reporting (which report expresses an unqualified opinion and includes an explanatory paragraph relating to Company changing its method of accounting for employee-shared based payments in 2016 and 2015), appearing in this Annual Report on Form 10-K of the Company for the year ended December 31, 2016.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w:t>
      </w:r>
    </w:p>
    <w:p>
      <w:pPr>
        <w:spacing w:after="0"/>
        <w:rPr>
          <w:sz w:val="20"/>
          <w:szCs w:val="20"/>
          <w:color w:val="auto"/>
        </w:rPr>
      </w:pPr>
      <w:r>
        <w:rPr>
          <w:rFonts w:ascii="Arial" w:cs="Arial" w:eastAsia="Arial" w:hAnsi="Arial"/>
          <w:sz w:val="18"/>
          <w:szCs w:val="18"/>
          <w:color w:val="auto"/>
        </w:rPr>
        <w:t>February 10, 2017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23.2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hereby consent to the incorporation by reference in the Registration Statements on Form S-3 (No.033-55425, 333-22355, 333-101455 and 333-208501), Form S-8 (No. 033-58347, 333-49280, 333-136083, 333-136086, 333-146932, 333-148995, 333-175260, 333-195331, 333-210889 and 333-210899) and Form S-4 (No. 333-82049) of Honeywell International Inc. of our report dated February 13, 2015, except for the change in composition of reportable segments discussed in Note 21 to the consolidated financial statements, as to which the date is February 10, 2017, relating to the financial statements which appears in this Form 10-K.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rPr>
          <w:sz w:val="20"/>
          <w:szCs w:val="20"/>
          <w:color w:val="auto"/>
        </w:rPr>
      </w:pPr>
      <w:r>
        <w:rPr>
          <w:rFonts w:ascii="Arial" w:cs="Arial" w:eastAsia="Arial" w:hAnsi="Arial"/>
          <w:sz w:val="18"/>
          <w:szCs w:val="18"/>
          <w:color w:val="auto"/>
        </w:rPr>
        <w:t>February 10, 2017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20"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Each of the undersigned, as a director of Honeywell International Inc. (the “Company”), a Delaware corporation, hereby appoints Darius Adamczyk, Katherine L. Adams, Jennifer H. Mak, Jeffrey N. Neuman, Thomas A. Szlosek and John J. Tus, each with power to act without the other and with power of substitution and resubstitution, as my attorney-in-fact and agent for me and in my name, place and stead in any and all capacities,</w:t>
      </w:r>
    </w:p>
    <w:p>
      <w:pPr>
        <w:spacing w:after="0" w:line="166" w:lineRule="exact"/>
        <w:rPr>
          <w:sz w:val="20"/>
          <w:szCs w:val="20"/>
          <w:color w:val="auto"/>
        </w:rPr>
      </w:pPr>
    </w:p>
    <w:p>
      <w:pPr>
        <w:ind w:left="880" w:hanging="224"/>
        <w:spacing w:after="0"/>
        <w:tabs>
          <w:tab w:leader="none" w:pos="8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to sign the Company’s Annual Report on Form 10-K under the Securities Exchange Act of 1934 for the year ended December 31, 2016,</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sign any amendment to the Annual Report referred to in (i) above,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to file the documents described in (i) and (ii) above and all exhibits thereto and any and all other documents in connection therewith,</w:t>
      </w:r>
    </w:p>
    <w:p>
      <w:pPr>
        <w:spacing w:after="0" w:line="23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granting unto each said attorney-in-fact and agent full power and authority to do and perform every act and thing requisite, necessary or desirable to be done in connection therewith, as fully to all intents and purposes as I might or could do in person, hereby ratifying and confirming all that said attorneys-in-fact and agents, or any of them, or their or his or her substitutes or substitute, may lawfully do or cause to be done by virtue hereof.</w:t>
      </w:r>
    </w:p>
    <w:p>
      <w:pPr>
        <w:spacing w:after="0" w:line="16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This Power of Attorney may be signed in any number of counterparts, each of which shall be an original, with the same effect as if the signatures thereto and hereto were upon the same instrument.</w:t>
      </w:r>
    </w:p>
    <w:p>
      <w:pPr>
        <w:sectPr>
          <w:pgSz w:w="11900" w:h="16838" w:orient="portrait"/>
          <w:cols w:equalWidth="0" w:num="1">
            <w:col w:w="11400"/>
          </w:cols>
          <w:pgMar w:left="240" w:top="111" w:right="25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Darius Adamczk</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Darius Adamczyk,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28987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 William S. Ayer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William S. Ayer,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Kevin Burke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Kevin Burke,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Jaime Chico Pardo</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Jaime Chico Pardo,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28987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David M. Cote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David M. Cote,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D. Scott Davis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 Scott Davis,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Linnet F. Deily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Linnet F. Deily,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Dated: December 9, 2016</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 Judd Gregg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Judd Gregg,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28987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Clive R. Hollick</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Clive R. Hollick,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28987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Grace Lieblein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Grace Lieblein,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28987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George Paz</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George Paz,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289877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Bradley T. Sheares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Bradley T. Sheares,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289877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Robin Washington</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Robin Washington,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28987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861060</wp:posOffset>
            </wp:positionV>
            <wp:extent cx="7246620"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6140" w:space="720"/>
            <w:col w:w="4540"/>
          </w:cols>
          <w:pgMar w:left="240" w:top="111" w:right="259" w:bottom="1440" w:gutter="0" w:footer="0" w:header="0"/>
          <w:type w:val="continuous"/>
        </w:sectPr>
      </w:pPr>
    </w:p>
    <w:bookmarkStart w:id="121" w:name="page122"/>
    <w:bookmarkEnd w:id="121"/>
    <w:p>
      <w:pPr>
        <w:jc w:val="center"/>
        <w:ind w:right="-39"/>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1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Each of the undersigned, as a director of Honeywell International Inc. (the “Company”), a Delaware corporation, hereby appoints Darius Adamczyk, Katherine L. Adams, Jennifer H. Mak, Jeffrey N. Neuman, Thomas A. Szlosek and John J. Tus, each with power to act without the other and with power of substitution and resubstitution, as my attorney-in-fact to sign on my behalf in my capacity as a director of the Company one or more registration statements on Form S-8 or any other appropriate form during fiscal year 2017 and to file the same together with all exhibits thereto, under the Securities Act of 1933, including any amendment or supplement thereto or to any registration statement heretofore filed by the Company on Form S-8 or any other appropriate form for the registration of shares of the Company's Common Stock (or participations where appropriate) to be offered pursuant to the Honeywell Savings and Ownership Plan, the Honeywell Puerto Rico Savings and Ownership Plan, the Honeywell Supplemental Savings Plan, the 2006 Stock Plan for Non-Employee Directors of Honeywell International Inc., the 2007 Honeywell Global Employee Stock Plan (including any and all sub-plans), the 2011 Stock Incentive Plan of Honeywell International Inc. and its Affiliates, the 2016 Stock Plan for Non-Employee Directors of Honeywell International Inc., and the 2016 Stock Incentive Plan of Honeywell International Inc. and its Affiliates and any plan which is a successor to such plans or is a validly authorized new plan pursuant to which securities of the Company are issued to employees or non-employee directors.</w:t>
      </w:r>
    </w:p>
    <w:p>
      <w:pPr>
        <w:spacing w:after="0" w:line="17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hereby revoke any or all prior appointments of attorneys-in-fact to sign the above-described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396" w:right="279" w:bottom="1440" w:gutter="0" w:footer="0" w:header="0"/>
        </w:sectPr>
      </w:pPr>
    </w:p>
    <w:bookmarkStart w:id="122" w:name="page123"/>
    <w:bookmarkEnd w:id="122"/>
    <w:p>
      <w:pPr>
        <w:ind w:firstLine="648"/>
        <w:spacing w:after="0" w:line="277" w:lineRule="auto"/>
        <w:rPr>
          <w:sz w:val="20"/>
          <w:szCs w:val="20"/>
          <w:color w:val="auto"/>
        </w:rPr>
      </w:pPr>
      <w:r>
        <w:rPr>
          <w:rFonts w:ascii="Arial" w:cs="Arial" w:eastAsia="Arial" w:hAnsi="Arial"/>
          <w:sz w:val="18"/>
          <w:szCs w:val="18"/>
          <w:color w:val="auto"/>
        </w:rPr>
        <w:t>This Power of Attorney may be signed in any number of counterparts, each of which shall be an original, with the same effect as if the signatures thereto and hereto were upon the same instrument.</w:t>
      </w:r>
    </w:p>
    <w:p>
      <w:pPr>
        <w:sectPr>
          <w:pgSz w:w="11900" w:h="16838" w:orient="portrait"/>
          <w:cols w:equalWidth="0" w:num="1">
            <w:col w:w="11100"/>
          </w:cols>
          <w:pgMar w:left="240" w:top="409" w:right="55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Darius Adamczk</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Darius Adamczyk,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289877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 William S. Ayer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William S. Ayer,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Kevin Burke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Kevin Burke,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Jaime Chico Pardo</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Jaime Chico Pardo,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289877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David M. Cote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David M. Cote,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D. Scott Davis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 Scott Davis,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Linnet F. Deily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Linnet F. Deily,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Dated: December 9, 2016</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 Judd Gregg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Judd Gregg,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289877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Clive R. Hollick</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Clive R. Hollick,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289877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Grace Lieblein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Grace Lieblein,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289877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George Paz</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George Paz,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289877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Bradley T. Sheares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Bradley T. Sheares,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289877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Robin Washington</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Robin Washington,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289877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861060</wp:posOffset>
            </wp:positionV>
            <wp:extent cx="724662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6140" w:space="720"/>
            <w:col w:w="4240"/>
          </w:cols>
          <w:pgMar w:left="240" w:top="409" w:right="559" w:bottom="1440" w:gutter="0" w:footer="0" w:header="0"/>
          <w:type w:val="continuous"/>
        </w:sectPr>
      </w:pPr>
    </w:p>
    <w:bookmarkStart w:id="123" w:name="page124"/>
    <w:bookmarkEnd w:id="123"/>
    <w:p>
      <w:pPr>
        <w:jc w:val="center"/>
        <w:ind w:right="-39"/>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1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Each of the undersigned, as a director of Honeywell International Inc. (the “Company”), a Delaware corporation, hereby appoints Darius Adamczyk, Katherine L. Adams, Jennifer H. Mak, Jeffrey N. Neuman, Thomas A. Szlosek and John J. Tus, each with power to act without the other and with power of substitution and resubstitution, as my attorney-in-fact to sign on my behalf in my capacity as a director of the Company one or more registration statements on Form S-3 or S-4 or any other appropriate form during fiscal year 2017, and to file the same together with all exhibits thereto, under the Securities Act of 1933, including any amendment or supplement thereto or to any registration statement heretofore filed by the Company for the registration of sales or resales of:</w:t>
      </w:r>
    </w:p>
    <w:p>
      <w:pPr>
        <w:spacing w:after="0" w:line="193" w:lineRule="exact"/>
        <w:rPr>
          <w:sz w:val="20"/>
          <w:szCs w:val="20"/>
          <w:color w:val="auto"/>
        </w:rPr>
      </w:pPr>
    </w:p>
    <w:p>
      <w:pPr>
        <w:ind w:right="880" w:firstLine="500"/>
        <w:spacing w:after="0" w:line="277" w:lineRule="auto"/>
        <w:tabs>
          <w:tab w:leader="none" w:pos="707"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shares of the Company’s common stock, par value, $1.00 per share, including shares of common stock to be offered under the Dividend Reinvestment and Share Purchase Plan of the Company and any successor or new plan for such purposes;</w:t>
      </w:r>
    </w:p>
    <w:p>
      <w:pPr>
        <w:spacing w:after="0" w:line="170" w:lineRule="exact"/>
        <w:rPr>
          <w:rFonts w:ascii="Arial" w:cs="Arial" w:eastAsia="Arial" w:hAnsi="Arial"/>
          <w:sz w:val="18"/>
          <w:szCs w:val="18"/>
          <w:color w:val="auto"/>
        </w:rPr>
      </w:pPr>
    </w:p>
    <w:p>
      <w:pPr>
        <w:ind w:left="760" w:hanging="260"/>
        <w:spacing w:after="0"/>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shares of the Company’s preferred stock, without par value;</w:t>
      </w:r>
    </w:p>
    <w:p>
      <w:pPr>
        <w:spacing w:after="0" w:line="225" w:lineRule="exact"/>
        <w:rPr>
          <w:rFonts w:ascii="Arial" w:cs="Arial" w:eastAsia="Arial" w:hAnsi="Arial"/>
          <w:sz w:val="18"/>
          <w:szCs w:val="18"/>
          <w:color w:val="auto"/>
        </w:rPr>
      </w:pPr>
    </w:p>
    <w:p>
      <w:pPr>
        <w:ind w:right="340" w:firstLine="500"/>
        <w:spacing w:after="0" w:line="277" w:lineRule="auto"/>
        <w:tabs>
          <w:tab w:leader="none" w:pos="807"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debt securities of the Company, with such terms as may be from time to time specified in such registration statement or any amendment, post-effective amendment or supplement thereto; and</w:t>
      </w:r>
    </w:p>
    <w:p>
      <w:pPr>
        <w:spacing w:after="0" w:line="170" w:lineRule="exact"/>
        <w:rPr>
          <w:rFonts w:ascii="Arial" w:cs="Arial" w:eastAsia="Arial" w:hAnsi="Arial"/>
          <w:sz w:val="18"/>
          <w:szCs w:val="18"/>
          <w:color w:val="auto"/>
        </w:rPr>
      </w:pPr>
    </w:p>
    <w:p>
      <w:pPr>
        <w:ind w:right="360" w:firstLine="500"/>
        <w:spacing w:after="0" w:line="342" w:lineRule="auto"/>
        <w:tabs>
          <w:tab w:leader="none" w:pos="797" w:val="left"/>
        </w:tabs>
        <w:numPr>
          <w:ilvl w:val="0"/>
          <w:numId w:val="55"/>
        </w:numPr>
        <w:rPr>
          <w:rFonts w:ascii="Arial" w:cs="Arial" w:eastAsia="Arial" w:hAnsi="Arial"/>
          <w:sz w:val="16"/>
          <w:szCs w:val="16"/>
          <w:color w:val="auto"/>
        </w:rPr>
      </w:pPr>
      <w:r>
        <w:rPr>
          <w:rFonts w:ascii="Arial" w:cs="Arial" w:eastAsia="Arial" w:hAnsi="Arial"/>
          <w:sz w:val="16"/>
          <w:szCs w:val="16"/>
          <w:color w:val="auto"/>
        </w:rPr>
        <w:t>such other securities of the Company, its subsidiaries, joint ventures or affiliates or any other person or entity, as may be specified in any such registration statement, amendment or supplement thereto, all in accordance with the Securities Act of 1933 and the rules and regulations thereunder.</w:t>
      </w:r>
    </w:p>
    <w:p>
      <w:pPr>
        <w:spacing w:after="0" w:line="12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hereby revoke any or all prior appointments of attorneys-in-fact to the extent that they confer authority to sign the above-described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396" w:right="279" w:bottom="1440" w:gutter="0" w:footer="0" w:header="0"/>
        </w:sectPr>
      </w:pPr>
    </w:p>
    <w:bookmarkStart w:id="124" w:name="page125"/>
    <w:bookmarkEnd w:id="124"/>
    <w:p>
      <w:pPr>
        <w:ind w:firstLine="648"/>
        <w:spacing w:after="0" w:line="277" w:lineRule="auto"/>
        <w:rPr>
          <w:sz w:val="20"/>
          <w:szCs w:val="20"/>
          <w:color w:val="auto"/>
        </w:rPr>
      </w:pPr>
      <w:r>
        <w:rPr>
          <w:rFonts w:ascii="Arial" w:cs="Arial" w:eastAsia="Arial" w:hAnsi="Arial"/>
          <w:sz w:val="18"/>
          <w:szCs w:val="18"/>
          <w:color w:val="auto"/>
        </w:rPr>
        <w:t>This Power of Attorney may be signed in any number of counterparts, each of which shall be an original, with the same effect as if the signatures thereto and hereto were upon the same instrument.</w:t>
      </w:r>
    </w:p>
    <w:p>
      <w:pPr>
        <w:sectPr>
          <w:pgSz w:w="11900" w:h="16838" w:orient="portrait"/>
          <w:cols w:equalWidth="0" w:num="1">
            <w:col w:w="11100"/>
          </w:cols>
          <w:pgMar w:left="240" w:top="409" w:right="55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Darius Adamczk</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Darius Adamczyk,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289877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 William S. Ayer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William S. Ayer,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Kevin Burke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Kevin Burke,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Jaime Chico Pardo</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Jaime Chico Pardo,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289877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David M. Cote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David M. Cote,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D. Scott Davis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 Scott Davis,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Linnet F. Deily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Linnet F. Deily,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Dated: December 9, 2016</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 Judd Gregg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Judd Gregg,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289877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Clive R. Hollick</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Clive R. Hollick,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289877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Grace Lieblein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Grace Lieblein,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289877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George Paz</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George Paz,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289877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Bradley T. Sheares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Bradley T. Sheares,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289877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Robin Washington</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Robin Washington,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289877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861060</wp:posOffset>
            </wp:positionV>
            <wp:extent cx="724662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6140" w:space="720"/>
            <w:col w:w="4240"/>
          </w:cols>
          <w:pgMar w:left="240" w:top="409" w:right="559" w:bottom="1440" w:gutter="0" w:footer="0" w:header="0"/>
          <w:type w:val="continuous"/>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David M. Cote, Chief Executive Officer, certify that:</w:t>
      </w:r>
    </w:p>
    <w:p>
      <w:pPr>
        <w:spacing w:after="0" w:line="198"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Honeywell International Inc.;</w:t>
      </w:r>
    </w:p>
    <w:p>
      <w:pPr>
        <w:spacing w:after="0" w:line="198" w:lineRule="exact"/>
        <w:rPr>
          <w:rFonts w:ascii="Arial" w:cs="Arial" w:eastAsia="Arial" w:hAnsi="Arial"/>
          <w:sz w:val="18"/>
          <w:szCs w:val="18"/>
          <w:color w:val="auto"/>
        </w:rPr>
      </w:pPr>
    </w:p>
    <w:p>
      <w:pPr>
        <w:jc w:val="both"/>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660" w:hanging="652"/>
        <w:spacing w:after="0" w:line="246"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300" w:hanging="644"/>
        <w:spacing w:after="0"/>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left="1300" w:hanging="644"/>
        <w:spacing w:after="0"/>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jc w:val="both"/>
        <w:ind w:left="1300" w:hanging="644"/>
        <w:spacing w:after="0"/>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300" w:hanging="644"/>
        <w:spacing w:after="0"/>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300" w:right="20" w:hanging="644"/>
        <w:spacing w:after="0"/>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300" w:hanging="644"/>
        <w:spacing w:after="0" w:line="246"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6860" w:right="2600" w:hanging="7427"/>
        <w:spacing w:after="0" w:line="258" w:lineRule="auto"/>
        <w:tabs>
          <w:tab w:leader="none" w:pos="6840" w:val="left"/>
        </w:tabs>
        <w:rPr>
          <w:sz w:val="20"/>
          <w:szCs w:val="20"/>
          <w:color w:val="auto"/>
        </w:rPr>
      </w:pPr>
      <w:r>
        <w:rPr>
          <w:rFonts w:ascii="Arial" w:cs="Arial" w:eastAsia="Arial" w:hAnsi="Arial"/>
          <w:sz w:val="18"/>
          <w:szCs w:val="18"/>
          <w:color w:val="auto"/>
        </w:rPr>
        <w:t>Date: February 10, 2017</w:t>
      </w:r>
      <w:r>
        <w:rPr>
          <w:sz w:val="20"/>
          <w:szCs w:val="20"/>
          <w:color w:val="auto"/>
        </w:rPr>
        <w:tab/>
      </w: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M. Cote</w:t>
      </w:r>
      <w:r>
        <w:rPr>
          <w:rFonts w:ascii="Arial" w:cs="Arial" w:eastAsia="Arial" w:hAnsi="Arial"/>
          <w:sz w:val="18"/>
          <w:szCs w:val="18"/>
          <w:color w:val="auto"/>
        </w:rPr>
        <w:t xml:space="preserve"> David M. Cote</w:t>
      </w:r>
    </w:p>
    <w:p>
      <w:pPr>
        <w:spacing w:after="0" w:line="1"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Executive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Thomas A. Szlosek, Chief Financial Officer, certify that:</w:t>
      </w:r>
    </w:p>
    <w:p>
      <w:pPr>
        <w:spacing w:after="0" w:line="198"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Honeywell International Inc.;</w:t>
      </w:r>
    </w:p>
    <w:p>
      <w:pPr>
        <w:spacing w:after="0" w:line="198" w:lineRule="exact"/>
        <w:rPr>
          <w:rFonts w:ascii="Arial" w:cs="Arial" w:eastAsia="Arial" w:hAnsi="Arial"/>
          <w:sz w:val="18"/>
          <w:szCs w:val="18"/>
          <w:color w:val="auto"/>
        </w:rPr>
      </w:pPr>
    </w:p>
    <w:p>
      <w:pPr>
        <w:jc w:val="both"/>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660" w:hanging="652"/>
        <w:spacing w:after="0" w:line="246"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300" w:hanging="644"/>
        <w:spacing w:after="0"/>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left="1300" w:hanging="644"/>
        <w:spacing w:after="0"/>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jc w:val="both"/>
        <w:ind w:left="1300" w:hanging="644"/>
        <w:spacing w:after="0"/>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300" w:hanging="644"/>
        <w:spacing w:after="0"/>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300" w:right="20" w:hanging="320"/>
        <w:spacing w:after="0"/>
        <w:tabs>
          <w:tab w:leader="none" w:pos="1300" w:val="left"/>
        </w:tabs>
        <w:numPr>
          <w:ilvl w:val="2"/>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300" w:hanging="320"/>
        <w:spacing w:after="0" w:line="246" w:lineRule="auto"/>
        <w:tabs>
          <w:tab w:leader="none" w:pos="1300" w:val="left"/>
        </w:tabs>
        <w:numPr>
          <w:ilvl w:val="2"/>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 February 10,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Thomas A. Szlosek</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Thomas A. Szlosek</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Annual Report of Honeywell International Inc. (the Company) on Form 10-K for the period ending December 31, 2016 as filed with the Securities and Exchange Commission on the date hereof (the Report), I, David M. Cote, Chief Executive Officer of the Company, certify, pursuant to 18 U.S.C. Section 1350, as adopted pursuant to Section 906 of the Sarbanes-Oxley Act of 2002, that:</w:t>
      </w:r>
    </w:p>
    <w:p>
      <w:pPr>
        <w:spacing w:after="0" w:line="189" w:lineRule="exact"/>
        <w:rPr>
          <w:sz w:val="20"/>
          <w:szCs w:val="20"/>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300" w:right="20" w:hanging="644"/>
        <w:spacing w:after="0" w:line="246"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ind w:left="6860" w:right="2600" w:hanging="7427"/>
        <w:spacing w:after="0" w:line="258" w:lineRule="auto"/>
        <w:tabs>
          <w:tab w:leader="none" w:pos="6840" w:val="left"/>
        </w:tabs>
        <w:rPr>
          <w:sz w:val="20"/>
          <w:szCs w:val="20"/>
          <w:color w:val="auto"/>
        </w:rPr>
      </w:pPr>
      <w:r>
        <w:rPr>
          <w:rFonts w:ascii="Arial" w:cs="Arial" w:eastAsia="Arial" w:hAnsi="Arial"/>
          <w:sz w:val="18"/>
          <w:szCs w:val="18"/>
          <w:color w:val="auto"/>
        </w:rPr>
        <w:t>Date: February 10, 2017</w:t>
      </w:r>
      <w:r>
        <w:rPr>
          <w:sz w:val="20"/>
          <w:szCs w:val="20"/>
          <w:color w:val="auto"/>
        </w:rPr>
        <w:tab/>
      </w: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M. Cote</w:t>
      </w:r>
      <w:r>
        <w:rPr>
          <w:rFonts w:ascii="Arial" w:cs="Arial" w:eastAsia="Arial" w:hAnsi="Arial"/>
          <w:sz w:val="18"/>
          <w:szCs w:val="18"/>
          <w:color w:val="auto"/>
        </w:rPr>
        <w:t xml:space="preserve"> David M. Cote</w:t>
      </w:r>
    </w:p>
    <w:p>
      <w:pPr>
        <w:spacing w:after="0" w:line="1"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Executive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Annual Report of Honeywell International Inc. (the Company) on Form 10-K for the period ending December 31, 2016 as filed with the Securities and Exchange Commission on the date hereof (the Report), I, Thomas A. Szlosek, Chief Financial Officer of the Company, certify, pursuant to 18 U.S.C. Section 1350, as adopted pursuant to Section 906 of the Sarbanes-Oxley Act of 2002, that:</w:t>
      </w:r>
    </w:p>
    <w:p>
      <w:pPr>
        <w:spacing w:after="0" w:line="189"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300" w:right="20" w:hanging="644"/>
        <w:spacing w:after="0" w:line="246"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 February 10,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Thomas A. Szlosek</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Thomas A. Szlosek</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1."/>
      <w:numFmt w:val="upperLetter"/>
      <w:start w:val="11"/>
    </w:lvl>
  </w:abstractNum>
  <w:abstractNum w:abstractNumId="3">
    <w:nsid w:val="737B8DDC"/>
    <w:multiLevelType w:val="hybridMultilevel"/>
    <w:lvl w:ilvl="0">
      <w:lvlJc w:val="left"/>
      <w:lvlText w:val="%1."/>
      <w:numFmt w:val="decimal"/>
      <w:start w:val="5"/>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1)"/>
      <w:numFmt w:val="lowerLetter"/>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1)"/>
      <w:numFmt w:val="decimal"/>
      <w:start w:val="1"/>
    </w:lvl>
  </w:abstractNum>
  <w:abstractNum w:abstractNumId="24">
    <w:nsid w:val="70A64E2A"/>
    <w:multiLevelType w:val="hybridMultilevel"/>
    <w:lvl w:ilvl="0">
      <w:lvlJc w:val="left"/>
      <w:lvlText w:val="(%1)"/>
      <w:numFmt w:val="decimal"/>
      <w:start w:val="1"/>
    </w:lvl>
  </w:abstractNum>
  <w:abstractNum w:abstractNumId="25">
    <w:nsid w:val="6A2342EC"/>
    <w:multiLevelType w:val="hybridMultilevel"/>
    <w:lvl w:ilvl="0">
      <w:lvlJc w:val="left"/>
      <w:lvlText w:val="(%1)"/>
      <w:numFmt w:val="decimal"/>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1)"/>
      <w:numFmt w:val="decimal"/>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1)"/>
      <w:numFmt w:val="decimal"/>
      <w:start w:val="1"/>
    </w:lvl>
  </w:abstractNum>
  <w:abstractNum w:abstractNumId="30">
    <w:nsid w:val="57E4CCAF"/>
    <w:multiLevelType w:val="hybridMultilevel"/>
    <w:lvl w:ilvl="0">
      <w:lvlJc w:val="left"/>
      <w:lvlText w:val="(%1)"/>
      <w:numFmt w:val="decimal"/>
      <w:start w:val="1"/>
    </w:lvl>
  </w:abstractNum>
  <w:abstractNum w:abstractNumId="31">
    <w:nsid w:val="7A6D8D3C"/>
    <w:multiLevelType w:val="hybridMultilevel"/>
    <w:lvl w:ilvl="0">
      <w:lvlJc w:val="left"/>
      <w:lvlText w:val="(%1)"/>
      <w:numFmt w:val="decimal"/>
      <w:start w:val="1"/>
    </w:lvl>
  </w:abstractNum>
  <w:abstractNum w:abstractNumId="32">
    <w:nsid w:val="4B588F54"/>
    <w:multiLevelType w:val="hybridMultilevel"/>
    <w:lvl w:ilvl="0">
      <w:lvlJc w:val="left"/>
      <w:lvlText w:val="(%1)"/>
      <w:numFmt w:val="decimal"/>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1)"/>
      <w:numFmt w:val="decimal"/>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1)"/>
      <w:numFmt w:val="decimal"/>
      <w:start w:val="4"/>
    </w:lvl>
  </w:abstractNum>
  <w:abstractNum w:abstractNumId="37">
    <w:nsid w:val="32FFF902"/>
    <w:multiLevelType w:val="hybridMultilevel"/>
    <w:lvl w:ilvl="0">
      <w:lvlJc w:val="left"/>
      <w:lvlText w:val="4"/>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1."/>
      <w:numFmt w:val="decimal"/>
      <w:start w:val="1"/>
    </w:lvl>
  </w:abstractNum>
  <w:abstractNum w:abstractNumId="42">
    <w:nsid w:val="1BA026FA"/>
    <w:multiLevelType w:val="hybridMultilevel"/>
    <w:lvl w:ilvl="0">
      <w:lvlJc w:val="left"/>
      <w:lvlText w:val="%1."/>
      <w:numFmt w:val="decimal"/>
      <w:start w:val="5"/>
    </w:lvl>
  </w:abstractNum>
  <w:abstractNum w:abstractNumId="43">
    <w:nsid w:val="79A1DEAA"/>
    <w:multiLevelType w:val="hybridMultilevel"/>
    <w:lvl w:ilvl="0">
      <w:lvlJc w:val="left"/>
      <w:lvlText w:val="%1."/>
      <w:numFmt w:val="decimal"/>
      <w:start w:val="8"/>
    </w:lvl>
  </w:abstractNum>
  <w:abstractNum w:abstractNumId="44">
    <w:nsid w:val="75C6C33A"/>
    <w:multiLevelType w:val="hybridMultilevel"/>
    <w:lvl w:ilvl="0">
      <w:lvlJc w:val="left"/>
      <w:lvlText w:val="(%1)"/>
      <w:numFmt w:val="lowerLetter"/>
      <w:start w:val="1"/>
    </w:lvl>
  </w:abstractNum>
  <w:abstractNum w:abstractNumId="45">
    <w:nsid w:val="12E685FB"/>
    <w:multiLevelType w:val="hybridMultilevel"/>
    <w:lvl w:ilvl="0">
      <w:lvlJc w:val="left"/>
      <w:lvlText w:val="%1."/>
      <w:numFmt w:val="decimal"/>
      <w:start w:val="13"/>
    </w:lvl>
  </w:abstractNum>
  <w:abstractNum w:abstractNumId="46">
    <w:nsid w:val="70C6A529"/>
    <w:multiLevelType w:val="hybridMultilevel"/>
    <w:lvl w:ilvl="0">
      <w:lvlJc w:val="left"/>
      <w:lvlText w:val="%1."/>
      <w:numFmt w:val="decimal"/>
      <w:start w:val="20"/>
    </w:lvl>
    <w:lvl w:ilvl="1">
      <w:lvlJc w:val="left"/>
      <w:lvlText w:val="(%2)"/>
      <w:numFmt w:val="lowerLetter"/>
      <w:start w:val="1"/>
    </w:lvl>
  </w:abstractNum>
  <w:abstractNum w:abstractNumId="47">
    <w:nsid w:val="520EEDD1"/>
    <w:multiLevelType w:val="hybridMultilevel"/>
    <w:lvl w:ilvl="0">
      <w:lvlJc w:val="left"/>
      <w:lvlText w:val="%1."/>
      <w:numFmt w:val="decimal"/>
      <w:start w:val="1"/>
    </w:lvl>
  </w:abstractNum>
  <w:abstractNum w:abstractNumId="48">
    <w:nsid w:val="374A3FE6"/>
    <w:multiLevelType w:val="hybridMultilevel"/>
    <w:lvl w:ilvl="0">
      <w:lvlJc w:val="left"/>
      <w:lvlText w:val="%1."/>
      <w:numFmt w:val="decimal"/>
      <w:start w:val="2"/>
    </w:lvl>
  </w:abstractNum>
  <w:abstractNum w:abstractNumId="49">
    <w:nsid w:val="4F4EF005"/>
    <w:multiLevelType w:val="hybridMultilevel"/>
    <w:lvl w:ilvl="0">
      <w:lvlJc w:val="left"/>
      <w:lvlText w:val="%1."/>
      <w:numFmt w:val="decimal"/>
      <w:start w:val="3"/>
    </w:lvl>
  </w:abstractNum>
  <w:abstractNum w:abstractNumId="50">
    <w:nsid w:val="23F9C13C"/>
    <w:multiLevelType w:val="hybridMultilevel"/>
    <w:lvl w:ilvl="0">
      <w:lvlJc w:val="left"/>
      <w:lvlText w:val="%1."/>
      <w:numFmt w:val="decimal"/>
      <w:start w:val="6"/>
    </w:lvl>
  </w:abstractNum>
  <w:abstractNum w:abstractNumId="51">
    <w:nsid w:val="649BB77C"/>
    <w:multiLevelType w:val="hybridMultilevel"/>
    <w:lvl w:ilvl="0">
      <w:lvlJc w:val="left"/>
      <w:lvlText w:val="%1."/>
      <w:numFmt w:val="decimal"/>
      <w:start w:val="11"/>
    </w:lvl>
  </w:abstractNum>
  <w:abstractNum w:abstractNumId="52">
    <w:nsid w:val="275AC794"/>
    <w:multiLevelType w:val="hybridMultilevel"/>
    <w:lvl w:ilvl="0">
      <w:lvlJc w:val="left"/>
      <w:lvlText w:val="(%1)"/>
      <w:numFmt w:val="decimal"/>
      <w:start w:val="1"/>
    </w:lvl>
  </w:abstractNum>
  <w:abstractNum w:abstractNumId="53">
    <w:nsid w:val="39386575"/>
    <w:multiLevelType w:val="hybridMultilevel"/>
    <w:lvl w:ilvl="0">
      <w:lvlJc w:val="left"/>
      <w:lvlText w:val="(%1)"/>
      <w:numFmt w:val="lowerRoman"/>
      <w:start w:val="1"/>
    </w:lvl>
  </w:abstractNum>
  <w:abstractNum w:abstractNumId="54">
    <w:nsid w:val="1CF10FD8"/>
    <w:multiLevelType w:val="hybridMultilevel"/>
    <w:lvl w:ilvl="0">
      <w:lvlJc w:val="left"/>
      <w:lvlText w:val="(%1)"/>
      <w:numFmt w:val="lowerRoman"/>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2020-01-16T07:14:09Z</dcterms:created>
  <dcterms:modified xsi:type="dcterms:W3CDTF">2020-01-16T07:14:09Z</dcterms:modified>
</cp:coreProperties>
</file>