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60"/>
        <w:spacing w:after="0"/>
        <w:rPr>
          <w:sz w:val="20"/>
          <w:szCs w:val="20"/>
          <w:color w:val="auto"/>
        </w:rPr>
      </w:pPr>
      <w:r>
        <w:rPr>
          <w:rFonts w:ascii="Arial" w:cs="Arial" w:eastAsia="Arial" w:hAnsi="Arial"/>
          <w:sz w:val="14"/>
          <w:szCs w:val="14"/>
          <w:color w:val="auto"/>
        </w:rPr>
        <w:t>UNITED STATES</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SECURITIES AND EXCHANGE COMMISSION</w:t>
      </w:r>
    </w:p>
    <w:p>
      <w:pPr>
        <w:spacing w:after="0" w:line="15" w:lineRule="exact"/>
        <w:rPr>
          <w:sz w:val="24"/>
          <w:szCs w:val="24"/>
          <w:color w:val="auto"/>
        </w:rPr>
      </w:pPr>
    </w:p>
    <w:p>
      <w:pPr>
        <w:ind w:left="4840"/>
        <w:spacing w:after="0"/>
        <w:rPr>
          <w:sz w:val="20"/>
          <w:szCs w:val="20"/>
          <w:color w:val="auto"/>
        </w:rPr>
      </w:pPr>
      <w:r>
        <w:rPr>
          <w:rFonts w:ascii="Arial" w:cs="Arial" w:eastAsia="Arial" w:hAnsi="Arial"/>
          <w:sz w:val="14"/>
          <w:szCs w:val="14"/>
          <w:color w:val="auto"/>
        </w:rPr>
        <w:t>Washington, D.C. 20549</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10-Q</w:t>
      </w:r>
    </w:p>
    <w:p>
      <w:pPr>
        <w:spacing w:after="0" w:line="15" w:lineRule="exact"/>
        <w:rPr>
          <w:sz w:val="24"/>
          <w:szCs w:val="24"/>
          <w:color w:val="auto"/>
        </w:rPr>
      </w:pPr>
    </w:p>
    <w:p>
      <w:pPr>
        <w:ind w:left="4900"/>
        <w:spacing w:after="0"/>
        <w:rPr>
          <w:sz w:val="20"/>
          <w:szCs w:val="20"/>
          <w:color w:val="auto"/>
        </w:rPr>
      </w:pPr>
      <w:r>
        <w:rPr>
          <w:rFonts w:ascii="Arial" w:cs="Arial" w:eastAsia="Arial" w:hAnsi="Arial"/>
          <w:sz w:val="14"/>
          <w:szCs w:val="14"/>
          <w:color w:val="auto"/>
        </w:rPr>
        <w:t>__________________</w:t>
      </w:r>
    </w:p>
    <w:p>
      <w:pPr>
        <w:spacing w:after="0" w:line="11" w:lineRule="exact"/>
        <w:rPr>
          <w:sz w:val="24"/>
          <w:szCs w:val="24"/>
          <w:color w:val="auto"/>
        </w:rPr>
      </w:pPr>
    </w:p>
    <w:p>
      <w:pPr>
        <w:ind w:left="3680" w:hanging="185"/>
        <w:spacing w:after="0"/>
        <w:tabs>
          <w:tab w:leader="none" w:pos="36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w:t>
      </w:r>
    </w:p>
    <w:p>
      <w:pPr>
        <w:spacing w:after="0" w:line="17" w:lineRule="exact"/>
        <w:rPr>
          <w:rFonts w:ascii="MS PGothic" w:cs="MS PGothic" w:eastAsia="MS PGothic" w:hAnsi="MS PGothic"/>
          <w:sz w:val="14"/>
          <w:szCs w:val="14"/>
          <w:color w:val="auto"/>
        </w:rPr>
      </w:pPr>
    </w:p>
    <w:p>
      <w:pPr>
        <w:jc w:val="both"/>
        <w:ind w:left="3980" w:right="3980" w:firstLine="37"/>
        <w:spacing w:after="0" w:line="274" w:lineRule="auto"/>
        <w:rPr>
          <w:rFonts w:ascii="MS PGothic" w:cs="MS PGothic" w:eastAsia="MS PGothic" w:hAnsi="MS PGothic"/>
          <w:sz w:val="14"/>
          <w:szCs w:val="14"/>
          <w:color w:val="auto"/>
        </w:rPr>
      </w:pPr>
      <w:r>
        <w:rPr>
          <w:rFonts w:ascii="Arial" w:cs="Arial" w:eastAsia="Arial" w:hAnsi="Arial"/>
          <w:sz w:val="14"/>
          <w:szCs w:val="14"/>
          <w:color w:val="auto"/>
        </w:rPr>
        <w:t xml:space="preserve">OF THE SECURITIES EXCHANGE ACT OF 1934 For the quarterly period ended </w:t>
      </w:r>
      <w:r>
        <w:rPr>
          <w:rFonts w:ascii="Arial" w:cs="Arial" w:eastAsia="Arial" w:hAnsi="Arial"/>
          <w:sz w:val="14"/>
          <w:szCs w:val="14"/>
          <w:u w:val="single" w:color="auto"/>
          <w:color w:val="auto"/>
        </w:rPr>
        <w:t>September 30, 2023</w:t>
      </w:r>
    </w:p>
    <w:p>
      <w:pPr>
        <w:jc w:val="center"/>
        <w:ind w:right="-19"/>
        <w:spacing w:after="0"/>
        <w:rPr>
          <w:sz w:val="20"/>
          <w:szCs w:val="20"/>
          <w:color w:val="auto"/>
        </w:rPr>
      </w:pPr>
      <w:r>
        <w:rPr>
          <w:rFonts w:ascii="Arial" w:cs="Arial" w:eastAsia="Arial" w:hAnsi="Arial"/>
          <w:sz w:val="14"/>
          <w:szCs w:val="14"/>
          <w:color w:val="auto"/>
        </w:rPr>
        <w:t>OR</w:t>
      </w:r>
    </w:p>
    <w:p>
      <w:pPr>
        <w:spacing w:after="0" w:line="21" w:lineRule="exact"/>
        <w:rPr>
          <w:sz w:val="24"/>
          <w:szCs w:val="24"/>
          <w:color w:val="auto"/>
        </w:rPr>
      </w:pPr>
    </w:p>
    <w:p>
      <w:pPr>
        <w:ind w:left="3660" w:hanging="167"/>
        <w:spacing w:after="0"/>
        <w:tabs>
          <w:tab w:leader="none" w:pos="3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w:t>
      </w:r>
    </w:p>
    <w:p>
      <w:pPr>
        <w:spacing w:after="0" w:line="17" w:lineRule="exact"/>
        <w:rPr>
          <w:rFonts w:ascii="MS PGothic" w:cs="MS PGothic" w:eastAsia="MS PGothic" w:hAnsi="MS PGothic"/>
          <w:sz w:val="14"/>
          <w:szCs w:val="14"/>
          <w:color w:val="auto"/>
        </w:rPr>
      </w:pPr>
    </w:p>
    <w:p>
      <w:pPr>
        <w:jc w:val="center"/>
        <w:ind w:left="4140" w:right="4020" w:hanging="119"/>
        <w:spacing w:after="0" w:line="241" w:lineRule="auto"/>
        <w:rPr>
          <w:rFonts w:ascii="MS PGothic" w:cs="MS PGothic" w:eastAsia="MS PGothic" w:hAnsi="MS PGothic"/>
          <w:sz w:val="14"/>
          <w:szCs w:val="14"/>
          <w:color w:val="auto"/>
        </w:rPr>
      </w:pPr>
      <w:r>
        <w:rPr>
          <w:rFonts w:ascii="Arial" w:cs="Arial" w:eastAsia="Arial" w:hAnsi="Arial"/>
          <w:sz w:val="14"/>
          <w:szCs w:val="14"/>
          <w:color w:val="auto"/>
        </w:rPr>
        <w:t>OF THE SECURITIES EXCHANGE ACT OF 1934 For the transition period from ______ to _____</w:t>
      </w:r>
    </w:p>
    <w:p>
      <w:pPr>
        <w:ind w:left="4600"/>
        <w:spacing w:after="0"/>
        <w:rPr>
          <w:rFonts w:ascii="MS PGothic" w:cs="MS PGothic" w:eastAsia="MS PGothic" w:hAnsi="MS PGothic"/>
          <w:sz w:val="14"/>
          <w:szCs w:val="14"/>
          <w:color w:val="auto"/>
        </w:rPr>
      </w:pPr>
      <w:r>
        <w:rPr>
          <w:rFonts w:ascii="Arial" w:cs="Arial" w:eastAsia="Arial" w:hAnsi="Arial"/>
          <w:sz w:val="14"/>
          <w:szCs w:val="14"/>
          <w:color w:val="auto"/>
        </w:rPr>
        <w:t xml:space="preserve">Commission file number </w:t>
      </w:r>
      <w:r>
        <w:rPr>
          <w:rFonts w:ascii="Arial" w:cs="Arial" w:eastAsia="Arial" w:hAnsi="Arial"/>
          <w:sz w:val="14"/>
          <w:szCs w:val="14"/>
          <w:u w:val="single" w:color="auto"/>
          <w:color w:val="auto"/>
        </w:rPr>
        <w:t>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6350</wp:posOffset>
            </wp:positionV>
            <wp:extent cx="175704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Honeywell International Inc.</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1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2"/>
          </w:tcPr>
          <w:p>
            <w:pPr>
              <w:jc w:val="center"/>
              <w:ind w:left="648"/>
              <w:spacing w:after="0"/>
              <w:rPr>
                <w:sz w:val="20"/>
                <w:szCs w:val="20"/>
                <w:color w:val="auto"/>
              </w:rPr>
            </w:pPr>
            <w:r>
              <w:rPr>
                <w:rFonts w:ascii="Arial" w:cs="Arial" w:eastAsia="Arial" w:hAnsi="Arial"/>
                <w:sz w:val="14"/>
                <w:szCs w:val="14"/>
                <w:color w:val="auto"/>
              </w:rPr>
              <w:t>Delaware</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22-2640650</w:t>
            </w:r>
          </w:p>
        </w:tc>
        <w:tc>
          <w:tcPr>
            <w:tcW w:w="720" w:type="dxa"/>
            <w:vAlign w:val="bottom"/>
            <w:tcBorders>
              <w:bottom w:val="single" w:sz="8" w:color="auto"/>
            </w:tcBorders>
          </w:tcPr>
          <w:p>
            <w:pPr>
              <w:spacing w:after="0"/>
              <w:rPr>
                <w:sz w:val="16"/>
                <w:szCs w:val="16"/>
                <w:color w:val="auto"/>
              </w:rPr>
            </w:pPr>
          </w:p>
        </w:tc>
        <w:tc>
          <w:tcPr>
            <w:tcW w:w="1040" w:type="dxa"/>
            <w:vAlign w:val="bottom"/>
          </w:tcPr>
          <w:p>
            <w:pPr>
              <w:spacing w:after="0"/>
              <w:rPr>
                <w:sz w:val="16"/>
                <w:szCs w:val="16"/>
                <w:color w:val="auto"/>
              </w:rPr>
            </w:pPr>
          </w:p>
        </w:tc>
      </w:tr>
      <w:tr>
        <w:trPr>
          <w:trHeight w:val="156"/>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40" w:type="dxa"/>
            <w:vAlign w:val="bottom"/>
            <w:gridSpan w:val="2"/>
          </w:tcPr>
          <w:p>
            <w:pPr>
              <w:jc w:val="center"/>
              <w:ind w:left="648"/>
              <w:spacing w:after="0" w:line="156" w:lineRule="exact"/>
              <w:rPr>
                <w:sz w:val="20"/>
                <w:szCs w:val="20"/>
                <w:color w:val="auto"/>
              </w:rPr>
            </w:pPr>
            <w:r>
              <w:rPr>
                <w:rFonts w:ascii="Arial" w:cs="Arial" w:eastAsia="Arial" w:hAnsi="Arial"/>
                <w:sz w:val="14"/>
                <w:szCs w:val="14"/>
                <w:color w:val="auto"/>
              </w:rPr>
              <w:t>(State or other jurisdiction of</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40" w:type="dxa"/>
            <w:vAlign w:val="bottom"/>
            <w:gridSpan w:val="2"/>
          </w:tcPr>
          <w:p>
            <w:pPr>
              <w:jc w:val="center"/>
              <w:ind w:right="160"/>
              <w:spacing w:after="0" w:line="156" w:lineRule="exact"/>
              <w:rPr>
                <w:sz w:val="20"/>
                <w:szCs w:val="20"/>
                <w:color w:val="auto"/>
              </w:rPr>
            </w:pPr>
            <w:r>
              <w:rPr>
                <w:rFonts w:ascii="Arial" w:cs="Arial" w:eastAsia="Arial" w:hAnsi="Arial"/>
                <w:sz w:val="14"/>
                <w:szCs w:val="14"/>
                <w:color w:val="auto"/>
              </w:rPr>
              <w:t>(I.R.S. Employer</w:t>
            </w:r>
          </w:p>
        </w:tc>
        <w:tc>
          <w:tcPr>
            <w:tcW w:w="1040" w:type="dxa"/>
            <w:vAlign w:val="bottom"/>
          </w:tcPr>
          <w:p>
            <w:pPr>
              <w:spacing w:after="0"/>
              <w:rPr>
                <w:sz w:val="13"/>
                <w:szCs w:val="13"/>
                <w:color w:val="auto"/>
              </w:rPr>
            </w:pPr>
          </w:p>
        </w:tc>
      </w:tr>
      <w:tr>
        <w:trPr>
          <w:trHeight w:val="182"/>
        </w:trPr>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incorporation or organization)</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Identification No.)</w:t>
            </w:r>
          </w:p>
        </w:tc>
        <w:tc>
          <w:tcPr>
            <w:tcW w:w="1040" w:type="dxa"/>
            <w:vAlign w:val="bottom"/>
          </w:tcPr>
          <w:p>
            <w:pPr>
              <w:spacing w:after="0"/>
              <w:rPr>
                <w:sz w:val="15"/>
                <w:szCs w:val="15"/>
                <w:color w:val="auto"/>
              </w:rPr>
            </w:pPr>
          </w:p>
        </w:tc>
      </w:tr>
      <w:tr>
        <w:trPr>
          <w:trHeight w:val="297"/>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855 South Mint Street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3"/>
        </w:trPr>
        <w:tc>
          <w:tcPr>
            <w:tcW w:w="12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color w:val="auto"/>
              </w:rPr>
              <w:t>Charlotte, North Carolina</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color w:val="auto"/>
              </w:rPr>
              <w:t>28202</w:t>
            </w:r>
          </w:p>
        </w:tc>
        <w:tc>
          <w:tcPr>
            <w:tcW w:w="720" w:type="dxa"/>
            <w:vAlign w:val="bottom"/>
            <w:tcBorders>
              <w:bottom w:val="single" w:sz="8" w:color="auto"/>
            </w:tcBorders>
          </w:tcPr>
          <w:p>
            <w:pPr>
              <w:spacing w:after="0"/>
              <w:rPr>
                <w:sz w:val="22"/>
                <w:szCs w:val="22"/>
                <w:color w:val="auto"/>
              </w:rPr>
            </w:pPr>
          </w:p>
        </w:tc>
        <w:tc>
          <w:tcPr>
            <w:tcW w:w="1040" w:type="dxa"/>
            <w:vAlign w:val="bottom"/>
          </w:tcPr>
          <w:p>
            <w:pPr>
              <w:spacing w:after="0"/>
              <w:rPr>
                <w:sz w:val="22"/>
                <w:szCs w:val="22"/>
                <w:color w:val="auto"/>
              </w:rPr>
            </w:pPr>
          </w:p>
        </w:tc>
      </w:tr>
      <w:tr>
        <w:trPr>
          <w:trHeight w:val="190"/>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100" w:type="dxa"/>
            <w:vAlign w:val="bottom"/>
            <w:gridSpan w:val="6"/>
          </w:tcPr>
          <w:p>
            <w:pPr>
              <w:jc w:val="center"/>
              <w:ind w:right="720"/>
              <w:spacing w:after="0"/>
              <w:rPr>
                <w:sz w:val="20"/>
                <w:szCs w:val="20"/>
                <w:color w:val="auto"/>
              </w:rPr>
            </w:pPr>
            <w:r>
              <w:rPr>
                <w:rFonts w:ascii="Arial" w:cs="Arial" w:eastAsia="Arial" w:hAnsi="Arial"/>
                <w:sz w:val="14"/>
                <w:szCs w:val="14"/>
                <w:color w:val="auto"/>
              </w:rPr>
              <w:t>(Address of principal executive offices)</w:t>
            </w: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(Zip Code)</w:t>
            </w:r>
          </w:p>
        </w:tc>
        <w:tc>
          <w:tcPr>
            <w:tcW w:w="1040" w:type="dxa"/>
            <w:vAlign w:val="bottom"/>
          </w:tcPr>
          <w:p>
            <w:pPr>
              <w:spacing w:after="0"/>
              <w:rPr>
                <w:sz w:val="16"/>
                <w:szCs w:val="16"/>
                <w:color w:val="auto"/>
              </w:rPr>
            </w:pPr>
          </w:p>
        </w:tc>
      </w:tr>
      <w:tr>
        <w:trPr>
          <w:trHeight w:val="330"/>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(704) 627-6200</w:t>
            </w:r>
          </w:p>
        </w:tc>
        <w:tc>
          <w:tcPr>
            <w:tcW w:w="34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40" w:type="dxa"/>
            <w:vAlign w:val="bottom"/>
            <w:gridSpan w:val="8"/>
          </w:tcPr>
          <w:p>
            <w:pPr>
              <w:ind w:left="2080"/>
              <w:spacing w:after="0"/>
              <w:rPr>
                <w:sz w:val="20"/>
                <w:szCs w:val="20"/>
                <w:color w:val="auto"/>
              </w:rPr>
            </w:pPr>
            <w:r>
              <w:rPr>
                <w:rFonts w:ascii="Arial" w:cs="Arial" w:eastAsia="Arial" w:hAnsi="Arial"/>
                <w:sz w:val="14"/>
                <w:szCs w:val="14"/>
                <w:color w:val="auto"/>
              </w:rPr>
              <w:t>(Registrant’s telephone number, including area code)</w:t>
            </w:r>
          </w:p>
        </w:tc>
        <w:tc>
          <w:tcPr>
            <w:tcW w:w="1040" w:type="dxa"/>
            <w:vAlign w:val="bottom"/>
          </w:tcPr>
          <w:p>
            <w:pPr>
              <w:spacing w:after="0"/>
              <w:rPr>
                <w:sz w:val="16"/>
                <w:szCs w:val="16"/>
                <w:color w:val="auto"/>
              </w:rPr>
            </w:pPr>
          </w:p>
        </w:tc>
      </w:tr>
      <w:tr>
        <w:trPr>
          <w:trHeight w:val="283"/>
        </w:trPr>
        <w:tc>
          <w:tcPr>
            <w:tcW w:w="438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9"/>
        </w:trPr>
        <w:tc>
          <w:tcPr>
            <w:tcW w:w="12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2"/>
          </w:tcPr>
          <w:p>
            <w:pPr>
              <w:jc w:val="center"/>
              <w:ind w:right="1208"/>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18"/>
                <w:szCs w:val="18"/>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Trading Symbol(s)</w:t>
            </w:r>
          </w:p>
        </w:tc>
        <w:tc>
          <w:tcPr>
            <w:tcW w:w="100" w:type="dxa"/>
            <w:vAlign w:val="bottom"/>
          </w:tcPr>
          <w:p>
            <w:pPr>
              <w:spacing w:after="0"/>
              <w:rPr>
                <w:sz w:val="18"/>
                <w:szCs w:val="18"/>
                <w:color w:val="auto"/>
              </w:rPr>
            </w:pPr>
          </w:p>
        </w:tc>
        <w:tc>
          <w:tcPr>
            <w:tcW w:w="4140" w:type="dxa"/>
            <w:vAlign w:val="bottom"/>
            <w:tcBorders>
              <w:bottom w:val="single" w:sz="8" w:color="auto"/>
            </w:tcBorders>
            <w:gridSpan w:val="2"/>
          </w:tcPr>
          <w:p>
            <w:pPr>
              <w:jc w:val="center"/>
              <w:ind w:left="968"/>
              <w:spacing w:after="0"/>
              <w:rPr>
                <w:sz w:val="20"/>
                <w:szCs w:val="20"/>
                <w:color w:val="auto"/>
              </w:rPr>
            </w:pPr>
            <w:r>
              <w:rPr>
                <w:rFonts w:ascii="Arial" w:cs="Arial" w:eastAsia="Arial" w:hAnsi="Arial"/>
                <w:sz w:val="14"/>
                <w:szCs w:val="14"/>
                <w:color w:val="auto"/>
              </w:rPr>
              <w:t>Name of each exchange on which registered</w:t>
            </w:r>
          </w:p>
        </w:tc>
        <w:tc>
          <w:tcPr>
            <w:tcW w:w="1040" w:type="dxa"/>
            <w:vAlign w:val="bottom"/>
            <w:tcBorders>
              <w:bottom w:val="single" w:sz="8" w:color="auto"/>
            </w:tcBorders>
          </w:tcPr>
          <w:p>
            <w:pPr>
              <w:spacing w:after="0"/>
              <w:rPr>
                <w:sz w:val="18"/>
                <w:szCs w:val="18"/>
                <w:color w:val="auto"/>
              </w:rPr>
            </w:pPr>
          </w:p>
        </w:tc>
      </w:tr>
      <w:tr>
        <w:trPr>
          <w:trHeight w:val="190"/>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Common Stock, par value $1 per share</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6"/>
                <w:szCs w:val="16"/>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0.000% Senior Notes due 2024</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24A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3.500% Senior Notes due 2027</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27</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2.250% Senior Notes due 2028</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28A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0.750% Senior Notes due 2032</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32</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3.750% Senior Notes due 2032</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32A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4.125% Senior Notes due 2034</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34</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bl>
    <w:p>
      <w:pPr>
        <w:spacing w:after="0" w:line="155" w:lineRule="exact"/>
        <w:rPr>
          <w:sz w:val="24"/>
          <w:szCs w:val="24"/>
          <w:color w:val="auto"/>
        </w:rPr>
      </w:pPr>
    </w:p>
    <w:p>
      <w:pPr>
        <w:ind w:right="60"/>
        <w:spacing w:after="0" w:line="19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8"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7"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20" w:type="dxa"/>
            <w:vAlign w:val="bottom"/>
          </w:tcPr>
          <w:p>
            <w:pPr>
              <w:ind w:left="460"/>
              <w:spacing w:after="0"/>
              <w:rPr>
                <w:sz w:val="20"/>
                <w:szCs w:val="20"/>
                <w:color w:val="auto"/>
              </w:rPr>
            </w:pPr>
            <w:r>
              <w:rPr>
                <w:rFonts w:ascii="Arial" w:cs="Arial" w:eastAsia="Arial" w:hAnsi="Arial"/>
                <w:sz w:val="14"/>
                <w:szCs w:val="14"/>
                <w:color w:val="auto"/>
              </w:rPr>
              <w:t>x</w:t>
            </w:r>
          </w:p>
        </w:tc>
        <w:tc>
          <w:tcPr>
            <w:tcW w:w="3640" w:type="dxa"/>
            <w:vAlign w:val="bottom"/>
          </w:tcPr>
          <w:p>
            <w:pPr>
              <w:ind w:left="14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20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ind w:left="14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40" w:type="dxa"/>
            <w:vAlign w:val="bottom"/>
          </w:tcPr>
          <w:p>
            <w:pPr>
              <w:ind w:left="14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5" w:lineRule="exact"/>
        <w:rPr>
          <w:sz w:val="24"/>
          <w:szCs w:val="24"/>
          <w:color w:val="auto"/>
        </w:rPr>
      </w:pPr>
    </w:p>
    <w:p>
      <w:pPr>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2" w:lineRule="exact"/>
        <w:rPr>
          <w:sz w:val="24"/>
          <w:szCs w:val="24"/>
          <w:color w:val="auto"/>
        </w:rPr>
      </w:pPr>
    </w:p>
    <w:p>
      <w:pPr>
        <w:ind w:right="3200"/>
        <w:spacing w:after="0" w:line="25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Arial" w:cs="Arial" w:eastAsia="Arial" w:hAnsi="Arial"/>
          <w:sz w:val="16"/>
          <w:szCs w:val="16"/>
          <w:color w:val="auto"/>
        </w:rPr>
        <w:t>x</w:t>
      </w:r>
      <w:r>
        <w:rPr>
          <w:rFonts w:ascii="Arial" w:cs="Arial" w:eastAsia="Arial" w:hAnsi="Arial"/>
          <w:sz w:val="14"/>
          <w:szCs w:val="14"/>
          <w:color w:val="auto"/>
        </w:rPr>
        <w:t xml:space="preserve"> There were 659,250,644 shares of Common Stock outstanding at September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509905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2" w:right="339" w:bottom="1440" w:gutter="0" w:footer="0" w:header="0"/>
        </w:sectPr>
      </w:pPr>
    </w:p>
    <w:bookmarkStart w:id="1" w:name="page2"/>
    <w:bookmarkEnd w:id="1"/>
    <w:p>
      <w:pPr>
        <w:spacing w:after="0"/>
        <w:rPr>
          <w:sz w:val="20"/>
          <w:szCs w:val="20"/>
          <w:color w:val="auto"/>
        </w:rPr>
      </w:pPr>
      <w:r>
        <w:rPr>
          <w:rFonts w:ascii="Arial" w:cs="Arial" w:eastAsia="Arial" w:hAnsi="Arial"/>
          <w:sz w:val="36"/>
          <w:szCs w:val="36"/>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0" w:type="dxa"/>
            <w:vAlign w:val="bottom"/>
            <w:tcBorders>
              <w:top w:val="single" w:sz="8" w:color="61656A"/>
              <w:bottom w:val="single" w:sz="8" w:color="61656A"/>
            </w:tcBorders>
          </w:tcPr>
          <w:p>
            <w:pPr>
              <w:spacing w:after="0"/>
              <w:rPr>
                <w:sz w:val="19"/>
                <w:szCs w:val="19"/>
                <w:color w:val="auto"/>
              </w:rPr>
            </w:pPr>
          </w:p>
        </w:tc>
        <w:tc>
          <w:tcPr>
            <w:tcW w:w="9780" w:type="dxa"/>
            <w:vAlign w:val="bottom"/>
            <w:tcBorders>
              <w:top w:val="single" w:sz="8" w:color="61656A"/>
              <w:bottom w:val="single" w:sz="8" w:color="61656A"/>
            </w:tcBorders>
          </w:tcPr>
          <w:p>
            <w:pPr>
              <w:ind w:left="80"/>
              <w:spacing w:after="0"/>
              <w:rPr>
                <w:sz w:val="20"/>
                <w:szCs w:val="20"/>
                <w:color w:val="auto"/>
              </w:rPr>
            </w:pPr>
            <w:r>
              <w:rPr>
                <w:rFonts w:ascii="Arial" w:cs="Arial" w:eastAsia="Arial" w:hAnsi="Arial"/>
                <w:sz w:val="16"/>
                <w:szCs w:val="16"/>
                <w:color w:val="auto"/>
              </w:rPr>
              <w:t>Cautionary Statement about Forward-Looking Statements</w:t>
            </w:r>
          </w:p>
        </w:tc>
        <w:tc>
          <w:tcPr>
            <w:tcW w:w="70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w:t>
            </w:r>
          </w:p>
        </w:tc>
      </w:tr>
      <w:tr>
        <w:trPr>
          <w:trHeight w:val="210"/>
        </w:trPr>
        <w:tc>
          <w:tcPr>
            <w:tcW w:w="760" w:type="dxa"/>
            <w:vAlign w:val="bottom"/>
            <w:tcBorders>
              <w:bottom w:val="single" w:sz="8" w:color="D7282F"/>
            </w:tcBorders>
          </w:tcPr>
          <w:p>
            <w:pPr>
              <w:spacing w:after="0"/>
              <w:rPr>
                <w:sz w:val="18"/>
                <w:szCs w:val="18"/>
                <w:color w:val="auto"/>
              </w:rPr>
            </w:pPr>
          </w:p>
        </w:tc>
        <w:tc>
          <w:tcPr>
            <w:tcW w:w="9780" w:type="dxa"/>
            <w:vAlign w:val="bottom"/>
            <w:tcBorders>
              <w:bottom w:val="single" w:sz="8" w:color="D7282F"/>
            </w:tcBorders>
          </w:tcPr>
          <w:p>
            <w:pPr>
              <w:ind w:left="80"/>
              <w:spacing w:after="0"/>
              <w:rPr>
                <w:sz w:val="20"/>
                <w:szCs w:val="20"/>
                <w:color w:val="auto"/>
              </w:rPr>
            </w:pPr>
            <w:r>
              <w:rPr>
                <w:rFonts w:ascii="Arial" w:cs="Arial" w:eastAsia="Arial" w:hAnsi="Arial"/>
                <w:sz w:val="16"/>
                <w:szCs w:val="16"/>
                <w:color w:val="auto"/>
              </w:rPr>
              <w:t>About Honeywell</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2</w:t>
            </w:r>
          </w:p>
        </w:tc>
      </w:tr>
      <w:tr>
        <w:trPr>
          <w:trHeight w:val="209"/>
        </w:trPr>
        <w:tc>
          <w:tcPr>
            <w:tcW w:w="76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D7282F"/>
              </w:rPr>
              <w:t>PART I</w:t>
            </w:r>
          </w:p>
        </w:tc>
        <w:tc>
          <w:tcPr>
            <w:tcW w:w="9780" w:type="dxa"/>
            <w:vAlign w:val="bottom"/>
            <w:tcBorders>
              <w:bottom w:val="single" w:sz="8" w:color="D7282F"/>
            </w:tcBorders>
          </w:tcPr>
          <w:p>
            <w:pPr>
              <w:ind w:left="80"/>
              <w:spacing w:after="0"/>
              <w:rPr>
                <w:sz w:val="20"/>
                <w:szCs w:val="20"/>
                <w:color w:val="auto"/>
              </w:rPr>
            </w:pPr>
            <w:r>
              <w:rPr>
                <w:rFonts w:ascii="Arial" w:cs="Arial" w:eastAsia="Arial" w:hAnsi="Arial"/>
                <w:sz w:val="16"/>
                <w:szCs w:val="16"/>
                <w:b w:val="1"/>
                <w:bCs w:val="1"/>
                <w:color w:val="D7282F"/>
              </w:rPr>
              <w:t>Financial Information</w:t>
            </w:r>
          </w:p>
        </w:tc>
        <w:tc>
          <w:tcPr>
            <w:tcW w:w="700" w:type="dxa"/>
            <w:vAlign w:val="bottom"/>
            <w:tcBorders>
              <w:bottom w:val="single" w:sz="8" w:color="D7282F"/>
            </w:tcBorders>
          </w:tcPr>
          <w:p>
            <w:pPr>
              <w:spacing w:after="0"/>
              <w:rPr>
                <w:sz w:val="18"/>
                <w:szCs w:val="18"/>
                <w:color w:val="auto"/>
              </w:rPr>
            </w:pPr>
          </w:p>
        </w:tc>
      </w:tr>
      <w:tr>
        <w:trPr>
          <w:trHeight w:val="210"/>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1</w:t>
            </w: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Financial Statements and Supplementary Data (unaudited):</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w:t>
            </w:r>
          </w:p>
        </w:tc>
      </w:tr>
      <w:tr>
        <w:trPr>
          <w:trHeight w:val="209"/>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Consolidated Statement of Operations (unaudited) – Three and Nine Months Ended September 30, 2023, and 2022</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w:t>
            </w:r>
          </w:p>
        </w:tc>
      </w:tr>
      <w:tr>
        <w:trPr>
          <w:trHeight w:val="209"/>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Consolidated Statement of Comprehensive Income (unaudited) – Three and Nine Months Ended September 30, 2023, and 2022</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w:t>
            </w:r>
          </w:p>
        </w:tc>
      </w:tr>
      <w:tr>
        <w:trPr>
          <w:trHeight w:val="210"/>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Consolidated Balance Sheet (unaudited) – September 30, 2023, and December 31, 2022</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w:t>
            </w:r>
          </w:p>
        </w:tc>
      </w:tr>
      <w:tr>
        <w:trPr>
          <w:trHeight w:val="209"/>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Consolidated Statement of Cash Flows (unaudited) – Nine Months Ended September 30, 2023, and 2022</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6</w:t>
            </w:r>
          </w:p>
        </w:tc>
      </w:tr>
      <w:tr>
        <w:trPr>
          <w:trHeight w:val="209"/>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Consolidated Statement of Shareowners' Equity (unaudited) – Three and Nine Months Ended September 30, 2023, and 2022</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7</w:t>
            </w:r>
          </w:p>
        </w:tc>
      </w:tr>
      <w:tr>
        <w:trPr>
          <w:trHeight w:val="210"/>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1 – Basis of Presentation</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8</w:t>
            </w:r>
          </w:p>
        </w:tc>
      </w:tr>
      <w:tr>
        <w:trPr>
          <w:trHeight w:val="209"/>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2 – Summary of Significant Accounting Policies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8</w:t>
            </w:r>
          </w:p>
        </w:tc>
      </w:tr>
      <w:tr>
        <w:trPr>
          <w:trHeight w:val="210"/>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3 – Acquisitions and Divestitures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9</w:t>
            </w:r>
          </w:p>
        </w:tc>
      </w:tr>
      <w:tr>
        <w:trPr>
          <w:trHeight w:val="209"/>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4 – Revenue Recognition and Contracts with Customers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10</w:t>
            </w:r>
          </w:p>
        </w:tc>
      </w:tr>
      <w:tr>
        <w:trPr>
          <w:trHeight w:val="209"/>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5 – Repositioning and Other Charges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13</w:t>
            </w:r>
          </w:p>
        </w:tc>
      </w:tr>
      <w:tr>
        <w:trPr>
          <w:trHeight w:val="210"/>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6 – Income Taxes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15</w:t>
            </w:r>
          </w:p>
        </w:tc>
      </w:tr>
      <w:tr>
        <w:trPr>
          <w:trHeight w:val="209"/>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7 – Inventories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16</w:t>
            </w:r>
          </w:p>
        </w:tc>
      </w:tr>
      <w:tr>
        <w:trPr>
          <w:trHeight w:val="209"/>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8 – Long-term Debt and Credit Agreements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16</w:t>
            </w:r>
          </w:p>
        </w:tc>
      </w:tr>
      <w:tr>
        <w:trPr>
          <w:trHeight w:val="210"/>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9 – Leases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17</w:t>
            </w:r>
          </w:p>
        </w:tc>
      </w:tr>
      <w:tr>
        <w:trPr>
          <w:trHeight w:val="209"/>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10 – Derivative Instruments and Hedging Transactions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18</w:t>
            </w:r>
          </w:p>
        </w:tc>
      </w:tr>
      <w:tr>
        <w:trPr>
          <w:trHeight w:val="210"/>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11 – Fair Value Measurements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21</w:t>
            </w:r>
          </w:p>
        </w:tc>
      </w:tr>
      <w:tr>
        <w:trPr>
          <w:trHeight w:val="210"/>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12 – Earnings Per Share</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22</w:t>
            </w:r>
          </w:p>
        </w:tc>
      </w:tr>
      <w:tr>
        <w:trPr>
          <w:trHeight w:val="210"/>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13 – Accumulated Other Comprehensive Income (Loss)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23</w:t>
            </w:r>
          </w:p>
        </w:tc>
      </w:tr>
      <w:tr>
        <w:trPr>
          <w:trHeight w:val="209"/>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14 – Commitments and Contingencies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23</w:t>
            </w:r>
          </w:p>
        </w:tc>
      </w:tr>
      <w:tr>
        <w:trPr>
          <w:trHeight w:val="210"/>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15 – Pension Benefits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27</w:t>
            </w:r>
          </w:p>
        </w:tc>
      </w:tr>
      <w:tr>
        <w:trPr>
          <w:trHeight w:val="210"/>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16 – Other (Income) Expense</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28</w:t>
            </w:r>
          </w:p>
        </w:tc>
      </w:tr>
      <w:tr>
        <w:trPr>
          <w:trHeight w:val="210"/>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17 – Segment Financial Data</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29</w:t>
            </w:r>
          </w:p>
        </w:tc>
      </w:tr>
      <w:tr>
        <w:trPr>
          <w:trHeight w:val="209"/>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Note 18 – Subsequent Events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31</w:t>
            </w:r>
          </w:p>
        </w:tc>
      </w:tr>
      <w:tr>
        <w:trPr>
          <w:trHeight w:val="210"/>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2</w:t>
            </w: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32</w:t>
            </w:r>
          </w:p>
        </w:tc>
      </w:tr>
      <w:tr>
        <w:trPr>
          <w:trHeight w:val="210"/>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3</w:t>
            </w: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Quantitative and Qualitative Disclosures about Market Risks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50</w:t>
            </w:r>
          </w:p>
        </w:tc>
      </w:tr>
      <w:tr>
        <w:trPr>
          <w:trHeight w:val="210"/>
        </w:trPr>
        <w:tc>
          <w:tcPr>
            <w:tcW w:w="76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auto"/>
              </w:rPr>
              <w:t>ITEM 4</w:t>
            </w:r>
          </w:p>
        </w:tc>
        <w:tc>
          <w:tcPr>
            <w:tcW w:w="9780" w:type="dxa"/>
            <w:vAlign w:val="bottom"/>
            <w:tcBorders>
              <w:bottom w:val="single" w:sz="8" w:color="D7282F"/>
            </w:tcBorders>
          </w:tcPr>
          <w:p>
            <w:pPr>
              <w:ind w:left="80"/>
              <w:spacing w:after="0"/>
              <w:rPr>
                <w:sz w:val="20"/>
                <w:szCs w:val="20"/>
                <w:color w:val="auto"/>
              </w:rPr>
            </w:pPr>
            <w:r>
              <w:rPr>
                <w:rFonts w:ascii="Arial" w:cs="Arial" w:eastAsia="Arial" w:hAnsi="Arial"/>
                <w:sz w:val="16"/>
                <w:szCs w:val="16"/>
                <w:color w:val="auto"/>
              </w:rPr>
              <w:t>Controls and Procedures</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50</w:t>
            </w:r>
          </w:p>
        </w:tc>
      </w:tr>
      <w:tr>
        <w:trPr>
          <w:trHeight w:val="209"/>
        </w:trPr>
        <w:tc>
          <w:tcPr>
            <w:tcW w:w="76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D7282F"/>
              </w:rPr>
              <w:t>PART II</w:t>
            </w:r>
          </w:p>
        </w:tc>
        <w:tc>
          <w:tcPr>
            <w:tcW w:w="9780" w:type="dxa"/>
            <w:vAlign w:val="bottom"/>
            <w:tcBorders>
              <w:bottom w:val="single" w:sz="8" w:color="D7282F"/>
            </w:tcBorders>
          </w:tcPr>
          <w:p>
            <w:pPr>
              <w:ind w:left="80"/>
              <w:spacing w:after="0"/>
              <w:rPr>
                <w:sz w:val="20"/>
                <w:szCs w:val="20"/>
                <w:color w:val="auto"/>
              </w:rPr>
            </w:pPr>
            <w:r>
              <w:rPr>
                <w:rFonts w:ascii="Arial" w:cs="Arial" w:eastAsia="Arial" w:hAnsi="Arial"/>
                <w:sz w:val="16"/>
                <w:szCs w:val="16"/>
                <w:b w:val="1"/>
                <w:bCs w:val="1"/>
                <w:color w:val="D7282F"/>
              </w:rPr>
              <w:t>Other Information</w:t>
            </w:r>
          </w:p>
        </w:tc>
        <w:tc>
          <w:tcPr>
            <w:tcW w:w="700" w:type="dxa"/>
            <w:vAlign w:val="bottom"/>
            <w:tcBorders>
              <w:bottom w:val="single" w:sz="8" w:color="D7282F"/>
            </w:tcBorders>
          </w:tcPr>
          <w:p>
            <w:pPr>
              <w:spacing w:after="0"/>
              <w:rPr>
                <w:sz w:val="18"/>
                <w:szCs w:val="18"/>
                <w:color w:val="auto"/>
              </w:rPr>
            </w:pPr>
          </w:p>
        </w:tc>
      </w:tr>
      <w:tr>
        <w:trPr>
          <w:trHeight w:val="210"/>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1</w:t>
            </w: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Legal Proceedings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51</w:t>
            </w:r>
          </w:p>
        </w:tc>
      </w:tr>
      <w:tr>
        <w:trPr>
          <w:trHeight w:val="210"/>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1A</w:t>
            </w: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Risk Factors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51</w:t>
            </w:r>
          </w:p>
        </w:tc>
      </w:tr>
      <w:tr>
        <w:trPr>
          <w:trHeight w:val="210"/>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2</w:t>
            </w: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Unregistered Sales of Equity Securities, Use of Proceeds, and Issuer Purchases of Equity Securities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51</w:t>
            </w:r>
          </w:p>
        </w:tc>
      </w:tr>
      <w:tr>
        <w:trPr>
          <w:trHeight w:val="210"/>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4</w:t>
            </w: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Mine Safety Disclosures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52</w:t>
            </w:r>
          </w:p>
        </w:tc>
      </w:tr>
      <w:tr>
        <w:trPr>
          <w:trHeight w:val="209"/>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5</w:t>
            </w: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Other Information</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52</w:t>
            </w:r>
          </w:p>
        </w:tc>
      </w:tr>
      <w:tr>
        <w:trPr>
          <w:trHeight w:val="210"/>
        </w:trPr>
        <w:tc>
          <w:tcPr>
            <w:tcW w:w="76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6</w:t>
            </w: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Exhibits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53</w:t>
            </w:r>
          </w:p>
        </w:tc>
      </w:tr>
      <w:tr>
        <w:trPr>
          <w:trHeight w:val="210"/>
        </w:trPr>
        <w:tc>
          <w:tcPr>
            <w:tcW w:w="760" w:type="dxa"/>
            <w:vAlign w:val="bottom"/>
            <w:tcBorders>
              <w:bottom w:val="single" w:sz="8" w:color="61656A"/>
            </w:tcBorders>
          </w:tcPr>
          <w:p>
            <w:pPr>
              <w:spacing w:after="0"/>
              <w:rPr>
                <w:sz w:val="18"/>
                <w:szCs w:val="18"/>
                <w:color w:val="auto"/>
              </w:rPr>
            </w:pPr>
          </w:p>
        </w:tc>
        <w:tc>
          <w:tcPr>
            <w:tcW w:w="9780" w:type="dxa"/>
            <w:vAlign w:val="bottom"/>
            <w:tcBorders>
              <w:bottom w:val="single" w:sz="8" w:color="61656A"/>
            </w:tcBorders>
          </w:tcPr>
          <w:p>
            <w:pPr>
              <w:ind w:left="80"/>
              <w:spacing w:after="0"/>
              <w:rPr>
                <w:sz w:val="20"/>
                <w:szCs w:val="20"/>
                <w:color w:val="auto"/>
              </w:rPr>
            </w:pPr>
            <w:r>
              <w:rPr>
                <w:rFonts w:ascii="Arial" w:cs="Arial" w:eastAsia="Arial" w:hAnsi="Arial"/>
                <w:sz w:val="16"/>
                <w:szCs w:val="16"/>
                <w:color w:val="auto"/>
              </w:rPr>
              <w:t>Signatures</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54</w:t>
            </w:r>
          </w:p>
        </w:tc>
      </w:tr>
      <w:tr>
        <w:trPr>
          <w:trHeight w:val="1850"/>
        </w:trPr>
        <w:tc>
          <w:tcPr>
            <w:tcW w:w="760" w:type="dxa"/>
            <w:vAlign w:val="bottom"/>
            <w:tcBorders>
              <w:bottom w:val="single" w:sz="8" w:color="9A9A9A"/>
            </w:tcBorders>
          </w:tcPr>
          <w:p>
            <w:pPr>
              <w:spacing w:after="0"/>
              <w:rPr>
                <w:sz w:val="24"/>
                <w:szCs w:val="24"/>
                <w:color w:val="auto"/>
              </w:rPr>
            </w:pPr>
          </w:p>
        </w:tc>
        <w:tc>
          <w:tcPr>
            <w:tcW w:w="9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460"/>
        <w:spacing w:after="0" w:line="303" w:lineRule="auto"/>
        <w:rPr>
          <w:sz w:val="20"/>
          <w:szCs w:val="20"/>
          <w:color w:val="auto"/>
        </w:rPr>
      </w:pPr>
      <w:r>
        <w:rPr>
          <w:rFonts w:ascii="Arial" w:cs="Arial" w:eastAsia="Arial" w:hAnsi="Arial"/>
          <w:sz w:val="36"/>
          <w:szCs w:val="36"/>
          <w:b w:val="1"/>
          <w:bCs w:val="1"/>
          <w:color w:val="auto"/>
        </w:rPr>
        <w:t>CAUTIONARY STATEMENT ABOUT FORWARD-LOOKING STATEMENTS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describe many of the trends and other factors that drive our business and future results in the section titled Management’s Discussion and Analysis of Financial Condition and Results of Operations and in other parts of this report (including Part II, Item 1A Risk Factors). Such discussions contain forward-looking statements within the meaning of Section 21E of the Securities Exchange Act of 1934, as amended (the Exchange Act).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They are not guarantees of future performance, and actual results, developments, and business decisions may differ significantly from those envisaged by our forward-looking statements. We do not undertake to update or revise any of our forward-looking statements, except as required by applicable securities law. Our forward-looking statements are also subject to material risks and uncertainties, including ongoing macroeconomic and geopolitical risks, such as lower GDP growth or recession, capital markets volatility, inflation, and certain regional conflicts, that can affect our performance in both the near- and long-term. In addition, no assurance can be given that any plan, initiative, projection, goal, commitment, expectation, or prospect set forth in this Form 10-Q can or will be achieved. These forward-looking statements should be considered in light of the information included in this report and our other filings with the Securities and Exchange Commission (SEC), including, without limitation, the Risk Factors, as well as the description of trends and other factors in Management’s Discussion and Analysis of Financial Condition and Results of Operations, set forth in this report and our 2022 Annual Report on Form 10-K. Any forward-looking plans described herein are not final and may be modified or abandoned at any time.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ABOUT HONEYWELL</w:t>
      </w:r>
    </w:p>
    <w:p>
      <w:pPr>
        <w:spacing w:after="0" w:line="200" w:lineRule="exact"/>
        <w:rPr>
          <w:sz w:val="20"/>
          <w:szCs w:val="20"/>
          <w:color w:val="auto"/>
        </w:rPr>
      </w:pPr>
    </w:p>
    <w:p>
      <w:pPr>
        <w:spacing w:after="0" w:line="20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Honeywell International Inc. (Honeywell, we, us, our, or the Company) is an integrated operating company serving a broad range of industries and geographies around the world. Our portfolio of solutions is uniquely positioned to blend physical products with software to serve customers worldwide with aerospace products and services, energy efficient products and solutions for businesses, specialty chemicals, electronic and advanced materials, process technology for refining and petrochemicals, and productivity, sensing, safety, and security technologies for buildings and industries. Our products and solutions enable a safer, more comfortable, and more productive world, enhancing the quality of life of people around the globe. The Honeywell brand dates back to 1906, and the Company was incorporated in Delaware in 1985.</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Annual Report on Form 10-K, Quarterly Reports on Form 10-Q, Current Reports on Form 8-K, and any amendments to those reports, are available free of charge on our Investor Relations website (investor.honeywell.com) under the heading Financials (see SEC Filings) immediately after they are filed with, or furnished to, the SEC. Honeywell uses our Investor Relations website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spacing w:after="0" w:line="200" w:lineRule="exact"/>
        <w:rPr>
          <w:sz w:val="20"/>
          <w:szCs w:val="20"/>
          <w:color w:val="auto"/>
        </w:rPr>
      </w:pPr>
    </w:p>
    <w:p>
      <w:pPr>
        <w:spacing w:after="0" w:line="224"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 FINANCIAL INFORMATION</w:t>
      </w:r>
    </w:p>
    <w:p>
      <w:pPr>
        <w:spacing w:after="0" w:line="200" w:lineRule="exact"/>
        <w:rPr>
          <w:sz w:val="20"/>
          <w:szCs w:val="20"/>
          <w:color w:val="auto"/>
        </w:rPr>
      </w:pPr>
    </w:p>
    <w:p>
      <w:pPr>
        <w:spacing w:after="0" w:line="207"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 financial statements and related notes as of September 30, 2023, should be read in conjunction with the financial statements for the year ended December 31, 2022, contained in the Company's 2022 Annual Report on Form 10-K.</w:t>
      </w:r>
    </w:p>
    <w:p>
      <w:pPr>
        <w:spacing w:after="0" w:line="29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FINANCIAL STATEMENTS AND SUPPLEMENTARY DATA</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235"/>
        </w:trPr>
        <w:tc>
          <w:tcPr>
            <w:tcW w:w="7100" w:type="dxa"/>
            <w:vAlign w:val="bottom"/>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78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D7282F"/>
            </w:tcBorders>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6"/>
        </w:trPr>
        <w:tc>
          <w:tcPr>
            <w:tcW w:w="710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3960" w:type="dxa"/>
            <w:vAlign w:val="bottom"/>
            <w:tcBorders>
              <w:bottom w:val="single" w:sz="8" w:color="D7282F"/>
            </w:tcBorders>
            <w:gridSpan w:val="8"/>
          </w:tcPr>
          <w:p>
            <w:pPr>
              <w:ind w:left="280"/>
              <w:spacing w:after="0"/>
              <w:rPr>
                <w:sz w:val="20"/>
                <w:szCs w:val="20"/>
                <w:color w:val="auto"/>
              </w:rPr>
            </w:pPr>
            <w:r>
              <w:rPr>
                <w:rFonts w:ascii="Arial" w:cs="Arial" w:eastAsia="Arial" w:hAnsi="Arial"/>
                <w:sz w:val="14"/>
                <w:szCs w:val="14"/>
                <w:b w:val="1"/>
                <w:bCs w:val="1"/>
                <w:color w:val="auto"/>
              </w:rPr>
              <w:t>(Dollars in millions, except per share amounts)</w:t>
            </w:r>
          </w:p>
        </w:tc>
      </w:tr>
      <w:tr>
        <w:trPr>
          <w:trHeight w:val="191"/>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 sales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6,294</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6,588</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19,045</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19,404</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2,918</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2,363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8,177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6,876</w:t>
            </w:r>
          </w:p>
        </w:tc>
      </w:tr>
      <w:tr>
        <w:trPr>
          <w:trHeight w:val="201"/>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9,212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8,951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27,222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26,280</w:t>
            </w:r>
          </w:p>
        </w:tc>
      </w:tr>
      <w:tr>
        <w:trPr>
          <w:trHeight w:val="191"/>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Costs, expenses and other</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Cost of products sold</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4,090</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4,286</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12,291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12,674</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Cost of services sold</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1,580</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1,308</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4,503</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3,904</w:t>
            </w:r>
          </w:p>
        </w:tc>
      </w:tr>
      <w:tr>
        <w:trPr>
          <w:trHeight w:val="201"/>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Cost of products and services sold</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5,670</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5,594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16,794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16,578</w:t>
            </w:r>
          </w:p>
        </w:tc>
      </w:tr>
      <w:tr>
        <w:trPr>
          <w:trHeight w:val="191"/>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Research and development expenses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364</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387</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1,096</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1,123</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1,252</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1,228</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3,831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3,965</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(income) expense</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ind w:left="320"/>
              <w:spacing w:after="0"/>
              <w:rPr>
                <w:sz w:val="20"/>
                <w:szCs w:val="20"/>
                <w:color w:val="auto"/>
              </w:rPr>
            </w:pPr>
            <w:r>
              <w:rPr>
                <w:rFonts w:ascii="Arial" w:cs="Arial" w:eastAsia="Arial" w:hAnsi="Arial"/>
                <w:sz w:val="14"/>
                <w:szCs w:val="14"/>
                <w:color w:val="auto"/>
              </w:rPr>
              <w:t>(247)</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(337)</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(715)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(846)</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Interest and other financial charges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206</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98</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563</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270</w:t>
            </w:r>
          </w:p>
        </w:tc>
      </w:tr>
      <w:tr>
        <w:trPr>
          <w:trHeight w:val="201"/>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costs, expenses and other</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7,245</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6,970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21,569</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21,090</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1,967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1,981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5,653</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5,190</w:t>
            </w:r>
          </w:p>
        </w:tc>
      </w:tr>
      <w:tr>
        <w:trPr>
          <w:trHeight w:val="191"/>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expense</w:t>
            </w: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452</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432</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1,229</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1,244</w:t>
            </w:r>
          </w:p>
        </w:tc>
      </w:tr>
      <w:tr>
        <w:trPr>
          <w:trHeight w:val="201"/>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1,515</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1,549</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4,424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3,946</w:t>
            </w:r>
          </w:p>
        </w:tc>
      </w:tr>
      <w:tr>
        <w:trPr>
          <w:trHeight w:val="191"/>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Net income (loss) attributable to noncontrolling interest</w:t>
            </w: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29</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r>
      <w:tr>
        <w:trPr>
          <w:trHeight w:val="201"/>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attributable to Honeywell</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1,514</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1,552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4,395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3,947</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stock—basic</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2.29</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2.30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6.61</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5.81</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2.27</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2.28</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6.56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5.76</w:t>
            </w: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71"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235"/>
        </w:trPr>
        <w:tc>
          <w:tcPr>
            <w:tcW w:w="7100" w:type="dxa"/>
            <w:vAlign w:val="bottom"/>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78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D7282F"/>
            </w:tcBorders>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6"/>
        </w:trPr>
        <w:tc>
          <w:tcPr>
            <w:tcW w:w="710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1880" w:type="dxa"/>
            <w:vAlign w:val="bottom"/>
            <w:tcBorders>
              <w:bottom w:val="single" w:sz="8" w:color="D7282F"/>
            </w:tcBorders>
            <w:gridSpan w:val="4"/>
          </w:tcPr>
          <w:p>
            <w:pPr>
              <w:jc w:val="right"/>
              <w:ind w:right="348"/>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r>
      <w:tr>
        <w:trPr>
          <w:trHeight w:val="191"/>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1,515</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1,549</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4,424</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3,946</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comprehensive income (loss), net of tax</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r>
      <w:tr>
        <w:trPr>
          <w:trHeight w:val="201"/>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Foreign exchange translation adjustment</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59</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(423)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(399)</w:t>
            </w:r>
          </w:p>
        </w:tc>
      </w:tr>
      <w:tr>
        <w:trPr>
          <w:trHeight w:val="196"/>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Pension and other postretirement benefit adjustments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(14)</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(38)</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w:t>
            </w:r>
          </w:p>
        </w:tc>
      </w:tr>
      <w:tr>
        <w:trPr>
          <w:trHeight w:val="196"/>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Changes in fair value of available for sale investments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w:t>
            </w:r>
          </w:p>
        </w:tc>
      </w:tr>
      <w:tr>
        <w:trPr>
          <w:trHeight w:val="191"/>
        </w:trPr>
        <w:tc>
          <w:tcPr>
            <w:tcW w:w="710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Cash flow hedges recognized in other comprehensive income (loss)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29</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27</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59</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66</w:t>
            </w:r>
          </w:p>
        </w:tc>
      </w:tr>
      <w:tr>
        <w:trPr>
          <w:trHeight w:val="196"/>
        </w:trPr>
        <w:tc>
          <w:tcPr>
            <w:tcW w:w="710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Less: Reclassification adjustment for gains included in net income</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30</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38</w:t>
            </w:r>
          </w:p>
        </w:tc>
      </w:tr>
      <w:tr>
        <w:trPr>
          <w:trHeight w:val="201"/>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Changes in fair value of cash flow hedges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29</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Other comprehensive income (loss), net of tax</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(427)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(422)</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1,572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1,122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4,342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3,524</w:t>
            </w:r>
          </w:p>
        </w:tc>
      </w:tr>
      <w:tr>
        <w:trPr>
          <w:trHeight w:val="191"/>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Comprehensive income (loss) attributable to the noncontrolling interest</w:t>
            </w: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23</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r>
      <w:tr>
        <w:trPr>
          <w:trHeight w:val="201"/>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 attributable to Honeywell</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1,574</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1,139</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4,319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3,546</w:t>
            </w: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85"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48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748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3620" w:type="dxa"/>
            <w:vAlign w:val="bottom"/>
            <w:tcBorders>
              <w:bottom w:val="single" w:sz="8" w:color="D7282F"/>
            </w:tcBorders>
            <w:gridSpan w:val="3"/>
          </w:tcPr>
          <w:p>
            <w:pPr>
              <w:jc w:val="right"/>
              <w:ind w:right="1148"/>
              <w:spacing w:after="0"/>
              <w:rPr>
                <w:sz w:val="20"/>
                <w:szCs w:val="20"/>
                <w:color w:val="auto"/>
              </w:rPr>
            </w:pPr>
            <w:r>
              <w:rPr>
                <w:rFonts w:ascii="Arial" w:cs="Arial" w:eastAsia="Arial" w:hAnsi="Arial"/>
                <w:sz w:val="14"/>
                <w:szCs w:val="14"/>
                <w:b w:val="1"/>
                <w:bCs w:val="1"/>
                <w:color w:val="auto"/>
              </w:rPr>
              <w:t>(Dollars in millions)</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assets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1"/>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7,770</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9,627</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Short-term investments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483</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receivable, less allowances of $342 and $326, respectively</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7,833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7,440</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Inventories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5,538</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current assets</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1,553</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1,894</w:t>
            </w:r>
          </w:p>
        </w:tc>
      </w:tr>
      <w:tr>
        <w:trPr>
          <w:trHeight w:val="201"/>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assets</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23,320</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24,982</w:t>
            </w:r>
          </w:p>
        </w:tc>
      </w:tr>
      <w:tr>
        <w:trPr>
          <w:trHeight w:val="191"/>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Investments and long-term receivables</w:t>
            </w:r>
          </w:p>
        </w:tc>
        <w:tc>
          <w:tcPr>
            <w:tcW w:w="140" w:type="dxa"/>
            <w:vAlign w:val="bottom"/>
            <w:tcBorders>
              <w:bottom w:val="single" w:sz="8" w:color="61656A"/>
            </w:tcBorders>
          </w:tcPr>
          <w:p>
            <w:pPr>
              <w:spacing w:after="0"/>
              <w:rPr>
                <w:sz w:val="16"/>
                <w:szCs w:val="16"/>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895</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945</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Property, plant and equipment—net</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5,486</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5,471</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17,793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17,497</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intangible assets—net</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3,310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3,222</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224</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377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421</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9,915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9,513</w:t>
            </w:r>
          </w:p>
        </w:tc>
      </w:tr>
      <w:tr>
        <w:trPr>
          <w:trHeight w:val="201"/>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61,296</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62,275</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1"/>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payable</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6,428</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6,329</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paper and other short-term borrowings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1,933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2,717</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Current maturities of long-term debt</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1,670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1,730</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Accrued liabilities</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7,196</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9,162</w:t>
            </w:r>
          </w:p>
        </w:tc>
      </w:tr>
      <w:tr>
        <w:trPr>
          <w:trHeight w:val="201"/>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liabilities</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17,227</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19,938</w:t>
            </w:r>
          </w:p>
        </w:tc>
      </w:tr>
      <w:tr>
        <w:trPr>
          <w:trHeight w:val="191"/>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Long-term debt</w:t>
            </w:r>
          </w:p>
        </w:tc>
        <w:tc>
          <w:tcPr>
            <w:tcW w:w="140" w:type="dxa"/>
            <w:vAlign w:val="bottom"/>
            <w:tcBorders>
              <w:bottom w:val="single" w:sz="8" w:color="61656A"/>
            </w:tcBorders>
          </w:tcPr>
          <w:p>
            <w:pPr>
              <w:spacing w:after="0"/>
              <w:rPr>
                <w:sz w:val="16"/>
                <w:szCs w:val="16"/>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16,683</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15,123</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2,225</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2,093</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Postretirement benefit obligations other than pensions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146</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liabilities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1,102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1,180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liabilities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6,146</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6,469</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Redeemable noncontrolling interest</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r>
      <w:tr>
        <w:trPr>
          <w:trHeight w:val="201"/>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SHAREOWNERS’ EQUITY</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1"/>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Capital—common stock issued</w:t>
            </w:r>
          </w:p>
        </w:tc>
        <w:tc>
          <w:tcPr>
            <w:tcW w:w="140" w:type="dxa"/>
            <w:vAlign w:val="bottom"/>
            <w:tcBorders>
              <w:bottom w:val="single" w:sz="8" w:color="61656A"/>
            </w:tcBorders>
          </w:tcPr>
          <w:p>
            <w:pPr>
              <w:spacing w:after="0"/>
              <w:rPr>
                <w:sz w:val="16"/>
                <w:szCs w:val="16"/>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958</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r>
      <w:tr>
        <w:trPr>
          <w:trHeight w:val="196"/>
        </w:trPr>
        <w:tc>
          <w:tcPr>
            <w:tcW w:w="7480" w:type="dxa"/>
            <w:vAlign w:val="bottom"/>
            <w:tcBorders>
              <w:bottom w:val="single" w:sz="8" w:color="61656A"/>
            </w:tcBorders>
          </w:tcPr>
          <w:p>
            <w:pPr>
              <w:ind w:left="460"/>
              <w:spacing w:after="0"/>
              <w:rPr>
                <w:sz w:val="20"/>
                <w:szCs w:val="20"/>
                <w:color w:val="auto"/>
              </w:rPr>
            </w:pPr>
            <w:r>
              <w:rPr>
                <w:rFonts w:ascii="Arial" w:cs="Arial" w:eastAsia="Arial" w:hAnsi="Arial"/>
                <w:sz w:val="14"/>
                <w:szCs w:val="14"/>
                <w:color w:val="auto"/>
              </w:rPr>
              <w:t>—additional paid-in capital</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8,905</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8,564</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Common stock held in treasury, at cost</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(36,507)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(34,443)</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(3,551)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(3,475)</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Retained earnings</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47,426</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45,093</w:t>
            </w:r>
          </w:p>
        </w:tc>
      </w:tr>
      <w:tr>
        <w:trPr>
          <w:trHeight w:val="201"/>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Honeywell shareowners’ equity</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17,231</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16,697</w:t>
            </w:r>
          </w:p>
        </w:tc>
      </w:tr>
      <w:tr>
        <w:trPr>
          <w:trHeight w:val="191"/>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Noncontrolling interest</w:t>
            </w:r>
          </w:p>
        </w:tc>
        <w:tc>
          <w:tcPr>
            <w:tcW w:w="140" w:type="dxa"/>
            <w:vAlign w:val="bottom"/>
            <w:tcBorders>
              <w:bottom w:val="single" w:sz="8" w:color="D7282F"/>
            </w:tcBorders>
          </w:tcPr>
          <w:p>
            <w:pPr>
              <w:spacing w:after="0"/>
              <w:rPr>
                <w:sz w:val="16"/>
                <w:szCs w:val="16"/>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544</w:t>
            </w:r>
          </w:p>
        </w:tc>
        <w:tc>
          <w:tcPr>
            <w:tcW w:w="28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622</w:t>
            </w:r>
          </w:p>
        </w:tc>
      </w:tr>
      <w:tr>
        <w:trPr>
          <w:trHeight w:val="201"/>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shareowners’ equity</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17,775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17,319</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liabilities, redeemable noncontrolling interest and shareowners’ equity</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61,296</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62,275</w:t>
            </w: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85"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32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740" w:type="dxa"/>
            <w:vAlign w:val="bottom"/>
            <w:tcBorders>
              <w:bottom w:val="single" w:sz="8" w:color="D7282F"/>
            </w:tcBorders>
            <w:gridSpan w:val="3"/>
          </w:tcPr>
          <w:p>
            <w:pPr>
              <w:jc w:val="right"/>
              <w:ind w:right="20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32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568"/>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2022</w:t>
            </w:r>
          </w:p>
        </w:tc>
      </w:tr>
      <w:tr>
        <w:trPr>
          <w:trHeight w:val="196"/>
        </w:trPr>
        <w:tc>
          <w:tcPr>
            <w:tcW w:w="83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740" w:type="dxa"/>
            <w:vAlign w:val="bottom"/>
            <w:tcBorders>
              <w:bottom w:val="single" w:sz="8" w:color="D7282F"/>
            </w:tcBorders>
            <w:gridSpan w:val="3"/>
          </w:tcPr>
          <w:p>
            <w:pPr>
              <w:jc w:val="right"/>
              <w:ind w:right="728"/>
              <w:spacing w:after="0"/>
              <w:rPr>
                <w:sz w:val="20"/>
                <w:szCs w:val="20"/>
                <w:color w:val="auto"/>
              </w:rPr>
            </w:pPr>
            <w:r>
              <w:rPr>
                <w:rFonts w:ascii="Arial" w:cs="Arial" w:eastAsia="Arial" w:hAnsi="Arial"/>
                <w:sz w:val="14"/>
                <w:szCs w:val="14"/>
                <w:b w:val="1"/>
                <w:bCs w:val="1"/>
                <w:color w:val="auto"/>
              </w:rPr>
              <w:t>(Dollars in millions)</w:t>
            </w:r>
          </w:p>
        </w:tc>
      </w:tr>
      <w:tr>
        <w:trPr>
          <w:trHeight w:val="196"/>
        </w:trPr>
        <w:tc>
          <w:tcPr>
            <w:tcW w:w="83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spacing w:after="0"/>
              <w:rPr>
                <w:sz w:val="17"/>
                <w:szCs w:val="17"/>
                <w:color w:val="auto"/>
              </w:rPr>
            </w:pPr>
          </w:p>
        </w:tc>
      </w:tr>
      <w:tr>
        <w:trPr>
          <w:trHeight w:val="191"/>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4,424</w:t>
            </w:r>
          </w:p>
        </w:tc>
        <w:tc>
          <w:tcPr>
            <w:tcW w:w="42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3,946</w:t>
            </w:r>
          </w:p>
        </w:tc>
      </w:tr>
      <w:tr>
        <w:trPr>
          <w:trHeight w:val="196"/>
        </w:trPr>
        <w:tc>
          <w:tcPr>
            <w:tcW w:w="8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Net income (loss) attributable to noncontrolling interest</w:t>
            </w:r>
          </w:p>
        </w:tc>
        <w:tc>
          <w:tcPr>
            <w:tcW w:w="18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29</w:t>
            </w:r>
          </w:p>
        </w:tc>
        <w:tc>
          <w:tcPr>
            <w:tcW w:w="42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r>
      <w:tr>
        <w:trPr>
          <w:trHeight w:val="201"/>
        </w:trPr>
        <w:tc>
          <w:tcPr>
            <w:tcW w:w="832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income attributable to Honeywell</w:t>
            </w:r>
          </w:p>
        </w:tc>
        <w:tc>
          <w:tcPr>
            <w:tcW w:w="18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4,395</w:t>
            </w:r>
          </w:p>
        </w:tc>
        <w:tc>
          <w:tcPr>
            <w:tcW w:w="42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3,947</w:t>
            </w:r>
          </w:p>
        </w:tc>
      </w:tr>
      <w:tr>
        <w:trPr>
          <w:trHeight w:val="191"/>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Adjustments to reconcile net income attributable to Honeywell to net cash provided by (used for) operating activities</w:t>
            </w:r>
          </w:p>
        </w:tc>
        <w:tc>
          <w:tcPr>
            <w:tcW w:w="18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spacing w:after="0"/>
              <w:rPr>
                <w:sz w:val="16"/>
                <w:szCs w:val="16"/>
                <w:color w:val="auto"/>
              </w:rPr>
            </w:pP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Depreciation</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493</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494</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Amortization</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382</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411</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Gain on sale of non-strategic businesses and assets</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Repositioning and other charges</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331</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714</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Net payments for repositioning and other charges</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(323)</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(316)</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NARCO Buyout payment</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(1,325)</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income</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(410)</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(778)</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benefit payments</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(25)</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Stock compensation expense</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148</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163</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Deferred income taxes</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168</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208</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(554)</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200</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Changes in assets and liabilities, net of the effects of acquisitions and divestitures</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spacing w:after="0"/>
              <w:rPr>
                <w:sz w:val="17"/>
                <w:szCs w:val="17"/>
                <w:color w:val="auto"/>
              </w:rPr>
            </w:pPr>
          </w:p>
        </w:tc>
      </w:tr>
      <w:tr>
        <w:trPr>
          <w:trHeight w:val="196"/>
        </w:trPr>
        <w:tc>
          <w:tcPr>
            <w:tcW w:w="83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Accounts receivable</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(344)</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(660)</w:t>
            </w:r>
          </w:p>
        </w:tc>
      </w:tr>
      <w:tr>
        <w:trPr>
          <w:trHeight w:val="196"/>
        </w:trPr>
        <w:tc>
          <w:tcPr>
            <w:tcW w:w="83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Inventories</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(448)</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(390)</w:t>
            </w:r>
          </w:p>
        </w:tc>
      </w:tr>
      <w:tr>
        <w:trPr>
          <w:trHeight w:val="196"/>
        </w:trPr>
        <w:tc>
          <w:tcPr>
            <w:tcW w:w="83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Other current assets</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141</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w:t>
            </w:r>
          </w:p>
        </w:tc>
      </w:tr>
      <w:tr>
        <w:trPr>
          <w:trHeight w:val="196"/>
        </w:trPr>
        <w:tc>
          <w:tcPr>
            <w:tcW w:w="83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Accounts payable</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96</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(365)</w:t>
            </w:r>
          </w:p>
        </w:tc>
      </w:tr>
      <w:tr>
        <w:trPr>
          <w:trHeight w:val="196"/>
        </w:trPr>
        <w:tc>
          <w:tcPr>
            <w:tcW w:w="832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Accrued liabilities</w:t>
            </w:r>
          </w:p>
        </w:tc>
        <w:tc>
          <w:tcPr>
            <w:tcW w:w="18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(340)</w:t>
            </w:r>
          </w:p>
        </w:tc>
        <w:tc>
          <w:tcPr>
            <w:tcW w:w="42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(821)</w:t>
            </w:r>
          </w:p>
        </w:tc>
      </w:tr>
      <w:tr>
        <w:trPr>
          <w:trHeight w:val="201"/>
        </w:trPr>
        <w:tc>
          <w:tcPr>
            <w:tcW w:w="832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provided by operating activities</w:t>
            </w:r>
          </w:p>
        </w:tc>
        <w:tc>
          <w:tcPr>
            <w:tcW w:w="18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2,385</w:t>
            </w:r>
          </w:p>
        </w:tc>
        <w:tc>
          <w:tcPr>
            <w:tcW w:w="42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2,908</w:t>
            </w:r>
          </w:p>
        </w:tc>
      </w:tr>
      <w:tr>
        <w:trPr>
          <w:trHeight w:val="196"/>
        </w:trPr>
        <w:tc>
          <w:tcPr>
            <w:tcW w:w="83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spacing w:after="0"/>
              <w:rPr>
                <w:sz w:val="17"/>
                <w:szCs w:val="17"/>
                <w:color w:val="auto"/>
              </w:rPr>
            </w:pPr>
          </w:p>
        </w:tc>
      </w:tr>
      <w:tr>
        <w:trPr>
          <w:trHeight w:val="191"/>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Capital expenditures</w:t>
            </w:r>
          </w:p>
        </w:tc>
        <w:tc>
          <w:tcPr>
            <w:tcW w:w="18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(675)</w:t>
            </w:r>
          </w:p>
        </w:tc>
        <w:tc>
          <w:tcPr>
            <w:tcW w:w="4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(525)</w:t>
            </w:r>
          </w:p>
        </w:tc>
      </w:tr>
      <w:tr>
        <w:trPr>
          <w:trHeight w:val="196"/>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Proceeds from disposals of property, plant and equipment</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Increase in investments</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(404)</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(834)</w:t>
            </w:r>
          </w:p>
        </w:tc>
      </w:tr>
      <w:tr>
        <w:trPr>
          <w:trHeight w:val="196"/>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Decrease in investments</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808</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884</w:t>
            </w:r>
          </w:p>
        </w:tc>
      </w:tr>
      <w:tr>
        <w:trPr>
          <w:trHeight w:val="196"/>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Receipts from Garrett Motion Inc.</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409</w:t>
            </w:r>
          </w:p>
        </w:tc>
      </w:tr>
      <w:tr>
        <w:trPr>
          <w:trHeight w:val="196"/>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Receipts (payments) from settlements of derivative contracts</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212</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773</w:t>
            </w:r>
          </w:p>
        </w:tc>
      </w:tr>
      <w:tr>
        <w:trPr>
          <w:trHeight w:val="196"/>
        </w:trPr>
        <w:tc>
          <w:tcPr>
            <w:tcW w:w="8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Cash paid for acquisitions, net of cash acquired</w:t>
            </w:r>
          </w:p>
        </w:tc>
        <w:tc>
          <w:tcPr>
            <w:tcW w:w="18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(716)</w:t>
            </w:r>
          </w:p>
        </w:tc>
        <w:tc>
          <w:tcPr>
            <w:tcW w:w="42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(178)</w:t>
            </w:r>
          </w:p>
        </w:tc>
      </w:tr>
      <w:tr>
        <w:trPr>
          <w:trHeight w:val="201"/>
        </w:trPr>
        <w:tc>
          <w:tcPr>
            <w:tcW w:w="832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provided by (used for) investing activities</w:t>
            </w:r>
          </w:p>
        </w:tc>
        <w:tc>
          <w:tcPr>
            <w:tcW w:w="18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(754)</w:t>
            </w:r>
          </w:p>
        </w:tc>
        <w:tc>
          <w:tcPr>
            <w:tcW w:w="42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540</w:t>
            </w:r>
          </w:p>
        </w:tc>
      </w:tr>
      <w:tr>
        <w:trPr>
          <w:trHeight w:val="196"/>
        </w:trPr>
        <w:tc>
          <w:tcPr>
            <w:tcW w:w="83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spacing w:after="0"/>
              <w:rPr>
                <w:sz w:val="17"/>
                <w:szCs w:val="17"/>
                <w:color w:val="auto"/>
              </w:rPr>
            </w:pPr>
          </w:p>
        </w:tc>
      </w:tr>
      <w:tr>
        <w:trPr>
          <w:trHeight w:val="191"/>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commercial paper and other short-term borrowings</w:t>
            </w:r>
          </w:p>
        </w:tc>
        <w:tc>
          <w:tcPr>
            <w:tcW w:w="18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10,727</w:t>
            </w:r>
          </w:p>
        </w:tc>
        <w:tc>
          <w:tcPr>
            <w:tcW w:w="4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5,310</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Payments of commercial paper and other short-term borrowings</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(11,484)</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(5,324)</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common stock</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151</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121</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long-term debt</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2,985</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Payments of long-term debt</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(1,410)</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(1,818)</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Repurchases of common stock</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(2,187)</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(2,827)</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Cash dividends paid</w:t>
            </w:r>
          </w:p>
        </w:tc>
        <w:tc>
          <w:tcPr>
            <w:tcW w:w="1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(2,144)</w:t>
            </w:r>
          </w:p>
        </w:tc>
        <w:tc>
          <w:tcPr>
            <w:tcW w:w="4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(2,028)</w:t>
            </w:r>
          </w:p>
        </w:tc>
      </w:tr>
      <w:tr>
        <w:trPr>
          <w:trHeight w:val="196"/>
        </w:trPr>
        <w:tc>
          <w:tcPr>
            <w:tcW w:w="832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(65)</w:t>
            </w:r>
          </w:p>
        </w:tc>
        <w:tc>
          <w:tcPr>
            <w:tcW w:w="42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(45)</w:t>
            </w:r>
          </w:p>
        </w:tc>
      </w:tr>
      <w:tr>
        <w:trPr>
          <w:trHeight w:val="201"/>
        </w:trPr>
        <w:tc>
          <w:tcPr>
            <w:tcW w:w="832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used for financing activities</w:t>
            </w:r>
          </w:p>
        </w:tc>
        <w:tc>
          <w:tcPr>
            <w:tcW w:w="18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(3,427)</w:t>
            </w:r>
          </w:p>
        </w:tc>
        <w:tc>
          <w:tcPr>
            <w:tcW w:w="42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(6,609)</w:t>
            </w:r>
          </w:p>
        </w:tc>
      </w:tr>
      <w:tr>
        <w:trPr>
          <w:trHeight w:val="191"/>
        </w:trPr>
        <w:tc>
          <w:tcPr>
            <w:tcW w:w="8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18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(61)</w:t>
            </w:r>
          </w:p>
        </w:tc>
        <w:tc>
          <w:tcPr>
            <w:tcW w:w="42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(349)</w:t>
            </w:r>
          </w:p>
        </w:tc>
      </w:tr>
      <w:tr>
        <w:trPr>
          <w:trHeight w:val="201"/>
        </w:trPr>
        <w:tc>
          <w:tcPr>
            <w:tcW w:w="83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decrease in cash and cash equivalents</w:t>
            </w:r>
          </w:p>
        </w:tc>
        <w:tc>
          <w:tcPr>
            <w:tcW w:w="18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(1,857)</w:t>
            </w:r>
          </w:p>
        </w:tc>
        <w:tc>
          <w:tcPr>
            <w:tcW w:w="42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(3,510)</w:t>
            </w:r>
          </w:p>
        </w:tc>
      </w:tr>
      <w:tr>
        <w:trPr>
          <w:trHeight w:val="196"/>
        </w:trPr>
        <w:tc>
          <w:tcPr>
            <w:tcW w:w="83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18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9,627</w:t>
            </w:r>
          </w:p>
        </w:tc>
        <w:tc>
          <w:tcPr>
            <w:tcW w:w="42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10,959</w:t>
            </w:r>
          </w:p>
        </w:tc>
      </w:tr>
      <w:tr>
        <w:trPr>
          <w:trHeight w:val="196"/>
        </w:trPr>
        <w:tc>
          <w:tcPr>
            <w:tcW w:w="83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18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7,770</w:t>
            </w:r>
          </w:p>
        </w:tc>
        <w:tc>
          <w:tcPr>
            <w:tcW w:w="4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7,449</w:t>
            </w: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85"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SHAREOWNERS'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00" w:type="dxa"/>
            <w:vAlign w:val="bottom"/>
          </w:tcPr>
          <w:p>
            <w:pPr>
              <w:spacing w:after="0"/>
              <w:rPr>
                <w:sz w:val="17"/>
                <w:szCs w:val="17"/>
                <w:color w:val="auto"/>
              </w:rPr>
            </w:pPr>
          </w:p>
        </w:tc>
        <w:tc>
          <w:tcPr>
            <w:tcW w:w="314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3140" w:type="dxa"/>
            <w:vAlign w:val="bottom"/>
            <w:tcBorders>
              <w:bottom w:val="single" w:sz="8" w:color="D7282F"/>
            </w:tcBorders>
            <w:gridSpan w:val="3"/>
          </w:tcPr>
          <w:p>
            <w:pPr>
              <w:jc w:val="right"/>
              <w:ind w:right="8"/>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1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D7282F"/>
            </w:tcBorders>
          </w:tcPr>
          <w:p>
            <w:pPr>
              <w:spacing w:after="0"/>
              <w:rPr>
                <w:sz w:val="20"/>
                <w:szCs w:val="20"/>
                <w:color w:val="auto"/>
              </w:rPr>
            </w:pPr>
          </w:p>
        </w:tc>
        <w:tc>
          <w:tcPr>
            <w:tcW w:w="12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D7282F"/>
            </w:tcBorders>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D7282F"/>
            </w:tcBorders>
          </w:tcPr>
          <w:p>
            <w:pPr>
              <w:spacing w:after="0"/>
              <w:rPr>
                <w:sz w:val="20"/>
                <w:szCs w:val="20"/>
                <w:color w:val="auto"/>
              </w:rPr>
            </w:pP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p>
        </w:tc>
        <w:tc>
          <w:tcPr>
            <w:tcW w:w="112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Shares</w:t>
            </w:r>
          </w:p>
        </w:tc>
        <w:tc>
          <w:tcPr>
            <w:tcW w:w="60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spacing w:after="0"/>
              <w:rPr>
                <w:sz w:val="20"/>
                <w:szCs w:val="20"/>
                <w:color w:val="auto"/>
              </w:rPr>
            </w:pPr>
          </w:p>
        </w:tc>
        <w:tc>
          <w:tcPr>
            <w:tcW w:w="11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4000" w:type="dxa"/>
            <w:vAlign w:val="bottom"/>
            <w:tcBorders>
              <w:bottom w:val="single" w:sz="8" w:color="D7282F"/>
            </w:tcBorders>
            <w:gridSpan w:val="5"/>
          </w:tcPr>
          <w:p>
            <w:pPr>
              <w:jc w:val="right"/>
              <w:ind w:right="648"/>
              <w:spacing w:after="0"/>
              <w:rPr>
                <w:sz w:val="20"/>
                <w:szCs w:val="20"/>
                <w:color w:val="auto"/>
              </w:rPr>
            </w:pPr>
            <w:r>
              <w:rPr>
                <w:rFonts w:ascii="Arial" w:cs="Arial" w:eastAsia="Arial" w:hAnsi="Arial"/>
                <w:sz w:val="14"/>
                <w:szCs w:val="14"/>
                <w:b w:val="1"/>
                <w:bCs w:val="1"/>
                <w:color w:val="auto"/>
              </w:rPr>
              <w:t>(In millions, except per share amounts)</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Common stock, par value</w:t>
            </w:r>
          </w:p>
        </w:tc>
        <w:tc>
          <w:tcPr>
            <w:tcW w:w="112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958</w:t>
            </w:r>
          </w:p>
        </w:tc>
        <w:tc>
          <w:tcPr>
            <w:tcW w:w="122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957.6</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958</w:t>
            </w:r>
          </w:p>
        </w:tc>
        <w:tc>
          <w:tcPr>
            <w:tcW w:w="120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8,866</w:t>
            </w:r>
          </w:p>
        </w:tc>
        <w:tc>
          <w:tcPr>
            <w:tcW w:w="122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8,397</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8,564</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8,141</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193</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39</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51</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148</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01"/>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8,905</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8,460</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8,905</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8,460</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Treasury stock</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(293.6)</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(35,510)</w:t>
            </w:r>
          </w:p>
        </w:tc>
        <w:tc>
          <w:tcPr>
            <w:tcW w:w="1220" w:type="dxa"/>
            <w:vAlign w:val="bottom"/>
            <w:tcBorders>
              <w:bottom w:val="single" w:sz="8" w:color="61656A"/>
            </w:tcBorders>
          </w:tcPr>
          <w:p>
            <w:pPr>
              <w:jc w:val="right"/>
              <w:ind w:right="348"/>
              <w:spacing w:after="0"/>
              <w:rPr>
                <w:sz w:val="20"/>
                <w:szCs w:val="20"/>
                <w:color w:val="auto"/>
              </w:rPr>
            </w:pPr>
            <w:r>
              <w:rPr>
                <w:rFonts w:ascii="Arial" w:cs="Arial" w:eastAsia="Arial" w:hAnsi="Arial"/>
                <w:sz w:val="14"/>
                <w:szCs w:val="14"/>
                <w:color w:val="auto"/>
              </w:rPr>
              <w:t>(283.9)</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(32,814)</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(290.0)</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(34,443)</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(272.8)</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(30,462)</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Reacquired stock or repurchases of common stock</w:t>
            </w:r>
          </w:p>
        </w:tc>
        <w:tc>
          <w:tcPr>
            <w:tcW w:w="112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(5.3)</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(1,011)</w:t>
            </w:r>
          </w:p>
        </w:tc>
        <w:tc>
          <w:tcPr>
            <w:tcW w:w="1220" w:type="dxa"/>
            <w:vAlign w:val="bottom"/>
            <w:tcBorders>
              <w:bottom w:val="single" w:sz="8" w:color="61656A"/>
            </w:tcBorders>
          </w:tcPr>
          <w:p>
            <w:pPr>
              <w:jc w:val="right"/>
              <w:ind w:right="348"/>
              <w:spacing w:after="0"/>
              <w:rPr>
                <w:sz w:val="20"/>
                <w:szCs w:val="20"/>
                <w:color w:val="auto"/>
              </w:rPr>
            </w:pPr>
            <w:r>
              <w:rPr>
                <w:rFonts w:ascii="Arial" w:cs="Arial" w:eastAsia="Arial" w:hAnsi="Arial"/>
                <w:sz w:val="14"/>
                <w:szCs w:val="14"/>
                <w:color w:val="auto"/>
              </w:rPr>
              <w:t>(2.1)</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(390)</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(11.3)</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(2,187)</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(15.1)</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(2,827)</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2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0.6</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14</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0.7</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3.0</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123</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2.6</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01"/>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(298.3)</w:t>
            </w: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(36,507)</w:t>
            </w:r>
          </w:p>
        </w:tc>
        <w:tc>
          <w:tcPr>
            <w:tcW w:w="122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(285.3)</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(33,182)</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(298.3)</w:t>
            </w: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(36,507)</w:t>
            </w:r>
          </w:p>
        </w:tc>
        <w:tc>
          <w:tcPr>
            <w:tcW w:w="120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(285.3)</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(33,182)</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Retained earnings</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46,596</w:t>
            </w:r>
          </w:p>
        </w:tc>
        <w:tc>
          <w:tcPr>
            <w:tcW w:w="122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43,883</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45,093</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42,827</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1,514</w:t>
            </w: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1,552</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4,395</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3,947</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Dividends on common stock</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(684)</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(668)</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(2,062)</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01"/>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47,426</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44,767</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47,426</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44,767</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(3,611)</w:t>
            </w:r>
          </w:p>
        </w:tc>
        <w:tc>
          <w:tcPr>
            <w:tcW w:w="122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(2,883)</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(3,475)</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(2,895)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62</w:t>
            </w: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(409)</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(70)</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56"/>
        </w:trPr>
        <w:tc>
          <w:tcPr>
            <w:tcW w:w="3500" w:type="dxa"/>
            <w:vAlign w:val="bottom"/>
          </w:tcPr>
          <w:p>
            <w:pPr>
              <w:ind w:left="140"/>
              <w:spacing w:after="0" w:line="156" w:lineRule="exact"/>
              <w:rPr>
                <w:sz w:val="20"/>
                <w:szCs w:val="20"/>
                <w:color w:val="auto"/>
              </w:rPr>
            </w:pPr>
            <w:r>
              <w:rPr>
                <w:rFonts w:ascii="Arial" w:cs="Arial" w:eastAsia="Arial" w:hAnsi="Arial"/>
                <w:sz w:val="14"/>
                <w:szCs w:val="14"/>
                <w:color w:val="auto"/>
              </w:rPr>
              <w:t>Pension and other postretirement benefit</w:t>
            </w:r>
          </w:p>
        </w:tc>
        <w:tc>
          <w:tcPr>
            <w:tcW w:w="1120" w:type="dxa"/>
            <w:vAlign w:val="bottom"/>
          </w:tcPr>
          <w:p>
            <w:pPr>
              <w:spacing w:after="0"/>
              <w:rPr>
                <w:sz w:val="13"/>
                <w:szCs w:val="13"/>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(14)</w:t>
            </w:r>
          </w:p>
        </w:tc>
        <w:tc>
          <w:tcPr>
            <w:tcW w:w="1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(38)</w:t>
            </w:r>
          </w:p>
        </w:tc>
        <w:tc>
          <w:tcPr>
            <w:tcW w:w="1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1"/>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adjustments</w:t>
            </w:r>
          </w:p>
        </w:tc>
        <w:tc>
          <w:tcPr>
            <w:tcW w:w="1120" w:type="dxa"/>
            <w:vAlign w:val="bottom"/>
            <w:tcBorders>
              <w:bottom w:val="single" w:sz="8" w:color="61656A"/>
            </w:tcBorders>
          </w:tcPr>
          <w:p>
            <w:pPr>
              <w:spacing w:after="0"/>
              <w:rPr>
                <w:sz w:val="15"/>
                <w:szCs w:val="15"/>
                <w:color w:val="auto"/>
              </w:rPr>
            </w:pPr>
          </w:p>
        </w:tc>
        <w:tc>
          <w:tcPr>
            <w:tcW w:w="800" w:type="dxa"/>
            <w:vAlign w:val="bottom"/>
            <w:tcBorders>
              <w:bottom w:val="single" w:sz="8" w:color="61656A"/>
            </w:tcBorders>
            <w:vMerge w:val="continue"/>
          </w:tcPr>
          <w:p>
            <w:pPr>
              <w:spacing w:after="0"/>
              <w:rPr>
                <w:sz w:val="15"/>
                <w:szCs w:val="15"/>
                <w:color w:val="auto"/>
              </w:rPr>
            </w:pPr>
          </w:p>
        </w:tc>
        <w:tc>
          <w:tcPr>
            <w:tcW w:w="1220" w:type="dxa"/>
            <w:vAlign w:val="bottom"/>
            <w:tcBorders>
              <w:bottom w:val="single" w:sz="8" w:color="61656A"/>
            </w:tcBorders>
          </w:tcPr>
          <w:p>
            <w:pPr>
              <w:spacing w:after="0"/>
              <w:rPr>
                <w:sz w:val="15"/>
                <w:szCs w:val="15"/>
                <w:color w:val="auto"/>
              </w:rPr>
            </w:pPr>
          </w:p>
        </w:tc>
        <w:tc>
          <w:tcPr>
            <w:tcW w:w="600" w:type="dxa"/>
            <w:vAlign w:val="bottom"/>
            <w:tcBorders>
              <w:bottom w:val="single" w:sz="8" w:color="61656A"/>
            </w:tcBorders>
            <w:vMerge w:val="continue"/>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1140" w:type="dxa"/>
            <w:vAlign w:val="bottom"/>
            <w:tcBorders>
              <w:bottom w:val="single" w:sz="8" w:color="61656A"/>
            </w:tcBorders>
          </w:tcPr>
          <w:p>
            <w:pPr>
              <w:spacing w:after="0"/>
              <w:rPr>
                <w:sz w:val="15"/>
                <w:szCs w:val="15"/>
                <w:color w:val="auto"/>
              </w:rPr>
            </w:pPr>
          </w:p>
        </w:tc>
        <w:tc>
          <w:tcPr>
            <w:tcW w:w="800" w:type="dxa"/>
            <w:vAlign w:val="bottom"/>
            <w:tcBorders>
              <w:bottom w:val="single" w:sz="8" w:color="61656A"/>
            </w:tcBorders>
            <w:vMerge w:val="continue"/>
          </w:tcPr>
          <w:p>
            <w:pPr>
              <w:spacing w:after="0"/>
              <w:rPr>
                <w:sz w:val="15"/>
                <w:szCs w:val="15"/>
                <w:color w:val="auto"/>
              </w:rPr>
            </w:pPr>
          </w:p>
        </w:tc>
        <w:tc>
          <w:tcPr>
            <w:tcW w:w="1200" w:type="dxa"/>
            <w:vAlign w:val="bottom"/>
            <w:tcBorders>
              <w:bottom w:val="single" w:sz="8" w:color="61656A"/>
            </w:tcBorders>
          </w:tcPr>
          <w:p>
            <w:pPr>
              <w:spacing w:after="0"/>
              <w:rPr>
                <w:sz w:val="15"/>
                <w:szCs w:val="15"/>
                <w:color w:val="auto"/>
              </w:rPr>
            </w:pPr>
          </w:p>
        </w:tc>
        <w:tc>
          <w:tcPr>
            <w:tcW w:w="620" w:type="dxa"/>
            <w:vAlign w:val="bottom"/>
            <w:tcBorders>
              <w:bottom w:val="single" w:sz="8" w:color="61656A"/>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3500" w:type="dxa"/>
            <w:vAlign w:val="bottom"/>
          </w:tcPr>
          <w:p>
            <w:pPr>
              <w:ind w:left="140"/>
              <w:spacing w:after="0" w:line="151" w:lineRule="exact"/>
              <w:rPr>
                <w:sz w:val="20"/>
                <w:szCs w:val="20"/>
                <w:color w:val="auto"/>
              </w:rPr>
            </w:pPr>
            <w:r>
              <w:rPr>
                <w:rFonts w:ascii="Arial" w:cs="Arial" w:eastAsia="Arial" w:hAnsi="Arial"/>
                <w:sz w:val="14"/>
                <w:szCs w:val="14"/>
                <w:color w:val="auto"/>
              </w:rPr>
              <w:t>Changes in fair value of available for sale</w:t>
            </w:r>
          </w:p>
        </w:tc>
        <w:tc>
          <w:tcPr>
            <w:tcW w:w="1120" w:type="dxa"/>
            <w:vAlign w:val="bottom"/>
          </w:tcPr>
          <w:p>
            <w:pPr>
              <w:spacing w:after="0"/>
              <w:rPr>
                <w:sz w:val="13"/>
                <w:szCs w:val="13"/>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3</w:t>
            </w:r>
          </w:p>
        </w:tc>
        <w:tc>
          <w:tcPr>
            <w:tcW w:w="1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1"/>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w:t>
            </w:r>
          </w:p>
        </w:tc>
        <w:tc>
          <w:tcPr>
            <w:tcW w:w="1120" w:type="dxa"/>
            <w:vAlign w:val="bottom"/>
            <w:tcBorders>
              <w:bottom w:val="single" w:sz="8" w:color="61656A"/>
            </w:tcBorders>
          </w:tcPr>
          <w:p>
            <w:pPr>
              <w:spacing w:after="0"/>
              <w:rPr>
                <w:sz w:val="15"/>
                <w:szCs w:val="15"/>
                <w:color w:val="auto"/>
              </w:rPr>
            </w:pPr>
          </w:p>
        </w:tc>
        <w:tc>
          <w:tcPr>
            <w:tcW w:w="800" w:type="dxa"/>
            <w:vAlign w:val="bottom"/>
            <w:tcBorders>
              <w:bottom w:val="single" w:sz="8" w:color="61656A"/>
            </w:tcBorders>
            <w:vMerge w:val="continue"/>
          </w:tcPr>
          <w:p>
            <w:pPr>
              <w:spacing w:after="0"/>
              <w:rPr>
                <w:sz w:val="15"/>
                <w:szCs w:val="15"/>
                <w:color w:val="auto"/>
              </w:rPr>
            </w:pPr>
          </w:p>
        </w:tc>
        <w:tc>
          <w:tcPr>
            <w:tcW w:w="1220" w:type="dxa"/>
            <w:vAlign w:val="bottom"/>
            <w:tcBorders>
              <w:bottom w:val="single" w:sz="8" w:color="61656A"/>
            </w:tcBorders>
          </w:tcPr>
          <w:p>
            <w:pPr>
              <w:spacing w:after="0"/>
              <w:rPr>
                <w:sz w:val="15"/>
                <w:szCs w:val="15"/>
                <w:color w:val="auto"/>
              </w:rPr>
            </w:pPr>
          </w:p>
        </w:tc>
        <w:tc>
          <w:tcPr>
            <w:tcW w:w="600" w:type="dxa"/>
            <w:vAlign w:val="bottom"/>
            <w:tcBorders>
              <w:bottom w:val="single" w:sz="8" w:color="61656A"/>
            </w:tcBorders>
            <w:vMerge w:val="continue"/>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1140" w:type="dxa"/>
            <w:vAlign w:val="bottom"/>
            <w:tcBorders>
              <w:bottom w:val="single" w:sz="8" w:color="61656A"/>
            </w:tcBorders>
          </w:tcPr>
          <w:p>
            <w:pPr>
              <w:spacing w:after="0"/>
              <w:rPr>
                <w:sz w:val="15"/>
                <w:szCs w:val="15"/>
                <w:color w:val="auto"/>
              </w:rPr>
            </w:pPr>
          </w:p>
        </w:tc>
        <w:tc>
          <w:tcPr>
            <w:tcW w:w="800" w:type="dxa"/>
            <w:vAlign w:val="bottom"/>
            <w:tcBorders>
              <w:bottom w:val="single" w:sz="8" w:color="61656A"/>
            </w:tcBorders>
            <w:vMerge w:val="continue"/>
          </w:tcPr>
          <w:p>
            <w:pPr>
              <w:spacing w:after="0"/>
              <w:rPr>
                <w:sz w:val="15"/>
                <w:szCs w:val="15"/>
                <w:color w:val="auto"/>
              </w:rPr>
            </w:pPr>
          </w:p>
        </w:tc>
        <w:tc>
          <w:tcPr>
            <w:tcW w:w="1200" w:type="dxa"/>
            <w:vAlign w:val="bottom"/>
            <w:tcBorders>
              <w:bottom w:val="single" w:sz="8" w:color="61656A"/>
            </w:tcBorders>
          </w:tcPr>
          <w:p>
            <w:pPr>
              <w:spacing w:after="0"/>
              <w:rPr>
                <w:sz w:val="15"/>
                <w:szCs w:val="15"/>
                <w:color w:val="auto"/>
              </w:rPr>
            </w:pPr>
          </w:p>
        </w:tc>
        <w:tc>
          <w:tcPr>
            <w:tcW w:w="620" w:type="dxa"/>
            <w:vAlign w:val="bottom"/>
            <w:tcBorders>
              <w:bottom w:val="single" w:sz="8" w:color="61656A"/>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Changes in fair value of cash flow hedges</w:t>
            </w:r>
          </w:p>
        </w:tc>
        <w:tc>
          <w:tcPr>
            <w:tcW w:w="112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12</w:t>
            </w:r>
          </w:p>
        </w:tc>
        <w:tc>
          <w:tcPr>
            <w:tcW w:w="122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29</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1"/>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(3,551)</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(3,296)</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(3,551)</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(3,296)</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Noncontrolling interest</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595</w:t>
            </w:r>
          </w:p>
        </w:tc>
        <w:tc>
          <w:tcPr>
            <w:tcW w:w="122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649</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622</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156"/>
        </w:trPr>
        <w:tc>
          <w:tcPr>
            <w:tcW w:w="3500" w:type="dxa"/>
            <w:vAlign w:val="bottom"/>
          </w:tcPr>
          <w:p>
            <w:pPr>
              <w:ind w:left="140"/>
              <w:spacing w:after="0" w:line="156" w:lineRule="exact"/>
              <w:rPr>
                <w:sz w:val="20"/>
                <w:szCs w:val="20"/>
                <w:color w:val="auto"/>
              </w:rPr>
            </w:pPr>
            <w:r>
              <w:rPr>
                <w:rFonts w:ascii="Arial" w:cs="Arial" w:eastAsia="Arial" w:hAnsi="Arial"/>
                <w:sz w:val="14"/>
                <w:szCs w:val="14"/>
                <w:color w:val="auto"/>
              </w:rPr>
              <w:t>Net income (loss) attributable to noncontrolling</w:t>
            </w:r>
          </w:p>
        </w:tc>
        <w:tc>
          <w:tcPr>
            <w:tcW w:w="1120" w:type="dxa"/>
            <w:vAlign w:val="bottom"/>
          </w:tcPr>
          <w:p>
            <w:pPr>
              <w:spacing w:after="0"/>
              <w:rPr>
                <w:sz w:val="13"/>
                <w:szCs w:val="13"/>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1</w:t>
            </w:r>
          </w:p>
        </w:tc>
        <w:tc>
          <w:tcPr>
            <w:tcW w:w="1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29</w:t>
            </w:r>
          </w:p>
        </w:tc>
        <w:tc>
          <w:tcPr>
            <w:tcW w:w="1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w:t>
            </w:r>
          </w:p>
        </w:tc>
        <w:tc>
          <w:tcPr>
            <w:tcW w:w="1120" w:type="dxa"/>
            <w:vAlign w:val="bottom"/>
            <w:tcBorders>
              <w:bottom w:val="single" w:sz="8" w:color="61656A"/>
            </w:tcBorders>
          </w:tcPr>
          <w:p>
            <w:pPr>
              <w:spacing w:after="0"/>
              <w:rPr>
                <w:sz w:val="15"/>
                <w:szCs w:val="15"/>
                <w:color w:val="auto"/>
              </w:rPr>
            </w:pPr>
          </w:p>
        </w:tc>
        <w:tc>
          <w:tcPr>
            <w:tcW w:w="800" w:type="dxa"/>
            <w:vAlign w:val="bottom"/>
            <w:tcBorders>
              <w:bottom w:val="single" w:sz="8" w:color="61656A"/>
            </w:tcBorders>
            <w:vMerge w:val="continue"/>
          </w:tcPr>
          <w:p>
            <w:pPr>
              <w:spacing w:after="0"/>
              <w:rPr>
                <w:sz w:val="15"/>
                <w:szCs w:val="15"/>
                <w:color w:val="auto"/>
              </w:rPr>
            </w:pPr>
          </w:p>
        </w:tc>
        <w:tc>
          <w:tcPr>
            <w:tcW w:w="1220" w:type="dxa"/>
            <w:vAlign w:val="bottom"/>
            <w:tcBorders>
              <w:bottom w:val="single" w:sz="8" w:color="61656A"/>
            </w:tcBorders>
          </w:tcPr>
          <w:p>
            <w:pPr>
              <w:spacing w:after="0"/>
              <w:rPr>
                <w:sz w:val="15"/>
                <w:szCs w:val="15"/>
                <w:color w:val="auto"/>
              </w:rPr>
            </w:pPr>
          </w:p>
        </w:tc>
        <w:tc>
          <w:tcPr>
            <w:tcW w:w="600" w:type="dxa"/>
            <w:vAlign w:val="bottom"/>
            <w:tcBorders>
              <w:bottom w:val="single" w:sz="8" w:color="61656A"/>
            </w:tcBorders>
            <w:vMerge w:val="continue"/>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1140" w:type="dxa"/>
            <w:vAlign w:val="bottom"/>
            <w:tcBorders>
              <w:bottom w:val="single" w:sz="8" w:color="61656A"/>
            </w:tcBorders>
          </w:tcPr>
          <w:p>
            <w:pPr>
              <w:spacing w:after="0"/>
              <w:rPr>
                <w:sz w:val="15"/>
                <w:szCs w:val="15"/>
                <w:color w:val="auto"/>
              </w:rPr>
            </w:pPr>
          </w:p>
        </w:tc>
        <w:tc>
          <w:tcPr>
            <w:tcW w:w="800" w:type="dxa"/>
            <w:vAlign w:val="bottom"/>
            <w:tcBorders>
              <w:bottom w:val="single" w:sz="8" w:color="61656A"/>
            </w:tcBorders>
            <w:vMerge w:val="continue"/>
          </w:tcPr>
          <w:p>
            <w:pPr>
              <w:spacing w:after="0"/>
              <w:rPr>
                <w:sz w:val="15"/>
                <w:szCs w:val="15"/>
                <w:color w:val="auto"/>
              </w:rPr>
            </w:pPr>
          </w:p>
        </w:tc>
        <w:tc>
          <w:tcPr>
            <w:tcW w:w="1200" w:type="dxa"/>
            <w:vAlign w:val="bottom"/>
            <w:tcBorders>
              <w:bottom w:val="single" w:sz="8" w:color="61656A"/>
            </w:tcBorders>
          </w:tcPr>
          <w:p>
            <w:pPr>
              <w:spacing w:after="0"/>
              <w:rPr>
                <w:sz w:val="15"/>
                <w:szCs w:val="15"/>
                <w:color w:val="auto"/>
              </w:rPr>
            </w:pPr>
          </w:p>
        </w:tc>
        <w:tc>
          <w:tcPr>
            <w:tcW w:w="620" w:type="dxa"/>
            <w:vAlign w:val="bottom"/>
            <w:tcBorders>
              <w:bottom w:val="single" w:sz="8" w:color="61656A"/>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w:t>
            </w:r>
          </w:p>
        </w:tc>
        <w:tc>
          <w:tcPr>
            <w:tcW w:w="122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(6)</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Dividends paid</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(49)</w:t>
            </w: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(101)</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Contributions from noncontrolling interest holders</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1"/>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544</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623</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544</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623</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shareowners' equity</w:t>
            </w:r>
          </w:p>
        </w:tc>
        <w:tc>
          <w:tcPr>
            <w:tcW w:w="112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659.3</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17,775</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672.3</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18,330</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659.3</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17,775</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672.3</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18,330</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dividends per share of common stock</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1.03</w:t>
            </w: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0.98</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3.09</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2.94</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85"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D7282F"/>
        </w:rPr>
        <w:t>NOTE 1. BASIS OF PRESENTATION</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the opinion of management, the accompanying unaudited Consolidated Financial Statements reflect all adjustments necessary to present fairly the financial position, results of operations, cash flows, and shareowners' equity of Honeywell International Inc. and its consolidated subsidiaries (Honeywell or the Company) for the periods presented. The interim results of operations and cash flows should not necessarily be taken as indicative of the entire year.</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Honeywell reports its quarterly financial information using a calendar convention; the first, second, and third quarters are consistently reported as ending on March 31, June 30, and September 30, respectively. It is Honeywell's practice to establish actual quarterly closing dates using a predetermined fiscal calendar, which requires Honeywell's businesses to close their books on a Saturday in order to minimize the potentially disruptive effects of quarterly closing on the Company's business processes. The effects of this practice are generally not significant to reported results for any quarter and only exist within a reporting year. In the event differences in actual closing dates are material to year-over-year comparisons of quarterly or year-to-date results, Honeywell will provide appropriate disclosures. Honeywell's actual closing dates for the three and nine months ended September 30, 2023, and 2022, were September 30, 2023, and October 1, 2022,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color w:val="D7282F"/>
        </w:rPr>
        <w:t>NOTE 2. SUMMARY OF SIGNIFICANT ACCOUNTING POLICIES</w:t>
      </w:r>
    </w:p>
    <w:p>
      <w:pPr>
        <w:spacing w:after="0" w:line="248"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The accounting policies of the Company are set forth in Note 1 Summary of Significant Accounting Policies of Notes to Consolidated Financial Statements in the Company’s 2022 Annual Report on Form 10-K. The Company includes herein certain updates to those policies.</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RECLASSIFICATIONS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212529"/>
        </w:rPr>
        <w:t>Certain prior year amounts are reclassified to conform to the current year presentation.</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12529"/>
        </w:rPr>
        <w:t>Historically, the Company included Company-sponsored costs and costs that relate to contracts with customers for research and development projects as a component of Cost of products and services sold on the Consolidated Statement of Operations. Effective January 1, 2023, the Company began classifying Company-sponsored costs for research and development projects as a separate financial statement line item, titled Research and development expenses, on the Consolidated Statement of Operations and recast prior period results for this reclassification. This reclassification had no impact on the Company's net income, earnings per share, cash flows, segment reporting, or financial position. The Company revised historical periods to reflect this change in presentation.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SUPPLY CHAIN FINANCING</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maintains agreements with third-party financial institutions that offer voluntary supply chain financing (SCF) programs to suppliers. The SCF programs enable suppliers, at their sole discretion, to sell their receivables to third-party financial institutions in order to receive payment on receivables earlier than the negotiated commercial terms between suppliers and the Company. Supplier sale of receivables to third-party financial institutions is on terms negotiated between the supplier and the respective third-party financial institution. The Company agrees on commercial terms for the goods and services procured from suppliers, including prices, quantities, and payment terms, which normally range between 60 and 120 days, regardless of whether the supplier elects to participate in the SCF programs. A suppliers’ voluntary participation in the SCF programs has no bearing on the Company's payment terms and the Company has no economic interest in a supplier’s decision to participate in the SCF programs. The Company agrees to pay participating third-party financial institutions the stated amount of confirmed invoices from suppliers on the original maturity dates of the invoices.</w:t>
      </w:r>
    </w:p>
    <w:p>
      <w:pPr>
        <w:spacing w:after="0" w:line="7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Amounts outstanding related to SCF programs are included in Accounts payable in the Consolidated Balance Sheet. Accounts payable included approximately $1,076 million and $992 million as of September 30, 2023, and December 31, 2022, respectively. The impact of these programs is not material to the Company's overall liquidity.</w:t>
      </w:r>
    </w:p>
    <w:p>
      <w:pPr>
        <w:spacing w:after="0" w:line="200" w:lineRule="exact"/>
        <w:rPr>
          <w:sz w:val="20"/>
          <w:szCs w:val="20"/>
          <w:color w:val="auto"/>
        </w:rPr>
      </w:pPr>
    </w:p>
    <w:p>
      <w:pPr>
        <w:spacing w:after="0" w:line="212"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RECENT ACCOUNTING PRONOUNCEMENTS</w:t>
      </w:r>
    </w:p>
    <w:p>
      <w:pPr>
        <w:spacing w:after="0" w:line="13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September 2022, the FASB issued ASU 2022-04, </w:t>
      </w:r>
      <w:r>
        <w:rPr>
          <w:rFonts w:ascii="Arial" w:cs="Arial" w:eastAsia="Arial" w:hAnsi="Arial"/>
          <w:sz w:val="16"/>
          <w:szCs w:val="16"/>
          <w:i w:val="1"/>
          <w:iCs w:val="1"/>
          <w:color w:val="auto"/>
        </w:rPr>
        <w:t>Liabilities—Supplier Finance Programs (Topic 405): Disclosure of Supplier Finance Program</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Obligations</w:t>
      </w:r>
      <w:r>
        <w:rPr>
          <w:rFonts w:ascii="Arial" w:cs="Arial" w:eastAsia="Arial" w:hAnsi="Arial"/>
          <w:sz w:val="16"/>
          <w:szCs w:val="16"/>
          <w:color w:val="auto"/>
        </w:rPr>
        <w:t>, to enhance the transparency of supplier finance programs. The new standard requires annual disclosure of the key terms of the program, a</w:t>
      </w:r>
      <w:r>
        <w:rPr>
          <w:rFonts w:ascii="Arial" w:cs="Arial" w:eastAsia="Arial" w:hAnsi="Arial"/>
          <w:sz w:val="16"/>
          <w:szCs w:val="16"/>
          <w:i w:val="1"/>
          <w:iCs w:val="1"/>
          <w:color w:val="auto"/>
        </w:rPr>
        <w:t xml:space="preserve"> </w:t>
      </w:r>
      <w:r>
        <w:rPr>
          <w:rFonts w:ascii="Arial" w:cs="Arial" w:eastAsia="Arial" w:hAnsi="Arial"/>
          <w:sz w:val="16"/>
          <w:szCs w:val="16"/>
          <w:color w:val="auto"/>
        </w:rPr>
        <w:t>description of where in the financial statements amounts outstanding under the program are presented, a rollforward of such amounts, and interim disclosure of amounts outstanding as of the end of each period. The guidance does not affect recognition, measurement, or financial statement presentation of supplier finance programs. The ASU is effective on January 1, 2023, except for the rollforward, which is effective on January 1, 2024. The Company adopted this guidance on January 1, 2023, with the exception of the rollforward that will be effective beginning January 1, 2024. The adoption of this standard does not have a material impact on the Company’s Consolidated Financial Statements.</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Contract Assets and Contract Liabilities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which requires contract assets and contract liabilities acquired in a business combination to be recognized and measured by the acquirer on</w:t>
      </w:r>
      <w:r>
        <w:rPr>
          <w:rFonts w:ascii="Arial" w:cs="Arial" w:eastAsia="Arial" w:hAnsi="Arial"/>
          <w:sz w:val="16"/>
          <w:szCs w:val="16"/>
          <w:i w:val="1"/>
          <w:iCs w:val="1"/>
          <w:color w:val="auto"/>
        </w:rPr>
        <w:t xml:space="preserve"> </w:t>
      </w:r>
      <w:r>
        <w:rPr>
          <w:rFonts w:ascii="Arial" w:cs="Arial" w:eastAsia="Arial" w:hAnsi="Arial"/>
          <w:sz w:val="16"/>
          <w:szCs w:val="16"/>
          <w:color w:val="auto"/>
        </w:rPr>
        <w:t>the acquisition date in accordance with ASC 606, Revenue from Contracts with Customers. This ASU should be applied prospectively to acquisitions occurring on or after the effective date of December 15, 2022, and early adoption is permitted. The Company adopted this guidance on January 1, 2022. The adoption of this standard does not have a material impact on the Company’s Consolidated Financial Statements.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provides optional expedients and exceptions for applying generally accepted accounting principles to contracts, hedging relationships,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transactions affected by the transition away from reference rates expected to be discontinued to alternative reference rates. 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xml:space="preserve">, to expand the scope of this guidance to include derivatives. The guidance was effective upon issuance and may be applied prospectively to contract modifications made and hedging relationships entered into on or before December 31, 2022. In December 2022, the FASB issued ASU 2022-06, </w:t>
      </w:r>
      <w:r>
        <w:rPr>
          <w:rFonts w:ascii="Arial" w:cs="Arial" w:eastAsia="Arial" w:hAnsi="Arial"/>
          <w:sz w:val="16"/>
          <w:szCs w:val="16"/>
          <w:i w:val="1"/>
          <w:iCs w:val="1"/>
          <w:color w:val="auto"/>
        </w:rPr>
        <w:t>Reference Rate Reform (Topic 848): Deferral of the Sunset Date of Topic 848</w:t>
      </w:r>
      <w:r>
        <w:rPr>
          <w:rFonts w:ascii="Arial" w:cs="Arial" w:eastAsia="Arial" w:hAnsi="Arial"/>
          <w:sz w:val="16"/>
          <w:szCs w:val="16"/>
          <w:color w:val="auto"/>
        </w:rPr>
        <w:t>, which extends the period of time entities can utilize the reference rate reform relief guidance under ASU 2020-04 from December 31, 2022, to December 31, 2024. The Company will apply the guidance to impacted transactions during the transition period. The adoption of this standard does not have a material impact on the Company’s Consolidated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D7282F"/>
        </w:rPr>
        <w:t>NOTE 3. ACQUISITIONS AND DIVESTITURES</w:t>
      </w: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ACQUISITIONS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August 25, 2023, the Company acquired 100% of the outstanding equity interests of SCADAfence, a provider of operational technology and Internet of Things cybersecurity solutions for monitoring large scale networks, for total consideration of $52 million, net of cash acquired. The business is included in the Performance Materials and Technologies reportable business segment. The assets and liabilities acquired with SCADAfence are included in the Consolidated Balance Sheet as of September 30, 2023, including $17 million of intangible assets and $42 million of goodwill, which is not deductible for tax purposes. The purchase accounting is subject to final adjustment, primarily for the value of intangible assets, amounts allocated to goodwill, and tax balances.</w:t>
      </w:r>
    </w:p>
    <w:p>
      <w:pPr>
        <w:spacing w:after="0" w:line="28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June 30, 2023, the Company acquired 100% of the outstanding equity interests of Compressor Controls Corporation, a turbomachinery services and controls company based in the United States, for total cash consideration of $671 million, net of cash acquired. The business is included in the Performance Materials and Technologies reportable business segment. The assets and liabilities acquired with Compressor Controls Corporation are included in the Consolidated Balance Sheet as of September 30, 2023, including $314 million of intangible assets and $311 million allocated to goodwill, which is deductible for tax purposes. The identifiable intangible assets primarily include customer relationships amortized over an estimated life of 15 years using an excess earnings amortization method. The purchase accounting is subject to final adjustment, primarily for the valuation of intangible assets, amounts allocated to goodwill, and tax balances.</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On January 18, 2022, the Company acquired 100% of the issued and outstanding shares of US Digital Designs, Inc., a leading provider of technologies for first responders, for total consideration of $186 million. The business is included within the Honeywell Building Technologies reportable business segment. The Company finalized the evaluation for the fair value of all the assets and liabilities acquired with US Digital Designs, Inc. during the first quarter of 2023. Management recorded intangible assets of $53 million and allocated $129 million to goodwill, which is deductible for tax purposes.</w:t>
      </w:r>
    </w:p>
    <w:p>
      <w:pPr>
        <w:spacing w:after="0" w:line="400"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DIVESTITURES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2023, the Company completed no divestitures.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conjunction with the wind down of our businesses and operations in Russia (the Wind down), on September 2, 2022, the Company completed the sale of an entity domiciled in Russia in exchange for gross cash consideration of less than $1 million. The Company recognized a pre-tax gain of $10 million, which was recorded in Other (income) expense in the Consolidated Statement of Operations, driven by a favorable foreign currency cumulative translation adjustment at the time of sale. The financial results of the entity were previously included in the Performance Materials and Technologies reportable business segment.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9"/>
          <w:szCs w:val="29"/>
          <w:color w:val="D7282F"/>
        </w:rPr>
        <w:t>NOTE 4. REVENUE RECOGNITION AND CONTRACTS WITH CUSTOMERS</w:t>
      </w:r>
    </w:p>
    <w:p>
      <w:pPr>
        <w:spacing w:after="0" w:line="234"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The Company has a comprehensive offering of products and services, including software and technologies, that are sold to a variety of customers in multiple end markets. See the following disaggregated revenue table and related discussions by reportable business segment for details: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6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Aerospace</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1"/>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Aviation Original Equipment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563</w:t>
            </w:r>
          </w:p>
        </w:tc>
        <w:tc>
          <w:tcPr>
            <w:tcW w:w="3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538</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1,711</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1,543</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Aviation Aftermarket</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1,634</w:t>
            </w: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1,339</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4,590</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3,715</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Defense and Space</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1,302</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1,099</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3,650</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3,365</w:t>
            </w:r>
          </w:p>
        </w:tc>
      </w:tr>
      <w:tr>
        <w:trPr>
          <w:trHeight w:val="201"/>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Aerospace sales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3,499</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2,976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9,951</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8,623</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Honeywell Building Technologies</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1"/>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894</w:t>
            </w:r>
          </w:p>
        </w:tc>
        <w:tc>
          <w:tcPr>
            <w:tcW w:w="3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915</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2,720</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2,730</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Building Solutions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636</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611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1,807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1,756</w:t>
            </w:r>
          </w:p>
        </w:tc>
      </w:tr>
      <w:tr>
        <w:trPr>
          <w:trHeight w:val="201"/>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Honeywell Building Technologies sales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1,530</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1,526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4,527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4,486</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Performance Materials and Technologies</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1"/>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UOP</w:t>
            </w:r>
          </w:p>
        </w:tc>
        <w:tc>
          <w:tcPr>
            <w:tcW w:w="18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668</w:t>
            </w:r>
          </w:p>
        </w:tc>
        <w:tc>
          <w:tcPr>
            <w:tcW w:w="3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633</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1,856</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1,677</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Process Solutions</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1,316</w:t>
            </w: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1,141</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3,898</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3,472</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Advanced Materials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883</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946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2,723</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2,718</w:t>
            </w:r>
          </w:p>
        </w:tc>
      </w:tr>
      <w:tr>
        <w:trPr>
          <w:trHeight w:val="201"/>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Performance Materials and Technologies sales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2,867</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2,720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8,477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7,867</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Safety and Productivity Solutions</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1"/>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Sensing and Safety Technologies</w:t>
            </w:r>
          </w:p>
        </w:tc>
        <w:tc>
          <w:tcPr>
            <w:tcW w:w="18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675</w:t>
            </w:r>
          </w:p>
        </w:tc>
        <w:tc>
          <w:tcPr>
            <w:tcW w:w="3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709</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2,071</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2,165</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Productivity Solutions and Services</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304</w:t>
            </w: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435</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994</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1,328</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Warehouse and Workflow Solutions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335</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583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1,197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1,807</w:t>
            </w:r>
          </w:p>
        </w:tc>
      </w:tr>
      <w:tr>
        <w:trPr>
          <w:trHeight w:val="201"/>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Safety and Productivity Solutions sales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1,314</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1,727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4,262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5,300</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Corporate and All Other</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w:t>
            </w:r>
          </w:p>
        </w:tc>
      </w:tr>
      <w:tr>
        <w:trPr>
          <w:trHeight w:val="196"/>
        </w:trPr>
        <w:tc>
          <w:tcPr>
            <w:tcW w:w="710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9,212</w:t>
            </w: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8,951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27,222</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26,280</w:t>
            </w:r>
          </w:p>
        </w:tc>
      </w:tr>
    </w:tbl>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 xml:space="preserve">Aerospace </w:t>
      </w:r>
      <w:r>
        <w:rPr>
          <w:rFonts w:ascii="Arial" w:cs="Arial" w:eastAsia="Arial" w:hAnsi="Arial"/>
          <w:sz w:val="16"/>
          <w:szCs w:val="16"/>
          <w:color w:val="auto"/>
        </w:rPr>
        <w:t>– A global supplier of products, software, and services for aircrafts that it sells to original equipment manufacturers (OEM) and other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in a variety of end markets including: air transport, regional, business and general aviation aircraft, airlines, aircraft 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repair and overhaul services, and thermal systems. Aerospace also provides spare parts, repair, overhaul, maintenance services (principally to aircraft operators), and sells licenses or intellectual property to other parties. Honeywell Forge solutions are leveraged by the Company's customers as tools to turn data into predictive maintenance and predictive analytics to enable better fleet management and make flight operations more efficient.</w:t>
      </w:r>
    </w:p>
    <w:p>
      <w:pPr>
        <w:spacing w:after="0" w:line="200" w:lineRule="exact"/>
        <w:rPr>
          <w:sz w:val="20"/>
          <w:szCs w:val="20"/>
          <w:color w:val="auto"/>
        </w:rPr>
      </w:pPr>
    </w:p>
    <w:p>
      <w:pPr>
        <w:spacing w:after="0" w:line="209"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Honeywell Building Technologies </w:t>
      </w:r>
      <w:r>
        <w:rPr>
          <w:rFonts w:ascii="Arial" w:cs="Arial" w:eastAsia="Arial" w:hAnsi="Arial"/>
          <w:sz w:val="16"/>
          <w:szCs w:val="16"/>
          <w:color w:val="auto"/>
        </w:rPr>
        <w:t>– A global provider of products, software, solutions, and technologies that enable building owners and occupants to</w:t>
      </w:r>
      <w:r>
        <w:rPr>
          <w:rFonts w:ascii="Arial" w:cs="Arial" w:eastAsia="Arial" w:hAnsi="Arial"/>
          <w:sz w:val="16"/>
          <w:szCs w:val="16"/>
          <w:b w:val="1"/>
          <w:bCs w:val="1"/>
          <w:color w:val="auto"/>
        </w:rPr>
        <w:t xml:space="preserve"> </w:t>
      </w:r>
      <w:r>
        <w:rPr>
          <w:rFonts w:ascii="Arial" w:cs="Arial" w:eastAsia="Arial" w:hAnsi="Arial"/>
          <w:sz w:val="16"/>
          <w:szCs w:val="16"/>
          <w:color w:val="auto"/>
        </w:rPr>
        <w:t>ensure their facilities are safe, energy efficient, sustainable, and productive. Honeywell Building Technologies products and services include advanced software applications for building control and optimization; sensors, switches, control systems, and instruments for energy management; access control; video surveillance; fire products; and installation, maintenance, and upgrades of systems. Honeywell Forge solutions enable the Company's customers to digitally manage buildings, connecting data from different assets to enable smart maintenance, improve building performance, and even protect from incoming security threats.</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 xml:space="preserve">Performance Materials and Technologies </w:t>
      </w:r>
      <w:r>
        <w:rPr>
          <w:rFonts w:ascii="Arial" w:cs="Arial" w:eastAsia="Arial" w:hAnsi="Arial"/>
          <w:sz w:val="16"/>
          <w:szCs w:val="16"/>
          <w:color w:val="auto"/>
        </w:rPr>
        <w:t>– A global provider in developing and manufacturing high-quality performance chemicals and materials, process</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technologies, and automation solutions. The reportable business segment is comprised of Process Solutions, UOP, and Advanced Materials. Process Solutions provides automation control, instrumentation, advanced software, and related services for the oil and gas, refining, pulp and paper, industrial power generation, chemicals and petrochemicals, biofuels, life sciences, and metals, minerals, and mining industries. Through its smart energy products, Process Solutions enables utilities and distribution companies to deploy advanced capabilities to improve operations, reliability, and environmental sustainability.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Advanced Materials manufactures a wide variety of high-performance products, including materials used to manufacture end products such as bullet-resistant armor, nylon, computer chips, and pharmaceutical packaging, and provides reduced and low global warming potential materials based on hydrofluoro-olefin technology. In the industrial environment, Honeywell Forge solutions enable integration and connectivity to provide a holistic view of operations and turn data into clear actions to maximize productivity and efficiency. Honeywell Forge's cybersecurity capabilities help identify risks and act on cyber-related incidents, together enabling improved operations and protecting processes, people, and assets.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Safety and Productivity Solutions </w:t>
      </w:r>
      <w:r>
        <w:rPr>
          <w:rFonts w:ascii="Arial" w:cs="Arial" w:eastAsia="Arial" w:hAnsi="Arial"/>
          <w:sz w:val="16"/>
          <w:szCs w:val="16"/>
          <w:color w:val="auto"/>
        </w:rPr>
        <w:t>– A global provider of products and software that improve productivity, workplace safety, and asset performance to</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around the globe. Sensing and Safety Technologies products include personal protective equipment (PPE), apparel, gear, and footwear; gas detection technology; custom-engineered sensors, switches, and controls for sensing and productivity solutions; and cloud-based notification and emergency messaging. Productivity Solutions and Services products and services include mobile devices and software for computing, data collection, and thermal printing; and software-based data and asset management productivity solutions. Warehouse and Workflow Solutions products and services include system design and simulation, automation solutions, performance optimization software, and lifecycle services to enable accuracy, productivity, and predictability of warehouse operations. Honeywell Forge solutions digitally automate processes to improve efficiency while reducing downtime and safety costs.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Corporate and All Other </w:t>
      </w:r>
      <w:r>
        <w:rPr>
          <w:rFonts w:ascii="Arial" w:cs="Arial" w:eastAsia="Arial" w:hAnsi="Arial"/>
          <w:sz w:val="16"/>
          <w:szCs w:val="16"/>
          <w:color w:val="auto"/>
        </w:rPr>
        <w:t>– Corporate and All Other includes revenue from Honeywell's majority-owned investment in Quantinuum. Through Quantinuum,</w:t>
      </w:r>
      <w:r>
        <w:rPr>
          <w:rFonts w:ascii="Arial" w:cs="Arial" w:eastAsia="Arial" w:hAnsi="Arial"/>
          <w:sz w:val="16"/>
          <w:szCs w:val="16"/>
          <w:b w:val="1"/>
          <w:bCs w:val="1"/>
          <w:color w:val="auto"/>
        </w:rPr>
        <w:t xml:space="preserve"> </w:t>
      </w:r>
      <w:r>
        <w:rPr>
          <w:rFonts w:ascii="Arial" w:cs="Arial" w:eastAsia="Arial" w:hAnsi="Arial"/>
          <w:sz w:val="16"/>
          <w:szCs w:val="16"/>
          <w:color w:val="auto"/>
        </w:rPr>
        <w:t>Honeywell provides a wide range of service offerings of fully integrated quantum computing hardware and software solutions.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For a summary by disaggregated product and services sales for each reportable business segment, refer to Note 17 Segment Financial Data.</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 recognizes revenue arising from performance obligations outlined in contracts with its customers that are satisfied at a point in time and over time. The disaggregation of the Company's revenue based off timing of recognition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214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720" w:type="dxa"/>
            <w:vAlign w:val="bottom"/>
          </w:tcPr>
          <w:p>
            <w:pPr>
              <w:spacing w:after="0"/>
              <w:rPr>
                <w:sz w:val="16"/>
                <w:szCs w:val="16"/>
                <w:color w:val="auto"/>
              </w:rPr>
            </w:pPr>
          </w:p>
        </w:tc>
        <w:tc>
          <w:tcPr>
            <w:tcW w:w="2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214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720" w:type="dxa"/>
            <w:vAlign w:val="bottom"/>
            <w:tcBorders>
              <w:bottom w:val="single" w:sz="8" w:color="D7282F"/>
            </w:tcBorders>
          </w:tcPr>
          <w:p>
            <w:pPr>
              <w:spacing w:after="0"/>
              <w:rPr>
                <w:sz w:val="16"/>
                <w:szCs w:val="16"/>
                <w:color w:val="auto"/>
              </w:rPr>
            </w:pPr>
          </w:p>
        </w:tc>
        <w:tc>
          <w:tcPr>
            <w:tcW w:w="1220" w:type="dxa"/>
            <w:vAlign w:val="bottom"/>
            <w:tcBorders>
              <w:top w:val="single" w:sz="8" w:color="D7282F"/>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920" w:type="dxa"/>
            <w:vAlign w:val="bottom"/>
            <w:tcBorders>
              <w:top w:val="single" w:sz="8" w:color="D7282F"/>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D7282F"/>
            </w:tcBorders>
          </w:tcPr>
          <w:p>
            <w:pPr>
              <w:spacing w:after="0"/>
              <w:rPr>
                <w:sz w:val="16"/>
                <w:szCs w:val="16"/>
                <w:color w:val="auto"/>
              </w:rPr>
            </w:pPr>
          </w:p>
        </w:tc>
        <w:tc>
          <w:tcPr>
            <w:tcW w:w="1220" w:type="dxa"/>
            <w:vAlign w:val="bottom"/>
            <w:tcBorders>
              <w:top w:val="single" w:sz="8" w:color="D7282F"/>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920" w:type="dxa"/>
            <w:vAlign w:val="bottom"/>
            <w:tcBorders>
              <w:top w:val="single" w:sz="8" w:color="D7282F"/>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2022</w:t>
            </w:r>
          </w:p>
        </w:tc>
      </w:tr>
      <w:tr>
        <w:trPr>
          <w:trHeight w:val="191"/>
        </w:trPr>
        <w:tc>
          <w:tcPr>
            <w:tcW w:w="67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Products, transferred point in time</w:t>
            </w:r>
          </w:p>
        </w:tc>
        <w:tc>
          <w:tcPr>
            <w:tcW w:w="12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57 %</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61 %</w:t>
            </w:r>
          </w:p>
        </w:tc>
        <w:tc>
          <w:tcPr>
            <w:tcW w:w="240" w:type="dxa"/>
            <w:vAlign w:val="bottom"/>
            <w:tcBorders>
              <w:bottom w:val="single" w:sz="8" w:color="61656A"/>
            </w:tcBorders>
          </w:tcPr>
          <w:p>
            <w:pPr>
              <w:spacing w:after="0"/>
              <w:rPr>
                <w:sz w:val="16"/>
                <w:szCs w:val="16"/>
                <w:color w:val="auto"/>
              </w:rPr>
            </w:pPr>
          </w:p>
        </w:tc>
        <w:tc>
          <w:tcPr>
            <w:tcW w:w="12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58 %</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60 %</w:t>
            </w:r>
          </w:p>
        </w:tc>
      </w:tr>
      <w:tr>
        <w:trPr>
          <w:trHeight w:val="196"/>
        </w:trPr>
        <w:tc>
          <w:tcPr>
            <w:tcW w:w="67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Products, transferred over time</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11</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12</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w:t>
            </w:r>
          </w:p>
        </w:tc>
      </w:tr>
      <w:tr>
        <w:trPr>
          <w:trHeight w:val="201"/>
        </w:trPr>
        <w:tc>
          <w:tcPr>
            <w:tcW w:w="67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product sales</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68</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74</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70</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74</w:t>
            </w:r>
          </w:p>
        </w:tc>
      </w:tr>
      <w:tr>
        <w:trPr>
          <w:trHeight w:val="191"/>
        </w:trPr>
        <w:tc>
          <w:tcPr>
            <w:tcW w:w="67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Services, transferred point in time</w:t>
            </w:r>
          </w:p>
        </w:tc>
        <w:tc>
          <w:tcPr>
            <w:tcW w:w="122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12</w:t>
            </w:r>
          </w:p>
        </w:tc>
        <w:tc>
          <w:tcPr>
            <w:tcW w:w="9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61656A"/>
            </w:tcBorders>
          </w:tcPr>
          <w:p>
            <w:pPr>
              <w:spacing w:after="0"/>
              <w:rPr>
                <w:sz w:val="16"/>
                <w:szCs w:val="16"/>
                <w:color w:val="auto"/>
              </w:rPr>
            </w:pPr>
          </w:p>
        </w:tc>
        <w:tc>
          <w:tcPr>
            <w:tcW w:w="122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10</w:t>
            </w:r>
          </w:p>
        </w:tc>
        <w:tc>
          <w:tcPr>
            <w:tcW w:w="9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w:t>
            </w:r>
          </w:p>
        </w:tc>
      </w:tr>
      <w:tr>
        <w:trPr>
          <w:trHeight w:val="196"/>
        </w:trPr>
        <w:tc>
          <w:tcPr>
            <w:tcW w:w="67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Services, transferred over time</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20</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19</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20</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18</w:t>
            </w:r>
          </w:p>
        </w:tc>
      </w:tr>
      <w:tr>
        <w:trPr>
          <w:trHeight w:val="201"/>
        </w:trPr>
        <w:tc>
          <w:tcPr>
            <w:tcW w:w="67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service sales</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32</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26</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30</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26</w:t>
            </w:r>
          </w:p>
        </w:tc>
      </w:tr>
      <w:tr>
        <w:trPr>
          <w:trHeight w:val="196"/>
        </w:trPr>
        <w:tc>
          <w:tcPr>
            <w:tcW w:w="67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sales</w:t>
            </w:r>
          </w:p>
        </w:tc>
        <w:tc>
          <w:tcPr>
            <w:tcW w:w="12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100 %</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100 %</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r>
    </w:tbl>
    <w:p>
      <w:pPr>
        <w:spacing w:after="0" w:line="200" w:lineRule="exact"/>
        <w:rPr>
          <w:sz w:val="20"/>
          <w:szCs w:val="20"/>
          <w:color w:val="auto"/>
        </w:rPr>
      </w:pPr>
    </w:p>
    <w:p>
      <w:pPr>
        <w:spacing w:after="0" w:line="29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11</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CONTRACT BALANCES</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tracks progress on satisfying performance obligations under contracts with customers. The related billings and cash collections are recorded in the Consolidated Balance Sheet in Accounts receivable—net and Other assets (unbilled receivables (contract assets) and billed receivables), and Accrued liabilities and Other liabilities (customer advances and deposits (contract liabilities)). Unbilled receivables arise when the timing of cash collected from customers differs from the timing of revenue recognition, such as when contract provisions require specific milestones to be met before a customer can be billed. Contract assets are recognized when the revenue associated with the contract is recognized prior to billing and derecognized when billed in accordance with the terms of the contract. Contract liabilities are recorded when customers remit contractual cash payments in advance of the Company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Contract balances are classified as assets or liabilities on a contract-by-contract basis at the end of each reporting period.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contract assets and liabilities balances: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440" w:type="dxa"/>
            <w:vAlign w:val="bottom"/>
            <w:tcBorders>
              <w:bottom w:val="single" w:sz="8" w:color="D7282F"/>
            </w:tcBorders>
          </w:tcPr>
          <w:p>
            <w:pPr>
              <w:spacing w:after="0"/>
              <w:rPr>
                <w:sz w:val="17"/>
                <w:szCs w:val="17"/>
                <w:color w:val="auto"/>
              </w:rPr>
            </w:pP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1"/>
        </w:trPr>
        <w:tc>
          <w:tcPr>
            <w:tcW w:w="6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assets—January 1</w:t>
            </w:r>
          </w:p>
        </w:tc>
        <w:tc>
          <w:tcPr>
            <w:tcW w:w="30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2,294</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2,060</w:t>
            </w:r>
          </w:p>
        </w:tc>
      </w:tr>
      <w:tr>
        <w:trPr>
          <w:trHeight w:val="196"/>
        </w:trPr>
        <w:tc>
          <w:tcPr>
            <w:tcW w:w="6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assets—September 30</w:t>
            </w: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2,418</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2,239</w:t>
            </w:r>
          </w:p>
        </w:tc>
      </w:tr>
      <w:tr>
        <w:trPr>
          <w:trHeight w:val="201"/>
        </w:trPr>
        <w:tc>
          <w:tcPr>
            <w:tcW w:w="6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assets—increase (decrease)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179</w:t>
            </w:r>
          </w:p>
        </w:tc>
      </w:tr>
      <w:tr>
        <w:trPr>
          <w:trHeight w:val="191"/>
        </w:trPr>
        <w:tc>
          <w:tcPr>
            <w:tcW w:w="6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liabilities—January 1</w:t>
            </w:r>
          </w:p>
        </w:tc>
        <w:tc>
          <w:tcPr>
            <w:tcW w:w="30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(4,583)</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(4,290)</w:t>
            </w:r>
          </w:p>
        </w:tc>
      </w:tr>
      <w:tr>
        <w:trPr>
          <w:trHeight w:val="196"/>
        </w:trPr>
        <w:tc>
          <w:tcPr>
            <w:tcW w:w="6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liabilities—September 30</w:t>
            </w: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(4,081)</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(4,177)</w:t>
            </w:r>
          </w:p>
        </w:tc>
      </w:tr>
      <w:tr>
        <w:trPr>
          <w:trHeight w:val="201"/>
        </w:trPr>
        <w:tc>
          <w:tcPr>
            <w:tcW w:w="6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liabilities—decrease (increase)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502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113</w:t>
            </w:r>
          </w:p>
        </w:tc>
      </w:tr>
      <w:tr>
        <w:trPr>
          <w:trHeight w:val="196"/>
        </w:trPr>
        <w:tc>
          <w:tcPr>
            <w:tcW w:w="64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change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626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292</w:t>
            </w:r>
          </w:p>
        </w:tc>
      </w:tr>
    </w:tbl>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For the three and nine months ended September 30, 2023, the Company recognized revenue of $333 million and $1,814 million, respectively, that was previously included in the beginning balance of contract liabilities. For the three and nine months ended September 30, 2022, the Company recognized revenue of $362 million and $1,633 million, respectively, that was previously included in the beginning balance of contract liabilities.</w:t>
      </w:r>
    </w:p>
    <w:p>
      <w:pPr>
        <w:spacing w:after="0" w:line="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Contract assets included $2,377 million and $2,265 million of unbilled balances under long-term contracts as of September 30, 2023, and December 31, 2022, respectively. These amounts are billed in accordance with the terms of customer contracts to which they relate.</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When contracts are modified to account for changes in contract specifications and requirements, the Company considers whether the modification either creates new or changes the existing enforceable rights and obligations. Contract modifications for goods or services and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OBLIGATIONS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the Company's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contracts include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8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399"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80" w:type="dxa"/>
            <w:vAlign w:val="bottom"/>
          </w:tcPr>
          <w:p>
            <w:pPr>
              <w:jc w:val="center"/>
              <w:ind w:left="1884"/>
              <w:spacing w:after="0"/>
              <w:rPr>
                <w:sz w:val="20"/>
                <w:szCs w:val="20"/>
                <w:color w:val="auto"/>
              </w:rPr>
            </w:pPr>
            <w:r>
              <w:rPr>
                <w:rFonts w:ascii="Arial" w:cs="Arial" w:eastAsia="Arial" w:hAnsi="Arial"/>
                <w:sz w:val="16"/>
                <w:szCs w:val="16"/>
                <w:b w:val="1"/>
                <w:bCs w:val="1"/>
                <w:color w:val="auto"/>
              </w:rPr>
              <w:t>HONEYWELL INTERNATIONAL INC.</w:t>
            </w: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89"/>
        </w:trPr>
        <w:tc>
          <w:tcPr>
            <w:tcW w:w="9280" w:type="dxa"/>
            <w:vAlign w:val="bottom"/>
          </w:tcPr>
          <w:p>
            <w:pPr>
              <w:jc w:val="center"/>
              <w:ind w:left="1884"/>
              <w:spacing w:after="0"/>
              <w:rPr>
                <w:sz w:val="20"/>
                <w:szCs w:val="20"/>
                <w:color w:val="auto"/>
              </w:rPr>
            </w:pPr>
            <w:r>
              <w:rPr>
                <w:rFonts w:ascii="Arial" w:cs="Arial" w:eastAsia="Arial" w:hAnsi="Arial"/>
                <w:sz w:val="16"/>
                <w:szCs w:val="16"/>
                <w:b w:val="1"/>
                <w:bCs w:val="1"/>
                <w:color w:val="auto"/>
              </w:rPr>
              <w:t>NOTES TO CONSOLIDATED FINANCIAL STATEMENTS</w:t>
            </w: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9"/>
        </w:trPr>
        <w:tc>
          <w:tcPr>
            <w:tcW w:w="9280" w:type="dxa"/>
            <w:vAlign w:val="bottom"/>
          </w:tcPr>
          <w:p>
            <w:pPr>
              <w:jc w:val="center"/>
              <w:ind w:left="1904"/>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27"/>
        </w:trPr>
        <w:tc>
          <w:tcPr>
            <w:tcW w:w="9280" w:type="dxa"/>
            <w:vAlign w:val="bottom"/>
          </w:tcPr>
          <w:p>
            <w:pPr>
              <w:jc w:val="center"/>
              <w:ind w:left="1904"/>
              <w:spacing w:after="0"/>
              <w:rPr>
                <w:sz w:val="20"/>
                <w:szCs w:val="20"/>
                <w:color w:val="auto"/>
              </w:rPr>
            </w:pPr>
            <w:r>
              <w:rPr>
                <w:rFonts w:ascii="Arial" w:cs="Arial" w:eastAsia="Arial" w:hAnsi="Arial"/>
                <w:sz w:val="16"/>
                <w:szCs w:val="16"/>
                <w:b w:val="1"/>
                <w:bCs w:val="1"/>
                <w:color w:val="auto"/>
              </w:rPr>
              <w:t>(Dollars in tables in millions, except per share amounts)</w:t>
            </w:r>
          </w:p>
        </w:tc>
        <w:tc>
          <w:tcPr>
            <w:tcW w:w="3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609"/>
        </w:trPr>
        <w:tc>
          <w:tcPr>
            <w:tcW w:w="9280" w:type="dxa"/>
            <w:vAlign w:val="bottom"/>
          </w:tcPr>
          <w:p>
            <w:pPr>
              <w:spacing w:after="0"/>
              <w:rPr>
                <w:sz w:val="20"/>
                <w:szCs w:val="20"/>
                <w:color w:val="auto"/>
              </w:rPr>
            </w:pPr>
            <w:r>
              <w:rPr>
                <w:rFonts w:ascii="Arial" w:cs="Arial" w:eastAsia="Arial" w:hAnsi="Arial"/>
                <w:sz w:val="16"/>
                <w:szCs w:val="16"/>
                <w:color w:val="auto"/>
              </w:rPr>
              <w:t>The following table outlines the Company's remaining performance obligations disaggregated by reportable business segment:</w:t>
            </w: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9"/>
        </w:trPr>
        <w:tc>
          <w:tcPr>
            <w:tcW w:w="9280" w:type="dxa"/>
            <w:vAlign w:val="bottom"/>
            <w:tcBorders>
              <w:bottom w:val="single" w:sz="8" w:color="D7282F"/>
            </w:tcBorders>
          </w:tcPr>
          <w:p>
            <w:pPr>
              <w:spacing w:after="0"/>
              <w:rPr>
                <w:sz w:val="24"/>
                <w:szCs w:val="24"/>
                <w:color w:val="auto"/>
              </w:rPr>
            </w:pPr>
          </w:p>
        </w:tc>
        <w:tc>
          <w:tcPr>
            <w:tcW w:w="340" w:type="dxa"/>
            <w:vAlign w:val="bottom"/>
            <w:tcBorders>
              <w:bottom w:val="single" w:sz="8" w:color="D7282F"/>
            </w:tcBorders>
          </w:tcPr>
          <w:p>
            <w:pPr>
              <w:spacing w:after="0"/>
              <w:rPr>
                <w:sz w:val="24"/>
                <w:szCs w:val="24"/>
                <w:color w:val="auto"/>
              </w:rPr>
            </w:pPr>
          </w:p>
        </w:tc>
        <w:tc>
          <w:tcPr>
            <w:tcW w:w="16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September 30, 2023</w:t>
            </w:r>
          </w:p>
        </w:tc>
      </w:tr>
      <w:tr>
        <w:trPr>
          <w:trHeight w:val="191"/>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Aerospace</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13,749</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Honeywell Building Technologies</w:t>
            </w:r>
          </w:p>
        </w:tc>
        <w:tc>
          <w:tcPr>
            <w:tcW w:w="34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7,105</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Performance Materials and Technologies</w:t>
            </w:r>
          </w:p>
        </w:tc>
        <w:tc>
          <w:tcPr>
            <w:tcW w:w="34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8,331</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Safety and Productivity Solutions</w:t>
            </w:r>
          </w:p>
        </w:tc>
        <w:tc>
          <w:tcPr>
            <w:tcW w:w="34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2,164</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r>
              <w:rPr>
                <w:rFonts w:ascii="Arial" w:cs="Arial" w:eastAsia="Arial" w:hAnsi="Arial"/>
                <w:sz w:val="9"/>
                <w:szCs w:val="9"/>
                <w:color w:val="auto"/>
              </w:rPr>
              <w:t>1</w:t>
            </w:r>
          </w:p>
        </w:tc>
        <w:tc>
          <w:tcPr>
            <w:tcW w:w="34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r>
      <w:tr>
        <w:trPr>
          <w:trHeight w:val="201"/>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performance obligations</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31,352</w:t>
            </w:r>
          </w:p>
        </w:tc>
      </w:tr>
    </w:tbl>
    <w:p>
      <w:pPr>
        <w:spacing w:after="0" w:line="7" w:lineRule="exact"/>
        <w:rPr>
          <w:sz w:val="20"/>
          <w:szCs w:val="20"/>
          <w:color w:val="auto"/>
        </w:rPr>
      </w:pPr>
    </w:p>
    <w:p>
      <w:pPr>
        <w:ind w:left="480" w:hanging="344"/>
        <w:spacing w:after="0"/>
        <w:tabs>
          <w:tab w:leader="none" w:pos="480" w:val="left"/>
        </w:tabs>
        <w:numPr>
          <w:ilvl w:val="0"/>
          <w:numId w:val="14"/>
        </w:numPr>
        <w:rPr>
          <w:rFonts w:ascii="Arial" w:cs="Arial" w:eastAsia="Arial" w:hAnsi="Arial"/>
          <w:sz w:val="25"/>
          <w:szCs w:val="25"/>
          <w:color w:val="auto"/>
          <w:vertAlign w:val="subscript"/>
        </w:rPr>
      </w:pPr>
      <w:r>
        <w:rPr>
          <w:rFonts w:ascii="Arial" w:cs="Arial" w:eastAsia="Arial" w:hAnsi="Arial"/>
          <w:sz w:val="13"/>
          <w:szCs w:val="13"/>
          <w:color w:val="auto"/>
        </w:rPr>
        <w:t>The remaining performance obligations within Corporate and All Other relate to the Quantinuum business.</w:t>
      </w:r>
    </w:p>
    <w:p>
      <w:pPr>
        <w:spacing w:after="0" w:line="37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Performance obligations recognized as of September 30, 2023,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59% and 41%, respectively.</w:t>
      </w:r>
    </w:p>
    <w:p>
      <w:pPr>
        <w:spacing w:after="0" w:line="7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timing of satisfaction of the Company's performance obligations does not significantly vary from the typical timing of payment. Typical payment terms of the Company's fixed price over time contracts include progress payments based on specified events or milestones or based on project progress. For some contracts, the Company may be entitled to receive an advance payment.</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 applied the practical expedient for certain revenue streams to exclude the value of remaining performance obligations for (i) contracts with an original expected term of one year or less or (ii) contracts for which the Company recognizes revenue in proportion to the amount the Company has the right to invoice for services performed.</w:t>
      </w:r>
    </w:p>
    <w:p>
      <w:pPr>
        <w:spacing w:after="0" w:line="243" w:lineRule="exact"/>
        <w:rPr>
          <w:sz w:val="20"/>
          <w:szCs w:val="20"/>
          <w:color w:val="auto"/>
        </w:rPr>
      </w:pPr>
    </w:p>
    <w:p>
      <w:pPr>
        <w:spacing w:after="0"/>
        <w:rPr>
          <w:sz w:val="20"/>
          <w:szCs w:val="20"/>
          <w:color w:val="auto"/>
        </w:rPr>
      </w:pPr>
      <w:r>
        <w:rPr>
          <w:rFonts w:ascii="Arial" w:cs="Arial" w:eastAsia="Arial" w:hAnsi="Arial"/>
          <w:sz w:val="29"/>
          <w:szCs w:val="29"/>
          <w:color w:val="D7282F"/>
        </w:rPr>
        <w:t>NOTE 5. REPOSITIONING AND OTHER CHARGES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 summary of net repositioning and other charges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1"/>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Severance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35</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43</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121</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Asset impairments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37</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153</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Exit costs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36</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20</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98</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78</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Reserve adjustments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(23)</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(40)</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(54)</w:t>
            </w:r>
          </w:p>
        </w:tc>
      </w:tr>
      <w:tr>
        <w:trPr>
          <w:trHeight w:val="201"/>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charges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64</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66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252</w:t>
            </w:r>
          </w:p>
        </w:tc>
      </w:tr>
      <w:tr>
        <w:trPr>
          <w:trHeight w:val="191"/>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charges, net of insurance and reimbursements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24</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29</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79</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115</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Probable and reasonably estimable environmental liabilities, net of reimbursements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charges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(6)</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328</w:t>
            </w:r>
          </w:p>
        </w:tc>
      </w:tr>
      <w:tr>
        <w:trPr>
          <w:trHeight w:val="201"/>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88</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100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331</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714</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pre-tax distribution of total net repositioning and other charges by classification in the Consolidated Statement of</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Operations: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2180" w:type="dxa"/>
            <w:vAlign w:val="bottom"/>
            <w:gridSpan w:val="5"/>
          </w:tcPr>
          <w:p>
            <w:pPr>
              <w:ind w:left="4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620" w:type="dxa"/>
            <w:vAlign w:val="bottom"/>
            <w:tcBorders>
              <w:top w:val="single" w:sz="8" w:color="D7282F"/>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D7282F"/>
              <w:bottom w:val="single" w:sz="8" w:color="D7282F"/>
            </w:tcBorders>
          </w:tcPr>
          <w:p>
            <w:pPr>
              <w:spacing w:after="0"/>
              <w:rPr>
                <w:sz w:val="16"/>
                <w:szCs w:val="16"/>
                <w:color w:val="auto"/>
              </w:rPr>
            </w:pPr>
          </w:p>
        </w:tc>
        <w:tc>
          <w:tcPr>
            <w:tcW w:w="34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1"/>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62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57</w:t>
            </w:r>
          </w:p>
        </w:tc>
        <w:tc>
          <w:tcPr>
            <w:tcW w:w="3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85</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200</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429</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6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31</w:t>
            </w: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24</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122</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237</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6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48</w:t>
            </w:r>
          </w:p>
        </w:tc>
      </w:tr>
      <w:tr>
        <w:trPr>
          <w:trHeight w:val="201"/>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2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88</w:t>
            </w: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100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331</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714</w:t>
            </w: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13</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table summarizes the pre-tax amount of total net repositioning and other charges by reportable business segment. These amounts are excluded from segment profit as described in Note 17 Segment Financial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2180" w:type="dxa"/>
            <w:vAlign w:val="bottom"/>
            <w:gridSpan w:val="5"/>
          </w:tcPr>
          <w:p>
            <w:pPr>
              <w:ind w:left="4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620" w:type="dxa"/>
            <w:vAlign w:val="bottom"/>
            <w:tcBorders>
              <w:top w:val="single" w:sz="8" w:color="D7282F"/>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D7282F"/>
              <w:bottom w:val="single" w:sz="8" w:color="D7282F"/>
            </w:tcBorders>
          </w:tcPr>
          <w:p>
            <w:pPr>
              <w:spacing w:after="0"/>
              <w:rPr>
                <w:sz w:val="16"/>
                <w:szCs w:val="16"/>
                <w:color w:val="auto"/>
              </w:rPr>
            </w:pPr>
          </w:p>
        </w:tc>
        <w:tc>
          <w:tcPr>
            <w:tcW w:w="34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1"/>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Aerospace</w:t>
            </w:r>
          </w:p>
        </w:tc>
        <w:tc>
          <w:tcPr>
            <w:tcW w:w="62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10</w:t>
            </w:r>
          </w:p>
        </w:tc>
        <w:tc>
          <w:tcPr>
            <w:tcW w:w="3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21</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Honeywell Building Technologies</w:t>
            </w:r>
          </w:p>
        </w:tc>
        <w:tc>
          <w:tcPr>
            <w:tcW w:w="6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w:t>
            </w: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40</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Performance Materials and Technologies</w:t>
            </w:r>
          </w:p>
        </w:tc>
        <w:tc>
          <w:tcPr>
            <w:tcW w:w="6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22</w:t>
            </w: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15</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45</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262</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Safety and Productivity Solutions</w:t>
            </w:r>
          </w:p>
        </w:tc>
        <w:tc>
          <w:tcPr>
            <w:tcW w:w="6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23</w:t>
            </w: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55</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94</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197</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6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24</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131</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174</w:t>
            </w:r>
          </w:p>
        </w:tc>
      </w:tr>
      <w:tr>
        <w:trPr>
          <w:trHeight w:val="201"/>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2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88</w:t>
            </w: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100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331</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714</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NET REPOSITIONING CHARGES</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three months ended September 30, 2023, the Company recognized gross repositioning charges totaling $87 million, including severance costs of $35 million related to workforce reductions of 1,567 manufacturing and administrative positions primarily in the Company's Honeywell Building Technologies and Safety and Productivity Solutions reportable business segments. The workforce reductions were related to productivity and ongoing functional transformation initiatives. The repositioning charges included asset impairments of $16 million primarily related to the write-down of certain assets within the Company's Safety and Productivity Solutions reportable business segment and corporate function. The repositioning charges also included exit costs of $36 million related to current period costs incurred for closure obligations associated with site transitions primarily in the Company's Performance Materials and Technologies and Safety and Productivity Solutions reportable business segments. Also, $23 million of previously established reserves, primarily for severance, were returned to income due to higher than expected voluntary exits and adjustments to the scope of previously announced repositioning actions.</w:t>
      </w:r>
    </w:p>
    <w:p>
      <w:pPr>
        <w:spacing w:after="0" w:line="2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three months ended September 30, 2022, the Company recognized gross repositioning charges totaling $68 million, including severance costs of $43 million related to workforce reductions of 1,276 manufacturing and administrative positions primarily in the Company's Safety and Productivity Solutions reportable business segment. The workforce reductions were related to the Company's productivity and ongoing functional transformation initiatives. The repositioning charges included asset impairments of $5 million related to the write-down of certain manufacturing equipment. The repositioning charges also included exit costs of $20 million related to current period costs incurred for closure obligations associated with site transitions in the Company's Safety and Productivity Solutions and Aerospace reportable business segments.</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the nine months ended September 30, 2023, the Company recognized gross repositioning charges totaling $256 million, including severance costs of $121 million related to workforce reductions of 4,128 manufacturing and administrative positions primarily in the Company's Safety and Productivity Solutions and Honeywell Building Technologies reportable business segments. The workforce reductions were primarily related to productivity and ongoing functional transformation initiatives. The repositioning charges included asset impairments of $37 million related to the write-down of certain assets within the Company's Safety and Productivity Solutions reportable business segment. The repositioning charges also included exit costs of $98 million related to current period costs incurred for closure obligations associated with site transitions across all of the Company's reportable business segments and corporate function. Also, $40 million of previously established reserves, primarily for severance, were returned to income due to higher than expected voluntary exits and adjustments to the scope of previously announced repositioning actions.</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the nine months ended September 30, 2022, the Company recognized gross repositioning charges totaling $306 million, including asset impairments of $153 million for the write-down of certain manufacturing equipment, primarily related to closing and relocating the production of certain respiratory manufacturing from a U.S.-based facility to a non-U.S. facility in the Company's Safety and Productivity Solutions reportable business segment. The repositioning charges included exit costs of $78 million primarily related to current period exit costs incurred for new and previously approved repositioning projects and closure obligations associated with site transitions in the Company's Performance Materials and Technologies and Aerospace reportable business segments. The repositioning charges also included severance costs of $75 million related to workforce reductions of 2,940 manufacturing and administrative positions across the Company's reportable business segments. The workforce reductions related to cost savings actions taken in connection with the Company's productivity and ongoing functional transformation initiatives and to site transitions to more cost-effective locations. Also, $54 million of previously established reserves, primarily for severance, were returned to income due to higher than expected voluntary exits and adjustments to the scope of previously announced repositioning actions.</w:t>
      </w:r>
    </w:p>
    <w:p>
      <w:pPr>
        <w:spacing w:after="0" w:line="200" w:lineRule="exact"/>
        <w:rPr>
          <w:sz w:val="20"/>
          <w:szCs w:val="20"/>
          <w:color w:val="auto"/>
        </w:rPr>
      </w:pPr>
    </w:p>
    <w:p>
      <w:pPr>
        <w:spacing w:after="0" w:line="228"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the Company's total repositioning reserves: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140" w:type="dxa"/>
            <w:vAlign w:val="bottom"/>
          </w:tcPr>
          <w:p>
            <w:pPr>
              <w:jc w:val="right"/>
              <w:ind w:right="428"/>
              <w:spacing w:after="0"/>
              <w:rPr>
                <w:sz w:val="20"/>
                <w:szCs w:val="20"/>
                <w:color w:val="auto"/>
              </w:rPr>
            </w:pPr>
            <w:r>
              <w:rPr>
                <w:rFonts w:ascii="Arial" w:cs="Arial" w:eastAsia="Arial" w:hAnsi="Arial"/>
                <w:sz w:val="14"/>
                <w:szCs w:val="14"/>
                <w:b w:val="1"/>
                <w:bCs w:val="1"/>
                <w:color w:val="auto"/>
              </w:rPr>
              <w:t>Asset</w:t>
            </w:r>
          </w:p>
        </w:tc>
        <w:tc>
          <w:tcPr>
            <w:tcW w:w="360" w:type="dxa"/>
            <w:vAlign w:val="bottom"/>
          </w:tcPr>
          <w:p>
            <w:pPr>
              <w:spacing w:after="0"/>
              <w:rPr>
                <w:sz w:val="14"/>
                <w:szCs w:val="14"/>
                <w:color w:val="auto"/>
              </w:rPr>
            </w:pPr>
          </w:p>
        </w:tc>
        <w:tc>
          <w:tcPr>
            <w:tcW w:w="1020" w:type="dxa"/>
            <w:vAlign w:val="bottom"/>
          </w:tcPr>
          <w:p>
            <w:pPr>
              <w:jc w:val="right"/>
              <w:ind w:right="488"/>
              <w:spacing w:after="0"/>
              <w:rPr>
                <w:sz w:val="20"/>
                <w:szCs w:val="20"/>
                <w:color w:val="auto"/>
              </w:rPr>
            </w:pPr>
            <w:r>
              <w:rPr>
                <w:rFonts w:ascii="Arial" w:cs="Arial" w:eastAsia="Arial" w:hAnsi="Arial"/>
                <w:sz w:val="14"/>
                <w:szCs w:val="14"/>
                <w:b w:val="1"/>
                <w:bCs w:val="1"/>
                <w:color w:val="auto"/>
              </w:rPr>
              <w:t>Exit</w:t>
            </w:r>
          </w:p>
        </w:tc>
        <w:tc>
          <w:tcPr>
            <w:tcW w:w="360" w:type="dxa"/>
            <w:vAlign w:val="bottom"/>
          </w:tcPr>
          <w:p>
            <w:pPr>
              <w:spacing w:after="0"/>
              <w:rPr>
                <w:sz w:val="14"/>
                <w:szCs w:val="14"/>
                <w:color w:val="auto"/>
              </w:rPr>
            </w:pPr>
          </w:p>
        </w:tc>
        <w:tc>
          <w:tcPr>
            <w:tcW w:w="9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D7282F"/>
            </w:tcBorders>
          </w:tcPr>
          <w:p>
            <w:pPr>
              <w:spacing w:after="0"/>
              <w:rPr>
                <w:sz w:val="16"/>
                <w:szCs w:val="16"/>
                <w:color w:val="auto"/>
              </w:rPr>
            </w:pPr>
          </w:p>
        </w:tc>
        <w:tc>
          <w:tcPr>
            <w:tcW w:w="2060" w:type="dxa"/>
            <w:vAlign w:val="bottom"/>
            <w:tcBorders>
              <w:bottom w:val="single" w:sz="8" w:color="D7282F"/>
            </w:tcBorders>
          </w:tcPr>
          <w:p>
            <w:pPr>
              <w:spacing w:after="0"/>
              <w:rPr>
                <w:sz w:val="16"/>
                <w:szCs w:val="16"/>
                <w:color w:val="auto"/>
              </w:rPr>
            </w:pPr>
          </w:p>
        </w:tc>
        <w:tc>
          <w:tcPr>
            <w:tcW w:w="110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Costs</w:t>
            </w:r>
          </w:p>
        </w:tc>
        <w:tc>
          <w:tcPr>
            <w:tcW w:w="2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Impairments</w:t>
            </w:r>
          </w:p>
        </w:tc>
        <w:tc>
          <w:tcPr>
            <w:tcW w:w="3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Costs</w:t>
            </w:r>
          </w:p>
        </w:tc>
        <w:tc>
          <w:tcPr>
            <w:tcW w:w="36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2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235</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74</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309</w:t>
            </w:r>
          </w:p>
        </w:tc>
        <w:tc>
          <w:tcPr>
            <w:tcW w:w="0" w:type="dxa"/>
            <w:vAlign w:val="bottom"/>
          </w:tcPr>
          <w:p>
            <w:pPr>
              <w:spacing w:after="0"/>
              <w:rPr>
                <w:sz w:val="1"/>
                <w:szCs w:val="1"/>
                <w:color w:val="auto"/>
              </w:rPr>
            </w:pPr>
          </w:p>
        </w:tc>
      </w:tr>
      <w:tr>
        <w:trPr>
          <w:trHeight w:val="191"/>
        </w:trPr>
        <w:tc>
          <w:tcPr>
            <w:tcW w:w="40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Charges</w:t>
            </w:r>
          </w:p>
        </w:tc>
        <w:tc>
          <w:tcPr>
            <w:tcW w:w="2060" w:type="dxa"/>
            <w:vAlign w:val="bottom"/>
            <w:tcBorders>
              <w:bottom w:val="single" w:sz="8" w:color="61656A"/>
            </w:tcBorders>
          </w:tcPr>
          <w:p>
            <w:pPr>
              <w:spacing w:after="0"/>
              <w:rPr>
                <w:sz w:val="16"/>
                <w:szCs w:val="16"/>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121</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37</w:t>
            </w:r>
          </w:p>
        </w:tc>
        <w:tc>
          <w:tcPr>
            <w:tcW w:w="3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98</w:t>
            </w:r>
          </w:p>
        </w:tc>
        <w:tc>
          <w:tcPr>
            <w:tcW w:w="36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Usage—cash</w:t>
            </w:r>
          </w:p>
        </w:tc>
        <w:tc>
          <w:tcPr>
            <w:tcW w:w="206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(138)</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(80)</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Usage—noncash</w:t>
            </w:r>
          </w:p>
        </w:tc>
        <w:tc>
          <w:tcPr>
            <w:tcW w:w="206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(35)</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206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Adjustments</w:t>
            </w:r>
          </w:p>
        </w:tc>
        <w:tc>
          <w:tcPr>
            <w:tcW w:w="206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(31)</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1"/>
        </w:trPr>
        <w:tc>
          <w:tcPr>
            <w:tcW w:w="4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September 30, 2023</w:t>
            </w:r>
          </w:p>
        </w:tc>
        <w:tc>
          <w:tcPr>
            <w:tcW w:w="2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192</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101</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293</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Certain repositioning projects will recognize exit costs in future periods when the actual liability is incurred. Such exit costs incurred in the nine months ended September 30, 2023, and 2022, were $40 million and $46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CHARGES</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During the nine months ended September 30, 2023, the Company recorded a fair value adjustment, within Asbestos-related charges, net of insurance and reimbursements in the table above and Other (income) expense on the Consolidated Statement of Operations, related to HWI Net Sale Proceeds (as defined in Note 11 Fair Value Measurements) and reduced the estimate by $11 million. See Note 11 Fair Value Measurements and Note 14 Commitments and Contingencies for further discussion.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During the three months ended September 30, 2022, the Company recognized a net reduction of Other charges previously recognized of $16 million. The Other charges included costs incurred related to the Wind down of operations in Russia. The reduction of Other charges primarily related to a favorable foreign exchange revaluation on an intercompany loan with a Russian affiliate, in addition to the recovery of outstanding accounts receivable previously reserved against, recorded to Other (income) expense and Selling, general and administrative expense on the Consolidated Statement of Operations, respectively. This was partially offset by the recognition of an additional expense for called guarantees recorded to Other (income) expense on the Consolidated Statement of Operations.</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During the nine months ended September 30, 2022, the Company recognized $291 million of Other charges. The Other charges included costs incurred related to the initial suspension (the Suspension) and Wind down of businesses and operations in Russia. These costs impacted all reportable business segments, with the most significant impact within the Performance Materials and Technologies reportable business segment. The Other charges included costs recorded in Cost of products sold, Selling, general and administrative expenses, or Other (income) expense on the Consolidated Statement of Operations. For the nine months ended September 30, 2022, Cost of products and services sold included $60 million primarily related to inventory reserves and the write-down of other assets, Selling, general and administrative included $183 million primarily related to reserves against outstanding accounts receivable and contract assets, impairment of intangible assets, the write-down of other assets, and employee severance, and Other (income) expense included $48 million related to foreign exchange revaluation on an intercompany loan with a Russian affiliate, impairment of property, plant and equipment, and expenses for called guarantees. For the nine months ended September 30, 2022, the Other charges did not include a $2 million tax valuation allowance recorded to Tax expense on the Consolidated Statement of Operations, directly attributable to the Company's Wind down of businesses and operations in Russia.</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Given the uncertainty inherent in the Company's remaining obligations related to contracts with Russian counterparties, the Company does not believe it is possible to develop estimates of reasonably possible loss in excess of current accruals for these matters (other than as specifically set forth above). Based on available information to date, the Company’s estimate of potential future losses or other contingencies related to the wind down of activities, including any guarantee payments or any litigation costs or as otherwise related to the Company's wind down in Russia, could adversely affect the Company's consolidated results of operations in the periods recognized but would not be material with respect to the Company's consolidated financial position. See Note 14 Commitments and Contingencies for a discussion of the recognition and measurement of estimate for contingencies.</w:t>
      </w: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color w:val="D7282F"/>
        </w:rPr>
        <w:t>NOTE 6. INCOME TAXES</w:t>
      </w:r>
    </w:p>
    <w:p>
      <w:pPr>
        <w:spacing w:after="0" w:line="2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effective tax rate was higher than the U.S. federal statutory rate of 21% but decreased during 2023 compared to 2022 resulting from increased benefits of taxes on non-U.S. earnings and lower repositioning related expenses, partially offset by other accrued taxes.</w:t>
      </w:r>
    </w:p>
    <w:p>
      <w:pPr>
        <w:spacing w:after="0" w:line="381"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D7282F"/>
        </w:rPr>
        <w:t>NOTE 7. INVENTORIES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380" w:type="dxa"/>
            <w:vAlign w:val="bottom"/>
            <w:tcBorders>
              <w:bottom w:val="single" w:sz="8" w:color="D7282F"/>
            </w:tcBorders>
          </w:tcPr>
          <w:p>
            <w:pPr>
              <w:spacing w:after="0"/>
              <w:rPr>
                <w:sz w:val="17"/>
                <w:szCs w:val="17"/>
                <w:color w:val="auto"/>
              </w:rPr>
            </w:pPr>
          </w:p>
        </w:tc>
        <w:tc>
          <w:tcPr>
            <w:tcW w:w="324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2022</w:t>
            </w:r>
          </w:p>
        </w:tc>
      </w:tr>
      <w:tr>
        <w:trPr>
          <w:trHeight w:val="191"/>
        </w:trPr>
        <w:tc>
          <w:tcPr>
            <w:tcW w:w="43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Raw materials</w:t>
            </w:r>
          </w:p>
        </w:tc>
        <w:tc>
          <w:tcPr>
            <w:tcW w:w="3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1,485</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1,407</w:t>
            </w:r>
          </w:p>
        </w:tc>
      </w:tr>
      <w:tr>
        <w:trPr>
          <w:trHeight w:val="196"/>
        </w:trPr>
        <w:tc>
          <w:tcPr>
            <w:tcW w:w="43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Work in process</w:t>
            </w:r>
          </w:p>
        </w:tc>
        <w:tc>
          <w:tcPr>
            <w:tcW w:w="3240" w:type="dxa"/>
            <w:vAlign w:val="bottom"/>
            <w:tcBorders>
              <w:bottom w:val="single" w:sz="8" w:color="61656A"/>
            </w:tcBorders>
          </w:tcPr>
          <w:p>
            <w:pPr>
              <w:spacing w:after="0"/>
              <w:rPr>
                <w:sz w:val="17"/>
                <w:szCs w:val="17"/>
                <w:color w:val="auto"/>
              </w:rPr>
            </w:pPr>
          </w:p>
        </w:tc>
        <w:tc>
          <w:tcPr>
            <w:tcW w:w="1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1,248</w:t>
            </w:r>
          </w:p>
        </w:tc>
        <w:tc>
          <w:tcPr>
            <w:tcW w:w="30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1,049</w:t>
            </w:r>
          </w:p>
        </w:tc>
      </w:tr>
      <w:tr>
        <w:trPr>
          <w:trHeight w:val="196"/>
        </w:trPr>
        <w:tc>
          <w:tcPr>
            <w:tcW w:w="43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Finished products</w:t>
            </w:r>
          </w:p>
        </w:tc>
        <w:tc>
          <w:tcPr>
            <w:tcW w:w="324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3,267</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3,082</w:t>
            </w:r>
          </w:p>
        </w:tc>
      </w:tr>
      <w:tr>
        <w:trPr>
          <w:trHeight w:val="201"/>
        </w:trPr>
        <w:tc>
          <w:tcPr>
            <w:tcW w:w="4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Inventories</w:t>
            </w:r>
          </w:p>
        </w:tc>
        <w:tc>
          <w:tcPr>
            <w:tcW w:w="3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6,000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5,538</w:t>
            </w:r>
          </w:p>
        </w:tc>
      </w:tr>
    </w:tbl>
    <w:p>
      <w:pPr>
        <w:spacing w:after="0" w:line="340" w:lineRule="exact"/>
        <w:rPr>
          <w:sz w:val="20"/>
          <w:szCs w:val="20"/>
          <w:color w:val="auto"/>
        </w:rPr>
      </w:pPr>
    </w:p>
    <w:p>
      <w:pPr>
        <w:spacing w:after="0"/>
        <w:rPr>
          <w:sz w:val="20"/>
          <w:szCs w:val="20"/>
          <w:color w:val="auto"/>
        </w:rPr>
      </w:pPr>
      <w:r>
        <w:rPr>
          <w:rFonts w:ascii="Arial" w:cs="Arial" w:eastAsia="Arial" w:hAnsi="Arial"/>
          <w:sz w:val="29"/>
          <w:szCs w:val="29"/>
          <w:color w:val="D7282F"/>
        </w:rPr>
        <w:t>NOTE 8. LONG-TERM DEBT AND CREDIT AGREEMENTS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34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2022</w:t>
            </w:r>
          </w:p>
        </w:tc>
      </w:tr>
      <w:tr>
        <w:trPr>
          <w:trHeight w:val="191"/>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1.30% Euro notes due 2023</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1,334</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3.35% notes due 2023</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0.00% Euro notes due 2024</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527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534</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2.30% notes due 2024</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4.85% notes due 2024</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1.35% notes due 2025</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2.50% notes due 2026</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1.10% notes due 2027</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3.50% Euro notes due 2027</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685</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4.95% notes due 2028</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2.25% Euro notes due 2028</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790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4.25% notes due 2029</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2.70% notes due 2029</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1.95% notes due 2030</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1.75% notes due 2031</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0.75% Euro notes due 2032</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527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534</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3.75% Euro notes due 2032</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527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5.00% notes due 2033</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4.50% notes due 2034</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4.125% Euro notes due 2034</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1,054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1,067</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2036</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441</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2037</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462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462</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5.375% notes due 2041</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417</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3.812% notes due 2047</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445</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445</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2.80% notes due 2050</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development bond obligations, floating rate maturing at various dates through 2037</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6.625% debentures due 2028</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201</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9.065% debentures due 2033</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(including capitalized leases), 7.4% weighted average interest rate maturing at various dates through 2029</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228</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265</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2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(323)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(287)</w:t>
            </w:r>
          </w:p>
        </w:tc>
      </w:tr>
      <w:tr>
        <w:trPr>
          <w:trHeight w:val="196"/>
        </w:trPr>
        <w:tc>
          <w:tcPr>
            <w:tcW w:w="73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28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(251)</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(233)</w:t>
            </w:r>
          </w:p>
        </w:tc>
      </w:tr>
      <w:tr>
        <w:trPr>
          <w:trHeight w:val="201"/>
        </w:trPr>
        <w:tc>
          <w:tcPr>
            <w:tcW w:w="73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Long-term debt and current related maturities</w:t>
            </w:r>
          </w:p>
        </w:tc>
        <w:tc>
          <w:tcPr>
            <w:tcW w:w="28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18,353</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16,853</w:t>
            </w:r>
          </w:p>
        </w:tc>
      </w:tr>
      <w:tr>
        <w:trPr>
          <w:trHeight w:val="191"/>
        </w:trPr>
        <w:tc>
          <w:tcPr>
            <w:tcW w:w="73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Current maturities of long-term debt</w:t>
            </w:r>
          </w:p>
        </w:tc>
        <w:tc>
          <w:tcPr>
            <w:tcW w:w="280" w:type="dxa"/>
            <w:vAlign w:val="bottom"/>
            <w:tcBorders>
              <w:bottom w:val="single" w:sz="8" w:color="D7282F"/>
            </w:tcBorders>
          </w:tcPr>
          <w:p>
            <w:pPr>
              <w:spacing w:after="0"/>
              <w:rPr>
                <w:sz w:val="16"/>
                <w:szCs w:val="16"/>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1,670</w:t>
            </w:r>
          </w:p>
        </w:tc>
        <w:tc>
          <w:tcPr>
            <w:tcW w:w="28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1,730</w:t>
            </w:r>
          </w:p>
        </w:tc>
      </w:tr>
      <w:tr>
        <w:trPr>
          <w:trHeight w:val="201"/>
        </w:trPr>
        <w:tc>
          <w:tcPr>
            <w:tcW w:w="73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Long-term debt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16,683</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15,123</w:t>
            </w:r>
          </w:p>
        </w:tc>
      </w:tr>
    </w:tbl>
    <w:p>
      <w:pPr>
        <w:spacing w:after="0" w:line="200" w:lineRule="exact"/>
        <w:rPr>
          <w:sz w:val="20"/>
          <w:szCs w:val="20"/>
          <w:color w:val="auto"/>
        </w:rPr>
      </w:pPr>
    </w:p>
    <w:p>
      <w:pPr>
        <w:spacing w:after="0" w:line="29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16</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May 17, 2023, the Company issued $750 million 4.25% Senior Notes due 2029 and $1.0 billion 4.50% Senior Notes due 2034 (collectively, the 2023 USD Notes). The Company may redeem the 2023 USD Notes at any time, and from time to time, in whole or in part, at the Company's option at the applicable redemption price. The offering provided gross proceeds of $1.8 billion, offset by $20 million in discount and closing costs related to the offering.</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May 17, 2023, the Company issued €650 million 3.50% Senior Notes due 2027 and €500 million 3.75% Senior Notes due 2032 (collectively, the 2023 Euro Notes). The Company may redeem the 2023 Euro Notes at any time, and from time to time, in whole or in part, at the Company's option at the applicable redemption price. The offering provided gross proceeds of $1.2 billion, offset by $12 million in discount and closing costs related to the offering.</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2023 USD Notes and 2023 Euro Notes are senior unsecured and unsubordinated obligations of the Company and rank equally with each other and with all of the Company's existing and future senior unsecured debt and senior to all of the Company's subordinated debt. The Company intends to use the proceeds from the issuances for the repayment of commercial paper and general corporate purposes.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On February 22, 2023, the Company repaid its 1.30% Euro notes due 2023.</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March 20, 2023, the Company entered into a $1.5 billion 364-day credit agreement (the 364-Day Credit Agreement) and a $4.0 billion amended and restated five-year credit agreement (the 5-Year Credit Agreement). The 364-Day Credit Agreement replaced the $1.5 billion 364-day credit agreement dated as of March 24, 2022, which was terminated in accordance with its terms effective March 20, 2023. Amounts borrowed under the 364-Day Credit Agreement are required to be repaid no later than March 18, 2024, unless (i) Honeywell elects to convert all then outstanding amounts into a term loan, upon which such amounts shall be repaid in full on March 18, 2025, or (ii) the 364-Day Credit Agreement is terminated earlier pursuant to its terms. The 5-Year Credit Agreement amended and restated the previously reported $4.0 billion amended and restated five-year credit agreement dated as of March 24, 2022. Commitments under the 5-Year Credit Agreement can be increased pursuant to the terms of the 5-Year Credit Agreement to an aggregate amount not to exceed $4.5 billion. The 364-Day Credit Agreement and 5-Year Credit Agreement are maintained for general corporate purposes.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2023, there were no outstanding borrowings under the 364-Day Credit Agreement or the 5-Year Credit Agreement.</w:t>
      </w:r>
    </w:p>
    <w:p>
      <w:pPr>
        <w:spacing w:after="0" w:line="288" w:lineRule="exact"/>
        <w:rPr>
          <w:sz w:val="20"/>
          <w:szCs w:val="20"/>
          <w:color w:val="auto"/>
        </w:rPr>
      </w:pPr>
    </w:p>
    <w:p>
      <w:pPr>
        <w:spacing w:after="0"/>
        <w:rPr>
          <w:sz w:val="20"/>
          <w:szCs w:val="20"/>
          <w:color w:val="auto"/>
        </w:rPr>
      </w:pPr>
      <w:r>
        <w:rPr>
          <w:rFonts w:ascii="Arial" w:cs="Arial" w:eastAsia="Arial" w:hAnsi="Arial"/>
          <w:sz w:val="29"/>
          <w:szCs w:val="29"/>
          <w:color w:val="D7282F"/>
        </w:rPr>
        <w:t>NOTE 9. LEASES</w:t>
      </w:r>
    </w:p>
    <w:p>
      <w:pPr>
        <w:spacing w:after="0" w:line="2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operating and finance lease portfolio is described in Note 10 Leases of Notes to Consolidated Financial Statements in the Company's 2022 Annual Report on Form 10-K.</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was as follows:</w:t>
      </w:r>
    </w:p>
    <w:p>
      <w:pPr>
        <w:spacing w:after="0" w:line="156"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Nine Months Ended</w:t>
      </w:r>
    </w:p>
    <w:p>
      <w:pPr>
        <w:jc w:val="center"/>
        <w:ind w:left="926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280" w:type="dxa"/>
            <w:vAlign w:val="bottom"/>
            <w:tcBorders>
              <w:bottom w:val="single" w:sz="8" w:color="D7282F"/>
            </w:tcBorders>
          </w:tcPr>
          <w:p>
            <w:pPr>
              <w:spacing w:after="0"/>
              <w:rPr>
                <w:sz w:val="17"/>
                <w:szCs w:val="17"/>
                <w:color w:val="auto"/>
              </w:rPr>
            </w:pPr>
          </w:p>
        </w:tc>
        <w:tc>
          <w:tcPr>
            <w:tcW w:w="180" w:type="dxa"/>
            <w:vAlign w:val="bottom"/>
            <w:tcBorders>
              <w:top w:val="single" w:sz="8" w:color="D7282F"/>
              <w:bottom w:val="single" w:sz="8" w:color="D7282F"/>
            </w:tcBorders>
          </w:tcPr>
          <w:p>
            <w:pPr>
              <w:spacing w:after="0"/>
              <w:rPr>
                <w:sz w:val="17"/>
                <w:szCs w:val="17"/>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5"/>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Right-of-use assets obtained in exchange for lease obligations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r>
      <w:tr>
        <w:trPr>
          <w:trHeight w:val="191"/>
        </w:trPr>
        <w:tc>
          <w:tcPr>
            <w:tcW w:w="92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Operating leases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176</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86</w:t>
            </w:r>
          </w:p>
        </w:tc>
      </w:tr>
      <w:tr>
        <w:trPr>
          <w:trHeight w:val="196"/>
        </w:trPr>
        <w:tc>
          <w:tcPr>
            <w:tcW w:w="92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Finance leases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31</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w:t>
            </w:r>
          </w:p>
        </w:tc>
      </w:tr>
    </w:tbl>
    <w:p>
      <w:pPr>
        <w:spacing w:after="0" w:line="200" w:lineRule="exact"/>
        <w:rPr>
          <w:sz w:val="20"/>
          <w:szCs w:val="20"/>
          <w:color w:val="auto"/>
        </w:rPr>
      </w:pPr>
    </w:p>
    <w:p>
      <w:pPr>
        <w:spacing w:after="0" w:line="29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17</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80" w:type="dxa"/>
            <w:vAlign w:val="bottom"/>
            <w:tcBorders>
              <w:bottom w:val="single" w:sz="8" w:color="D7282F"/>
            </w:tcBorders>
          </w:tcPr>
          <w:p>
            <w:pPr>
              <w:spacing w:after="0"/>
              <w:rPr>
                <w:sz w:val="17"/>
                <w:szCs w:val="17"/>
                <w:color w:val="auto"/>
              </w:rPr>
            </w:pPr>
          </w:p>
        </w:tc>
        <w:tc>
          <w:tcPr>
            <w:tcW w:w="25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50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Operating leases</w:t>
            </w:r>
          </w:p>
        </w:tc>
        <w:tc>
          <w:tcPr>
            <w:tcW w:w="25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1"/>
        </w:trPr>
        <w:tc>
          <w:tcPr>
            <w:tcW w:w="50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assets</w:t>
            </w:r>
          </w:p>
        </w:tc>
        <w:tc>
          <w:tcPr>
            <w:tcW w:w="2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917</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881</w:t>
            </w:r>
          </w:p>
        </w:tc>
      </w:tr>
      <w:tr>
        <w:trPr>
          <w:trHeight w:val="196"/>
        </w:trPr>
        <w:tc>
          <w:tcPr>
            <w:tcW w:w="50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25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192</w:t>
            </w:r>
          </w:p>
        </w:tc>
      </w:tr>
      <w:tr>
        <w:trPr>
          <w:trHeight w:val="196"/>
        </w:trPr>
        <w:tc>
          <w:tcPr>
            <w:tcW w:w="50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liabilities</w:t>
            </w:r>
          </w:p>
        </w:tc>
        <w:tc>
          <w:tcPr>
            <w:tcW w:w="25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822</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775</w:t>
            </w:r>
          </w:p>
        </w:tc>
      </w:tr>
      <w:tr>
        <w:trPr>
          <w:trHeight w:val="201"/>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operating lease liabilities</w:t>
            </w:r>
          </w:p>
        </w:tc>
        <w:tc>
          <w:tcPr>
            <w:tcW w:w="25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1,015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967</w:t>
            </w:r>
          </w:p>
        </w:tc>
      </w:tr>
      <w:tr>
        <w:trPr>
          <w:trHeight w:val="196"/>
        </w:trPr>
        <w:tc>
          <w:tcPr>
            <w:tcW w:w="50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Financing leases</w:t>
            </w:r>
          </w:p>
        </w:tc>
        <w:tc>
          <w:tcPr>
            <w:tcW w:w="25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1"/>
        </w:trPr>
        <w:tc>
          <w:tcPr>
            <w:tcW w:w="50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Property, plant and equipment</w:t>
            </w:r>
          </w:p>
        </w:tc>
        <w:tc>
          <w:tcPr>
            <w:tcW w:w="2540" w:type="dxa"/>
            <w:vAlign w:val="bottom"/>
            <w:tcBorders>
              <w:bottom w:val="single" w:sz="8" w:color="61656A"/>
            </w:tcBorders>
          </w:tcPr>
          <w:p>
            <w:pPr>
              <w:spacing w:after="0"/>
              <w:rPr>
                <w:sz w:val="16"/>
                <w:szCs w:val="16"/>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393</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383</w:t>
            </w:r>
          </w:p>
        </w:tc>
      </w:tr>
      <w:tr>
        <w:trPr>
          <w:trHeight w:val="196"/>
        </w:trPr>
        <w:tc>
          <w:tcPr>
            <w:tcW w:w="50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Accumulated depreciation</w:t>
            </w:r>
          </w:p>
        </w:tc>
        <w:tc>
          <w:tcPr>
            <w:tcW w:w="25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(187)</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(161)</w:t>
            </w:r>
          </w:p>
        </w:tc>
      </w:tr>
      <w:tr>
        <w:trPr>
          <w:trHeight w:val="201"/>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Property, plant and equipment—net</w:t>
            </w:r>
          </w:p>
        </w:tc>
        <w:tc>
          <w:tcPr>
            <w:tcW w:w="25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206</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222</w:t>
            </w:r>
          </w:p>
        </w:tc>
      </w:tr>
      <w:tr>
        <w:trPr>
          <w:trHeight w:val="191"/>
        </w:trPr>
        <w:tc>
          <w:tcPr>
            <w:tcW w:w="50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Current maturities of long-term debt</w:t>
            </w:r>
          </w:p>
        </w:tc>
        <w:tc>
          <w:tcPr>
            <w:tcW w:w="2540" w:type="dxa"/>
            <w:vAlign w:val="bottom"/>
            <w:tcBorders>
              <w:bottom w:val="single" w:sz="8" w:color="61656A"/>
            </w:tcBorders>
          </w:tcPr>
          <w:p>
            <w:pPr>
              <w:spacing w:after="0"/>
              <w:rPr>
                <w:sz w:val="16"/>
                <w:szCs w:val="16"/>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84</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w:t>
            </w:r>
          </w:p>
        </w:tc>
      </w:tr>
      <w:tr>
        <w:trPr>
          <w:trHeight w:val="196"/>
        </w:trPr>
        <w:tc>
          <w:tcPr>
            <w:tcW w:w="50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Long-term debt</w:t>
            </w:r>
          </w:p>
        </w:tc>
        <w:tc>
          <w:tcPr>
            <w:tcW w:w="25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112</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145</w:t>
            </w:r>
          </w:p>
        </w:tc>
      </w:tr>
      <w:tr>
        <w:trPr>
          <w:trHeight w:val="201"/>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financing lease liabilities</w:t>
            </w:r>
          </w:p>
        </w:tc>
        <w:tc>
          <w:tcPr>
            <w:tcW w:w="2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196</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222</w:t>
            </w:r>
          </w:p>
        </w:tc>
      </w:tr>
    </w:tbl>
    <w:p>
      <w:pPr>
        <w:spacing w:after="0" w:line="354" w:lineRule="exact"/>
        <w:rPr>
          <w:sz w:val="20"/>
          <w:szCs w:val="20"/>
          <w:color w:val="auto"/>
        </w:rPr>
      </w:pPr>
    </w:p>
    <w:p>
      <w:pPr>
        <w:spacing w:after="0"/>
        <w:rPr>
          <w:sz w:val="20"/>
          <w:szCs w:val="20"/>
          <w:color w:val="auto"/>
        </w:rPr>
      </w:pPr>
      <w:r>
        <w:rPr>
          <w:rFonts w:ascii="Arial" w:cs="Arial" w:eastAsia="Arial" w:hAnsi="Arial"/>
          <w:sz w:val="29"/>
          <w:szCs w:val="29"/>
          <w:color w:val="D7282F"/>
        </w:rPr>
        <w:t>NOTE 10. DERIVATIVE INSTRUMENTS AND HEDGING TRANSACTIONS</w:t>
      </w:r>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Honeywell's foreign currency, interest rate, credit, and commodity price risk management policies are described in Note 11 Derivative Instruments and Hedging Transactions of Notes to Consolidated Financial Statements in the Company's 2022 Annual Report on Form 10-K.</w:t>
      </w:r>
    </w:p>
    <w:p>
      <w:pPr>
        <w:spacing w:after="0" w:line="7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following table summarizes the notional amounts and fair values of the Company’s outstanding derivatives by risk category and instrument type within the Consolidated Balance Sheet as of September 30, 2023, and December 31, 2022: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20" w:type="dxa"/>
            <w:vAlign w:val="bottom"/>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gridSpan w:val="2"/>
          </w:tcPr>
          <w:p>
            <w:pPr>
              <w:jc w:val="right"/>
              <w:ind w:right="28"/>
              <w:spacing w:after="0"/>
              <w:rPr>
                <w:sz w:val="20"/>
                <w:szCs w:val="20"/>
                <w:color w:val="auto"/>
              </w:rPr>
            </w:pPr>
            <w:r>
              <w:rPr>
                <w:rFonts w:ascii="Arial" w:cs="Arial" w:eastAsia="Arial" w:hAnsi="Arial"/>
                <w:sz w:val="14"/>
                <w:szCs w:val="14"/>
                <w:b w:val="1"/>
                <w:bCs w:val="1"/>
                <w:color w:val="auto"/>
              </w:rPr>
              <w:t>Notional</w:t>
            </w:r>
          </w:p>
        </w:tc>
        <w:tc>
          <w:tcPr>
            <w:tcW w:w="80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800" w:type="dxa"/>
            <w:vAlign w:val="bottom"/>
            <w:tcBorders>
              <w:bottom w:val="single" w:sz="8" w:color="D7282F"/>
            </w:tcBorders>
            <w:gridSpan w:val="2"/>
          </w:tcPr>
          <w:p>
            <w:pPr>
              <w:jc w:val="right"/>
              <w:ind w:right="228"/>
              <w:spacing w:after="0"/>
              <w:rPr>
                <w:sz w:val="20"/>
                <w:szCs w:val="20"/>
                <w:color w:val="auto"/>
              </w:rPr>
            </w:pPr>
            <w:r>
              <w:rPr>
                <w:rFonts w:ascii="Arial" w:cs="Arial" w:eastAsia="Arial" w:hAnsi="Arial"/>
                <w:sz w:val="14"/>
                <w:szCs w:val="14"/>
                <w:b w:val="1"/>
                <w:bCs w:val="1"/>
                <w:color w:val="auto"/>
              </w:rPr>
              <w:t>Fair Value Asset</w:t>
            </w:r>
          </w:p>
        </w:tc>
        <w:tc>
          <w:tcPr>
            <w:tcW w:w="34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780" w:type="dxa"/>
            <w:vAlign w:val="bottom"/>
            <w:tcBorders>
              <w:bottom w:val="single" w:sz="8" w:color="D7282F"/>
            </w:tcBorders>
            <w:gridSpan w:val="2"/>
          </w:tcPr>
          <w:p>
            <w:pPr>
              <w:jc w:val="right"/>
              <w:ind w:right="68"/>
              <w:spacing w:after="0"/>
              <w:rPr>
                <w:sz w:val="20"/>
                <w:szCs w:val="20"/>
                <w:color w:val="auto"/>
              </w:rPr>
            </w:pPr>
            <w:r>
              <w:rPr>
                <w:rFonts w:ascii="Arial" w:cs="Arial" w:eastAsia="Arial" w:hAnsi="Arial"/>
                <w:sz w:val="14"/>
                <w:szCs w:val="14"/>
                <w:b w:val="1"/>
                <w:bCs w:val="1"/>
                <w:color w:val="auto"/>
              </w:rPr>
              <w:t>Fair Value (Liability)</w:t>
            </w:r>
          </w:p>
        </w:tc>
        <w:tc>
          <w:tcPr>
            <w:tcW w:w="3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620" w:type="dxa"/>
            <w:vAlign w:val="bottom"/>
          </w:tcPr>
          <w:p>
            <w:pPr>
              <w:spacing w:after="0"/>
              <w:rPr>
                <w:sz w:val="14"/>
                <w:szCs w:val="14"/>
                <w:color w:val="auto"/>
              </w:rPr>
            </w:pPr>
          </w:p>
        </w:tc>
        <w:tc>
          <w:tcPr>
            <w:tcW w:w="11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fair value hedging relationships</w:t>
            </w:r>
          </w:p>
        </w:tc>
        <w:tc>
          <w:tcPr>
            <w:tcW w:w="240" w:type="dxa"/>
            <w:vAlign w:val="bottom"/>
            <w:tcBorders>
              <w:bottom w:val="single" w:sz="8" w:color="61656A"/>
            </w:tcBorders>
          </w:tcPr>
          <w:p>
            <w:pPr>
              <w:spacing w:after="0"/>
              <w:rPr>
                <w:sz w:val="19"/>
                <w:szCs w:val="19"/>
                <w:color w:val="auto"/>
              </w:rPr>
            </w:pPr>
          </w:p>
        </w:tc>
        <w:tc>
          <w:tcPr>
            <w:tcW w:w="940" w:type="dxa"/>
            <w:vAlign w:val="bottom"/>
            <w:tcBorders>
              <w:bottom w:val="single" w:sz="8" w:color="61656A"/>
            </w:tcBorders>
          </w:tcPr>
          <w:p>
            <w:pPr>
              <w:spacing w:after="0"/>
              <w:rPr>
                <w:sz w:val="19"/>
                <w:szCs w:val="19"/>
                <w:color w:val="auto"/>
              </w:rPr>
            </w:pPr>
          </w:p>
        </w:tc>
        <w:tc>
          <w:tcPr>
            <w:tcW w:w="400" w:type="dxa"/>
            <w:vAlign w:val="bottom"/>
            <w:tcBorders>
              <w:bottom w:val="single" w:sz="8" w:color="61656A"/>
            </w:tcBorders>
          </w:tcPr>
          <w:p>
            <w:pPr>
              <w:spacing w:after="0"/>
              <w:rPr>
                <w:sz w:val="19"/>
                <w:szCs w:val="19"/>
                <w:color w:val="auto"/>
              </w:rPr>
            </w:pPr>
          </w:p>
        </w:tc>
        <w:tc>
          <w:tcPr>
            <w:tcW w:w="800" w:type="dxa"/>
            <w:vAlign w:val="bottom"/>
            <w:tcBorders>
              <w:bottom w:val="single" w:sz="8" w:color="61656A"/>
            </w:tcBorders>
          </w:tcPr>
          <w:p>
            <w:pPr>
              <w:spacing w:after="0"/>
              <w:rPr>
                <w:sz w:val="19"/>
                <w:szCs w:val="19"/>
                <w:color w:val="auto"/>
              </w:rPr>
            </w:pPr>
          </w:p>
        </w:tc>
        <w:tc>
          <w:tcPr>
            <w:tcW w:w="240" w:type="dxa"/>
            <w:vAlign w:val="bottom"/>
            <w:tcBorders>
              <w:bottom w:val="single" w:sz="8" w:color="61656A"/>
            </w:tcBorders>
          </w:tcPr>
          <w:p>
            <w:pPr>
              <w:spacing w:after="0"/>
              <w:rPr>
                <w:sz w:val="19"/>
                <w:szCs w:val="19"/>
                <w:color w:val="auto"/>
              </w:rPr>
            </w:pPr>
          </w:p>
        </w:tc>
        <w:tc>
          <w:tcPr>
            <w:tcW w:w="240" w:type="dxa"/>
            <w:vAlign w:val="bottom"/>
            <w:tcBorders>
              <w:bottom w:val="single" w:sz="8" w:color="61656A"/>
            </w:tcBorders>
          </w:tcPr>
          <w:p>
            <w:pPr>
              <w:spacing w:after="0"/>
              <w:rPr>
                <w:sz w:val="19"/>
                <w:szCs w:val="19"/>
                <w:color w:val="auto"/>
              </w:rPr>
            </w:pPr>
          </w:p>
        </w:tc>
        <w:tc>
          <w:tcPr>
            <w:tcW w:w="940" w:type="dxa"/>
            <w:vAlign w:val="bottom"/>
            <w:tcBorders>
              <w:bottom w:val="single" w:sz="8" w:color="61656A"/>
            </w:tcBorders>
          </w:tcPr>
          <w:p>
            <w:pPr>
              <w:spacing w:after="0"/>
              <w:rPr>
                <w:sz w:val="19"/>
                <w:szCs w:val="19"/>
                <w:color w:val="auto"/>
              </w:rPr>
            </w:pPr>
          </w:p>
        </w:tc>
        <w:tc>
          <w:tcPr>
            <w:tcW w:w="860" w:type="dxa"/>
            <w:vAlign w:val="bottom"/>
            <w:tcBorders>
              <w:bottom w:val="single" w:sz="8" w:color="61656A"/>
            </w:tcBorders>
          </w:tcPr>
          <w:p>
            <w:pPr>
              <w:spacing w:after="0"/>
              <w:rPr>
                <w:sz w:val="19"/>
                <w:szCs w:val="19"/>
                <w:color w:val="auto"/>
              </w:rPr>
            </w:pPr>
          </w:p>
        </w:tc>
        <w:tc>
          <w:tcPr>
            <w:tcW w:w="340" w:type="dxa"/>
            <w:vAlign w:val="bottom"/>
            <w:tcBorders>
              <w:bottom w:val="single" w:sz="8" w:color="61656A"/>
            </w:tcBorders>
          </w:tcPr>
          <w:p>
            <w:pPr>
              <w:spacing w:after="0"/>
              <w:rPr>
                <w:sz w:val="19"/>
                <w:szCs w:val="19"/>
                <w:color w:val="auto"/>
              </w:rPr>
            </w:pPr>
          </w:p>
        </w:tc>
        <w:tc>
          <w:tcPr>
            <w:tcW w:w="240" w:type="dxa"/>
            <w:vAlign w:val="bottom"/>
            <w:tcBorders>
              <w:bottom w:val="single" w:sz="8" w:color="61656A"/>
            </w:tcBorders>
          </w:tcPr>
          <w:p>
            <w:pPr>
              <w:spacing w:after="0"/>
              <w:rPr>
                <w:sz w:val="19"/>
                <w:szCs w:val="19"/>
                <w:color w:val="auto"/>
              </w:rPr>
            </w:pPr>
          </w:p>
        </w:tc>
        <w:tc>
          <w:tcPr>
            <w:tcW w:w="220" w:type="dxa"/>
            <w:vAlign w:val="bottom"/>
            <w:tcBorders>
              <w:bottom w:val="single" w:sz="8" w:color="61656A"/>
            </w:tcBorders>
          </w:tcPr>
          <w:p>
            <w:pPr>
              <w:spacing w:after="0"/>
              <w:rPr>
                <w:sz w:val="19"/>
                <w:szCs w:val="19"/>
                <w:color w:val="auto"/>
              </w:rPr>
            </w:pPr>
          </w:p>
        </w:tc>
        <w:tc>
          <w:tcPr>
            <w:tcW w:w="960" w:type="dxa"/>
            <w:vAlign w:val="bottom"/>
            <w:tcBorders>
              <w:bottom w:val="single" w:sz="8" w:color="61656A"/>
            </w:tcBorders>
          </w:tcPr>
          <w:p>
            <w:pPr>
              <w:spacing w:after="0"/>
              <w:rPr>
                <w:sz w:val="19"/>
                <w:szCs w:val="19"/>
                <w:color w:val="auto"/>
              </w:rPr>
            </w:pPr>
          </w:p>
        </w:tc>
        <w:tc>
          <w:tcPr>
            <w:tcW w:w="820" w:type="dxa"/>
            <w:vAlign w:val="bottom"/>
            <w:tcBorders>
              <w:bottom w:val="single" w:sz="8" w:color="61656A"/>
            </w:tcBorders>
          </w:tcPr>
          <w:p>
            <w:pPr>
              <w:spacing w:after="0"/>
              <w:rPr>
                <w:sz w:val="19"/>
                <w:szCs w:val="19"/>
                <w:color w:val="auto"/>
              </w:rPr>
            </w:pPr>
          </w:p>
        </w:tc>
        <w:tc>
          <w:tcPr>
            <w:tcW w:w="380" w:type="dxa"/>
            <w:vAlign w:val="bottom"/>
            <w:tcBorders>
              <w:bottom w:val="single" w:sz="8" w:color="61656A"/>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2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4,967</w:t>
            </w:r>
          </w:p>
        </w:tc>
        <w:tc>
          <w:tcPr>
            <w:tcW w:w="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4,984</w:t>
            </w:r>
          </w:p>
        </w:tc>
        <w:tc>
          <w:tcPr>
            <w:tcW w:w="2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5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w:t>
            </w:r>
          </w:p>
        </w:tc>
        <w:tc>
          <w:tcPr>
            <w:tcW w:w="24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(323)</w:t>
            </w:r>
          </w:p>
        </w:tc>
        <w:tc>
          <w:tcPr>
            <w:tcW w:w="820" w:type="dxa"/>
            <w:vAlign w:val="bottom"/>
            <w:tcBorders>
              <w:bottom w:val="single" w:sz="8" w:color="61656A"/>
            </w:tcBorders>
          </w:tcPr>
          <w:p>
            <w:pPr>
              <w:jc w:val="right"/>
              <w:ind w:right="5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201"/>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4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24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705</w:t>
            </w:r>
          </w:p>
        </w:tc>
        <w:tc>
          <w:tcPr>
            <w:tcW w:w="4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866</w:t>
            </w:r>
          </w:p>
        </w:tc>
        <w:tc>
          <w:tcPr>
            <w:tcW w:w="2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47</w:t>
            </w:r>
          </w:p>
        </w:tc>
        <w:tc>
          <w:tcPr>
            <w:tcW w:w="86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w:t>
            </w:r>
          </w:p>
        </w:tc>
        <w:tc>
          <w:tcPr>
            <w:tcW w:w="24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Commodity contracts</w:t>
            </w:r>
          </w:p>
        </w:tc>
        <w:tc>
          <w:tcPr>
            <w:tcW w:w="24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w:t>
            </w:r>
          </w:p>
        </w:tc>
        <w:tc>
          <w:tcPr>
            <w:tcW w:w="4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1"/>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24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6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4,189</w:t>
            </w: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3,189</w:t>
            </w:r>
          </w:p>
        </w:tc>
        <w:tc>
          <w:tcPr>
            <w:tcW w:w="2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44</w:t>
            </w:r>
          </w:p>
        </w:tc>
        <w:tc>
          <w:tcPr>
            <w:tcW w:w="86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90</w:t>
            </w:r>
          </w:p>
        </w:tc>
        <w:tc>
          <w:tcPr>
            <w:tcW w:w="24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tcPr>
          <w:p>
            <w:pPr>
              <w:ind w:left="240"/>
              <w:spacing w:after="0" w:line="148" w:lineRule="exact"/>
              <w:rPr>
                <w:sz w:val="20"/>
                <w:szCs w:val="20"/>
                <w:color w:val="auto"/>
              </w:rPr>
            </w:pPr>
            <w:r>
              <w:rPr>
                <w:rFonts w:ascii="Arial" w:cs="Arial" w:eastAsia="Arial" w:hAnsi="Arial"/>
                <w:sz w:val="14"/>
                <w:szCs w:val="14"/>
                <w:b w:val="1"/>
                <w:bCs w:val="1"/>
                <w:color w:val="auto"/>
              </w:rPr>
              <w:t>Total derivatives designated as hedging</w:t>
            </w:r>
          </w:p>
        </w:tc>
        <w:tc>
          <w:tcPr>
            <w:tcW w:w="240" w:type="dxa"/>
            <w:vAlign w:val="bottom"/>
          </w:tcPr>
          <w:p>
            <w:pPr>
              <w:spacing w:after="0"/>
              <w:rPr>
                <w:sz w:val="12"/>
                <w:szCs w:val="12"/>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9,868</w:t>
            </w:r>
          </w:p>
        </w:tc>
        <w:tc>
          <w:tcPr>
            <w:tcW w:w="4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9,048</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91</w:t>
            </w:r>
          </w:p>
        </w:tc>
        <w:tc>
          <w:tcPr>
            <w:tcW w:w="8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(323)</w:t>
            </w:r>
          </w:p>
        </w:tc>
        <w:tc>
          <w:tcPr>
            <w:tcW w:w="8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(309)</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instruments</w:t>
            </w: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86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vMerge w:val="continue"/>
          </w:tcPr>
          <w:p>
            <w:pPr>
              <w:spacing w:after="0"/>
              <w:rPr>
                <w:sz w:val="16"/>
                <w:szCs w:val="16"/>
                <w:color w:val="auto"/>
              </w:rPr>
            </w:pP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4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9,256</w:t>
            </w: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9,679</w:t>
            </w:r>
          </w:p>
        </w:tc>
        <w:tc>
          <w:tcPr>
            <w:tcW w:w="2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w:t>
            </w:r>
          </w:p>
        </w:tc>
        <w:tc>
          <w:tcPr>
            <w:tcW w:w="86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74</w:t>
            </w:r>
          </w:p>
        </w:tc>
        <w:tc>
          <w:tcPr>
            <w:tcW w:w="24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(22)</w:t>
            </w: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1"/>
        </w:trPr>
        <w:tc>
          <w:tcPr>
            <w:tcW w:w="362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derivatives at fair value</w:t>
            </w:r>
          </w:p>
        </w:tc>
        <w:tc>
          <w:tcPr>
            <w:tcW w:w="2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19,124</w:t>
            </w:r>
          </w:p>
        </w:tc>
        <w:tc>
          <w:tcPr>
            <w:tcW w:w="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18,727</w:t>
            </w:r>
          </w:p>
        </w:tc>
        <w:tc>
          <w:tcPr>
            <w:tcW w:w="2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98</w:t>
            </w:r>
          </w:p>
        </w:tc>
        <w:tc>
          <w:tcPr>
            <w:tcW w:w="860" w:type="dxa"/>
            <w:vAlign w:val="bottom"/>
            <w:tcBorders>
              <w:bottom w:val="single" w:sz="8" w:color="D7282F"/>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199</w:t>
            </w:r>
          </w:p>
        </w:tc>
        <w:tc>
          <w:tcPr>
            <w:tcW w:w="24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(345)</w:t>
            </w:r>
          </w:p>
        </w:tc>
        <w:tc>
          <w:tcPr>
            <w:tcW w:w="820" w:type="dxa"/>
            <w:vAlign w:val="bottom"/>
            <w:tcBorders>
              <w:bottom w:val="single" w:sz="8" w:color="D7282F"/>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(312)</w:t>
            </w:r>
          </w:p>
        </w:tc>
        <w:tc>
          <w:tcPr>
            <w:tcW w:w="0" w:type="dxa"/>
            <w:vAlign w:val="bottom"/>
          </w:tcPr>
          <w:p>
            <w:pPr>
              <w:spacing w:after="0"/>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All derivative assets are presented in Other current assets or Other assets. All derivative liabilities are presented in Accrued liabilities or Other liabilities.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addition to the foreign currency derivative contracts designated as net investment hedges,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$5,880 million and $3,836 million as of September 30, 2023, and December 31, 2022, respectively.</w:t>
      </w:r>
    </w:p>
    <w:p>
      <w:pPr>
        <w:spacing w:after="0" w:line="200" w:lineRule="exact"/>
        <w:rPr>
          <w:sz w:val="20"/>
          <w:szCs w:val="20"/>
          <w:color w:val="auto"/>
        </w:rPr>
      </w:pPr>
    </w:p>
    <w:p>
      <w:pPr>
        <w:spacing w:after="0" w:line="219"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amounts recorded in the Consolidated Balance Sheet related to cumulative basis adjustments for fair value hedges: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4"/>
          </w:tcPr>
          <w:p>
            <w:pPr>
              <w:jc w:val="center"/>
              <w:spacing w:after="0"/>
              <w:rPr>
                <w:sz w:val="20"/>
                <w:szCs w:val="20"/>
                <w:color w:val="auto"/>
              </w:rPr>
            </w:pPr>
            <w:r>
              <w:rPr>
                <w:rFonts w:ascii="Arial" w:cs="Arial" w:eastAsia="Arial" w:hAnsi="Arial"/>
                <w:sz w:val="14"/>
                <w:szCs w:val="14"/>
                <w:b w:val="1"/>
                <w:bCs w:val="1"/>
                <w:color w:val="auto"/>
              </w:rPr>
              <w:t>Cumulative Amount of Fair Value</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rPr>
              <w:t>Hedging Adjustment Included in</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23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Carrying Amount of Hedged Item</w:t>
            </w:r>
          </w:p>
        </w:tc>
        <w:tc>
          <w:tcPr>
            <w:tcW w:w="2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3"/>
          </w:tcPr>
          <w:p>
            <w:pPr>
              <w:jc w:val="center"/>
              <w:ind w:right="28"/>
              <w:spacing w:after="0" w:line="148" w:lineRule="exact"/>
              <w:rPr>
                <w:sz w:val="20"/>
                <w:szCs w:val="20"/>
                <w:color w:val="auto"/>
              </w:rPr>
            </w:pPr>
            <w:r>
              <w:rPr>
                <w:rFonts w:ascii="Arial" w:cs="Arial" w:eastAsia="Arial" w:hAnsi="Arial"/>
                <w:sz w:val="14"/>
                <w:szCs w:val="14"/>
                <w:b w:val="1"/>
                <w:bCs w:val="1"/>
                <w:color w:val="auto"/>
              </w:rPr>
              <w:t>the Carrying Amount of Hedged</w:t>
            </w:r>
          </w:p>
        </w:tc>
        <w:tc>
          <w:tcPr>
            <w:tcW w:w="0" w:type="dxa"/>
            <w:vAlign w:val="bottom"/>
          </w:tcPr>
          <w:p>
            <w:pPr>
              <w:spacing w:after="0"/>
              <w:rPr>
                <w:sz w:val="1"/>
                <w:szCs w:val="1"/>
                <w:color w:val="auto"/>
              </w:rPr>
            </w:pPr>
          </w:p>
        </w:tc>
      </w:tr>
      <w:tr>
        <w:trPr>
          <w:trHeight w:val="189"/>
        </w:trPr>
        <w:tc>
          <w:tcPr>
            <w:tcW w:w="6240" w:type="dxa"/>
            <w:vAlign w:val="bottom"/>
          </w:tcPr>
          <w:p>
            <w:pPr>
              <w:spacing w:after="0"/>
              <w:rPr>
                <w:sz w:val="16"/>
                <w:szCs w:val="16"/>
                <w:color w:val="auto"/>
              </w:rPr>
            </w:pPr>
          </w:p>
        </w:tc>
        <w:tc>
          <w:tcPr>
            <w:tcW w:w="2380" w:type="dxa"/>
            <w:vAlign w:val="bottom"/>
            <w:tcBorders>
              <w:bottom w:val="single" w:sz="8" w:color="D7282F"/>
            </w:tcBorders>
            <w:gridSpan w:val="4"/>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1440" w:type="dxa"/>
            <w:vAlign w:val="bottom"/>
            <w:tcBorders>
              <w:bottom w:val="single" w:sz="8" w:color="D7282F"/>
            </w:tcBorders>
            <w:gridSpan w:val="2"/>
          </w:tcPr>
          <w:p>
            <w:pPr>
              <w:jc w:val="center"/>
              <w:ind w:left="668"/>
              <w:spacing w:after="0"/>
              <w:rPr>
                <w:sz w:val="20"/>
                <w:szCs w:val="20"/>
                <w:color w:val="auto"/>
              </w:rPr>
            </w:pPr>
            <w:r>
              <w:rPr>
                <w:rFonts w:ascii="Arial" w:cs="Arial" w:eastAsia="Arial" w:hAnsi="Arial"/>
                <w:sz w:val="14"/>
                <w:szCs w:val="14"/>
                <w:b w:val="1"/>
                <w:bCs w:val="1"/>
                <w:color w:val="auto"/>
              </w:rPr>
              <w:t>Item</w:t>
            </w:r>
          </w:p>
        </w:tc>
        <w:tc>
          <w:tcPr>
            <w:tcW w:w="84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18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62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0"/>
        </w:trPr>
        <w:tc>
          <w:tcPr>
            <w:tcW w:w="6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 debt</w:t>
            </w:r>
          </w:p>
        </w:tc>
        <w:tc>
          <w:tcPr>
            <w:tcW w:w="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4,644</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4,696</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(323)</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location and impact to the Consolidated Statement of Operations related to derivative instruments: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0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spacing w:after="0"/>
              <w:rPr>
                <w:sz w:val="17"/>
                <w:szCs w:val="17"/>
                <w:color w:val="auto"/>
              </w:rPr>
            </w:pPr>
          </w:p>
        </w:tc>
        <w:tc>
          <w:tcPr>
            <w:tcW w:w="294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 2023</w:t>
            </w:r>
          </w:p>
        </w:tc>
        <w:tc>
          <w:tcPr>
            <w:tcW w:w="22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228"/>
              <w:spacing w:after="0" w:line="143" w:lineRule="exact"/>
              <w:rPr>
                <w:sz w:val="20"/>
                <w:szCs w:val="20"/>
                <w:color w:val="auto"/>
              </w:rPr>
            </w:pPr>
            <w:r>
              <w:rPr>
                <w:rFonts w:ascii="Arial" w:cs="Arial" w:eastAsia="Arial" w:hAnsi="Arial"/>
                <w:sz w:val="14"/>
                <w:szCs w:val="14"/>
                <w:b w:val="1"/>
                <w:bCs w:val="1"/>
                <w:color w:val="auto"/>
              </w:rPr>
              <w:t>Selling,</w:t>
            </w:r>
          </w:p>
        </w:tc>
        <w:tc>
          <w:tcPr>
            <w:tcW w:w="22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 of</w:t>
            </w:r>
          </w:p>
        </w:tc>
        <w:tc>
          <w:tcPr>
            <w:tcW w:w="360" w:type="dxa"/>
            <w:vAlign w:val="bottom"/>
          </w:tcPr>
          <w:p>
            <w:pPr>
              <w:spacing w:after="0"/>
              <w:rPr>
                <w:sz w:val="12"/>
                <w:szCs w:val="12"/>
                <w:color w:val="auto"/>
              </w:rPr>
            </w:pPr>
          </w:p>
        </w:tc>
        <w:tc>
          <w:tcPr>
            <w:tcW w:w="96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36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rPr>
              <w:t>General and</w:t>
            </w: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248"/>
              <w:spacing w:after="0" w:line="148" w:lineRule="exact"/>
              <w:rPr>
                <w:sz w:val="20"/>
                <w:szCs w:val="20"/>
                <w:color w:val="auto"/>
              </w:rPr>
            </w:pPr>
            <w:r>
              <w:rPr>
                <w:rFonts w:ascii="Arial" w:cs="Arial" w:eastAsia="Arial" w:hAnsi="Arial"/>
                <w:sz w:val="14"/>
                <w:szCs w:val="14"/>
                <w:b w:val="1"/>
                <w:bCs w:val="1"/>
                <w:color w:val="auto"/>
              </w:rPr>
              <w:t>Administrative</w:t>
            </w:r>
          </w:p>
        </w:tc>
        <w:tc>
          <w:tcPr>
            <w:tcW w:w="220" w:type="dxa"/>
            <w:vAlign w:val="bottom"/>
          </w:tcPr>
          <w:p>
            <w:pPr>
              <w:spacing w:after="0"/>
              <w:rPr>
                <w:sz w:val="12"/>
                <w:szCs w:val="12"/>
                <w:color w:val="auto"/>
              </w:rPr>
            </w:pPr>
          </w:p>
        </w:tc>
        <w:tc>
          <w:tcPr>
            <w:tcW w:w="980" w:type="dxa"/>
            <w:vAlign w:val="bottom"/>
          </w:tcPr>
          <w:p>
            <w:pPr>
              <w:jc w:val="center"/>
              <w:ind w:right="188"/>
              <w:spacing w:after="0" w:line="148"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vMerge w:val="continue"/>
          </w:tcPr>
          <w:p>
            <w:pPr>
              <w:spacing w:after="0"/>
              <w:rPr>
                <w:sz w:val="16"/>
                <w:szCs w:val="16"/>
                <w:color w:val="auto"/>
              </w:rPr>
            </w:pPr>
          </w:p>
        </w:tc>
        <w:tc>
          <w:tcPr>
            <w:tcW w:w="122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Products Sold</w:t>
            </w:r>
          </w:p>
        </w:tc>
        <w:tc>
          <w:tcPr>
            <w:tcW w:w="1320" w:type="dxa"/>
            <w:vAlign w:val="bottom"/>
            <w:tcBorders>
              <w:bottom w:val="single" w:sz="8" w:color="D7282F"/>
            </w:tcBorders>
            <w:gridSpan w:val="2"/>
          </w:tcPr>
          <w:p>
            <w:pPr>
              <w:jc w:val="center"/>
              <w:ind w:left="28"/>
              <w:spacing w:after="0"/>
              <w:rPr>
                <w:sz w:val="20"/>
                <w:szCs w:val="20"/>
                <w:color w:val="auto"/>
              </w:rPr>
            </w:pPr>
            <w:r>
              <w:rPr>
                <w:rFonts w:ascii="Arial" w:cs="Arial" w:eastAsia="Arial" w:hAnsi="Arial"/>
                <w:sz w:val="14"/>
                <w:szCs w:val="14"/>
                <w:b w:val="1"/>
                <w:bCs w:val="1"/>
                <w:color w:val="auto"/>
              </w:rPr>
              <w:t>Services Sold</w:t>
            </w:r>
          </w:p>
        </w:tc>
        <w:tc>
          <w:tcPr>
            <w:tcW w:w="260" w:type="dxa"/>
            <w:vAlign w:val="bottom"/>
            <w:tcBorders>
              <w:bottom w:val="single" w:sz="8" w:color="D7282F"/>
            </w:tcBorders>
          </w:tcPr>
          <w:p>
            <w:pPr>
              <w:spacing w:after="0"/>
              <w:rPr>
                <w:sz w:val="16"/>
                <w:szCs w:val="16"/>
                <w:color w:val="auto"/>
              </w:rPr>
            </w:pPr>
          </w:p>
        </w:tc>
        <w:tc>
          <w:tcPr>
            <w:tcW w:w="1360" w:type="dxa"/>
            <w:vAlign w:val="bottom"/>
            <w:tcBorders>
              <w:bottom w:val="single" w:sz="8" w:color="D7282F"/>
            </w:tcBorders>
          </w:tcPr>
          <w:p>
            <w:pPr>
              <w:jc w:val="center"/>
              <w:ind w:right="228"/>
              <w:spacing w:after="0"/>
              <w:rPr>
                <w:sz w:val="20"/>
                <w:szCs w:val="20"/>
                <w:color w:val="auto"/>
              </w:rPr>
            </w:pPr>
            <w:r>
              <w:rPr>
                <w:rFonts w:ascii="Arial" w:cs="Arial" w:eastAsia="Arial" w:hAnsi="Arial"/>
                <w:sz w:val="14"/>
                <w:szCs w:val="14"/>
                <w:b w:val="1"/>
                <w:bCs w:val="1"/>
                <w:color w:val="auto"/>
              </w:rPr>
              <w:t>Expenses</w:t>
            </w:r>
          </w:p>
        </w:tc>
        <w:tc>
          <w:tcPr>
            <w:tcW w:w="22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0"/>
        </w:trPr>
        <w:tc>
          <w:tcPr>
            <w:tcW w:w="3740" w:type="dxa"/>
            <w:vAlign w:val="bottom"/>
            <w:tcBorders>
              <w:bottom w:val="single" w:sz="8" w:color="61656A"/>
            </w:tcBorders>
            <w:gridSpan w:val="2"/>
          </w:tcPr>
          <w:p>
            <w:pPr>
              <w:ind w:left="36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9,212</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4,090</w:t>
            </w:r>
          </w:p>
        </w:tc>
        <w:tc>
          <w:tcPr>
            <w:tcW w:w="3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1,580</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1,252</w:t>
            </w:r>
          </w:p>
        </w:tc>
        <w:tc>
          <w:tcPr>
            <w:tcW w:w="2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(247)</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01"/>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9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740" w:type="dxa"/>
            <w:vAlign w:val="bottom"/>
            <w:gridSpan w:val="2"/>
          </w:tcPr>
          <w:p>
            <w:pPr>
              <w:ind w:left="240"/>
              <w:spacing w:after="0" w:line="156" w:lineRule="exact"/>
              <w:rPr>
                <w:sz w:val="20"/>
                <w:szCs w:val="20"/>
                <w:color w:val="auto"/>
              </w:rPr>
            </w:pPr>
            <w:r>
              <w:rPr>
                <w:rFonts w:ascii="Arial" w:cs="Arial" w:eastAsia="Arial" w:hAnsi="Arial"/>
                <w:sz w:val="14"/>
                <w:szCs w:val="14"/>
                <w:color w:val="auto"/>
              </w:rPr>
              <w:t>Amount reclassified from accumulated other</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3"/>
                <w:szCs w:val="13"/>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36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3"/>
                <w:szCs w:val="13"/>
                <w:color w:val="auto"/>
              </w:rPr>
            </w:pPr>
          </w:p>
        </w:tc>
        <w:tc>
          <w:tcPr>
            <w:tcW w:w="1360" w:type="dxa"/>
            <w:vAlign w:val="bottom"/>
            <w:vMerge w:val="restart"/>
          </w:tcPr>
          <w:p>
            <w:pPr>
              <w:jc w:val="right"/>
              <w:ind w:right="168"/>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income (loss) into income</w:t>
            </w:r>
          </w:p>
        </w:tc>
        <w:tc>
          <w:tcPr>
            <w:tcW w:w="980" w:type="dxa"/>
            <w:vAlign w:val="bottom"/>
            <w:tcBorders>
              <w:bottom w:val="single" w:sz="8" w:color="61656A"/>
            </w:tcBorders>
            <w:vMerge w:val="continue"/>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900" w:type="dxa"/>
            <w:vAlign w:val="bottom"/>
            <w:tcBorders>
              <w:bottom w:val="single" w:sz="8" w:color="61656A"/>
            </w:tcBorders>
            <w:vMerge w:val="continue"/>
          </w:tcPr>
          <w:p>
            <w:pPr>
              <w:spacing w:after="0"/>
              <w:rPr>
                <w:sz w:val="15"/>
                <w:szCs w:val="15"/>
                <w:color w:val="auto"/>
              </w:rPr>
            </w:pPr>
          </w:p>
        </w:tc>
        <w:tc>
          <w:tcPr>
            <w:tcW w:w="360" w:type="dxa"/>
            <w:vAlign w:val="bottom"/>
            <w:tcBorders>
              <w:bottom w:val="single" w:sz="8" w:color="61656A"/>
            </w:tcBorders>
          </w:tcPr>
          <w:p>
            <w:pPr>
              <w:spacing w:after="0"/>
              <w:rPr>
                <w:sz w:val="15"/>
                <w:szCs w:val="15"/>
                <w:color w:val="auto"/>
              </w:rPr>
            </w:pPr>
          </w:p>
        </w:tc>
        <w:tc>
          <w:tcPr>
            <w:tcW w:w="960" w:type="dxa"/>
            <w:vAlign w:val="bottom"/>
            <w:tcBorders>
              <w:bottom w:val="single" w:sz="8" w:color="61656A"/>
            </w:tcBorders>
            <w:vMerge w:val="continue"/>
          </w:tcPr>
          <w:p>
            <w:pPr>
              <w:spacing w:after="0"/>
              <w:rPr>
                <w:sz w:val="15"/>
                <w:szCs w:val="15"/>
                <w:color w:val="auto"/>
              </w:rPr>
            </w:pPr>
          </w:p>
        </w:tc>
        <w:tc>
          <w:tcPr>
            <w:tcW w:w="260" w:type="dxa"/>
            <w:vAlign w:val="bottom"/>
            <w:tcBorders>
              <w:bottom w:val="single" w:sz="8" w:color="61656A"/>
            </w:tcBorders>
          </w:tcPr>
          <w:p>
            <w:pPr>
              <w:spacing w:after="0"/>
              <w:rPr>
                <w:sz w:val="15"/>
                <w:szCs w:val="15"/>
                <w:color w:val="auto"/>
              </w:rPr>
            </w:pPr>
          </w:p>
        </w:tc>
        <w:tc>
          <w:tcPr>
            <w:tcW w:w="1360" w:type="dxa"/>
            <w:vAlign w:val="bottom"/>
            <w:tcBorders>
              <w:bottom w:val="single" w:sz="8" w:color="61656A"/>
            </w:tcBorders>
            <w:vMerge w:val="continue"/>
          </w:tcPr>
          <w:p>
            <w:pPr>
              <w:spacing w:after="0"/>
              <w:rPr>
                <w:sz w:val="15"/>
                <w:szCs w:val="15"/>
                <w:color w:val="auto"/>
              </w:rPr>
            </w:pPr>
          </w:p>
        </w:tc>
        <w:tc>
          <w:tcPr>
            <w:tcW w:w="220" w:type="dxa"/>
            <w:vAlign w:val="bottom"/>
            <w:tcBorders>
              <w:bottom w:val="single" w:sz="8" w:color="61656A"/>
            </w:tcBorders>
          </w:tcPr>
          <w:p>
            <w:pPr>
              <w:spacing w:after="0"/>
              <w:rPr>
                <w:sz w:val="15"/>
                <w:szCs w:val="15"/>
                <w:color w:val="auto"/>
              </w:rPr>
            </w:pPr>
          </w:p>
        </w:tc>
        <w:tc>
          <w:tcPr>
            <w:tcW w:w="980" w:type="dxa"/>
            <w:vAlign w:val="bottom"/>
            <w:tcBorders>
              <w:bottom w:val="single" w:sz="8" w:color="61656A"/>
            </w:tcBorders>
            <w:vMerge w:val="continue"/>
          </w:tcPr>
          <w:p>
            <w:pPr>
              <w:spacing w:after="0"/>
              <w:rPr>
                <w:sz w:val="15"/>
                <w:szCs w:val="15"/>
                <w:color w:val="auto"/>
              </w:rPr>
            </w:pPr>
          </w:p>
        </w:tc>
        <w:tc>
          <w:tcPr>
            <w:tcW w:w="220" w:type="dxa"/>
            <w:vAlign w:val="bottom"/>
            <w:tcBorders>
              <w:bottom w:val="single" w:sz="8" w:color="61656A"/>
            </w:tcBorders>
          </w:tcPr>
          <w:p>
            <w:pPr>
              <w:spacing w:after="0"/>
              <w:rPr>
                <w:sz w:val="15"/>
                <w:szCs w:val="15"/>
                <w:color w:val="auto"/>
              </w:rPr>
            </w:pPr>
          </w:p>
        </w:tc>
        <w:tc>
          <w:tcPr>
            <w:tcW w:w="940" w:type="dxa"/>
            <w:vAlign w:val="bottom"/>
            <w:tcBorders>
              <w:bottom w:val="single" w:sz="8" w:color="61656A"/>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8"/>
        </w:trPr>
        <w:tc>
          <w:tcPr>
            <w:tcW w:w="3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Gain or (loss) on derivatives not designated as</w:t>
            </w: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4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3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212</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1"/>
        </w:trPr>
        <w:tc>
          <w:tcPr>
            <w:tcW w:w="3600" w:type="dxa"/>
            <w:vAlign w:val="bottom"/>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98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900" w:type="dxa"/>
            <w:vAlign w:val="bottom"/>
            <w:tcBorders>
              <w:bottom w:val="single" w:sz="8" w:color="D7282F"/>
            </w:tcBorders>
          </w:tcPr>
          <w:p>
            <w:pPr>
              <w:spacing w:after="0"/>
              <w:rPr>
                <w:sz w:val="24"/>
                <w:szCs w:val="24"/>
                <w:color w:val="auto"/>
              </w:rPr>
            </w:pPr>
          </w:p>
        </w:tc>
        <w:tc>
          <w:tcPr>
            <w:tcW w:w="294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 2022</w:t>
            </w:r>
          </w:p>
        </w:tc>
        <w:tc>
          <w:tcPr>
            <w:tcW w:w="220" w:type="dxa"/>
            <w:vAlign w:val="bottom"/>
            <w:tcBorders>
              <w:bottom w:val="single" w:sz="8" w:color="D7282F"/>
            </w:tcBorders>
          </w:tcPr>
          <w:p>
            <w:pPr>
              <w:spacing w:after="0"/>
              <w:rPr>
                <w:sz w:val="24"/>
                <w:szCs w:val="24"/>
                <w:color w:val="auto"/>
              </w:rPr>
            </w:pPr>
          </w:p>
        </w:tc>
        <w:tc>
          <w:tcPr>
            <w:tcW w:w="98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94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228"/>
              <w:spacing w:after="0" w:line="143" w:lineRule="exact"/>
              <w:rPr>
                <w:sz w:val="20"/>
                <w:szCs w:val="20"/>
                <w:color w:val="auto"/>
              </w:rPr>
            </w:pPr>
            <w:r>
              <w:rPr>
                <w:rFonts w:ascii="Arial" w:cs="Arial" w:eastAsia="Arial" w:hAnsi="Arial"/>
                <w:sz w:val="14"/>
                <w:szCs w:val="14"/>
                <w:b w:val="1"/>
                <w:bCs w:val="1"/>
                <w:color w:val="auto"/>
              </w:rPr>
              <w:t>Selling,</w:t>
            </w:r>
          </w:p>
        </w:tc>
        <w:tc>
          <w:tcPr>
            <w:tcW w:w="22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 of</w:t>
            </w:r>
          </w:p>
        </w:tc>
        <w:tc>
          <w:tcPr>
            <w:tcW w:w="360" w:type="dxa"/>
            <w:vAlign w:val="bottom"/>
          </w:tcPr>
          <w:p>
            <w:pPr>
              <w:spacing w:after="0"/>
              <w:rPr>
                <w:sz w:val="12"/>
                <w:szCs w:val="12"/>
                <w:color w:val="auto"/>
              </w:rPr>
            </w:pPr>
          </w:p>
        </w:tc>
        <w:tc>
          <w:tcPr>
            <w:tcW w:w="96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360" w:type="dxa"/>
            <w:vAlign w:val="bottom"/>
          </w:tcPr>
          <w:p>
            <w:pPr>
              <w:jc w:val="center"/>
              <w:ind w:right="228"/>
              <w:spacing w:after="0" w:line="148" w:lineRule="exact"/>
              <w:rPr>
                <w:sz w:val="20"/>
                <w:szCs w:val="20"/>
                <w:color w:val="auto"/>
              </w:rPr>
            </w:pPr>
            <w:r>
              <w:rPr>
                <w:rFonts w:ascii="Arial" w:cs="Arial" w:eastAsia="Arial" w:hAnsi="Arial"/>
                <w:sz w:val="14"/>
                <w:szCs w:val="14"/>
                <w:b w:val="1"/>
                <w:bCs w:val="1"/>
                <w:color w:val="auto"/>
              </w:rPr>
              <w:t>General and</w:t>
            </w: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rPr>
              <w:t>Administrative</w:t>
            </w:r>
          </w:p>
        </w:tc>
        <w:tc>
          <w:tcPr>
            <w:tcW w:w="220" w:type="dxa"/>
            <w:vAlign w:val="bottom"/>
          </w:tcPr>
          <w:p>
            <w:pPr>
              <w:spacing w:after="0"/>
              <w:rPr>
                <w:sz w:val="12"/>
                <w:szCs w:val="12"/>
                <w:color w:val="auto"/>
              </w:rPr>
            </w:pPr>
          </w:p>
        </w:tc>
        <w:tc>
          <w:tcPr>
            <w:tcW w:w="9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vMerge w:val="continue"/>
          </w:tcPr>
          <w:p>
            <w:pPr>
              <w:spacing w:after="0"/>
              <w:rPr>
                <w:sz w:val="16"/>
                <w:szCs w:val="16"/>
                <w:color w:val="auto"/>
              </w:rPr>
            </w:pPr>
          </w:p>
        </w:tc>
        <w:tc>
          <w:tcPr>
            <w:tcW w:w="122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Products Sold</w:t>
            </w:r>
          </w:p>
        </w:tc>
        <w:tc>
          <w:tcPr>
            <w:tcW w:w="1320" w:type="dxa"/>
            <w:vAlign w:val="bottom"/>
            <w:tcBorders>
              <w:bottom w:val="single" w:sz="8" w:color="D7282F"/>
            </w:tcBorders>
            <w:gridSpan w:val="2"/>
          </w:tcPr>
          <w:p>
            <w:pPr>
              <w:jc w:val="center"/>
              <w:ind w:left="28"/>
              <w:spacing w:after="0"/>
              <w:rPr>
                <w:sz w:val="20"/>
                <w:szCs w:val="20"/>
                <w:color w:val="auto"/>
              </w:rPr>
            </w:pPr>
            <w:r>
              <w:rPr>
                <w:rFonts w:ascii="Arial" w:cs="Arial" w:eastAsia="Arial" w:hAnsi="Arial"/>
                <w:sz w:val="14"/>
                <w:szCs w:val="14"/>
                <w:b w:val="1"/>
                <w:bCs w:val="1"/>
                <w:color w:val="auto"/>
              </w:rPr>
              <w:t>Services Sold</w:t>
            </w:r>
          </w:p>
        </w:tc>
        <w:tc>
          <w:tcPr>
            <w:tcW w:w="260" w:type="dxa"/>
            <w:vAlign w:val="bottom"/>
            <w:tcBorders>
              <w:bottom w:val="single" w:sz="8" w:color="D7282F"/>
            </w:tcBorders>
          </w:tcPr>
          <w:p>
            <w:pPr>
              <w:spacing w:after="0"/>
              <w:rPr>
                <w:sz w:val="16"/>
                <w:szCs w:val="16"/>
                <w:color w:val="auto"/>
              </w:rPr>
            </w:pPr>
          </w:p>
        </w:tc>
        <w:tc>
          <w:tcPr>
            <w:tcW w:w="1360" w:type="dxa"/>
            <w:vAlign w:val="bottom"/>
            <w:tcBorders>
              <w:bottom w:val="single" w:sz="8" w:color="D7282F"/>
            </w:tcBorders>
          </w:tcPr>
          <w:p>
            <w:pPr>
              <w:jc w:val="center"/>
              <w:ind w:right="228"/>
              <w:spacing w:after="0"/>
              <w:rPr>
                <w:sz w:val="20"/>
                <w:szCs w:val="20"/>
                <w:color w:val="auto"/>
              </w:rPr>
            </w:pPr>
            <w:r>
              <w:rPr>
                <w:rFonts w:ascii="Arial" w:cs="Arial" w:eastAsia="Arial" w:hAnsi="Arial"/>
                <w:sz w:val="14"/>
                <w:szCs w:val="14"/>
                <w:b w:val="1"/>
                <w:bCs w:val="1"/>
                <w:color w:val="auto"/>
              </w:rPr>
              <w:t>Expenses</w:t>
            </w:r>
          </w:p>
        </w:tc>
        <w:tc>
          <w:tcPr>
            <w:tcW w:w="22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0"/>
        </w:trPr>
        <w:tc>
          <w:tcPr>
            <w:tcW w:w="3740" w:type="dxa"/>
            <w:vAlign w:val="bottom"/>
            <w:tcBorders>
              <w:bottom w:val="single" w:sz="8" w:color="61656A"/>
            </w:tcBorders>
            <w:gridSpan w:val="2"/>
          </w:tcPr>
          <w:p>
            <w:pPr>
              <w:ind w:left="36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8,951</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4,286</w:t>
            </w:r>
          </w:p>
        </w:tc>
        <w:tc>
          <w:tcPr>
            <w:tcW w:w="3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1,308</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1,228</w:t>
            </w:r>
          </w:p>
        </w:tc>
        <w:tc>
          <w:tcPr>
            <w:tcW w:w="2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(337)</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01"/>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9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740" w:type="dxa"/>
            <w:vAlign w:val="bottom"/>
            <w:gridSpan w:val="2"/>
          </w:tcPr>
          <w:p>
            <w:pPr>
              <w:ind w:left="240"/>
              <w:spacing w:after="0" w:line="156" w:lineRule="exact"/>
              <w:rPr>
                <w:sz w:val="20"/>
                <w:szCs w:val="20"/>
                <w:color w:val="auto"/>
              </w:rPr>
            </w:pPr>
            <w:r>
              <w:rPr>
                <w:rFonts w:ascii="Arial" w:cs="Arial" w:eastAsia="Arial" w:hAnsi="Arial"/>
                <w:sz w:val="14"/>
                <w:szCs w:val="14"/>
                <w:color w:val="auto"/>
              </w:rPr>
              <w:t>Amount reclassified from accumulated other</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3"/>
                <w:szCs w:val="13"/>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20</w:t>
            </w:r>
          </w:p>
        </w:tc>
        <w:tc>
          <w:tcPr>
            <w:tcW w:w="36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3"/>
                <w:szCs w:val="13"/>
                <w:color w:val="auto"/>
              </w:rPr>
            </w:pPr>
          </w:p>
        </w:tc>
        <w:tc>
          <w:tcPr>
            <w:tcW w:w="1360" w:type="dxa"/>
            <w:vAlign w:val="bottom"/>
            <w:vMerge w:val="restart"/>
          </w:tcPr>
          <w:p>
            <w:pPr>
              <w:jc w:val="right"/>
              <w:ind w:right="128"/>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income (loss) into income</w:t>
            </w:r>
          </w:p>
        </w:tc>
        <w:tc>
          <w:tcPr>
            <w:tcW w:w="980" w:type="dxa"/>
            <w:vAlign w:val="bottom"/>
            <w:tcBorders>
              <w:bottom w:val="single" w:sz="8" w:color="61656A"/>
            </w:tcBorders>
            <w:vMerge w:val="continue"/>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900" w:type="dxa"/>
            <w:vAlign w:val="bottom"/>
            <w:tcBorders>
              <w:bottom w:val="single" w:sz="8" w:color="61656A"/>
            </w:tcBorders>
            <w:vMerge w:val="continue"/>
          </w:tcPr>
          <w:p>
            <w:pPr>
              <w:spacing w:after="0"/>
              <w:rPr>
                <w:sz w:val="15"/>
                <w:szCs w:val="15"/>
                <w:color w:val="auto"/>
              </w:rPr>
            </w:pPr>
          </w:p>
        </w:tc>
        <w:tc>
          <w:tcPr>
            <w:tcW w:w="360" w:type="dxa"/>
            <w:vAlign w:val="bottom"/>
            <w:tcBorders>
              <w:bottom w:val="single" w:sz="8" w:color="61656A"/>
            </w:tcBorders>
          </w:tcPr>
          <w:p>
            <w:pPr>
              <w:spacing w:after="0"/>
              <w:rPr>
                <w:sz w:val="15"/>
                <w:szCs w:val="15"/>
                <w:color w:val="auto"/>
              </w:rPr>
            </w:pPr>
          </w:p>
        </w:tc>
        <w:tc>
          <w:tcPr>
            <w:tcW w:w="960" w:type="dxa"/>
            <w:vAlign w:val="bottom"/>
            <w:tcBorders>
              <w:bottom w:val="single" w:sz="8" w:color="61656A"/>
            </w:tcBorders>
            <w:vMerge w:val="continue"/>
          </w:tcPr>
          <w:p>
            <w:pPr>
              <w:spacing w:after="0"/>
              <w:rPr>
                <w:sz w:val="15"/>
                <w:szCs w:val="15"/>
                <w:color w:val="auto"/>
              </w:rPr>
            </w:pPr>
          </w:p>
        </w:tc>
        <w:tc>
          <w:tcPr>
            <w:tcW w:w="260" w:type="dxa"/>
            <w:vAlign w:val="bottom"/>
            <w:tcBorders>
              <w:bottom w:val="single" w:sz="8" w:color="61656A"/>
            </w:tcBorders>
          </w:tcPr>
          <w:p>
            <w:pPr>
              <w:spacing w:after="0"/>
              <w:rPr>
                <w:sz w:val="15"/>
                <w:szCs w:val="15"/>
                <w:color w:val="auto"/>
              </w:rPr>
            </w:pPr>
          </w:p>
        </w:tc>
        <w:tc>
          <w:tcPr>
            <w:tcW w:w="1360" w:type="dxa"/>
            <w:vAlign w:val="bottom"/>
            <w:tcBorders>
              <w:bottom w:val="single" w:sz="8" w:color="61656A"/>
            </w:tcBorders>
            <w:vMerge w:val="continue"/>
          </w:tcPr>
          <w:p>
            <w:pPr>
              <w:spacing w:after="0"/>
              <w:rPr>
                <w:sz w:val="15"/>
                <w:szCs w:val="15"/>
                <w:color w:val="auto"/>
              </w:rPr>
            </w:pPr>
          </w:p>
        </w:tc>
        <w:tc>
          <w:tcPr>
            <w:tcW w:w="220" w:type="dxa"/>
            <w:vAlign w:val="bottom"/>
            <w:tcBorders>
              <w:bottom w:val="single" w:sz="8" w:color="61656A"/>
            </w:tcBorders>
          </w:tcPr>
          <w:p>
            <w:pPr>
              <w:spacing w:after="0"/>
              <w:rPr>
                <w:sz w:val="15"/>
                <w:szCs w:val="15"/>
                <w:color w:val="auto"/>
              </w:rPr>
            </w:pPr>
          </w:p>
        </w:tc>
        <w:tc>
          <w:tcPr>
            <w:tcW w:w="980" w:type="dxa"/>
            <w:vAlign w:val="bottom"/>
            <w:tcBorders>
              <w:bottom w:val="single" w:sz="8" w:color="61656A"/>
            </w:tcBorders>
            <w:vMerge w:val="continue"/>
          </w:tcPr>
          <w:p>
            <w:pPr>
              <w:spacing w:after="0"/>
              <w:rPr>
                <w:sz w:val="15"/>
                <w:szCs w:val="15"/>
                <w:color w:val="auto"/>
              </w:rPr>
            </w:pPr>
          </w:p>
        </w:tc>
        <w:tc>
          <w:tcPr>
            <w:tcW w:w="220" w:type="dxa"/>
            <w:vAlign w:val="bottom"/>
            <w:tcBorders>
              <w:bottom w:val="single" w:sz="8" w:color="61656A"/>
            </w:tcBorders>
          </w:tcPr>
          <w:p>
            <w:pPr>
              <w:spacing w:after="0"/>
              <w:rPr>
                <w:sz w:val="15"/>
                <w:szCs w:val="15"/>
                <w:color w:val="auto"/>
              </w:rPr>
            </w:pPr>
          </w:p>
        </w:tc>
        <w:tc>
          <w:tcPr>
            <w:tcW w:w="940" w:type="dxa"/>
            <w:vAlign w:val="bottom"/>
            <w:tcBorders>
              <w:bottom w:val="single" w:sz="8" w:color="61656A"/>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01"/>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net investment hedges</w:t>
            </w:r>
          </w:p>
        </w:tc>
        <w:tc>
          <w:tcPr>
            <w:tcW w:w="9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740" w:type="dxa"/>
            <w:vAlign w:val="bottom"/>
            <w:gridSpan w:val="2"/>
          </w:tcPr>
          <w:p>
            <w:pPr>
              <w:ind w:left="240"/>
              <w:spacing w:after="0" w:line="156" w:lineRule="exact"/>
              <w:rPr>
                <w:sz w:val="20"/>
                <w:szCs w:val="20"/>
                <w:color w:val="auto"/>
              </w:rPr>
            </w:pPr>
            <w:r>
              <w:rPr>
                <w:rFonts w:ascii="Arial" w:cs="Arial" w:eastAsia="Arial" w:hAnsi="Arial"/>
                <w:sz w:val="14"/>
                <w:szCs w:val="14"/>
                <w:color w:val="auto"/>
              </w:rPr>
              <w:t>Amount excluded from effectiveness testing</w:t>
            </w: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74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recognized in earnings using an amortization</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3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approach</w:t>
            </w:r>
          </w:p>
        </w:tc>
        <w:tc>
          <w:tcPr>
            <w:tcW w:w="98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vMerge w:val="continue"/>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74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Gain or (loss) on derivatives not designated as</w:t>
            </w: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4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3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402</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19</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2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900" w:type="dxa"/>
            <w:vAlign w:val="bottom"/>
            <w:tcBorders>
              <w:bottom w:val="single" w:sz="8" w:color="D7282F"/>
            </w:tcBorders>
            <w:gridSpan w:val="4"/>
          </w:tcPr>
          <w:p>
            <w:pPr>
              <w:jc w:val="right"/>
              <w:ind w:right="8"/>
              <w:spacing w:after="0"/>
              <w:rPr>
                <w:sz w:val="20"/>
                <w:szCs w:val="20"/>
                <w:color w:val="auto"/>
              </w:rPr>
            </w:pPr>
            <w:r>
              <w:rPr>
                <w:rFonts w:ascii="Arial" w:cs="Arial" w:eastAsia="Arial" w:hAnsi="Arial"/>
                <w:sz w:val="14"/>
                <w:szCs w:val="14"/>
                <w:b w:val="1"/>
                <w:bCs w:val="1"/>
                <w:color w:val="auto"/>
              </w:rPr>
              <w:t>Nine Months Ended September 30, 2023</w:t>
            </w:r>
          </w:p>
        </w:tc>
        <w:tc>
          <w:tcPr>
            <w:tcW w:w="24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208"/>
              <w:spacing w:after="0" w:line="143" w:lineRule="exact"/>
              <w:rPr>
                <w:sz w:val="20"/>
                <w:szCs w:val="20"/>
                <w:color w:val="auto"/>
              </w:rPr>
            </w:pPr>
            <w:r>
              <w:rPr>
                <w:rFonts w:ascii="Arial" w:cs="Arial" w:eastAsia="Arial" w:hAnsi="Arial"/>
                <w:sz w:val="14"/>
                <w:szCs w:val="14"/>
                <w:b w:val="1"/>
                <w:bCs w:val="1"/>
                <w:color w:val="auto"/>
              </w:rPr>
              <w:t>Selling,</w:t>
            </w:r>
          </w:p>
        </w:tc>
        <w:tc>
          <w:tcPr>
            <w:tcW w:w="24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 of</w:t>
            </w:r>
          </w:p>
        </w:tc>
        <w:tc>
          <w:tcPr>
            <w:tcW w:w="340" w:type="dxa"/>
            <w:vAlign w:val="bottom"/>
          </w:tcPr>
          <w:p>
            <w:pPr>
              <w:spacing w:after="0"/>
              <w:rPr>
                <w:sz w:val="12"/>
                <w:szCs w:val="12"/>
                <w:color w:val="auto"/>
              </w:rPr>
            </w:pPr>
          </w:p>
        </w:tc>
        <w:tc>
          <w:tcPr>
            <w:tcW w:w="96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340" w:type="dxa"/>
            <w:vAlign w:val="bottom"/>
          </w:tcPr>
          <w:p>
            <w:pPr>
              <w:jc w:val="center"/>
              <w:ind w:right="208"/>
              <w:spacing w:after="0" w:line="148" w:lineRule="exact"/>
              <w:rPr>
                <w:sz w:val="20"/>
                <w:szCs w:val="20"/>
                <w:color w:val="auto"/>
              </w:rPr>
            </w:pPr>
            <w:r>
              <w:rPr>
                <w:rFonts w:ascii="Arial" w:cs="Arial" w:eastAsia="Arial" w:hAnsi="Arial"/>
                <w:sz w:val="14"/>
                <w:szCs w:val="14"/>
                <w:b w:val="1"/>
                <w:bCs w:val="1"/>
                <w:color w:val="auto"/>
              </w:rPr>
              <w:t>General and</w:t>
            </w: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rPr>
              <w:t>Administrative</w:t>
            </w:r>
          </w:p>
        </w:tc>
        <w:tc>
          <w:tcPr>
            <w:tcW w:w="240" w:type="dxa"/>
            <w:vAlign w:val="bottom"/>
          </w:tcPr>
          <w:p>
            <w:pPr>
              <w:spacing w:after="0"/>
              <w:rPr>
                <w:sz w:val="12"/>
                <w:szCs w:val="12"/>
                <w:color w:val="auto"/>
              </w:rPr>
            </w:pPr>
          </w:p>
        </w:tc>
        <w:tc>
          <w:tcPr>
            <w:tcW w:w="9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vMerge w:val="continue"/>
          </w:tcPr>
          <w:p>
            <w:pPr>
              <w:spacing w:after="0"/>
              <w:rPr>
                <w:sz w:val="16"/>
                <w:szCs w:val="16"/>
                <w:color w:val="auto"/>
              </w:rPr>
            </w:pPr>
          </w:p>
        </w:tc>
        <w:tc>
          <w:tcPr>
            <w:tcW w:w="124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Products Sold</w:t>
            </w:r>
          </w:p>
        </w:tc>
        <w:tc>
          <w:tcPr>
            <w:tcW w:w="1300" w:type="dxa"/>
            <w:vAlign w:val="bottom"/>
            <w:tcBorders>
              <w:bottom w:val="single" w:sz="8" w:color="D7282F"/>
            </w:tcBorders>
            <w:gridSpan w:val="2"/>
          </w:tcPr>
          <w:p>
            <w:pPr>
              <w:jc w:val="center"/>
              <w:ind w:left="8"/>
              <w:spacing w:after="0"/>
              <w:rPr>
                <w:sz w:val="20"/>
                <w:szCs w:val="20"/>
                <w:color w:val="auto"/>
              </w:rPr>
            </w:pPr>
            <w:r>
              <w:rPr>
                <w:rFonts w:ascii="Arial" w:cs="Arial" w:eastAsia="Arial" w:hAnsi="Arial"/>
                <w:sz w:val="14"/>
                <w:szCs w:val="14"/>
                <w:b w:val="1"/>
                <w:bCs w:val="1"/>
                <w:color w:val="auto"/>
              </w:rPr>
              <w:t>Services Sold</w:t>
            </w:r>
          </w:p>
        </w:tc>
        <w:tc>
          <w:tcPr>
            <w:tcW w:w="260" w:type="dxa"/>
            <w:vAlign w:val="bottom"/>
            <w:tcBorders>
              <w:bottom w:val="single" w:sz="8" w:color="D7282F"/>
            </w:tcBorders>
          </w:tcPr>
          <w:p>
            <w:pPr>
              <w:spacing w:after="0"/>
              <w:rPr>
                <w:sz w:val="16"/>
                <w:szCs w:val="16"/>
                <w:color w:val="auto"/>
              </w:rPr>
            </w:pPr>
          </w:p>
        </w:tc>
        <w:tc>
          <w:tcPr>
            <w:tcW w:w="134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Expenses</w:t>
            </w:r>
          </w:p>
        </w:tc>
        <w:tc>
          <w:tcPr>
            <w:tcW w:w="2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0"/>
        </w:trPr>
        <w:tc>
          <w:tcPr>
            <w:tcW w:w="3760" w:type="dxa"/>
            <w:vAlign w:val="bottom"/>
            <w:tcBorders>
              <w:bottom w:val="single" w:sz="8" w:color="61656A"/>
            </w:tcBorders>
            <w:gridSpan w:val="2"/>
          </w:tcPr>
          <w:p>
            <w:pPr>
              <w:ind w:left="36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27,222</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12,291</w:t>
            </w:r>
          </w:p>
        </w:tc>
        <w:tc>
          <w:tcPr>
            <w:tcW w:w="3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4,503</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3,831</w:t>
            </w:r>
          </w:p>
        </w:tc>
        <w:tc>
          <w:tcPr>
            <w:tcW w:w="2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(715)</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201"/>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9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760" w:type="dxa"/>
            <w:vAlign w:val="bottom"/>
            <w:gridSpan w:val="2"/>
          </w:tcPr>
          <w:p>
            <w:pPr>
              <w:ind w:left="240"/>
              <w:spacing w:after="0" w:line="156" w:lineRule="exact"/>
              <w:rPr>
                <w:sz w:val="20"/>
                <w:szCs w:val="20"/>
                <w:color w:val="auto"/>
              </w:rPr>
            </w:pPr>
            <w:r>
              <w:rPr>
                <w:rFonts w:ascii="Arial" w:cs="Arial" w:eastAsia="Arial" w:hAnsi="Arial"/>
                <w:sz w:val="14"/>
                <w:szCs w:val="14"/>
                <w:color w:val="auto"/>
              </w:rPr>
              <w:t>Amount reclassified from accumulated other</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8</w:t>
            </w:r>
          </w:p>
        </w:tc>
        <w:tc>
          <w:tcPr>
            <w:tcW w:w="320" w:type="dxa"/>
            <w:vAlign w:val="bottom"/>
          </w:tcPr>
          <w:p>
            <w:pPr>
              <w:spacing w:after="0"/>
              <w:rPr>
                <w:sz w:val="13"/>
                <w:szCs w:val="13"/>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auto"/>
              </w:rPr>
              <w:t>19</w:t>
            </w:r>
          </w:p>
        </w:tc>
        <w:tc>
          <w:tcPr>
            <w:tcW w:w="34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3"/>
                <w:szCs w:val="13"/>
                <w:color w:val="auto"/>
              </w:rPr>
            </w:pPr>
          </w:p>
        </w:tc>
        <w:tc>
          <w:tcPr>
            <w:tcW w:w="1340" w:type="dxa"/>
            <w:vAlign w:val="bottom"/>
            <w:vMerge w:val="restart"/>
          </w:tcPr>
          <w:p>
            <w:pPr>
              <w:jc w:val="right"/>
              <w:ind w:right="148"/>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income (loss) into income</w:t>
            </w:r>
          </w:p>
        </w:tc>
        <w:tc>
          <w:tcPr>
            <w:tcW w:w="960" w:type="dxa"/>
            <w:vAlign w:val="bottom"/>
            <w:tcBorders>
              <w:bottom w:val="single" w:sz="8" w:color="61656A"/>
            </w:tcBorders>
            <w:vMerge w:val="continue"/>
          </w:tcPr>
          <w:p>
            <w:pPr>
              <w:spacing w:after="0"/>
              <w:rPr>
                <w:sz w:val="15"/>
                <w:szCs w:val="15"/>
                <w:color w:val="auto"/>
              </w:rPr>
            </w:pPr>
          </w:p>
        </w:tc>
        <w:tc>
          <w:tcPr>
            <w:tcW w:w="320" w:type="dxa"/>
            <w:vAlign w:val="bottom"/>
            <w:tcBorders>
              <w:bottom w:val="single" w:sz="8" w:color="61656A"/>
            </w:tcBorders>
          </w:tcPr>
          <w:p>
            <w:pPr>
              <w:spacing w:after="0"/>
              <w:rPr>
                <w:sz w:val="15"/>
                <w:szCs w:val="15"/>
                <w:color w:val="auto"/>
              </w:rPr>
            </w:pPr>
          </w:p>
        </w:tc>
        <w:tc>
          <w:tcPr>
            <w:tcW w:w="920" w:type="dxa"/>
            <w:vAlign w:val="bottom"/>
            <w:tcBorders>
              <w:bottom w:val="single" w:sz="8" w:color="61656A"/>
            </w:tcBorders>
            <w:vMerge w:val="continue"/>
          </w:tcPr>
          <w:p>
            <w:pPr>
              <w:spacing w:after="0"/>
              <w:rPr>
                <w:sz w:val="15"/>
                <w:szCs w:val="15"/>
                <w:color w:val="auto"/>
              </w:rPr>
            </w:pPr>
          </w:p>
        </w:tc>
        <w:tc>
          <w:tcPr>
            <w:tcW w:w="340" w:type="dxa"/>
            <w:vAlign w:val="bottom"/>
            <w:tcBorders>
              <w:bottom w:val="single" w:sz="8" w:color="61656A"/>
            </w:tcBorders>
          </w:tcPr>
          <w:p>
            <w:pPr>
              <w:spacing w:after="0"/>
              <w:rPr>
                <w:sz w:val="15"/>
                <w:szCs w:val="15"/>
                <w:color w:val="auto"/>
              </w:rPr>
            </w:pPr>
          </w:p>
        </w:tc>
        <w:tc>
          <w:tcPr>
            <w:tcW w:w="960" w:type="dxa"/>
            <w:vAlign w:val="bottom"/>
            <w:tcBorders>
              <w:bottom w:val="single" w:sz="8" w:color="61656A"/>
            </w:tcBorders>
            <w:vMerge w:val="continue"/>
          </w:tcPr>
          <w:p>
            <w:pPr>
              <w:spacing w:after="0"/>
              <w:rPr>
                <w:sz w:val="15"/>
                <w:szCs w:val="15"/>
                <w:color w:val="auto"/>
              </w:rPr>
            </w:pPr>
          </w:p>
        </w:tc>
        <w:tc>
          <w:tcPr>
            <w:tcW w:w="260" w:type="dxa"/>
            <w:vAlign w:val="bottom"/>
            <w:tcBorders>
              <w:bottom w:val="single" w:sz="8" w:color="61656A"/>
            </w:tcBorders>
          </w:tcPr>
          <w:p>
            <w:pPr>
              <w:spacing w:after="0"/>
              <w:rPr>
                <w:sz w:val="15"/>
                <w:szCs w:val="15"/>
                <w:color w:val="auto"/>
              </w:rPr>
            </w:pPr>
          </w:p>
        </w:tc>
        <w:tc>
          <w:tcPr>
            <w:tcW w:w="1340" w:type="dxa"/>
            <w:vAlign w:val="bottom"/>
            <w:tcBorders>
              <w:bottom w:val="single" w:sz="8" w:color="61656A"/>
            </w:tcBorders>
            <w:vMerge w:val="continue"/>
          </w:tcPr>
          <w:p>
            <w:pPr>
              <w:spacing w:after="0"/>
              <w:rPr>
                <w:sz w:val="15"/>
                <w:szCs w:val="15"/>
                <w:color w:val="auto"/>
              </w:rPr>
            </w:pPr>
          </w:p>
        </w:tc>
        <w:tc>
          <w:tcPr>
            <w:tcW w:w="240" w:type="dxa"/>
            <w:vAlign w:val="bottom"/>
            <w:tcBorders>
              <w:bottom w:val="single" w:sz="8" w:color="61656A"/>
            </w:tcBorders>
          </w:tcPr>
          <w:p>
            <w:pPr>
              <w:spacing w:after="0"/>
              <w:rPr>
                <w:sz w:val="15"/>
                <w:szCs w:val="15"/>
                <w:color w:val="auto"/>
              </w:rPr>
            </w:pPr>
          </w:p>
        </w:tc>
        <w:tc>
          <w:tcPr>
            <w:tcW w:w="980" w:type="dxa"/>
            <w:vAlign w:val="bottom"/>
            <w:tcBorders>
              <w:bottom w:val="single" w:sz="8" w:color="61656A"/>
            </w:tcBorders>
            <w:vMerge w:val="continue"/>
          </w:tcPr>
          <w:p>
            <w:pPr>
              <w:spacing w:after="0"/>
              <w:rPr>
                <w:sz w:val="15"/>
                <w:szCs w:val="15"/>
                <w:color w:val="auto"/>
              </w:rPr>
            </w:pPr>
          </w:p>
        </w:tc>
        <w:tc>
          <w:tcPr>
            <w:tcW w:w="220" w:type="dxa"/>
            <w:vAlign w:val="bottom"/>
            <w:tcBorders>
              <w:bottom w:val="single" w:sz="8" w:color="61656A"/>
            </w:tcBorders>
          </w:tcPr>
          <w:p>
            <w:pPr>
              <w:spacing w:after="0"/>
              <w:rPr>
                <w:sz w:val="15"/>
                <w:szCs w:val="15"/>
                <w:color w:val="auto"/>
              </w:rPr>
            </w:pPr>
          </w:p>
        </w:tc>
        <w:tc>
          <w:tcPr>
            <w:tcW w:w="940" w:type="dxa"/>
            <w:vAlign w:val="bottom"/>
            <w:tcBorders>
              <w:bottom w:val="single" w:sz="8" w:color="61656A"/>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8"/>
        </w:trPr>
        <w:tc>
          <w:tcPr>
            <w:tcW w:w="3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Gain or (loss) on derivatives not designated as</w:t>
            </w: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3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63</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1"/>
        </w:trPr>
        <w:tc>
          <w:tcPr>
            <w:tcW w:w="3620" w:type="dxa"/>
            <w:vAlign w:val="bottom"/>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920" w:type="dxa"/>
            <w:vAlign w:val="bottom"/>
            <w:tcBorders>
              <w:bottom w:val="single" w:sz="8" w:color="D7282F"/>
            </w:tcBorders>
          </w:tcPr>
          <w:p>
            <w:pPr>
              <w:spacing w:after="0"/>
              <w:rPr>
                <w:sz w:val="24"/>
                <w:szCs w:val="24"/>
                <w:color w:val="auto"/>
              </w:rPr>
            </w:pPr>
          </w:p>
        </w:tc>
        <w:tc>
          <w:tcPr>
            <w:tcW w:w="2900" w:type="dxa"/>
            <w:vAlign w:val="bottom"/>
            <w:tcBorders>
              <w:bottom w:val="single" w:sz="8" w:color="D7282F"/>
            </w:tcBorders>
            <w:gridSpan w:val="4"/>
          </w:tcPr>
          <w:p>
            <w:pPr>
              <w:jc w:val="right"/>
              <w:ind w:right="8"/>
              <w:spacing w:after="0"/>
              <w:rPr>
                <w:sz w:val="20"/>
                <w:szCs w:val="20"/>
                <w:color w:val="auto"/>
              </w:rPr>
            </w:pPr>
            <w:r>
              <w:rPr>
                <w:rFonts w:ascii="Arial" w:cs="Arial" w:eastAsia="Arial" w:hAnsi="Arial"/>
                <w:sz w:val="14"/>
                <w:szCs w:val="14"/>
                <w:b w:val="1"/>
                <w:bCs w:val="1"/>
                <w:color w:val="auto"/>
              </w:rPr>
              <w:t>Nine Months Ended September 30, 2022</w:t>
            </w:r>
          </w:p>
        </w:tc>
        <w:tc>
          <w:tcPr>
            <w:tcW w:w="240" w:type="dxa"/>
            <w:vAlign w:val="bottom"/>
            <w:tcBorders>
              <w:bottom w:val="single" w:sz="8" w:color="D7282F"/>
            </w:tcBorders>
          </w:tcPr>
          <w:p>
            <w:pPr>
              <w:spacing w:after="0"/>
              <w:rPr>
                <w:sz w:val="24"/>
                <w:szCs w:val="24"/>
                <w:color w:val="auto"/>
              </w:rPr>
            </w:pPr>
          </w:p>
        </w:tc>
        <w:tc>
          <w:tcPr>
            <w:tcW w:w="98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94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208"/>
              <w:spacing w:after="0" w:line="143" w:lineRule="exact"/>
              <w:rPr>
                <w:sz w:val="20"/>
                <w:szCs w:val="20"/>
                <w:color w:val="auto"/>
              </w:rPr>
            </w:pPr>
            <w:r>
              <w:rPr>
                <w:rFonts w:ascii="Arial" w:cs="Arial" w:eastAsia="Arial" w:hAnsi="Arial"/>
                <w:sz w:val="14"/>
                <w:szCs w:val="14"/>
                <w:b w:val="1"/>
                <w:bCs w:val="1"/>
                <w:color w:val="auto"/>
              </w:rPr>
              <w:t>Selling,</w:t>
            </w:r>
          </w:p>
        </w:tc>
        <w:tc>
          <w:tcPr>
            <w:tcW w:w="24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 of</w:t>
            </w:r>
          </w:p>
        </w:tc>
        <w:tc>
          <w:tcPr>
            <w:tcW w:w="340" w:type="dxa"/>
            <w:vAlign w:val="bottom"/>
          </w:tcPr>
          <w:p>
            <w:pPr>
              <w:spacing w:after="0"/>
              <w:rPr>
                <w:sz w:val="12"/>
                <w:szCs w:val="12"/>
                <w:color w:val="auto"/>
              </w:rPr>
            </w:pPr>
          </w:p>
        </w:tc>
        <w:tc>
          <w:tcPr>
            <w:tcW w:w="96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34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rPr>
              <w:t>General and</w:t>
            </w: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rPr>
              <w:t>Administrative</w:t>
            </w:r>
          </w:p>
        </w:tc>
        <w:tc>
          <w:tcPr>
            <w:tcW w:w="240" w:type="dxa"/>
            <w:vAlign w:val="bottom"/>
          </w:tcPr>
          <w:p>
            <w:pPr>
              <w:spacing w:after="0"/>
              <w:rPr>
                <w:sz w:val="12"/>
                <w:szCs w:val="12"/>
                <w:color w:val="auto"/>
              </w:rPr>
            </w:pPr>
          </w:p>
        </w:tc>
        <w:tc>
          <w:tcPr>
            <w:tcW w:w="9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vMerge w:val="continue"/>
          </w:tcPr>
          <w:p>
            <w:pPr>
              <w:spacing w:after="0"/>
              <w:rPr>
                <w:sz w:val="16"/>
                <w:szCs w:val="16"/>
                <w:color w:val="auto"/>
              </w:rPr>
            </w:pPr>
          </w:p>
        </w:tc>
        <w:tc>
          <w:tcPr>
            <w:tcW w:w="124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Products Sold</w:t>
            </w:r>
          </w:p>
        </w:tc>
        <w:tc>
          <w:tcPr>
            <w:tcW w:w="1300" w:type="dxa"/>
            <w:vAlign w:val="bottom"/>
            <w:tcBorders>
              <w:bottom w:val="single" w:sz="8" w:color="D7282F"/>
            </w:tcBorders>
            <w:gridSpan w:val="2"/>
          </w:tcPr>
          <w:p>
            <w:pPr>
              <w:jc w:val="center"/>
              <w:ind w:left="8"/>
              <w:spacing w:after="0"/>
              <w:rPr>
                <w:sz w:val="20"/>
                <w:szCs w:val="20"/>
                <w:color w:val="auto"/>
              </w:rPr>
            </w:pPr>
            <w:r>
              <w:rPr>
                <w:rFonts w:ascii="Arial" w:cs="Arial" w:eastAsia="Arial" w:hAnsi="Arial"/>
                <w:sz w:val="14"/>
                <w:szCs w:val="14"/>
                <w:b w:val="1"/>
                <w:bCs w:val="1"/>
                <w:color w:val="auto"/>
              </w:rPr>
              <w:t>Services Sold</w:t>
            </w:r>
          </w:p>
        </w:tc>
        <w:tc>
          <w:tcPr>
            <w:tcW w:w="260" w:type="dxa"/>
            <w:vAlign w:val="bottom"/>
            <w:tcBorders>
              <w:bottom w:val="single" w:sz="8" w:color="D7282F"/>
            </w:tcBorders>
          </w:tcPr>
          <w:p>
            <w:pPr>
              <w:spacing w:after="0"/>
              <w:rPr>
                <w:sz w:val="16"/>
                <w:szCs w:val="16"/>
                <w:color w:val="auto"/>
              </w:rPr>
            </w:pPr>
          </w:p>
        </w:tc>
        <w:tc>
          <w:tcPr>
            <w:tcW w:w="134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Expenses</w:t>
            </w:r>
          </w:p>
        </w:tc>
        <w:tc>
          <w:tcPr>
            <w:tcW w:w="2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0"/>
        </w:trPr>
        <w:tc>
          <w:tcPr>
            <w:tcW w:w="3760" w:type="dxa"/>
            <w:vAlign w:val="bottom"/>
            <w:tcBorders>
              <w:bottom w:val="single" w:sz="8" w:color="61656A"/>
            </w:tcBorders>
            <w:gridSpan w:val="2"/>
          </w:tcPr>
          <w:p>
            <w:pPr>
              <w:ind w:left="36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26,280</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12,674</w:t>
            </w:r>
          </w:p>
        </w:tc>
        <w:tc>
          <w:tcPr>
            <w:tcW w:w="3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3,904</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3,965</w:t>
            </w:r>
          </w:p>
        </w:tc>
        <w:tc>
          <w:tcPr>
            <w:tcW w:w="2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(846)</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01"/>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9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760" w:type="dxa"/>
            <w:vAlign w:val="bottom"/>
            <w:gridSpan w:val="2"/>
          </w:tcPr>
          <w:p>
            <w:pPr>
              <w:ind w:left="240"/>
              <w:spacing w:after="0" w:line="148" w:lineRule="exact"/>
              <w:rPr>
                <w:sz w:val="20"/>
                <w:szCs w:val="20"/>
                <w:color w:val="auto"/>
              </w:rPr>
            </w:pPr>
            <w:r>
              <w:rPr>
                <w:rFonts w:ascii="Arial" w:cs="Arial" w:eastAsia="Arial" w:hAnsi="Arial"/>
                <w:sz w:val="14"/>
                <w:szCs w:val="14"/>
                <w:color w:val="auto"/>
              </w:rPr>
              <w:t>Amount reclassified from accumulated other</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2"/>
                <w:szCs w:val="12"/>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auto"/>
              </w:rPr>
              <w:t>32</w:t>
            </w:r>
          </w:p>
        </w:tc>
        <w:tc>
          <w:tcPr>
            <w:tcW w:w="34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2"/>
                <w:szCs w:val="12"/>
                <w:color w:val="auto"/>
              </w:rPr>
            </w:pPr>
          </w:p>
        </w:tc>
        <w:tc>
          <w:tcPr>
            <w:tcW w:w="1340" w:type="dxa"/>
            <w:vAlign w:val="bottom"/>
            <w:vMerge w:val="restart"/>
          </w:tcPr>
          <w:p>
            <w:pPr>
              <w:jc w:val="right"/>
              <w:ind w:right="108"/>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2"/>
                <w:szCs w:val="12"/>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income (loss) into income</w:t>
            </w:r>
          </w:p>
        </w:tc>
        <w:tc>
          <w:tcPr>
            <w:tcW w:w="96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vMerge w:val="continue"/>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9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201"/>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net investment hedges</w:t>
            </w:r>
          </w:p>
        </w:tc>
        <w:tc>
          <w:tcPr>
            <w:tcW w:w="9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760" w:type="dxa"/>
            <w:vAlign w:val="bottom"/>
            <w:gridSpan w:val="2"/>
          </w:tcPr>
          <w:p>
            <w:pPr>
              <w:ind w:left="240"/>
              <w:spacing w:after="0" w:line="148" w:lineRule="exact"/>
              <w:rPr>
                <w:sz w:val="20"/>
                <w:szCs w:val="20"/>
                <w:color w:val="auto"/>
              </w:rPr>
            </w:pPr>
            <w:r>
              <w:rPr>
                <w:rFonts w:ascii="Arial" w:cs="Arial" w:eastAsia="Arial" w:hAnsi="Arial"/>
                <w:sz w:val="14"/>
                <w:szCs w:val="14"/>
                <w:color w:val="auto"/>
              </w:rPr>
              <w:t>Amount excluded from effectiveness testing</w:t>
            </w: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76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recognized in earnings using an amortization</w:t>
            </w: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approach</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8"/>
        </w:trPr>
        <w:tc>
          <w:tcPr>
            <w:tcW w:w="37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Gain or (loss) on derivatives not designated as</w:t>
            </w: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3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749</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amounts of gain or (loss) on net investment hedges recognized in Accumulated other comprehensive income (loss):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236"/>
        </w:trPr>
        <w:tc>
          <w:tcPr>
            <w:tcW w:w="7100" w:type="dxa"/>
            <w:vAlign w:val="bottom"/>
            <w:tcBorders>
              <w:bottom w:val="single" w:sz="8" w:color="D7282F"/>
            </w:tcBorders>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76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D7282F"/>
            </w:tcBorders>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1"/>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long-term debt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157</w:t>
            </w:r>
          </w:p>
        </w:tc>
        <w:tc>
          <w:tcPr>
            <w:tcW w:w="3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207</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71</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474</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commercial paper</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68</w:t>
            </w: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41</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94</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Cross currency swap agreements</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69</w:t>
            </w: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97</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177</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Foreign currency exchange contracts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62</w:t>
            </w:r>
          </w:p>
        </w:tc>
      </w:tr>
    </w:tbl>
    <w:p>
      <w:pPr>
        <w:spacing w:after="0" w:line="200" w:lineRule="exact"/>
        <w:rPr>
          <w:sz w:val="20"/>
          <w:szCs w:val="20"/>
          <w:color w:val="auto"/>
        </w:rPr>
      </w:pPr>
    </w:p>
    <w:p>
      <w:pPr>
        <w:spacing w:after="0" w:line="29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20</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D7282F"/>
        </w:rPr>
        <w:t>NOTE 11. FAIR VALUE MEASUREMENTS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guidance for fair value measurements and disclosures establishes a three-level fair value hierarchy:</w:t>
      </w:r>
    </w:p>
    <w:p>
      <w:pPr>
        <w:spacing w:after="0" w:line="113"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6"/>
          <w:szCs w:val="16"/>
          <w:color w:val="D7282F"/>
        </w:rPr>
      </w:pPr>
      <w:r>
        <w:rPr>
          <w:rFonts w:ascii="Arial" w:cs="Arial" w:eastAsia="Arial" w:hAnsi="Arial"/>
          <w:sz w:val="16"/>
          <w:szCs w:val="16"/>
          <w:color w:val="auto"/>
        </w:rPr>
        <w:t>Level 1 - Inputs are based on quoted prices in active markets for identical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8"/>
        </w:numPr>
        <w:rPr>
          <w:rFonts w:ascii="Arial" w:cs="Arial" w:eastAsia="Arial" w:hAnsi="Arial"/>
          <w:sz w:val="16"/>
          <w:szCs w:val="16"/>
          <w:color w:val="D7282F"/>
        </w:rPr>
      </w:pPr>
      <w:r>
        <w:rPr>
          <w:rFonts w:ascii="Arial" w:cs="Arial" w:eastAsia="Arial" w:hAnsi="Arial"/>
          <w:sz w:val="16"/>
          <w:szCs w:val="16"/>
          <w:color w:val="auto"/>
        </w:rPr>
        <w:t>Level 2 - Inputs are based on observable inputs other than quoted prices in active markets for identical or similar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8"/>
        </w:numPr>
        <w:rPr>
          <w:rFonts w:ascii="Arial" w:cs="Arial" w:eastAsia="Arial" w:hAnsi="Arial"/>
          <w:sz w:val="16"/>
          <w:szCs w:val="16"/>
          <w:color w:val="D7282F"/>
        </w:rPr>
      </w:pPr>
      <w:r>
        <w:rPr>
          <w:rFonts w:ascii="Arial" w:cs="Arial" w:eastAsia="Arial" w:hAnsi="Arial"/>
          <w:sz w:val="16"/>
          <w:szCs w:val="16"/>
          <w:color w:val="auto"/>
        </w:rPr>
        <w:t>Level 3 - One or more inputs are unobservable and significant.</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Financial and nonfinancial assets and liabilities are classified in their entirety based on the lowest level of input that is significant to the fair value measurement.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accounted for at fair value on a recurring basis: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6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gridSpan w:val="3"/>
          </w:tcPr>
          <w:p>
            <w:pPr>
              <w:jc w:val="right"/>
              <w:ind w:right="228"/>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gridSpan w:val="3"/>
          </w:tcPr>
          <w:p>
            <w:pPr>
              <w:jc w:val="right"/>
              <w:ind w:right="248"/>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r>
      <w:tr>
        <w:trPr>
          <w:trHeight w:val="196"/>
        </w:trPr>
        <w:tc>
          <w:tcPr>
            <w:tcW w:w="356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196"/>
        </w:trPr>
        <w:tc>
          <w:tcPr>
            <w:tcW w:w="35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1"/>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54</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54</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93</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93</w:t>
            </w:r>
          </w:p>
        </w:tc>
      </w:tr>
      <w:tr>
        <w:trPr>
          <w:trHeight w:val="196"/>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Available for sale investments</w:t>
            </w: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60</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213</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273</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87</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559</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646</w:t>
            </w:r>
          </w:p>
        </w:tc>
      </w:tr>
      <w:tr>
        <w:trPr>
          <w:trHeight w:val="196"/>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w:t>
            </w:r>
          </w:p>
        </w:tc>
      </w:tr>
      <w:tr>
        <w:trPr>
          <w:trHeight w:val="196"/>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44</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44</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90</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90</w:t>
            </w:r>
          </w:p>
        </w:tc>
      </w:tr>
      <w:tr>
        <w:trPr>
          <w:trHeight w:val="196"/>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 in equity securities</w:t>
            </w: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33</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33</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32</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w:t>
            </w:r>
          </w:p>
        </w:tc>
      </w:tr>
      <w:tr>
        <w:trPr>
          <w:trHeight w:val="196"/>
        </w:trPr>
        <w:tc>
          <w:tcPr>
            <w:tcW w:w="35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Right to HWI Net Sale Proceeds</w:t>
            </w:r>
          </w:p>
        </w:tc>
        <w:tc>
          <w:tcPr>
            <w:tcW w:w="1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295</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295</w:t>
            </w:r>
          </w:p>
        </w:tc>
      </w:tr>
      <w:tr>
        <w:trPr>
          <w:trHeight w:val="201"/>
        </w:trPr>
        <w:tc>
          <w:tcPr>
            <w:tcW w:w="35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311</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413</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790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295</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1,194</w:t>
            </w:r>
          </w:p>
        </w:tc>
      </w:tr>
      <w:tr>
        <w:trPr>
          <w:trHeight w:val="196"/>
        </w:trPr>
        <w:tc>
          <w:tcPr>
            <w:tcW w:w="35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1"/>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323</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323</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303</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303</w:t>
            </w:r>
          </w:p>
        </w:tc>
      </w:tr>
      <w:tr>
        <w:trPr>
          <w:trHeight w:val="196"/>
        </w:trPr>
        <w:tc>
          <w:tcPr>
            <w:tcW w:w="35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Commodity contracts</w:t>
            </w:r>
          </w:p>
        </w:tc>
        <w:tc>
          <w:tcPr>
            <w:tcW w:w="1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r>
      <w:tr>
        <w:trPr>
          <w:trHeight w:val="201"/>
        </w:trPr>
        <w:tc>
          <w:tcPr>
            <w:tcW w:w="35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345</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345</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312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312</w:t>
            </w:r>
          </w:p>
        </w:tc>
      </w:tr>
    </w:tbl>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foreign currency exchange contracts, interest rate swap agreements, cross currency swap agreements, and commodity contracts are valued using broker quotations, or market transactions in either the listed or over-the-counter markets. As such, these derivative instruments are classified within level 2. The Company also holds investments in commercial paper, certificates of deposits, time deposits, and corporate debt securities that are designated as available for sale. These investments are valued using published prices based on observable market data. As such, these investments are classified within level 2.</w:t>
      </w:r>
    </w:p>
    <w:p>
      <w:pPr>
        <w:spacing w:after="0" w:line="270"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The Company holds certain available for sale investments in U.S. government securities and investments in equity securities. These investments are valued utilizing published prices based on quoted market pricing, which are classified within level 1.</w:t>
      </w:r>
    </w:p>
    <w:p>
      <w:pPr>
        <w:spacing w:after="0" w:line="7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carrying value of cash and cash equivalents, trade accounts and notes receivables, payables, commercial paper, and other short-term borrowings approximates fair value.</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As part of the NARCO Buyout (see Note 14 Commitments and Contingencies for definition), Honeywell holds a right to proceeds from the definitive sale agreement pursuant to which HarbisonWalker International Holdings, Inc. (HWI), the reorganized and renamed entity that emerged from the NARCO Bankruptcy, was acquired by an affiliate of Platinum Equity, LLC (HWI Sale). The right to these proceeds is considered a financial instrument. The significant input for the valuation of this right is unobservable, and as such, is classified within level 3.</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HWI Sale closed on February 16, 2023. During the nine months ended September 30, 2023, Honeywell received $275 million of proceeds from the HWI Sale (HWI Net Sale Proceeds), of which $256 million was received during the first quarter of 2023 and $19 million during the second quarter of 2023. Additionally, during the second quarter of 2023, the Company recorded a fair value adjustment for the HWI Net Sale Proceeds and reduced the estimate by $11 million. The fair value of the remaining HWI Net Sale Proceeds as of September 30, 2023, represents contingent consideration to be paid in future periods if certain conditions under the definitive sale agreement for the HWI Sale are met.</w:t>
      </w:r>
    </w:p>
    <w:p>
      <w:pPr>
        <w:spacing w:after="0" w:line="200" w:lineRule="exact"/>
        <w:rPr>
          <w:sz w:val="20"/>
          <w:szCs w:val="20"/>
          <w:color w:val="auto"/>
        </w:rPr>
      </w:pPr>
    </w:p>
    <w:p>
      <w:pPr>
        <w:spacing w:after="0" w:line="207"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following table sets forth a reconciliation of beginning and ending balances of assets and liabilities that were accounted for at fair value using level 3 measurements: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60" w:type="dxa"/>
            <w:vAlign w:val="bottom"/>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660" w:type="dxa"/>
            <w:vAlign w:val="bottom"/>
          </w:tcPr>
          <w:p>
            <w:pPr>
              <w:jc w:val="right"/>
              <w:ind w:right="16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300" w:type="dxa"/>
            <w:vAlign w:val="bottom"/>
            <w:tcBorders>
              <w:bottom w:val="single" w:sz="8" w:color="D7282F"/>
            </w:tcBorders>
          </w:tcPr>
          <w:p>
            <w:pPr>
              <w:spacing w:after="0"/>
              <w:rPr>
                <w:sz w:val="16"/>
                <w:szCs w:val="16"/>
                <w:color w:val="auto"/>
              </w:rPr>
            </w:pPr>
          </w:p>
        </w:tc>
        <w:tc>
          <w:tcPr>
            <w:tcW w:w="2220" w:type="dxa"/>
            <w:vAlign w:val="bottom"/>
            <w:tcBorders>
              <w:bottom w:val="single" w:sz="8" w:color="D7282F"/>
            </w:tcBorders>
          </w:tcPr>
          <w:p>
            <w:pPr>
              <w:spacing w:after="0"/>
              <w:rPr>
                <w:sz w:val="16"/>
                <w:szCs w:val="16"/>
                <w:color w:val="auto"/>
              </w:rPr>
            </w:pPr>
          </w:p>
        </w:tc>
        <w:tc>
          <w:tcPr>
            <w:tcW w:w="17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Borders>
              <w:bottom w:val="single" w:sz="8" w:color="D7282F"/>
            </w:tcBorders>
          </w:tcPr>
          <w:p>
            <w:pPr>
              <w:spacing w:after="0"/>
              <w:rPr>
                <w:sz w:val="16"/>
                <w:szCs w:val="16"/>
                <w:color w:val="auto"/>
              </w:rPr>
            </w:pPr>
          </w:p>
        </w:tc>
        <w:tc>
          <w:tcPr>
            <w:tcW w:w="16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September 30, 2023</w:t>
            </w:r>
          </w:p>
        </w:tc>
      </w:tr>
      <w:tr>
        <w:trPr>
          <w:trHeight w:val="195"/>
        </w:trPr>
        <w:tc>
          <w:tcPr>
            <w:tcW w:w="53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beginning of period</w:t>
            </w:r>
          </w:p>
        </w:tc>
        <w:tc>
          <w:tcPr>
            <w:tcW w:w="2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295</w:t>
            </w:r>
          </w:p>
        </w:tc>
      </w:tr>
      <w:tr>
        <w:trPr>
          <w:trHeight w:val="191"/>
        </w:trPr>
        <w:tc>
          <w:tcPr>
            <w:tcW w:w="5300" w:type="dxa"/>
            <w:vAlign w:val="bottom"/>
            <w:tcBorders>
              <w:bottom w:val="single" w:sz="8" w:color="6D6D6D"/>
            </w:tcBorders>
          </w:tcPr>
          <w:p>
            <w:pPr>
              <w:ind w:left="140"/>
              <w:spacing w:after="0"/>
              <w:rPr>
                <w:sz w:val="20"/>
                <w:szCs w:val="20"/>
                <w:color w:val="auto"/>
              </w:rPr>
            </w:pPr>
            <w:r>
              <w:rPr>
                <w:rFonts w:ascii="Arial" w:cs="Arial" w:eastAsia="Arial" w:hAnsi="Arial"/>
                <w:sz w:val="14"/>
                <w:szCs w:val="14"/>
                <w:color w:val="auto"/>
              </w:rPr>
              <w:t>Receipt of HWI Net Sale Proceeds</w:t>
            </w:r>
          </w:p>
        </w:tc>
        <w:tc>
          <w:tcPr>
            <w:tcW w:w="2220" w:type="dxa"/>
            <w:vAlign w:val="bottom"/>
            <w:tcBorders>
              <w:bottom w:val="single" w:sz="8" w:color="6D6D6D"/>
            </w:tcBorders>
          </w:tcPr>
          <w:p>
            <w:pPr>
              <w:spacing w:after="0"/>
              <w:rPr>
                <w:sz w:val="16"/>
                <w:szCs w:val="16"/>
                <w:color w:val="auto"/>
              </w:rPr>
            </w:pPr>
          </w:p>
        </w:tc>
        <w:tc>
          <w:tcPr>
            <w:tcW w:w="1760" w:type="dxa"/>
            <w:vAlign w:val="bottom"/>
            <w:tcBorders>
              <w:bottom w:val="single" w:sz="8" w:color="6D6D6D"/>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D6D6D"/>
            </w:tcBorders>
          </w:tcPr>
          <w:p>
            <w:pPr>
              <w:spacing w:after="0"/>
              <w:rPr>
                <w:sz w:val="16"/>
                <w:szCs w:val="16"/>
                <w:color w:val="auto"/>
              </w:rPr>
            </w:pPr>
          </w:p>
        </w:tc>
        <w:tc>
          <w:tcPr>
            <w:tcW w:w="1660" w:type="dxa"/>
            <w:vAlign w:val="bottom"/>
            <w:tcBorders>
              <w:bottom w:val="single" w:sz="8" w:color="6D6D6D"/>
            </w:tcBorders>
          </w:tcPr>
          <w:p>
            <w:pPr>
              <w:jc w:val="right"/>
              <w:spacing w:after="0"/>
              <w:rPr>
                <w:sz w:val="20"/>
                <w:szCs w:val="20"/>
                <w:color w:val="auto"/>
              </w:rPr>
            </w:pPr>
            <w:r>
              <w:rPr>
                <w:rFonts w:ascii="Arial" w:cs="Arial" w:eastAsia="Arial" w:hAnsi="Arial"/>
                <w:sz w:val="14"/>
                <w:szCs w:val="14"/>
                <w:color w:val="auto"/>
              </w:rPr>
              <w:t>(275)</w:t>
            </w:r>
          </w:p>
        </w:tc>
      </w:tr>
      <w:tr>
        <w:trPr>
          <w:trHeight w:val="196"/>
        </w:trPr>
        <w:tc>
          <w:tcPr>
            <w:tcW w:w="53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Fair value adjustment of HWI Net Sale Proceeds</w:t>
            </w:r>
          </w:p>
        </w:tc>
        <w:tc>
          <w:tcPr>
            <w:tcW w:w="2220" w:type="dxa"/>
            <w:vAlign w:val="bottom"/>
            <w:tcBorders>
              <w:bottom w:val="single" w:sz="8" w:color="D7282F"/>
            </w:tcBorders>
          </w:tcPr>
          <w:p>
            <w:pPr>
              <w:spacing w:after="0"/>
              <w:rPr>
                <w:sz w:val="17"/>
                <w:szCs w:val="17"/>
                <w:color w:val="auto"/>
              </w:rPr>
            </w:pPr>
          </w:p>
        </w:tc>
        <w:tc>
          <w:tcPr>
            <w:tcW w:w="1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w:t>
            </w:r>
          </w:p>
        </w:tc>
      </w:tr>
      <w:tr>
        <w:trPr>
          <w:trHeight w:val="201"/>
        </w:trPr>
        <w:tc>
          <w:tcPr>
            <w:tcW w:w="53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end of period</w:t>
            </w:r>
          </w:p>
        </w:tc>
        <w:tc>
          <w:tcPr>
            <w:tcW w:w="2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not carried at fair value: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10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3"/>
          </w:tcPr>
          <w:p>
            <w:pPr>
              <w:jc w:val="right"/>
              <w:ind w:right="248"/>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3"/>
          </w:tcPr>
          <w:p>
            <w:pPr>
              <w:jc w:val="right"/>
              <w:ind w:right="268"/>
              <w:spacing w:after="0"/>
              <w:rPr>
                <w:sz w:val="20"/>
                <w:szCs w:val="20"/>
                <w:color w:val="auto"/>
              </w:rPr>
            </w:pPr>
            <w:r>
              <w:rPr>
                <w:rFonts w:ascii="Arial" w:cs="Arial" w:eastAsia="Arial" w:hAnsi="Arial"/>
                <w:sz w:val="14"/>
                <w:szCs w:val="14"/>
                <w:b w:val="1"/>
                <w:bCs w:val="1"/>
                <w:color w:val="auto"/>
              </w:rPr>
              <w:t>December 31, 2022</w:t>
            </w:r>
          </w:p>
        </w:tc>
      </w:tr>
      <w:tr>
        <w:trPr>
          <w:trHeight w:val="143"/>
        </w:trPr>
        <w:tc>
          <w:tcPr>
            <w:tcW w:w="7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48"/>
              <w:spacing w:after="0" w:line="14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920" w:type="dxa"/>
            <w:vAlign w:val="bottom"/>
            <w:gridSpan w:val="2"/>
          </w:tcPr>
          <w:p>
            <w:pPr>
              <w:jc w:val="right"/>
              <w:ind w:right="520"/>
              <w:spacing w:after="0" w:line="14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840" w:type="dxa"/>
            <w:vAlign w:val="bottom"/>
          </w:tcPr>
          <w:p>
            <w:pPr>
              <w:jc w:val="right"/>
              <w:ind w:right="148"/>
              <w:spacing w:after="0" w:line="143"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2"/>
                <w:szCs w:val="12"/>
                <w:color w:val="auto"/>
              </w:rPr>
            </w:pPr>
          </w:p>
        </w:tc>
        <w:tc>
          <w:tcPr>
            <w:tcW w:w="700" w:type="dxa"/>
            <w:vAlign w:val="bottom"/>
          </w:tcPr>
          <w:p>
            <w:pPr>
              <w:jc w:val="right"/>
              <w:ind w:right="228"/>
              <w:spacing w:after="0" w:line="143" w:lineRule="exact"/>
              <w:rPr>
                <w:sz w:val="20"/>
                <w:szCs w:val="20"/>
                <w:color w:val="auto"/>
              </w:rPr>
            </w:pPr>
            <w:r>
              <w:rPr>
                <w:rFonts w:ascii="Arial" w:cs="Arial" w:eastAsia="Arial" w:hAnsi="Arial"/>
                <w:sz w:val="14"/>
                <w:szCs w:val="14"/>
                <w:b w:val="1"/>
                <w:bCs w:val="1"/>
                <w:color w:val="auto"/>
              </w:rPr>
              <w:t>Fair</w:t>
            </w:r>
          </w:p>
        </w:tc>
      </w:tr>
      <w:tr>
        <w:trPr>
          <w:trHeight w:val="189"/>
        </w:trPr>
        <w:tc>
          <w:tcPr>
            <w:tcW w:w="710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Value</w:t>
            </w:r>
          </w:p>
        </w:tc>
      </w:tr>
      <w:tr>
        <w:trPr>
          <w:trHeight w:val="195"/>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r>
      <w:tr>
        <w:trPr>
          <w:trHeight w:val="191"/>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Long-term receivables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231</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176</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229</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183</w:t>
            </w:r>
          </w:p>
        </w:tc>
      </w:tr>
      <w:tr>
        <w:trPr>
          <w:trHeight w:val="201"/>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r>
      <w:tr>
        <w:trPr>
          <w:trHeight w:val="191"/>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Long-term debt and related current maturities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18,353</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16,755</w:t>
            </w:r>
          </w:p>
        </w:tc>
        <w:tc>
          <w:tcPr>
            <w:tcW w:w="22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16,853</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15,856</w:t>
            </w:r>
          </w:p>
        </w:tc>
      </w:tr>
    </w:tbl>
    <w:p>
      <w:pPr>
        <w:spacing w:after="0" w:line="179"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The Company determined the fair value of the long-term receivables by utilizing transactions in the listed markets for identical or similar assets. As such, the fair value of these receivables is considered level 2.</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9"/>
          <w:szCs w:val="29"/>
          <w:color w:val="D7282F"/>
        </w:rPr>
        <w:t>NOTE 12. EARNINGS PER SHARE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details of the earnings per share calculations for the three and nine months ended September 30, 2023, and 2022, are as follows (shares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Basic</w:t>
            </w:r>
          </w:p>
        </w:tc>
        <w:tc>
          <w:tcPr>
            <w:tcW w:w="180" w:type="dxa"/>
            <w:vAlign w:val="bottom"/>
            <w:tcBorders>
              <w:top w:val="single" w:sz="8" w:color="D7282F"/>
              <w:bottom w:val="single" w:sz="8" w:color="D7282F"/>
            </w:tcBorders>
          </w:tcPr>
          <w:p>
            <w:pPr>
              <w:spacing w:after="0"/>
              <w:rPr>
                <w:sz w:val="16"/>
                <w:szCs w:val="16"/>
                <w:color w:val="auto"/>
              </w:rPr>
            </w:pPr>
          </w:p>
        </w:tc>
        <w:tc>
          <w:tcPr>
            <w:tcW w:w="76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1"/>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1,514</w:t>
            </w:r>
          </w:p>
        </w:tc>
        <w:tc>
          <w:tcPr>
            <w:tcW w:w="3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1,552</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4,395</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3,947</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662.4</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674.1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665.2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679.3</w:t>
            </w:r>
          </w:p>
        </w:tc>
      </w:tr>
      <w:tr>
        <w:trPr>
          <w:trHeight w:val="201"/>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Earnings per share of common stock—basic</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2.29</w:t>
            </w: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2.30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6.61</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5.81</w:t>
            </w:r>
          </w:p>
        </w:tc>
      </w:tr>
      <w:tr>
        <w:trPr>
          <w:trHeight w:val="359"/>
        </w:trPr>
        <w:tc>
          <w:tcPr>
            <w:tcW w:w="7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178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Assuming Dilution</w:t>
            </w:r>
          </w:p>
        </w:tc>
        <w:tc>
          <w:tcPr>
            <w:tcW w:w="180" w:type="dxa"/>
            <w:vAlign w:val="bottom"/>
            <w:tcBorders>
              <w:top w:val="single" w:sz="8" w:color="D7282F"/>
              <w:bottom w:val="single" w:sz="8" w:color="D7282F"/>
            </w:tcBorders>
          </w:tcPr>
          <w:p>
            <w:pPr>
              <w:spacing w:after="0"/>
              <w:rPr>
                <w:sz w:val="16"/>
                <w:szCs w:val="16"/>
                <w:color w:val="auto"/>
              </w:rPr>
            </w:pPr>
          </w:p>
        </w:tc>
        <w:tc>
          <w:tcPr>
            <w:tcW w:w="76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1"/>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1,514</w:t>
            </w:r>
          </w:p>
        </w:tc>
        <w:tc>
          <w:tcPr>
            <w:tcW w:w="3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1,552</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4,395</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3,947</w:t>
            </w:r>
          </w:p>
        </w:tc>
      </w:tr>
      <w:tr>
        <w:trPr>
          <w:trHeight w:val="201"/>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Average shares</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1"/>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18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662.4</w:t>
            </w:r>
          </w:p>
        </w:tc>
        <w:tc>
          <w:tcPr>
            <w:tcW w:w="3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674.1</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665.2</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679.3</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Dilutive securities issuable—stock plans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4.6</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5.5</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6.0</w:t>
            </w:r>
          </w:p>
        </w:tc>
      </w:tr>
      <w:tr>
        <w:trPr>
          <w:trHeight w:val="201"/>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weighted average diluted shares outstanding</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667.0</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679.6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670.4</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685.3</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2.27</w:t>
            </w: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2.28</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6.56</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5.76</w:t>
            </w:r>
          </w:p>
        </w:tc>
      </w:tr>
    </w:tbl>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diluted earnings per share calculations exclude the effect of stock options when the cost to exercise an option exceeds the average market price of the common shares during the period. For the three and nine months ended September 30, 2023, the weighted average number of stock options excluded from the computations were 4.6 million and 4.4 million, respectively. For the three and nine months ended September 30, 2022, the weighted average number of stock options excluded from the computations were 5.5 million and 3.6 million, respectively.</w:t>
      </w:r>
    </w:p>
    <w:p>
      <w:pPr>
        <w:spacing w:after="0" w:line="7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September 30, 2023, and 2022, the total shares outstanding were 659.3 million and 672.3 million, respectively, and as of September 30, 2023, and 2022, total shares issued were 957.6 million.</w:t>
      </w:r>
    </w:p>
    <w:p>
      <w:pPr>
        <w:spacing w:after="0" w:line="381"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D7282F"/>
        </w:rPr>
        <w:t>NOTE 13. ACCUMULATED OTHER COMPREHENSIVE INCOME (LOSS)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IN ACCUMULATED OTHER COMPREHENSIVE INCOME (LOSS) BY COMPONENT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4"/>
                <w:szCs w:val="14"/>
                <w:color w:val="auto"/>
              </w:rPr>
            </w:pPr>
          </w:p>
        </w:tc>
        <w:tc>
          <w:tcPr>
            <w:tcW w:w="1400" w:type="dxa"/>
            <w:vAlign w:val="bottom"/>
          </w:tcPr>
          <w:p>
            <w:pPr>
              <w:jc w:val="center"/>
              <w:ind w:right="208"/>
              <w:spacing w:after="0"/>
              <w:rPr>
                <w:sz w:val="20"/>
                <w:szCs w:val="20"/>
                <w:color w:val="auto"/>
              </w:rPr>
            </w:pPr>
            <w:r>
              <w:rPr>
                <w:rFonts w:ascii="Arial" w:cs="Arial" w:eastAsia="Arial" w:hAnsi="Arial"/>
                <w:sz w:val="14"/>
                <w:szCs w:val="14"/>
                <w:b w:val="1"/>
                <w:bCs w:val="1"/>
                <w:color w:val="auto"/>
              </w:rPr>
              <w:t>Pension</w:t>
            </w:r>
          </w:p>
        </w:tc>
        <w:tc>
          <w:tcPr>
            <w:tcW w:w="220" w:type="dxa"/>
            <w:vAlign w:val="bottom"/>
          </w:tcPr>
          <w:p>
            <w:pPr>
              <w:spacing w:after="0"/>
              <w:rPr>
                <w:sz w:val="14"/>
                <w:szCs w:val="14"/>
                <w:color w:val="auto"/>
              </w:rPr>
            </w:pPr>
          </w:p>
        </w:tc>
        <w:tc>
          <w:tcPr>
            <w:tcW w:w="14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Changes in Fair</w:t>
            </w:r>
          </w:p>
        </w:tc>
        <w:tc>
          <w:tcPr>
            <w:tcW w:w="260" w:type="dxa"/>
            <w:vAlign w:val="bottom"/>
          </w:tcPr>
          <w:p>
            <w:pPr>
              <w:spacing w:after="0"/>
              <w:rPr>
                <w:sz w:val="14"/>
                <w:szCs w:val="14"/>
                <w:color w:val="auto"/>
              </w:rPr>
            </w:pPr>
          </w:p>
        </w:tc>
        <w:tc>
          <w:tcPr>
            <w:tcW w:w="10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ind w:right="208"/>
              <w:spacing w:after="0" w:line="148" w:lineRule="exact"/>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Exchange</w:t>
            </w:r>
          </w:p>
        </w:tc>
        <w:tc>
          <w:tcPr>
            <w:tcW w:w="260" w:type="dxa"/>
            <w:vAlign w:val="bottom"/>
          </w:tcPr>
          <w:p>
            <w:pPr>
              <w:spacing w:after="0"/>
              <w:rPr>
                <w:sz w:val="11"/>
                <w:szCs w:val="11"/>
                <w:color w:val="auto"/>
              </w:rPr>
            </w:pPr>
          </w:p>
        </w:tc>
        <w:tc>
          <w:tcPr>
            <w:tcW w:w="140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1"/>
                <w:szCs w:val="11"/>
                <w:color w:val="auto"/>
              </w:rPr>
            </w:pPr>
          </w:p>
        </w:tc>
        <w:tc>
          <w:tcPr>
            <w:tcW w:w="140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Value of</w:t>
            </w:r>
          </w:p>
        </w:tc>
        <w:tc>
          <w:tcPr>
            <w:tcW w:w="260" w:type="dxa"/>
            <w:vAlign w:val="bottom"/>
          </w:tcPr>
          <w:p>
            <w:pPr>
              <w:spacing w:after="0"/>
              <w:rPr>
                <w:sz w:val="11"/>
                <w:szCs w:val="11"/>
                <w:color w:val="auto"/>
              </w:rPr>
            </w:pPr>
          </w:p>
        </w:tc>
        <w:tc>
          <w:tcPr>
            <w:tcW w:w="106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2"/>
                <w:szCs w:val="12"/>
                <w:color w:val="auto"/>
              </w:rPr>
            </w:pPr>
          </w:p>
        </w:tc>
        <w:tc>
          <w:tcPr>
            <w:tcW w:w="14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Available for Sale</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Cash Flow</w:t>
            </w:r>
          </w:p>
        </w:tc>
        <w:tc>
          <w:tcPr>
            <w:tcW w:w="30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Hedges</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(2,832)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(648)</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(3,475)</w:t>
            </w:r>
          </w:p>
        </w:tc>
        <w:tc>
          <w:tcPr>
            <w:tcW w:w="0" w:type="dxa"/>
            <w:vAlign w:val="bottom"/>
          </w:tcPr>
          <w:p>
            <w:pPr>
              <w:spacing w:after="0"/>
              <w:rPr>
                <w:sz w:val="1"/>
                <w:szCs w:val="1"/>
                <w:color w:val="auto"/>
              </w:rPr>
            </w:pPr>
          </w:p>
        </w:tc>
      </w:tr>
      <w:tr>
        <w:trPr>
          <w:trHeight w:val="191"/>
        </w:trPr>
        <w:tc>
          <w:tcPr>
            <w:tcW w:w="420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Other comprehensive income (loss) before reclassifications</w:t>
            </w:r>
          </w:p>
        </w:tc>
        <w:tc>
          <w:tcPr>
            <w:tcW w:w="34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(70)</w:t>
            </w:r>
          </w:p>
        </w:tc>
        <w:tc>
          <w:tcPr>
            <w:tcW w:w="26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59</w:t>
            </w:r>
          </w:p>
        </w:tc>
        <w:tc>
          <w:tcPr>
            <w:tcW w:w="30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6"/>
        </w:trPr>
        <w:tc>
          <w:tcPr>
            <w:tcW w:w="4200" w:type="dxa"/>
            <w:vAlign w:val="bottom"/>
          </w:tcPr>
          <w:p>
            <w:pPr>
              <w:ind w:left="80"/>
              <w:spacing w:after="0" w:line="156" w:lineRule="exact"/>
              <w:rPr>
                <w:sz w:val="20"/>
                <w:szCs w:val="20"/>
                <w:color w:val="auto"/>
              </w:rPr>
            </w:pPr>
            <w:r>
              <w:rPr>
                <w:rFonts w:ascii="Arial" w:cs="Arial" w:eastAsia="Arial" w:hAnsi="Arial"/>
                <w:sz w:val="14"/>
                <w:szCs w:val="14"/>
                <w:color w:val="auto"/>
              </w:rPr>
              <w:t>Amounts reclassified from accumulated other comprehensive</w:t>
            </w:r>
          </w:p>
        </w:tc>
        <w:tc>
          <w:tcPr>
            <w:tcW w:w="340" w:type="dxa"/>
            <w:vAlign w:val="bottom"/>
          </w:tcPr>
          <w:p>
            <w:pPr>
              <w:spacing w:after="0"/>
              <w:rPr>
                <w:sz w:val="13"/>
                <w:szCs w:val="13"/>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400" w:type="dxa"/>
            <w:vAlign w:val="bottom"/>
            <w:vMerge w:val="restart"/>
          </w:tcPr>
          <w:p>
            <w:pPr>
              <w:jc w:val="right"/>
              <w:ind w:right="68"/>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13"/>
                <w:szCs w:val="13"/>
                <w:color w:val="auto"/>
              </w:rPr>
            </w:pPr>
          </w:p>
        </w:tc>
        <w:tc>
          <w:tcPr>
            <w:tcW w:w="14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color w:val="auto"/>
              </w:rPr>
              <w:t>(30)</w:t>
            </w:r>
          </w:p>
        </w:tc>
        <w:tc>
          <w:tcPr>
            <w:tcW w:w="3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1"/>
        </w:trPr>
        <w:tc>
          <w:tcPr>
            <w:tcW w:w="4200" w:type="dxa"/>
            <w:vAlign w:val="bottom"/>
            <w:tcBorders>
              <w:bottom w:val="single" w:sz="8" w:color="D7282F"/>
            </w:tcBorders>
          </w:tcPr>
          <w:p>
            <w:pPr>
              <w:ind w:left="80"/>
              <w:spacing w:after="0"/>
              <w:rPr>
                <w:sz w:val="20"/>
                <w:szCs w:val="20"/>
                <w:color w:val="auto"/>
              </w:rPr>
            </w:pPr>
            <w:r>
              <w:rPr>
                <w:rFonts w:ascii="Arial" w:cs="Arial" w:eastAsia="Arial" w:hAnsi="Arial"/>
                <w:sz w:val="14"/>
                <w:szCs w:val="14"/>
                <w:color w:val="auto"/>
              </w:rPr>
              <w:t>income (loss)</w:t>
            </w:r>
          </w:p>
        </w:tc>
        <w:tc>
          <w:tcPr>
            <w:tcW w:w="340" w:type="dxa"/>
            <w:vAlign w:val="bottom"/>
            <w:tcBorders>
              <w:bottom w:val="single" w:sz="8" w:color="D7282F"/>
            </w:tcBorders>
          </w:tcPr>
          <w:p>
            <w:pPr>
              <w:spacing w:after="0"/>
              <w:rPr>
                <w:sz w:val="15"/>
                <w:szCs w:val="15"/>
                <w:color w:val="auto"/>
              </w:rPr>
            </w:pPr>
          </w:p>
        </w:tc>
        <w:tc>
          <w:tcPr>
            <w:tcW w:w="1080" w:type="dxa"/>
            <w:vAlign w:val="bottom"/>
            <w:tcBorders>
              <w:bottom w:val="single" w:sz="8" w:color="D7282F"/>
            </w:tcBorders>
            <w:vMerge w:val="continue"/>
          </w:tcPr>
          <w:p>
            <w:pPr>
              <w:spacing w:after="0"/>
              <w:rPr>
                <w:sz w:val="15"/>
                <w:szCs w:val="15"/>
                <w:color w:val="auto"/>
              </w:rPr>
            </w:pPr>
          </w:p>
        </w:tc>
        <w:tc>
          <w:tcPr>
            <w:tcW w:w="260" w:type="dxa"/>
            <w:vAlign w:val="bottom"/>
            <w:tcBorders>
              <w:bottom w:val="single" w:sz="8" w:color="D7282F"/>
            </w:tcBorders>
          </w:tcPr>
          <w:p>
            <w:pPr>
              <w:spacing w:after="0"/>
              <w:rPr>
                <w:sz w:val="15"/>
                <w:szCs w:val="15"/>
                <w:color w:val="auto"/>
              </w:rPr>
            </w:pPr>
          </w:p>
        </w:tc>
        <w:tc>
          <w:tcPr>
            <w:tcW w:w="1400" w:type="dxa"/>
            <w:vAlign w:val="bottom"/>
            <w:tcBorders>
              <w:bottom w:val="single" w:sz="8" w:color="D7282F"/>
            </w:tcBorders>
            <w:vMerge w:val="continue"/>
          </w:tcPr>
          <w:p>
            <w:pPr>
              <w:spacing w:after="0"/>
              <w:rPr>
                <w:sz w:val="15"/>
                <w:szCs w:val="15"/>
                <w:color w:val="auto"/>
              </w:rPr>
            </w:pPr>
          </w:p>
        </w:tc>
        <w:tc>
          <w:tcPr>
            <w:tcW w:w="220" w:type="dxa"/>
            <w:vAlign w:val="bottom"/>
            <w:tcBorders>
              <w:bottom w:val="single" w:sz="8" w:color="D7282F"/>
            </w:tcBorders>
          </w:tcPr>
          <w:p>
            <w:pPr>
              <w:spacing w:after="0"/>
              <w:rPr>
                <w:sz w:val="15"/>
                <w:szCs w:val="15"/>
                <w:color w:val="auto"/>
              </w:rPr>
            </w:pPr>
          </w:p>
        </w:tc>
        <w:tc>
          <w:tcPr>
            <w:tcW w:w="1400" w:type="dxa"/>
            <w:vAlign w:val="bottom"/>
            <w:tcBorders>
              <w:bottom w:val="single" w:sz="8" w:color="D7282F"/>
            </w:tcBorders>
            <w:vMerge w:val="continue"/>
          </w:tcPr>
          <w:p>
            <w:pPr>
              <w:spacing w:after="0"/>
              <w:rPr>
                <w:sz w:val="15"/>
                <w:szCs w:val="15"/>
                <w:color w:val="auto"/>
              </w:rPr>
            </w:pPr>
          </w:p>
        </w:tc>
        <w:tc>
          <w:tcPr>
            <w:tcW w:w="260" w:type="dxa"/>
            <w:vAlign w:val="bottom"/>
            <w:tcBorders>
              <w:bottom w:val="single" w:sz="8" w:color="D7282F"/>
            </w:tcBorders>
          </w:tcPr>
          <w:p>
            <w:pPr>
              <w:spacing w:after="0"/>
              <w:rPr>
                <w:sz w:val="15"/>
                <w:szCs w:val="15"/>
                <w:color w:val="auto"/>
              </w:rPr>
            </w:pPr>
          </w:p>
        </w:tc>
        <w:tc>
          <w:tcPr>
            <w:tcW w:w="1060" w:type="dxa"/>
            <w:vAlign w:val="bottom"/>
            <w:tcBorders>
              <w:bottom w:val="single" w:sz="8" w:color="D7282F"/>
            </w:tcBorders>
            <w:vMerge w:val="continue"/>
          </w:tcPr>
          <w:p>
            <w:pPr>
              <w:spacing w:after="0"/>
              <w:rPr>
                <w:sz w:val="15"/>
                <w:szCs w:val="15"/>
                <w:color w:val="auto"/>
              </w:rPr>
            </w:pPr>
          </w:p>
        </w:tc>
        <w:tc>
          <w:tcPr>
            <w:tcW w:w="300" w:type="dxa"/>
            <w:vAlign w:val="bottom"/>
            <w:tcBorders>
              <w:bottom w:val="single" w:sz="8" w:color="D7282F"/>
            </w:tcBorders>
          </w:tcPr>
          <w:p>
            <w:pPr>
              <w:spacing w:after="0"/>
              <w:rPr>
                <w:sz w:val="15"/>
                <w:szCs w:val="15"/>
                <w:color w:val="auto"/>
              </w:rPr>
            </w:pPr>
          </w:p>
        </w:tc>
        <w:tc>
          <w:tcPr>
            <w:tcW w:w="720" w:type="dxa"/>
            <w:vAlign w:val="bottom"/>
            <w:tcBorders>
              <w:bottom w:val="single" w:sz="8" w:color="D7282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2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(70)</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(38)</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29</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September 30, 2023</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(2,902)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(686)</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41</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(3,551)</w:t>
            </w:r>
          </w:p>
        </w:tc>
        <w:tc>
          <w:tcPr>
            <w:tcW w:w="0" w:type="dxa"/>
            <w:vAlign w:val="bottom"/>
          </w:tcPr>
          <w:p>
            <w:pPr>
              <w:spacing w:after="0"/>
              <w:rPr>
                <w:sz w:val="1"/>
                <w:szCs w:val="1"/>
                <w:color w:val="auto"/>
              </w:rPr>
            </w:pPr>
          </w:p>
        </w:tc>
      </w:tr>
      <w:tr>
        <w:trPr>
          <w:trHeight w:val="373"/>
        </w:trPr>
        <w:tc>
          <w:tcPr>
            <w:tcW w:w="4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24"/>
                <w:szCs w:val="24"/>
                <w:color w:val="auto"/>
              </w:rPr>
            </w:pPr>
          </w:p>
        </w:tc>
        <w:tc>
          <w:tcPr>
            <w:tcW w:w="1400" w:type="dxa"/>
            <w:vAlign w:val="bottom"/>
          </w:tcPr>
          <w:p>
            <w:pPr>
              <w:jc w:val="center"/>
              <w:ind w:right="248"/>
              <w:spacing w:after="0"/>
              <w:rPr>
                <w:sz w:val="20"/>
                <w:szCs w:val="20"/>
                <w:color w:val="auto"/>
              </w:rPr>
            </w:pPr>
            <w:r>
              <w:rPr>
                <w:rFonts w:ascii="Arial" w:cs="Arial" w:eastAsia="Arial" w:hAnsi="Arial"/>
                <w:sz w:val="14"/>
                <w:szCs w:val="14"/>
                <w:b w:val="1"/>
                <w:bCs w:val="1"/>
                <w:color w:val="auto"/>
              </w:rPr>
              <w:t>Pension</w:t>
            </w:r>
          </w:p>
        </w:tc>
        <w:tc>
          <w:tcPr>
            <w:tcW w:w="220" w:type="dxa"/>
            <w:vAlign w:val="bottom"/>
          </w:tcPr>
          <w:p>
            <w:pPr>
              <w:spacing w:after="0"/>
              <w:rPr>
                <w:sz w:val="24"/>
                <w:szCs w:val="24"/>
                <w:color w:val="auto"/>
              </w:rPr>
            </w:pPr>
          </w:p>
        </w:tc>
        <w:tc>
          <w:tcPr>
            <w:tcW w:w="140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 Fair</w:t>
            </w:r>
          </w:p>
        </w:tc>
        <w:tc>
          <w:tcPr>
            <w:tcW w:w="260" w:type="dxa"/>
            <w:vAlign w:val="bottom"/>
          </w:tcPr>
          <w:p>
            <w:pPr>
              <w:spacing w:after="0"/>
              <w:rPr>
                <w:sz w:val="24"/>
                <w:szCs w:val="24"/>
                <w:color w:val="auto"/>
              </w:rPr>
            </w:pPr>
          </w:p>
        </w:tc>
        <w:tc>
          <w:tcPr>
            <w:tcW w:w="10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Exchange</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2"/>
                <w:szCs w:val="12"/>
                <w:color w:val="auto"/>
              </w:rPr>
            </w:pPr>
          </w:p>
        </w:tc>
        <w:tc>
          <w:tcPr>
            <w:tcW w:w="140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Value of</w:t>
            </w:r>
          </w:p>
        </w:tc>
        <w:tc>
          <w:tcPr>
            <w:tcW w:w="260" w:type="dxa"/>
            <w:vAlign w:val="bottom"/>
          </w:tcPr>
          <w:p>
            <w:pPr>
              <w:spacing w:after="0"/>
              <w:rPr>
                <w:sz w:val="12"/>
                <w:szCs w:val="12"/>
                <w:color w:val="auto"/>
              </w:rPr>
            </w:pPr>
          </w:p>
        </w:tc>
        <w:tc>
          <w:tcPr>
            <w:tcW w:w="10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2"/>
                <w:szCs w:val="12"/>
                <w:color w:val="auto"/>
              </w:rPr>
            </w:pPr>
          </w:p>
        </w:tc>
        <w:tc>
          <w:tcPr>
            <w:tcW w:w="14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Available for Sale</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Cash Flow</w:t>
            </w:r>
          </w:p>
        </w:tc>
        <w:tc>
          <w:tcPr>
            <w:tcW w:w="30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228"/>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Hedges</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(2,478)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(415)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(2,895)</w:t>
            </w:r>
          </w:p>
        </w:tc>
        <w:tc>
          <w:tcPr>
            <w:tcW w:w="0" w:type="dxa"/>
            <w:vAlign w:val="bottom"/>
          </w:tcPr>
          <w:p>
            <w:pPr>
              <w:spacing w:after="0"/>
              <w:rPr>
                <w:sz w:val="1"/>
                <w:szCs w:val="1"/>
                <w:color w:val="auto"/>
              </w:rPr>
            </w:pPr>
          </w:p>
        </w:tc>
      </w:tr>
      <w:tr>
        <w:trPr>
          <w:trHeight w:val="191"/>
        </w:trPr>
        <w:tc>
          <w:tcPr>
            <w:tcW w:w="420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Other comprehensive income (loss) before reclassifications</w:t>
            </w:r>
          </w:p>
        </w:tc>
        <w:tc>
          <w:tcPr>
            <w:tcW w:w="34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(375)</w:t>
            </w:r>
          </w:p>
        </w:tc>
        <w:tc>
          <w:tcPr>
            <w:tcW w:w="26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66</w:t>
            </w:r>
          </w:p>
        </w:tc>
        <w:tc>
          <w:tcPr>
            <w:tcW w:w="30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48"/>
        </w:trPr>
        <w:tc>
          <w:tcPr>
            <w:tcW w:w="4200" w:type="dxa"/>
            <w:vAlign w:val="bottom"/>
          </w:tcPr>
          <w:p>
            <w:pPr>
              <w:ind w:left="80"/>
              <w:spacing w:after="0" w:line="148" w:lineRule="exact"/>
              <w:rPr>
                <w:sz w:val="20"/>
                <w:szCs w:val="20"/>
                <w:color w:val="auto"/>
              </w:rPr>
            </w:pPr>
            <w:r>
              <w:rPr>
                <w:rFonts w:ascii="Arial" w:cs="Arial" w:eastAsia="Arial" w:hAnsi="Arial"/>
                <w:sz w:val="14"/>
                <w:szCs w:val="14"/>
                <w:color w:val="auto"/>
              </w:rPr>
              <w:t>Amounts reclassified from accumulated other comprehensive</w:t>
            </w:r>
          </w:p>
        </w:tc>
        <w:tc>
          <w:tcPr>
            <w:tcW w:w="340" w:type="dxa"/>
            <w:vAlign w:val="bottom"/>
          </w:tcPr>
          <w:p>
            <w:pPr>
              <w:spacing w:after="0"/>
              <w:rPr>
                <w:sz w:val="12"/>
                <w:szCs w:val="12"/>
                <w:color w:val="auto"/>
              </w:rPr>
            </w:pP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2"/>
                <w:szCs w:val="12"/>
                <w:color w:val="auto"/>
              </w:rPr>
            </w:pPr>
          </w:p>
        </w:tc>
        <w:tc>
          <w:tcPr>
            <w:tcW w:w="1400" w:type="dxa"/>
            <w:vAlign w:val="bottom"/>
            <w:vMerge w:val="restart"/>
          </w:tcPr>
          <w:p>
            <w:pPr>
              <w:jc w:val="right"/>
              <w:ind w:right="68"/>
              <w:spacing w:after="0"/>
              <w:rPr>
                <w:sz w:val="20"/>
                <w:szCs w:val="20"/>
                <w:color w:val="auto"/>
              </w:rPr>
            </w:pPr>
            <w:r>
              <w:rPr>
                <w:rFonts w:ascii="Arial" w:cs="Arial" w:eastAsia="Arial" w:hAnsi="Arial"/>
                <w:sz w:val="14"/>
                <w:szCs w:val="14"/>
                <w:color w:val="auto"/>
              </w:rPr>
              <w:t>(44)</w:t>
            </w:r>
          </w:p>
        </w:tc>
        <w:tc>
          <w:tcPr>
            <w:tcW w:w="220" w:type="dxa"/>
            <w:vAlign w:val="bottom"/>
          </w:tcPr>
          <w:p>
            <w:pPr>
              <w:spacing w:after="0"/>
              <w:rPr>
                <w:sz w:val="12"/>
                <w:szCs w:val="12"/>
                <w:color w:val="auto"/>
              </w:rPr>
            </w:pPr>
          </w:p>
        </w:tc>
        <w:tc>
          <w:tcPr>
            <w:tcW w:w="14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color w:val="auto"/>
              </w:rPr>
              <w:t>(38)</w:t>
            </w:r>
          </w:p>
        </w:tc>
        <w:tc>
          <w:tcPr>
            <w:tcW w:w="3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6"/>
        </w:trPr>
        <w:tc>
          <w:tcPr>
            <w:tcW w:w="4200" w:type="dxa"/>
            <w:vAlign w:val="bottom"/>
            <w:tcBorders>
              <w:bottom w:val="single" w:sz="8" w:color="D7282F"/>
            </w:tcBorders>
          </w:tcPr>
          <w:p>
            <w:pPr>
              <w:ind w:left="80"/>
              <w:spacing w:after="0"/>
              <w:rPr>
                <w:sz w:val="20"/>
                <w:szCs w:val="20"/>
                <w:color w:val="auto"/>
              </w:rPr>
            </w:pPr>
            <w:r>
              <w:rPr>
                <w:rFonts w:ascii="Arial" w:cs="Arial" w:eastAsia="Arial" w:hAnsi="Arial"/>
                <w:sz w:val="14"/>
                <w:szCs w:val="14"/>
                <w:color w:val="auto"/>
              </w:rPr>
              <w:t>income (loss)</w:t>
            </w: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vMerge w:val="continue"/>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20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34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(378)</w:t>
            </w:r>
          </w:p>
        </w:tc>
        <w:tc>
          <w:tcPr>
            <w:tcW w:w="26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(44)</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28</w:t>
            </w:r>
          </w:p>
        </w:tc>
        <w:tc>
          <w:tcPr>
            <w:tcW w:w="3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(401)</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(2,856)</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(459)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(3,296)</w:t>
            </w:r>
          </w:p>
        </w:tc>
        <w:tc>
          <w:tcPr>
            <w:tcW w:w="0" w:type="dxa"/>
            <w:vAlign w:val="bottom"/>
          </w:tcPr>
          <w:p>
            <w:pPr>
              <w:spacing w:after="0"/>
              <w:rPr>
                <w:sz w:val="1"/>
                <w:szCs w:val="1"/>
                <w:color w:val="auto"/>
              </w:rPr>
            </w:pPr>
          </w:p>
        </w:tc>
      </w:tr>
    </w:tbl>
    <w:p>
      <w:pPr>
        <w:spacing w:after="0" w:line="354" w:lineRule="exact"/>
        <w:rPr>
          <w:sz w:val="20"/>
          <w:szCs w:val="20"/>
          <w:color w:val="auto"/>
        </w:rPr>
      </w:pPr>
    </w:p>
    <w:p>
      <w:pPr>
        <w:spacing w:after="0"/>
        <w:rPr>
          <w:sz w:val="20"/>
          <w:szCs w:val="20"/>
          <w:color w:val="auto"/>
        </w:rPr>
      </w:pPr>
      <w:r>
        <w:rPr>
          <w:rFonts w:ascii="Arial" w:cs="Arial" w:eastAsia="Arial" w:hAnsi="Arial"/>
          <w:sz w:val="29"/>
          <w:szCs w:val="29"/>
          <w:color w:val="D7282F"/>
        </w:rPr>
        <w:t>NOTE 14.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MATTERS</w:t>
      </w:r>
    </w:p>
    <w:p>
      <w:pPr>
        <w:spacing w:after="0" w:line="1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Honeywell's environmental matters are described in Note 19 Commitments and Contingencies of Notes to Consolidated Financial Statements in the Company's 2022 Annual Report on Form 10-K.</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concerning the Company's recorded liabilities for environmental costs: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2880" w:type="dxa"/>
            <w:vAlign w:val="bottom"/>
            <w:tcBorders>
              <w:top w:val="single" w:sz="8" w:color="D7282F"/>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D7282F"/>
              <w:bottom w:val="single" w:sz="8" w:color="D7282F"/>
            </w:tcBorders>
          </w:tcPr>
          <w:p>
            <w:pPr>
              <w:jc w:val="center"/>
              <w:ind w:left="128"/>
              <w:spacing w:after="0"/>
              <w:rPr>
                <w:sz w:val="20"/>
                <w:szCs w:val="20"/>
                <w:color w:val="auto"/>
              </w:rPr>
            </w:pPr>
            <w:r>
              <w:rPr>
                <w:rFonts w:ascii="Arial" w:cs="Arial" w:eastAsia="Arial" w:hAnsi="Arial"/>
                <w:sz w:val="14"/>
                <w:szCs w:val="14"/>
                <w:b w:val="1"/>
                <w:bCs w:val="1"/>
                <w:color w:val="auto"/>
              </w:rPr>
              <w:t>615</w:t>
            </w:r>
          </w:p>
        </w:tc>
      </w:tr>
      <w:tr>
        <w:trPr>
          <w:trHeight w:val="191"/>
        </w:trPr>
        <w:tc>
          <w:tcPr>
            <w:tcW w:w="78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Accruals for environmental matters deemed probable and reasonably estimable</w:t>
            </w:r>
          </w:p>
        </w:tc>
        <w:tc>
          <w:tcPr>
            <w:tcW w:w="288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jc w:val="center"/>
              <w:ind w:left="128"/>
              <w:spacing w:after="0"/>
              <w:rPr>
                <w:sz w:val="20"/>
                <w:szCs w:val="20"/>
                <w:color w:val="auto"/>
              </w:rPr>
            </w:pPr>
            <w:r>
              <w:rPr>
                <w:rFonts w:ascii="Arial" w:cs="Arial" w:eastAsia="Arial" w:hAnsi="Arial"/>
                <w:sz w:val="14"/>
                <w:szCs w:val="14"/>
                <w:color w:val="auto"/>
              </w:rPr>
              <w:t>176</w:t>
            </w:r>
          </w:p>
        </w:tc>
      </w:tr>
      <w:tr>
        <w:trPr>
          <w:trHeight w:val="196"/>
        </w:trPr>
        <w:tc>
          <w:tcPr>
            <w:tcW w:w="78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Environmental liability payments</w:t>
            </w:r>
          </w:p>
        </w:tc>
        <w:tc>
          <w:tcPr>
            <w:tcW w:w="288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center"/>
              <w:ind w:left="108"/>
              <w:spacing w:after="0"/>
              <w:rPr>
                <w:sz w:val="20"/>
                <w:szCs w:val="20"/>
                <w:color w:val="auto"/>
              </w:rPr>
            </w:pPr>
            <w:r>
              <w:rPr>
                <w:rFonts w:ascii="Arial" w:cs="Arial" w:eastAsia="Arial" w:hAnsi="Arial"/>
                <w:sz w:val="14"/>
                <w:szCs w:val="14"/>
                <w:color w:val="auto"/>
              </w:rPr>
              <w:t>(109)</w:t>
            </w:r>
          </w:p>
        </w:tc>
      </w:tr>
      <w:tr>
        <w:trPr>
          <w:trHeight w:val="201"/>
        </w:trPr>
        <w:tc>
          <w:tcPr>
            <w:tcW w:w="78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September 30, 2023</w:t>
            </w:r>
          </w:p>
        </w:tc>
        <w:tc>
          <w:tcPr>
            <w:tcW w:w="28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b w:val="1"/>
                <w:bCs w:val="1"/>
                <w:color w:val="auto"/>
              </w:rPr>
              <w:t>682</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Environmental liabilities are included in the following balance sheet accounts: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20" w:type="dxa"/>
            <w:vAlign w:val="bottom"/>
            <w:tcBorders>
              <w:bottom w:val="single" w:sz="8" w:color="D7282F"/>
            </w:tcBorders>
          </w:tcPr>
          <w:p>
            <w:pPr>
              <w:spacing w:after="0"/>
              <w:rPr>
                <w:sz w:val="17"/>
                <w:szCs w:val="17"/>
                <w:color w:val="auto"/>
              </w:rPr>
            </w:pPr>
          </w:p>
        </w:tc>
        <w:tc>
          <w:tcPr>
            <w:tcW w:w="280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2022</w:t>
            </w:r>
          </w:p>
        </w:tc>
      </w:tr>
      <w:tr>
        <w:trPr>
          <w:trHeight w:val="191"/>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2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222</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222</w:t>
            </w:r>
          </w:p>
        </w:tc>
      </w:tr>
      <w:tr>
        <w:trPr>
          <w:trHeight w:val="196"/>
        </w:trPr>
        <w:tc>
          <w:tcPr>
            <w:tcW w:w="48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liabilities</w:t>
            </w:r>
          </w:p>
        </w:tc>
        <w:tc>
          <w:tcPr>
            <w:tcW w:w="280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460</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393</w:t>
            </w:r>
          </w:p>
        </w:tc>
      </w:tr>
      <w:tr>
        <w:trPr>
          <w:trHeight w:val="201"/>
        </w:trPr>
        <w:tc>
          <w:tcPr>
            <w:tcW w:w="48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environmental liabilities</w:t>
            </w:r>
          </w:p>
        </w:tc>
        <w:tc>
          <w:tcPr>
            <w:tcW w:w="2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682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615</w:t>
            </w: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23</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conjunction with the Resideo Technologies, Inc. (Resideo) spin-off, the Company entered into an indemnification and reimbursement agreement with a Resideo subsidiary, pursuant to which Resideo’s subsidiary has an ongoing obligation to make cash payments to Honeywell in amounts equal to 90%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is less than $25 million.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Reimbursements associated with this agreement are collected from Resideo quarterly and were $105 million in the nine months ended September 30, 2023, and offset operating cash outflows incurred by the Company. As the Company incurs costs for environmental matters deemed probable and reasonably estimable related to the sites covered by the indemnification and reimbursement agreement, a corresponding receivable from Resideo for 90% of such costs is also recorded. This receivable amount recorded in the nine months ended September 30, 2023, was $136 million. As of September 30, 2023, Other current assets and Other assets included $140 million and $505 million, respectively, for the short-term and long-term portion of the receivable amount due from Resideo under the indemnification and reimbursement agreement.</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 MATTERS</w:t>
      </w:r>
    </w:p>
    <w:p>
      <w:pPr>
        <w:spacing w:after="0" w:line="138"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Honeywell is named in asbestos-related personal injury claims related to North American Refractories Company (NARCO), which was sold in 1986, and the Bendix Friction Materials (Bendix) business, which was sold in 2014.</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information concerning NARCO and Bendix asbestos-related balances:</w:t>
      </w: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ASBESTOS-RELATED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500" w:type="dxa"/>
            <w:vAlign w:val="bottom"/>
            <w:tcBorders>
              <w:bottom w:val="single" w:sz="8" w:color="D7282F"/>
            </w:tcBorders>
          </w:tcPr>
          <w:p>
            <w:pPr>
              <w:spacing w:after="0"/>
              <w:rPr>
                <w:sz w:val="17"/>
                <w:szCs w:val="17"/>
                <w:color w:val="auto"/>
              </w:rPr>
            </w:pPr>
          </w:p>
        </w:tc>
        <w:tc>
          <w:tcPr>
            <w:tcW w:w="28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Bendix</w:t>
            </w: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NARCO</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Total</w:t>
            </w:r>
          </w:p>
        </w:tc>
      </w:tr>
      <w:tr>
        <w:trPr>
          <w:trHeight w:val="196"/>
        </w:trPr>
        <w:tc>
          <w:tcPr>
            <w:tcW w:w="5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2022</w:t>
            </w:r>
          </w:p>
        </w:tc>
        <w:tc>
          <w:tcPr>
            <w:tcW w:w="2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1,291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1,325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2,616</w:t>
            </w:r>
          </w:p>
        </w:tc>
      </w:tr>
      <w:tr>
        <w:trPr>
          <w:trHeight w:val="191"/>
        </w:trPr>
        <w:tc>
          <w:tcPr>
            <w:tcW w:w="5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Accrual for update to estimated liability</w:t>
            </w:r>
          </w:p>
        </w:tc>
        <w:tc>
          <w:tcPr>
            <w:tcW w:w="284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33</w:t>
            </w:r>
          </w:p>
        </w:tc>
        <w:tc>
          <w:tcPr>
            <w:tcW w:w="26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w:t>
            </w:r>
          </w:p>
        </w:tc>
      </w:tr>
      <w:tr>
        <w:trPr>
          <w:trHeight w:val="196"/>
        </w:trPr>
        <w:tc>
          <w:tcPr>
            <w:tcW w:w="5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 in estimated cost of future claims</w:t>
            </w:r>
          </w:p>
        </w:tc>
        <w:tc>
          <w:tcPr>
            <w:tcW w:w="28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26</w:t>
            </w:r>
          </w:p>
        </w:tc>
        <w:tc>
          <w:tcPr>
            <w:tcW w:w="26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w:t>
            </w:r>
          </w:p>
        </w:tc>
      </w:tr>
      <w:tr>
        <w:trPr>
          <w:trHeight w:val="196"/>
        </w:trPr>
        <w:tc>
          <w:tcPr>
            <w:tcW w:w="5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Asbestos-related liability payments</w:t>
            </w:r>
          </w:p>
        </w:tc>
        <w:tc>
          <w:tcPr>
            <w:tcW w:w="28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(128)</w:t>
            </w:r>
          </w:p>
        </w:tc>
        <w:tc>
          <w:tcPr>
            <w:tcW w:w="26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w:t>
            </w:r>
          </w:p>
        </w:tc>
      </w:tr>
      <w:tr>
        <w:trPr>
          <w:trHeight w:val="196"/>
        </w:trPr>
        <w:tc>
          <w:tcPr>
            <w:tcW w:w="5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NARCO Buyout</w:t>
            </w:r>
          </w:p>
        </w:tc>
        <w:tc>
          <w:tcPr>
            <w:tcW w:w="28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(1,325)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(1,325)</w:t>
            </w:r>
          </w:p>
        </w:tc>
      </w:tr>
      <w:tr>
        <w:trPr>
          <w:trHeight w:val="201"/>
        </w:trPr>
        <w:tc>
          <w:tcPr>
            <w:tcW w:w="5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September 30, 2023</w:t>
            </w:r>
          </w:p>
        </w:tc>
        <w:tc>
          <w:tcPr>
            <w:tcW w:w="2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1,222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1,222</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INSURANCE RECOVERIES FOR ASBESTOS-RELATED LIABILITIES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18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gridSpan w:val="2"/>
          </w:tcPr>
          <w:p>
            <w:pPr>
              <w:ind w:left="40"/>
              <w:spacing w:after="0"/>
              <w:rPr>
                <w:sz w:val="20"/>
                <w:szCs w:val="20"/>
                <w:color w:val="auto"/>
              </w:rPr>
            </w:pPr>
            <w:r>
              <w:rPr>
                <w:rFonts w:ascii="Arial" w:cs="Arial" w:eastAsia="Arial" w:hAnsi="Arial"/>
                <w:sz w:val="14"/>
                <w:szCs w:val="14"/>
                <w:b w:val="1"/>
                <w:bCs w:val="1"/>
                <w:color w:val="auto"/>
              </w:rPr>
              <w:t>Bendix</w:t>
            </w:r>
          </w:p>
        </w:tc>
        <w:tc>
          <w:tcPr>
            <w:tcW w:w="14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gridSpan w:val="2"/>
          </w:tcPr>
          <w:p>
            <w:pPr>
              <w:ind w:left="40"/>
              <w:spacing w:after="0"/>
              <w:rPr>
                <w:sz w:val="20"/>
                <w:szCs w:val="20"/>
                <w:color w:val="auto"/>
              </w:rPr>
            </w:pPr>
            <w:r>
              <w:rPr>
                <w:rFonts w:ascii="Arial" w:cs="Arial" w:eastAsia="Arial" w:hAnsi="Arial"/>
                <w:sz w:val="14"/>
                <w:szCs w:val="14"/>
                <w:b w:val="1"/>
                <w:bCs w:val="1"/>
                <w:color w:val="auto"/>
              </w:rPr>
              <w:t>NARCO</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Total</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130</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135</w:t>
            </w:r>
          </w:p>
        </w:tc>
        <w:tc>
          <w:tcPr>
            <w:tcW w:w="240" w:type="dxa"/>
            <w:vAlign w:val="bottom"/>
            <w:tcBorders>
              <w:bottom w:val="single" w:sz="8" w:color="D7282F"/>
            </w:tcBorders>
          </w:tcPr>
          <w:p>
            <w:pPr>
              <w:spacing w:after="0"/>
              <w:rPr>
                <w:sz w:val="17"/>
                <w:szCs w:val="17"/>
                <w:color w:val="auto"/>
              </w:rPr>
            </w:pPr>
          </w:p>
        </w:tc>
        <w:tc>
          <w:tcPr>
            <w:tcW w:w="18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265</w:t>
            </w:r>
          </w:p>
        </w:tc>
      </w:tr>
      <w:tr>
        <w:trPr>
          <w:trHeight w:val="191"/>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Probable insurance recoveries related to estimated liability</w:t>
            </w: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61656A"/>
            </w:tcBorders>
          </w:tcPr>
          <w:p>
            <w:pPr>
              <w:spacing w:after="0"/>
              <w:rPr>
                <w:sz w:val="16"/>
                <w:szCs w:val="16"/>
                <w:color w:val="auto"/>
              </w:rPr>
            </w:pPr>
          </w:p>
        </w:tc>
        <w:tc>
          <w:tcPr>
            <w:tcW w:w="1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r>
      <w:tr>
        <w:trPr>
          <w:trHeight w:val="196"/>
        </w:trPr>
        <w:tc>
          <w:tcPr>
            <w:tcW w:w="81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Insurance receipts for asbestos-related liabilities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w:t>
            </w:r>
          </w:p>
        </w:tc>
        <w:tc>
          <w:tcPr>
            <w:tcW w:w="24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w:t>
            </w:r>
          </w:p>
        </w:tc>
      </w:tr>
      <w:tr>
        <w:trPr>
          <w:trHeight w:val="201"/>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127</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114</w:t>
            </w:r>
          </w:p>
        </w:tc>
        <w:tc>
          <w:tcPr>
            <w:tcW w:w="24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241</w:t>
            </w: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24</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NARCO and Bendix asbestos-related balances are included in the following balance sheet accounts: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760" w:type="dxa"/>
            <w:vAlign w:val="bottom"/>
            <w:tcBorders>
              <w:bottom w:val="single" w:sz="8" w:color="D7282F"/>
            </w:tcBorders>
          </w:tcPr>
          <w:p>
            <w:pPr>
              <w:spacing w:after="0"/>
              <w:rPr>
                <w:sz w:val="17"/>
                <w:szCs w:val="17"/>
                <w:color w:val="auto"/>
              </w:rPr>
            </w:pPr>
          </w:p>
        </w:tc>
        <w:tc>
          <w:tcPr>
            <w:tcW w:w="186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2022</w:t>
            </w:r>
          </w:p>
        </w:tc>
      </w:tr>
      <w:tr>
        <w:trPr>
          <w:trHeight w:val="191"/>
        </w:trPr>
        <w:tc>
          <w:tcPr>
            <w:tcW w:w="57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current assets</w:t>
            </w:r>
          </w:p>
        </w:tc>
        <w:tc>
          <w:tcPr>
            <w:tcW w:w="1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41</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w:t>
            </w:r>
          </w:p>
        </w:tc>
      </w:tr>
      <w:tr>
        <w:trPr>
          <w:trHeight w:val="196"/>
        </w:trPr>
        <w:tc>
          <w:tcPr>
            <w:tcW w:w="57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186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200</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224</w:t>
            </w:r>
          </w:p>
        </w:tc>
      </w:tr>
      <w:tr>
        <w:trPr>
          <w:trHeight w:val="201"/>
        </w:trPr>
        <w:tc>
          <w:tcPr>
            <w:tcW w:w="57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insurance recoveries for asbestos-related liabilities</w:t>
            </w:r>
          </w:p>
        </w:tc>
        <w:tc>
          <w:tcPr>
            <w:tcW w:w="1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241</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265</w:t>
            </w:r>
          </w:p>
        </w:tc>
      </w:tr>
      <w:tr>
        <w:trPr>
          <w:trHeight w:val="191"/>
        </w:trPr>
        <w:tc>
          <w:tcPr>
            <w:tcW w:w="57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1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1,436</w:t>
            </w:r>
          </w:p>
        </w:tc>
      </w:tr>
      <w:tr>
        <w:trPr>
          <w:trHeight w:val="196"/>
        </w:trPr>
        <w:tc>
          <w:tcPr>
            <w:tcW w:w="57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Asbestos-related liabilities</w:t>
            </w:r>
          </w:p>
        </w:tc>
        <w:tc>
          <w:tcPr>
            <w:tcW w:w="186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1,102</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1,180</w:t>
            </w:r>
          </w:p>
        </w:tc>
      </w:tr>
      <w:tr>
        <w:trPr>
          <w:trHeight w:val="201"/>
        </w:trPr>
        <w:tc>
          <w:tcPr>
            <w:tcW w:w="57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asbestos-related liabilities</w:t>
            </w:r>
            <w:r>
              <w:rPr>
                <w:rFonts w:ascii="Arial" w:cs="Arial" w:eastAsia="Arial" w:hAnsi="Arial"/>
                <w:sz w:val="9"/>
                <w:szCs w:val="9"/>
                <w:b w:val="1"/>
                <w:bCs w:val="1"/>
                <w:color w:val="auto"/>
              </w:rPr>
              <w:t>1</w:t>
            </w:r>
          </w:p>
        </w:tc>
        <w:tc>
          <w:tcPr>
            <w:tcW w:w="1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1,222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2,616</w:t>
            </w:r>
          </w:p>
        </w:tc>
      </w:tr>
    </w:tbl>
    <w:p>
      <w:pPr>
        <w:spacing w:after="0" w:line="121" w:lineRule="exact"/>
        <w:rPr>
          <w:sz w:val="20"/>
          <w:szCs w:val="20"/>
          <w:color w:val="auto"/>
        </w:rPr>
      </w:pPr>
    </w:p>
    <w:p>
      <w:pPr>
        <w:ind w:left="480" w:right="20" w:hanging="344"/>
        <w:spacing w:after="0" w:line="225" w:lineRule="auto"/>
        <w:tabs>
          <w:tab w:leader="none" w:pos="4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As of December 31, 2022, Accrued liabilities included the Buyout Amount, as described and defined below, agreed upon between Honeywell and the Trust. The Buyout Amount does not represent an asbestos-related liability.</w:t>
      </w: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auto"/>
        </w:rPr>
        <w:t xml:space="preserve">NARCO Products </w:t>
      </w:r>
      <w:r>
        <w:rPr>
          <w:rFonts w:ascii="Arial" w:cs="Arial" w:eastAsia="Arial" w:hAnsi="Arial"/>
          <w:sz w:val="16"/>
          <w:szCs w:val="16"/>
          <w:color w:val="auto"/>
        </w:rPr>
        <w:t>– NARCO manufactured high-grade, heat-resistant, refractory products for various industries. Honeywell’s predecessor, Allied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owned NARCO from 1979 to 1986. Allied Corporation sold the NARCO business in 1986 and entered into a cross-indemnity agreement which included an obligation to indemnify the purchaser for asbestos claims. NARCO ceased manufacturing asbestos containing products in 1980 and filed for bankruptcy in January 2002, at which point in time all then current and future NARCO asbestos claims were stayed against both NARCO and Honeywell pending the reorganization of NARCO. The Company established its initial liability for NARCO asbestos claims in 2002.</w:t>
      </w: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NARCO emerged from bankruptcy in April 2013, at which time a federally authorized 524(g) trust was established to evaluate and resolve all existing NARCO asbestos claims (the Trust). Both Honeywell and NARCO are protected by a permanent channeling injunction barring all present and future individual actions in state or federal courts and requiring all asbestos-related claims based on exposure to NARCO asbestos-containing products to be made against the Trust (Channeling Injunction). The NARCO Trust Agreement and the NARCO Trust Distribution Procedures set forth the structure and operating rules of the Trust, and established Honeywell’s evergreen funding obligations.</w:t>
      </w:r>
    </w:p>
    <w:p>
      <w:pPr>
        <w:spacing w:after="0" w:line="9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November 18, 2022, Honeywell entered into a definitive agreement with the Trust and certain other parties, which was subsequently amended on November 20, 2022 (Amended Buyout Agreement).</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Pursuant to the terms of the Amended Buyout Agreement, Honeywell agreed to make a one-time, lump sum payment in the amount of $1.325 billion to the Trust (Buyout Amount), subject to certain deductions as described in the Amended Buyout Agreement and in exchange for the release by the Trust of Honeywell from all further and future obligations of any kind related to the Trust and/or any claimants who were exposed to asbestos-containing products manufactured, sold, or distributed by NARCO or its predecessors (the Honeywell Obligations) (the NARCO Buyout). In accordance with the Amended Buyout Agreement, the economic rights of the Trust in respect of the net proceeds from the HWI Sale (as defined in Note 11 Fair Value Measurements) inured to the benefit of Honeywell.</w:t>
      </w:r>
    </w:p>
    <w:p>
      <w:pPr>
        <w:spacing w:after="0" w:line="9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December 8, 2022, the Bankruptcy Court issued an order that (A) approved the Amended Buyout Agreement, and (B) declared that the Channeling Injunction will remain in full force and effect without modification, dissolution, or termination.</w:t>
      </w:r>
    </w:p>
    <w:p>
      <w:pPr>
        <w:spacing w:after="0" w:line="76"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On December 14, 2022, HWI (as defined in Note 11 Fair Value Measurements) entered into a definitive sale agreement for the sale of HWI to an affiliate of Platinum Equity, LLC subject to the terms set forth in the agreement.</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January 30, 2023, the Company paid the Buyout Amount to the Trust, the parties closed the transactions contemplated in the Amended Buyout Agreement, and Honeywell was released from the Honeywell Obligations. Honeywell continues to have the right to collect proceeds in connection with its NARCO asbestos-related insurance policies.</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February 16, 2023, the HWI Sale closed. Pursuant to the Amended Buyout Agreement, during the nine months ended September 30, 2023, Honeywell received $275 million of proceeds from the HWI sale. See Note 11 Fair Value Measurements for further information on the related proceeds and remaining amount under the Amended Buyout Agreement.</w:t>
      </w:r>
    </w:p>
    <w:p>
      <w:pPr>
        <w:spacing w:after="0" w:line="81"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For additional information, see the Company's Annual Report on Form 10-K, filed with the SEC on February 10, 2023, under Note 19 Commitments and Contingencies.</w:t>
      </w:r>
    </w:p>
    <w:p>
      <w:pPr>
        <w:spacing w:after="0" w:line="394"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1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color w:val="auto"/>
        </w:rPr>
        <w:t xml:space="preserve">Bendix Products </w:t>
      </w:r>
      <w:r>
        <w:rPr>
          <w:rFonts w:ascii="Arial" w:cs="Arial" w:eastAsia="Arial" w:hAnsi="Arial"/>
          <w:sz w:val="16"/>
          <w:szCs w:val="16"/>
          <w:color w:val="auto"/>
        </w:rPr>
        <w:t>– Bendix manufactured automotive brake linings that contained chrysotile asbestos in an encapsulated form. Claimants consist largely of</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individuals who allege exposure to asbestos from brakes from either performing or being in the vicinity of individuals who performed brake replacements. The following tables present information regarding Bendix-related asbestos claims activity: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Nine Months Ended</w:t>
            </w:r>
          </w:p>
        </w:tc>
        <w:tc>
          <w:tcPr>
            <w:tcW w:w="2480" w:type="dxa"/>
            <w:vAlign w:val="bottom"/>
          </w:tcPr>
          <w:p>
            <w:pPr>
              <w:jc w:val="center"/>
              <w:ind w:left="1108"/>
              <w:spacing w:after="0"/>
              <w:rPr>
                <w:sz w:val="20"/>
                <w:szCs w:val="20"/>
                <w:color w:val="auto"/>
              </w:rPr>
            </w:pPr>
            <w:r>
              <w:rPr>
                <w:rFonts w:ascii="Arial" w:cs="Arial" w:eastAsia="Arial" w:hAnsi="Arial"/>
                <w:sz w:val="14"/>
                <w:szCs w:val="14"/>
                <w:b w:val="1"/>
                <w:bCs w:val="1"/>
                <w:color w:val="auto"/>
              </w:rPr>
              <w:t>Years Ended</w:t>
            </w:r>
          </w:p>
        </w:tc>
        <w:tc>
          <w:tcPr>
            <w:tcW w:w="1200" w:type="dxa"/>
            <w:vAlign w:val="bottom"/>
          </w:tcPr>
          <w:p>
            <w:pPr>
              <w:spacing w:after="0"/>
              <w:rPr>
                <w:sz w:val="14"/>
                <w:szCs w:val="14"/>
                <w:color w:val="auto"/>
              </w:rPr>
            </w:pPr>
          </w:p>
        </w:tc>
      </w:tr>
      <w:tr>
        <w:trPr>
          <w:trHeight w:val="189"/>
        </w:trPr>
        <w:tc>
          <w:tcPr>
            <w:tcW w:w="5600" w:type="dxa"/>
            <w:vAlign w:val="bottom"/>
          </w:tcPr>
          <w:p>
            <w:pPr>
              <w:spacing w:after="0"/>
              <w:rPr>
                <w:sz w:val="16"/>
                <w:szCs w:val="16"/>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2480" w:type="dxa"/>
            <w:vAlign w:val="bottom"/>
          </w:tcPr>
          <w:p>
            <w:pPr>
              <w:jc w:val="center"/>
              <w:ind w:left="110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Pr>
          <w:p>
            <w:pPr>
              <w:spacing w:after="0"/>
              <w:rPr>
                <w:sz w:val="16"/>
                <w:szCs w:val="16"/>
                <w:color w:val="auto"/>
              </w:rPr>
            </w:pPr>
          </w:p>
        </w:tc>
      </w:tr>
      <w:tr>
        <w:trPr>
          <w:trHeight w:val="195"/>
        </w:trPr>
        <w:tc>
          <w:tcPr>
            <w:tcW w:w="5600" w:type="dxa"/>
            <w:vAlign w:val="bottom"/>
            <w:tcBorders>
              <w:bottom w:val="single" w:sz="8" w:color="D7282F"/>
            </w:tcBorders>
          </w:tcPr>
          <w:p>
            <w:pPr>
              <w:spacing w:after="0"/>
              <w:rPr>
                <w:sz w:val="16"/>
                <w:szCs w:val="16"/>
                <w:color w:val="auto"/>
              </w:rPr>
            </w:pPr>
          </w:p>
        </w:tc>
        <w:tc>
          <w:tcPr>
            <w:tcW w:w="1720" w:type="dxa"/>
            <w:vAlign w:val="bottom"/>
            <w:tcBorders>
              <w:top w:val="single" w:sz="8" w:color="D7282F"/>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D7282F"/>
            </w:tcBorders>
          </w:tcPr>
          <w:p>
            <w:pPr>
              <w:spacing w:after="0"/>
              <w:rPr>
                <w:sz w:val="16"/>
                <w:szCs w:val="16"/>
                <w:color w:val="auto"/>
              </w:rPr>
            </w:pPr>
          </w:p>
        </w:tc>
        <w:tc>
          <w:tcPr>
            <w:tcW w:w="2480" w:type="dxa"/>
            <w:vAlign w:val="bottom"/>
            <w:tcBorders>
              <w:top w:val="single" w:sz="8" w:color="D7282F"/>
              <w:bottom w:val="single" w:sz="8" w:color="D7282F"/>
            </w:tcBorders>
          </w:tcPr>
          <w:p>
            <w:pPr>
              <w:jc w:val="right"/>
              <w:ind w:right="1388"/>
              <w:spacing w:after="0"/>
              <w:rPr>
                <w:sz w:val="20"/>
                <w:szCs w:val="20"/>
                <w:color w:val="auto"/>
              </w:rPr>
            </w:pPr>
            <w:r>
              <w:rPr>
                <w:rFonts w:ascii="Arial" w:cs="Arial" w:eastAsia="Arial" w:hAnsi="Arial"/>
                <w:sz w:val="14"/>
                <w:szCs w:val="14"/>
                <w:b w:val="1"/>
                <w:bCs w:val="1"/>
                <w:color w:val="auto"/>
              </w:rPr>
              <w:t>2022</w:t>
            </w:r>
          </w:p>
        </w:tc>
        <w:tc>
          <w:tcPr>
            <w:tcW w:w="1200" w:type="dxa"/>
            <w:vAlign w:val="bottom"/>
            <w:tcBorders>
              <w:top w:val="single" w:sz="8" w:color="D7282F"/>
              <w:bottom w:val="single" w:sz="8" w:color="D7282F"/>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96"/>
        </w:trPr>
        <w:tc>
          <w:tcPr>
            <w:tcW w:w="56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unresolved at the beginning of period</w:t>
            </w:r>
          </w:p>
        </w:tc>
        <w:tc>
          <w:tcPr>
            <w:tcW w:w="1720" w:type="dxa"/>
            <w:vAlign w:val="bottom"/>
            <w:tcBorders>
              <w:bottom w:val="single" w:sz="8" w:color="D7282F"/>
            </w:tcBorders>
          </w:tcPr>
          <w:p>
            <w:pPr>
              <w:jc w:val="center"/>
              <w:ind w:left="1168"/>
              <w:spacing w:after="0"/>
              <w:rPr>
                <w:sz w:val="20"/>
                <w:szCs w:val="20"/>
                <w:color w:val="auto"/>
              </w:rPr>
            </w:pPr>
            <w:r>
              <w:rPr>
                <w:rFonts w:ascii="Arial" w:cs="Arial" w:eastAsia="Arial" w:hAnsi="Arial"/>
                <w:sz w:val="14"/>
                <w:szCs w:val="14"/>
                <w:b w:val="1"/>
                <w:bCs w:val="1"/>
                <w:color w:val="auto"/>
              </w:rPr>
              <w:t>5,608</w:t>
            </w:r>
          </w:p>
        </w:tc>
        <w:tc>
          <w:tcPr>
            <w:tcW w:w="2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center"/>
              <w:ind w:left="408"/>
              <w:spacing w:after="0"/>
              <w:rPr>
                <w:sz w:val="20"/>
                <w:szCs w:val="20"/>
                <w:color w:val="auto"/>
              </w:rPr>
            </w:pPr>
            <w:r>
              <w:rPr>
                <w:rFonts w:ascii="Arial" w:cs="Arial" w:eastAsia="Arial" w:hAnsi="Arial"/>
                <w:sz w:val="14"/>
                <w:szCs w:val="14"/>
                <w:b w:val="1"/>
                <w:bCs w:val="1"/>
                <w:color w:val="auto"/>
              </w:rPr>
              <w:t>6,401</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6,242</w:t>
            </w:r>
          </w:p>
        </w:tc>
      </w:tr>
      <w:tr>
        <w:trPr>
          <w:trHeight w:val="191"/>
        </w:trPr>
        <w:tc>
          <w:tcPr>
            <w:tcW w:w="56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Claims filed</w:t>
            </w:r>
          </w:p>
        </w:tc>
        <w:tc>
          <w:tcPr>
            <w:tcW w:w="1720" w:type="dxa"/>
            <w:vAlign w:val="bottom"/>
            <w:tcBorders>
              <w:bottom w:val="single" w:sz="8" w:color="61656A"/>
            </w:tcBorders>
          </w:tcPr>
          <w:p>
            <w:pPr>
              <w:jc w:val="center"/>
              <w:ind w:left="1168"/>
              <w:spacing w:after="0"/>
              <w:rPr>
                <w:sz w:val="20"/>
                <w:szCs w:val="20"/>
                <w:color w:val="auto"/>
              </w:rPr>
            </w:pPr>
            <w:r>
              <w:rPr>
                <w:rFonts w:ascii="Arial" w:cs="Arial" w:eastAsia="Arial" w:hAnsi="Arial"/>
                <w:sz w:val="14"/>
                <w:szCs w:val="14"/>
                <w:color w:val="auto"/>
              </w:rPr>
              <w:t>1,335</w:t>
            </w:r>
          </w:p>
        </w:tc>
        <w:tc>
          <w:tcPr>
            <w:tcW w:w="240" w:type="dxa"/>
            <w:vAlign w:val="bottom"/>
            <w:tcBorders>
              <w:bottom w:val="single" w:sz="8" w:color="61656A"/>
            </w:tcBorders>
          </w:tcPr>
          <w:p>
            <w:pPr>
              <w:spacing w:after="0"/>
              <w:rPr>
                <w:sz w:val="16"/>
                <w:szCs w:val="16"/>
                <w:color w:val="auto"/>
              </w:rPr>
            </w:pPr>
          </w:p>
        </w:tc>
        <w:tc>
          <w:tcPr>
            <w:tcW w:w="2480" w:type="dxa"/>
            <w:vAlign w:val="bottom"/>
            <w:tcBorders>
              <w:bottom w:val="single" w:sz="8" w:color="61656A"/>
            </w:tcBorders>
          </w:tcPr>
          <w:p>
            <w:pPr>
              <w:jc w:val="center"/>
              <w:ind w:left="408"/>
              <w:spacing w:after="0"/>
              <w:rPr>
                <w:sz w:val="20"/>
                <w:szCs w:val="20"/>
                <w:color w:val="auto"/>
              </w:rPr>
            </w:pPr>
            <w:r>
              <w:rPr>
                <w:rFonts w:ascii="Arial" w:cs="Arial" w:eastAsia="Arial" w:hAnsi="Arial"/>
                <w:sz w:val="14"/>
                <w:szCs w:val="14"/>
                <w:color w:val="auto"/>
              </w:rPr>
              <w:t>2,014</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2,611</w:t>
            </w:r>
          </w:p>
        </w:tc>
      </w:tr>
      <w:tr>
        <w:trPr>
          <w:trHeight w:val="196"/>
        </w:trPr>
        <w:tc>
          <w:tcPr>
            <w:tcW w:w="56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Claims resolved</w:t>
            </w:r>
          </w:p>
        </w:tc>
        <w:tc>
          <w:tcPr>
            <w:tcW w:w="1720" w:type="dxa"/>
            <w:vAlign w:val="bottom"/>
            <w:tcBorders>
              <w:bottom w:val="single" w:sz="8" w:color="D7282F"/>
            </w:tcBorders>
          </w:tcPr>
          <w:p>
            <w:pPr>
              <w:jc w:val="center"/>
              <w:ind w:left="1148"/>
              <w:spacing w:after="0"/>
              <w:rPr>
                <w:sz w:val="20"/>
                <w:szCs w:val="20"/>
                <w:color w:val="auto"/>
              </w:rPr>
            </w:pPr>
            <w:r>
              <w:rPr>
                <w:rFonts w:ascii="Arial" w:cs="Arial" w:eastAsia="Arial" w:hAnsi="Arial"/>
                <w:sz w:val="14"/>
                <w:szCs w:val="14"/>
                <w:color w:val="auto"/>
              </w:rPr>
              <w:t>(1,297)</w:t>
            </w:r>
          </w:p>
        </w:tc>
        <w:tc>
          <w:tcPr>
            <w:tcW w:w="2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center"/>
              <w:ind w:left="388"/>
              <w:spacing w:after="0"/>
              <w:rPr>
                <w:sz w:val="20"/>
                <w:szCs w:val="20"/>
                <w:color w:val="auto"/>
              </w:rPr>
            </w:pPr>
            <w:r>
              <w:rPr>
                <w:rFonts w:ascii="Arial" w:cs="Arial" w:eastAsia="Arial" w:hAnsi="Arial"/>
                <w:sz w:val="14"/>
                <w:szCs w:val="14"/>
                <w:color w:val="auto"/>
              </w:rPr>
              <w:t>(2,807)</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(2,452)</w:t>
            </w:r>
          </w:p>
        </w:tc>
      </w:tr>
      <w:tr>
        <w:trPr>
          <w:trHeight w:val="201"/>
        </w:trPr>
        <w:tc>
          <w:tcPr>
            <w:tcW w:w="56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unresolved at the end of period</w:t>
            </w:r>
          </w:p>
        </w:tc>
        <w:tc>
          <w:tcPr>
            <w:tcW w:w="1720" w:type="dxa"/>
            <w:vAlign w:val="bottom"/>
            <w:tcBorders>
              <w:bottom w:val="single" w:sz="8" w:color="D7282F"/>
            </w:tcBorders>
          </w:tcPr>
          <w:p>
            <w:pPr>
              <w:jc w:val="center"/>
              <w:ind w:left="1168"/>
              <w:spacing w:after="0"/>
              <w:rPr>
                <w:sz w:val="20"/>
                <w:szCs w:val="20"/>
                <w:color w:val="auto"/>
              </w:rPr>
            </w:pPr>
            <w:r>
              <w:rPr>
                <w:rFonts w:ascii="Arial" w:cs="Arial" w:eastAsia="Arial" w:hAnsi="Arial"/>
                <w:sz w:val="14"/>
                <w:szCs w:val="14"/>
                <w:b w:val="1"/>
                <w:bCs w:val="1"/>
                <w:color w:val="auto"/>
              </w:rPr>
              <w:t>5,646</w:t>
            </w:r>
          </w:p>
        </w:tc>
        <w:tc>
          <w:tcPr>
            <w:tcW w:w="2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center"/>
              <w:ind w:left="408"/>
              <w:spacing w:after="0"/>
              <w:rPr>
                <w:sz w:val="20"/>
                <w:szCs w:val="20"/>
                <w:color w:val="auto"/>
              </w:rPr>
            </w:pPr>
            <w:r>
              <w:rPr>
                <w:rFonts w:ascii="Arial" w:cs="Arial" w:eastAsia="Arial" w:hAnsi="Arial"/>
                <w:sz w:val="14"/>
                <w:szCs w:val="14"/>
                <w:b w:val="1"/>
                <w:bCs w:val="1"/>
                <w:color w:val="auto"/>
              </w:rPr>
              <w:t>5,608</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6,401</w:t>
            </w:r>
          </w:p>
        </w:tc>
      </w:tr>
      <w:tr>
        <w:trPr>
          <w:trHeight w:val="425"/>
        </w:trPr>
        <w:tc>
          <w:tcPr>
            <w:tcW w:w="5600" w:type="dxa"/>
            <w:vAlign w:val="bottom"/>
          </w:tcPr>
          <w:p>
            <w:pPr>
              <w:spacing w:after="0"/>
              <w:rPr>
                <w:sz w:val="24"/>
                <w:szCs w:val="24"/>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2480" w:type="dxa"/>
            <w:vAlign w:val="bottom"/>
          </w:tcPr>
          <w:p>
            <w:pPr>
              <w:jc w:val="center"/>
              <w:ind w:left="110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Pr>
          <w:p>
            <w:pPr>
              <w:spacing w:after="0"/>
              <w:rPr>
                <w:sz w:val="24"/>
                <w:szCs w:val="24"/>
                <w:color w:val="auto"/>
              </w:rPr>
            </w:pPr>
          </w:p>
        </w:tc>
      </w:tr>
      <w:tr>
        <w:trPr>
          <w:trHeight w:val="197"/>
        </w:trPr>
        <w:tc>
          <w:tcPr>
            <w:tcW w:w="56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Disease Distribution of Unresolved Claims</w:t>
            </w:r>
          </w:p>
        </w:tc>
        <w:tc>
          <w:tcPr>
            <w:tcW w:w="1720" w:type="dxa"/>
            <w:vAlign w:val="bottom"/>
            <w:tcBorders>
              <w:top w:val="single" w:sz="8" w:color="D7282F"/>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D7282F"/>
            </w:tcBorders>
          </w:tcPr>
          <w:p>
            <w:pPr>
              <w:spacing w:after="0"/>
              <w:rPr>
                <w:sz w:val="17"/>
                <w:szCs w:val="17"/>
                <w:color w:val="auto"/>
              </w:rPr>
            </w:pPr>
          </w:p>
        </w:tc>
        <w:tc>
          <w:tcPr>
            <w:tcW w:w="2480" w:type="dxa"/>
            <w:vAlign w:val="bottom"/>
            <w:tcBorders>
              <w:top w:val="single" w:sz="8" w:color="D7282F"/>
              <w:bottom w:val="single" w:sz="8" w:color="D7282F"/>
            </w:tcBorders>
          </w:tcPr>
          <w:p>
            <w:pPr>
              <w:jc w:val="right"/>
              <w:ind w:right="1388"/>
              <w:spacing w:after="0"/>
              <w:rPr>
                <w:sz w:val="20"/>
                <w:szCs w:val="20"/>
                <w:color w:val="auto"/>
              </w:rPr>
            </w:pPr>
            <w:r>
              <w:rPr>
                <w:rFonts w:ascii="Arial" w:cs="Arial" w:eastAsia="Arial" w:hAnsi="Arial"/>
                <w:sz w:val="14"/>
                <w:szCs w:val="14"/>
                <w:b w:val="1"/>
                <w:bCs w:val="1"/>
                <w:color w:val="auto"/>
              </w:rPr>
              <w:t>2022</w:t>
            </w:r>
          </w:p>
        </w:tc>
        <w:tc>
          <w:tcPr>
            <w:tcW w:w="1200" w:type="dxa"/>
            <w:vAlign w:val="bottom"/>
            <w:tcBorders>
              <w:top w:val="single" w:sz="8" w:color="D7282F"/>
              <w:bottom w:val="single" w:sz="8" w:color="D7282F"/>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91"/>
        </w:trPr>
        <w:tc>
          <w:tcPr>
            <w:tcW w:w="56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1720" w:type="dxa"/>
            <w:vAlign w:val="bottom"/>
            <w:tcBorders>
              <w:bottom w:val="single" w:sz="8" w:color="61656A"/>
            </w:tcBorders>
          </w:tcPr>
          <w:p>
            <w:pPr>
              <w:jc w:val="center"/>
              <w:ind w:left="1168"/>
              <w:spacing w:after="0"/>
              <w:rPr>
                <w:sz w:val="20"/>
                <w:szCs w:val="20"/>
                <w:color w:val="auto"/>
              </w:rPr>
            </w:pPr>
            <w:r>
              <w:rPr>
                <w:rFonts w:ascii="Arial" w:cs="Arial" w:eastAsia="Arial" w:hAnsi="Arial"/>
                <w:sz w:val="14"/>
                <w:szCs w:val="14"/>
                <w:color w:val="auto"/>
              </w:rPr>
              <w:t>3,396</w:t>
            </w:r>
          </w:p>
        </w:tc>
        <w:tc>
          <w:tcPr>
            <w:tcW w:w="240" w:type="dxa"/>
            <w:vAlign w:val="bottom"/>
            <w:tcBorders>
              <w:bottom w:val="single" w:sz="8" w:color="61656A"/>
            </w:tcBorders>
          </w:tcPr>
          <w:p>
            <w:pPr>
              <w:spacing w:after="0"/>
              <w:rPr>
                <w:sz w:val="16"/>
                <w:szCs w:val="16"/>
                <w:color w:val="auto"/>
              </w:rPr>
            </w:pPr>
          </w:p>
        </w:tc>
        <w:tc>
          <w:tcPr>
            <w:tcW w:w="2480" w:type="dxa"/>
            <w:vAlign w:val="bottom"/>
            <w:tcBorders>
              <w:bottom w:val="single" w:sz="8" w:color="61656A"/>
            </w:tcBorders>
          </w:tcPr>
          <w:p>
            <w:pPr>
              <w:jc w:val="center"/>
              <w:ind w:left="408"/>
              <w:spacing w:after="0"/>
              <w:rPr>
                <w:sz w:val="20"/>
                <w:szCs w:val="20"/>
                <w:color w:val="auto"/>
              </w:rPr>
            </w:pPr>
            <w:r>
              <w:rPr>
                <w:rFonts w:ascii="Arial" w:cs="Arial" w:eastAsia="Arial" w:hAnsi="Arial"/>
                <w:sz w:val="14"/>
                <w:szCs w:val="14"/>
                <w:color w:val="auto"/>
              </w:rPr>
              <w:t>3,283</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3,760</w:t>
            </w:r>
          </w:p>
        </w:tc>
      </w:tr>
      <w:tr>
        <w:trPr>
          <w:trHeight w:val="196"/>
        </w:trPr>
        <w:tc>
          <w:tcPr>
            <w:tcW w:w="56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1720" w:type="dxa"/>
            <w:vAlign w:val="bottom"/>
            <w:tcBorders>
              <w:bottom w:val="single" w:sz="8" w:color="D7282F"/>
            </w:tcBorders>
          </w:tcPr>
          <w:p>
            <w:pPr>
              <w:jc w:val="center"/>
              <w:ind w:left="1168"/>
              <w:spacing w:after="0"/>
              <w:rPr>
                <w:sz w:val="20"/>
                <w:szCs w:val="20"/>
                <w:color w:val="auto"/>
              </w:rPr>
            </w:pPr>
            <w:r>
              <w:rPr>
                <w:rFonts w:ascii="Arial" w:cs="Arial" w:eastAsia="Arial" w:hAnsi="Arial"/>
                <w:sz w:val="14"/>
                <w:szCs w:val="14"/>
                <w:color w:val="auto"/>
              </w:rPr>
              <w:t>2,250</w:t>
            </w:r>
          </w:p>
        </w:tc>
        <w:tc>
          <w:tcPr>
            <w:tcW w:w="2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center"/>
              <w:ind w:left="408"/>
              <w:spacing w:after="0"/>
              <w:rPr>
                <w:sz w:val="20"/>
                <w:szCs w:val="20"/>
                <w:color w:val="auto"/>
              </w:rPr>
            </w:pPr>
            <w:r>
              <w:rPr>
                <w:rFonts w:ascii="Arial" w:cs="Arial" w:eastAsia="Arial" w:hAnsi="Arial"/>
                <w:sz w:val="14"/>
                <w:szCs w:val="14"/>
                <w:color w:val="auto"/>
              </w:rPr>
              <w:t>2,325</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2,641</w:t>
            </w:r>
          </w:p>
        </w:tc>
      </w:tr>
      <w:tr>
        <w:trPr>
          <w:trHeight w:val="201"/>
        </w:trPr>
        <w:tc>
          <w:tcPr>
            <w:tcW w:w="56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claims</w:t>
            </w:r>
          </w:p>
        </w:tc>
        <w:tc>
          <w:tcPr>
            <w:tcW w:w="1720" w:type="dxa"/>
            <w:vAlign w:val="bottom"/>
            <w:tcBorders>
              <w:bottom w:val="single" w:sz="8" w:color="D7282F"/>
            </w:tcBorders>
          </w:tcPr>
          <w:p>
            <w:pPr>
              <w:jc w:val="center"/>
              <w:ind w:left="1168"/>
              <w:spacing w:after="0"/>
              <w:rPr>
                <w:sz w:val="20"/>
                <w:szCs w:val="20"/>
                <w:color w:val="auto"/>
              </w:rPr>
            </w:pPr>
            <w:r>
              <w:rPr>
                <w:rFonts w:ascii="Arial" w:cs="Arial" w:eastAsia="Arial" w:hAnsi="Arial"/>
                <w:sz w:val="14"/>
                <w:szCs w:val="14"/>
                <w:b w:val="1"/>
                <w:bCs w:val="1"/>
                <w:color w:val="auto"/>
              </w:rPr>
              <w:t>5,646</w:t>
            </w:r>
          </w:p>
        </w:tc>
        <w:tc>
          <w:tcPr>
            <w:tcW w:w="2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center"/>
              <w:ind w:left="408"/>
              <w:spacing w:after="0"/>
              <w:rPr>
                <w:sz w:val="20"/>
                <w:szCs w:val="20"/>
                <w:color w:val="auto"/>
              </w:rPr>
            </w:pPr>
            <w:r>
              <w:rPr>
                <w:rFonts w:ascii="Arial" w:cs="Arial" w:eastAsia="Arial" w:hAnsi="Arial"/>
                <w:sz w:val="14"/>
                <w:szCs w:val="14"/>
                <w:b w:val="1"/>
                <w:bCs w:val="1"/>
                <w:color w:val="auto"/>
              </w:rPr>
              <w:t>5,608</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6,401</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Honeywell has experienced average resolution values per claim excluding legal costs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2700" w:type="dxa"/>
            <w:vAlign w:val="bottom"/>
            <w:tcBorders>
              <w:bottom w:val="single" w:sz="8" w:color="D7282F"/>
            </w:tcBorders>
            <w:gridSpan w:val="5"/>
          </w:tcPr>
          <w:p>
            <w:pPr>
              <w:jc w:val="center"/>
              <w:ind w:right="188"/>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r>
      <w:tr>
        <w:trPr>
          <w:trHeight w:val="196"/>
        </w:trPr>
        <w:tc>
          <w:tcPr>
            <w:tcW w:w="6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center"/>
              <w:ind w:right="30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2018</w:t>
            </w:r>
          </w:p>
        </w:tc>
      </w:tr>
      <w:tr>
        <w:trPr>
          <w:trHeight w:val="196"/>
        </w:trPr>
        <w:tc>
          <w:tcPr>
            <w:tcW w:w="648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(in whole dollars)</w:t>
            </w:r>
          </w:p>
        </w:tc>
        <w:tc>
          <w:tcPr>
            <w:tcW w:w="1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r>
      <w:tr>
        <w:trPr>
          <w:trHeight w:val="191"/>
        </w:trPr>
        <w:tc>
          <w:tcPr>
            <w:tcW w:w="6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59,200</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56,000</w:t>
            </w: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61,500</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50,200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55,300</w:t>
            </w: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520</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400</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550</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3,900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4,700</w:t>
            </w:r>
          </w:p>
        </w:tc>
      </w:tr>
    </w:tbl>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While resolution values moved higher and lower over the years for Bendix-related asbestos claims, such resolution values may continue to increase over the near term in light of recent asbestos litigation trends. It is not possible to predict whether resolution values for Bendix-related asbestos claims will increase, decrease, or stabilize in the future.</w:t>
      </w:r>
    </w:p>
    <w:p>
      <w:pPr>
        <w:spacing w:after="0" w:line="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Consolidated Financial Statements reflect an estimated liability for resolution of asserted (claims filed as of the financial statement date) and unasserted Bendix-related asbestos claims, which exclude the Company’s ongoing legal fees to defend such asbestos claims which will continue to be expensed as they are incurred.</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resolution values in the tort system for the previous five years. The Company valued Bendix asserted and unasserted claims using average resolution values for the previous five years. The Company updates the resolution values used to estimate the cost of Bendix asserted and unasserted claims during the fourth quarter each year.</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the Company's ongoing analysis of the probable insurance recovery, insurance receivables are recorded in the financial statements simultaneous with the recording of the estimated liability for the underlying asbestos claims. This determination is based on the Company's analysis of the underlying insurance policies, historical experience with insurers, ongoing review of the solvency of insurers, judicial determinations relevant to insurance programs, and consideration of the impacts of any settlements reached with the Company's insurers.</w:t>
      </w:r>
    </w:p>
    <w:p>
      <w:pPr>
        <w:spacing w:after="0" w:line="200" w:lineRule="exact"/>
        <w:rPr>
          <w:sz w:val="20"/>
          <w:szCs w:val="20"/>
          <w:color w:val="auto"/>
        </w:rPr>
      </w:pPr>
    </w:p>
    <w:p>
      <w:pPr>
        <w:spacing w:after="0" w:line="209"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PETROBRAS AND UNAOIL MATTERS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December 19, 2022, the Company reached a comprehensive resolution to the investigations by the U.S. Department of Justice (DOJ), the Securities and Exchange Commission (SEC), and certain Brazilian authorities (Brazilian Authorities) relating to the Company's use of third parties who previously worked for the Company's UOP business in Brazil in relation to a project awarded in 2010 for Petróleo Brasileiro S.A. (Petrobras). The investigations focused on the Company’s compliance with the U.S. Foreign Corrupt Practices Act and similar Brazilian laws (UOP Matters). The comprehensive resolution also resolves DOJ and SEC investigations relating to a matter involving a foreign subsidiary’s prior contract with Unaoil S.A.M. in Algeria executed in 2011 (the Unaoil Matter).</w:t>
      </w: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connection with the comprehensive resolution, (i) the Company agreed to pay a total equivalent of $202.7 million, which payment occurred in January 2023, to the DOJ, the SEC, and the Brazilian Authorities, collectively, in penalties, disgorgement, and prejudgment interest, (ii) the Company’s subsidiary, UOP, LLC (UOP), entered into a three-year Deferred Prosecution Agreement with the DOJ for charges related to the UOP Matters, (iii) UOP entered into leniency agreements with the Brazilian authorities related to the UOP Matter in Brazil, and (iv) the Company entered into an agreement with the SEC that resolves allegations relating to the UOP Matters and the Unaoil Matter. Pursuant to these agreements, the Company agreed to undertake certain compliance measures and compliance reporting obligations. These agreements entirely resolve the Petrobras and Unaoil investigations.</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is subject to a number of other lawsuits, investigations, and disputes (some of which involve substantial amounts claimed) arising out of the conduct of the Company's business, including matters relating to commercial transactions, government contracts, product liability, prior acquisitions and divestitures, employee benefit plans, intellectual property, and environmental, health, and safety matters. The Company recognizes liabilities for any contingency that is probable of occurrence and reasonably estimable. The Company continually assesses the likelihood of adverse judgments or outcomes in such matters, as well as potential ranges of probable losses (taking into consideration any insurance recoveries), based on a careful analysis of each matter with the assistance of outside legal counsel and, if applicable, other experts.</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Given the uncertainty inherent in litigation and investigations, the Company does not believe it is possible to develop estimates of reasonably possible loss (or a range of possible loss) in excess of current accruals for commitment and contingency matters, including those discussed in this Note 14.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changes in settlement strategy or the impact of evidentiary requirements, which could cause the Company to pay damage awards or settlements (or become subject to equitable remedies) that could have a material adverse effect on the Company's consolidated results of operations or operating cash flows in the periods recognized or paid.</w:t>
      </w: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color w:val="D7282F"/>
        </w:rPr>
        <w:t>NOTE 15. PENSION BENEFITS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Net periodic pension benefit (income) cost for the Company's significant pension plans included the following components: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10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U.S. Plans</w:t>
            </w:r>
          </w:p>
        </w:tc>
        <w:tc>
          <w:tcPr>
            <w:tcW w:w="72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r>
      <w:tr>
        <w:trPr>
          <w:trHeight w:val="170"/>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70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70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235"/>
        </w:trPr>
        <w:tc>
          <w:tcPr>
            <w:tcW w:w="7100" w:type="dxa"/>
            <w:vAlign w:val="bottom"/>
            <w:tcBorders>
              <w:bottom w:val="single" w:sz="8" w:color="D7282F"/>
            </w:tcBorders>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78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D7282F"/>
            </w:tcBorders>
          </w:tcPr>
          <w:p>
            <w:pPr>
              <w:spacing w:after="0"/>
              <w:rPr>
                <w:sz w:val="20"/>
                <w:szCs w:val="20"/>
                <w:color w:val="auto"/>
              </w:rPr>
            </w:pPr>
          </w:p>
        </w:tc>
        <w:tc>
          <w:tcPr>
            <w:tcW w:w="260" w:type="dxa"/>
            <w:vAlign w:val="bottom"/>
            <w:tcBorders>
              <w:top w:val="single" w:sz="8" w:color="D7282F"/>
              <w:bottom w:val="single" w:sz="8" w:color="D7282F"/>
            </w:tcBorders>
          </w:tcPr>
          <w:p>
            <w:pPr>
              <w:spacing w:after="0"/>
              <w:rPr>
                <w:sz w:val="20"/>
                <w:szCs w:val="20"/>
                <w:color w:val="auto"/>
              </w:rPr>
            </w:pPr>
          </w:p>
        </w:tc>
        <w:tc>
          <w:tcPr>
            <w:tcW w:w="72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1"/>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 cost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21</w:t>
            </w:r>
          </w:p>
        </w:tc>
        <w:tc>
          <w:tcPr>
            <w:tcW w:w="22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162</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95</w:t>
            </w:r>
          </w:p>
        </w:tc>
        <w:tc>
          <w:tcPr>
            <w:tcW w:w="2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484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285</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(277)</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(320)</w:t>
            </w:r>
          </w:p>
        </w:tc>
        <w:tc>
          <w:tcPr>
            <w:tcW w:w="2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(833)</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(961)</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Amortization of prior service (credit) cost</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w:t>
            </w:r>
          </w:p>
        </w:tc>
      </w:tr>
      <w:tr>
        <w:trPr>
          <w:trHeight w:val="201"/>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periodic benefit income</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(119)</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(215)</w:t>
            </w:r>
          </w:p>
        </w:tc>
        <w:tc>
          <w:tcPr>
            <w:tcW w:w="2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(359)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(644)</w:t>
            </w: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27</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10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1880" w:type="dxa"/>
            <w:vAlign w:val="bottom"/>
            <w:tcBorders>
              <w:bottom w:val="single" w:sz="8" w:color="D7282F"/>
            </w:tcBorders>
            <w:gridSpan w:val="4"/>
          </w:tcPr>
          <w:p>
            <w:pPr>
              <w:jc w:val="right"/>
              <w:ind w:right="508"/>
              <w:spacing w:after="0"/>
              <w:rPr>
                <w:sz w:val="20"/>
                <w:szCs w:val="20"/>
                <w:color w:val="auto"/>
              </w:rPr>
            </w:pPr>
            <w:r>
              <w:rPr>
                <w:rFonts w:ascii="Arial" w:cs="Arial" w:eastAsia="Arial" w:hAnsi="Arial"/>
                <w:sz w:val="14"/>
                <w:szCs w:val="14"/>
                <w:b w:val="1"/>
                <w:bCs w:val="1"/>
                <w:color w:val="auto"/>
              </w:rPr>
              <w:t>Non-U.S. Plans</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r>
      <w:tr>
        <w:trPr>
          <w:trHeight w:val="170"/>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235"/>
        </w:trPr>
        <w:tc>
          <w:tcPr>
            <w:tcW w:w="7100" w:type="dxa"/>
            <w:vAlign w:val="bottom"/>
            <w:tcBorders>
              <w:bottom w:val="single" w:sz="8" w:color="D7282F"/>
            </w:tcBorders>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78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D7282F"/>
            </w:tcBorders>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1"/>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 cost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51</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79</w:t>
            </w:r>
          </w:p>
        </w:tc>
      </w:tr>
      <w:tr>
        <w:trPr>
          <w:trHeight w:val="196"/>
        </w:trPr>
        <w:tc>
          <w:tcPr>
            <w:tcW w:w="7100" w:type="dxa"/>
            <w:vAlign w:val="bottom"/>
            <w:tcBorders>
              <w:bottom w:val="single" w:sz="8" w:color="DC202E"/>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180" w:type="dxa"/>
            <w:vAlign w:val="bottom"/>
            <w:tcBorders>
              <w:bottom w:val="single" w:sz="8" w:color="DC202E"/>
            </w:tcBorders>
          </w:tcPr>
          <w:p>
            <w:pPr>
              <w:spacing w:after="0"/>
              <w:rPr>
                <w:sz w:val="17"/>
                <w:szCs w:val="17"/>
                <w:color w:val="auto"/>
              </w:rPr>
            </w:pPr>
          </w:p>
        </w:tc>
        <w:tc>
          <w:tcPr>
            <w:tcW w:w="780" w:type="dxa"/>
            <w:vAlign w:val="bottom"/>
            <w:tcBorders>
              <w:bottom w:val="single" w:sz="8" w:color="DC202E"/>
            </w:tcBorders>
          </w:tcPr>
          <w:p>
            <w:pPr>
              <w:jc w:val="right"/>
              <w:ind w:right="48"/>
              <w:spacing w:after="0"/>
              <w:rPr>
                <w:sz w:val="20"/>
                <w:szCs w:val="20"/>
                <w:color w:val="auto"/>
              </w:rPr>
            </w:pPr>
            <w:r>
              <w:rPr>
                <w:rFonts w:ascii="Arial" w:cs="Arial" w:eastAsia="Arial" w:hAnsi="Arial"/>
                <w:sz w:val="14"/>
                <w:szCs w:val="14"/>
                <w:color w:val="auto"/>
              </w:rPr>
              <w:t>(70)</w:t>
            </w:r>
          </w:p>
        </w:tc>
        <w:tc>
          <w:tcPr>
            <w:tcW w:w="320" w:type="dxa"/>
            <w:vAlign w:val="bottom"/>
            <w:tcBorders>
              <w:bottom w:val="single" w:sz="8" w:color="DC202E"/>
            </w:tcBorders>
          </w:tcPr>
          <w:p>
            <w:pPr>
              <w:spacing w:after="0"/>
              <w:rPr>
                <w:sz w:val="17"/>
                <w:szCs w:val="17"/>
                <w:color w:val="auto"/>
              </w:rPr>
            </w:pP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color w:val="auto"/>
              </w:rPr>
              <w:t>(67)</w:t>
            </w:r>
          </w:p>
        </w:tc>
        <w:tc>
          <w:tcPr>
            <w:tcW w:w="220" w:type="dxa"/>
            <w:vAlign w:val="bottom"/>
            <w:tcBorders>
              <w:bottom w:val="single" w:sz="8" w:color="DC202E"/>
            </w:tcBorders>
          </w:tcPr>
          <w:p>
            <w:pPr>
              <w:spacing w:after="0"/>
              <w:rPr>
                <w:sz w:val="17"/>
                <w:szCs w:val="17"/>
                <w:color w:val="auto"/>
              </w:rPr>
            </w:pPr>
          </w:p>
        </w:tc>
        <w:tc>
          <w:tcPr>
            <w:tcW w:w="180" w:type="dxa"/>
            <w:vAlign w:val="bottom"/>
            <w:tcBorders>
              <w:bottom w:val="single" w:sz="8" w:color="DC202E"/>
            </w:tcBorders>
          </w:tcPr>
          <w:p>
            <w:pPr>
              <w:spacing w:after="0"/>
              <w:rPr>
                <w:sz w:val="17"/>
                <w:szCs w:val="17"/>
                <w:color w:val="auto"/>
              </w:rPr>
            </w:pPr>
          </w:p>
        </w:tc>
        <w:tc>
          <w:tcPr>
            <w:tcW w:w="800" w:type="dxa"/>
            <w:vAlign w:val="bottom"/>
            <w:tcBorders>
              <w:bottom w:val="single" w:sz="8" w:color="DC202E"/>
            </w:tcBorders>
          </w:tcPr>
          <w:p>
            <w:pPr>
              <w:jc w:val="right"/>
              <w:ind w:right="68"/>
              <w:spacing w:after="0"/>
              <w:rPr>
                <w:sz w:val="20"/>
                <w:szCs w:val="20"/>
                <w:color w:val="auto"/>
              </w:rPr>
            </w:pPr>
            <w:r>
              <w:rPr>
                <w:rFonts w:ascii="Arial" w:cs="Arial" w:eastAsia="Arial" w:hAnsi="Arial"/>
                <w:sz w:val="14"/>
                <w:szCs w:val="14"/>
                <w:color w:val="auto"/>
              </w:rPr>
              <w:t>(206)</w:t>
            </w:r>
          </w:p>
        </w:tc>
        <w:tc>
          <w:tcPr>
            <w:tcW w:w="300" w:type="dxa"/>
            <w:vAlign w:val="bottom"/>
            <w:tcBorders>
              <w:bottom w:val="single" w:sz="8" w:color="DC202E"/>
            </w:tcBorders>
          </w:tcPr>
          <w:p>
            <w:pPr>
              <w:spacing w:after="0"/>
              <w:rPr>
                <w:sz w:val="17"/>
                <w:szCs w:val="17"/>
                <w:color w:val="auto"/>
              </w:rPr>
            </w:pP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color w:val="auto"/>
              </w:rPr>
              <w:t>(213)</w:t>
            </w:r>
          </w:p>
        </w:tc>
      </w:tr>
      <w:tr>
        <w:trPr>
          <w:trHeight w:val="201"/>
        </w:trPr>
        <w:tc>
          <w:tcPr>
            <w:tcW w:w="7100" w:type="dxa"/>
            <w:vAlign w:val="bottom"/>
            <w:tcBorders>
              <w:bottom w:val="single" w:sz="8" w:color="DC202E"/>
            </w:tcBorders>
          </w:tcPr>
          <w:p>
            <w:pPr>
              <w:ind w:left="140"/>
              <w:spacing w:after="0"/>
              <w:rPr>
                <w:sz w:val="20"/>
                <w:szCs w:val="20"/>
                <w:color w:val="auto"/>
              </w:rPr>
            </w:pPr>
            <w:r>
              <w:rPr>
                <w:rFonts w:ascii="Arial" w:cs="Arial" w:eastAsia="Arial" w:hAnsi="Arial"/>
                <w:sz w:val="14"/>
                <w:szCs w:val="14"/>
                <w:b w:val="1"/>
                <w:bCs w:val="1"/>
                <w:color w:val="auto"/>
              </w:rPr>
              <w:t>Net periodic benefit income</w:t>
            </w:r>
          </w:p>
        </w:tc>
        <w:tc>
          <w:tcPr>
            <w:tcW w:w="18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C202E"/>
            </w:tcBorders>
          </w:tcPr>
          <w:p>
            <w:pPr>
              <w:jc w:val="right"/>
              <w:ind w:right="48"/>
              <w:spacing w:after="0"/>
              <w:rPr>
                <w:sz w:val="20"/>
                <w:szCs w:val="20"/>
                <w:color w:val="auto"/>
              </w:rPr>
            </w:pPr>
            <w:r>
              <w:rPr>
                <w:rFonts w:ascii="Arial" w:cs="Arial" w:eastAsia="Arial" w:hAnsi="Arial"/>
                <w:sz w:val="14"/>
                <w:szCs w:val="14"/>
                <w:b w:val="1"/>
                <w:bCs w:val="1"/>
                <w:color w:val="auto"/>
              </w:rPr>
              <w:t>(17)</w:t>
            </w:r>
          </w:p>
        </w:tc>
        <w:tc>
          <w:tcPr>
            <w:tcW w:w="320" w:type="dxa"/>
            <w:vAlign w:val="bottom"/>
            <w:tcBorders>
              <w:bottom w:val="single" w:sz="8" w:color="DC202E"/>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(37)</w:t>
            </w:r>
          </w:p>
        </w:tc>
        <w:tc>
          <w:tcPr>
            <w:tcW w:w="220" w:type="dxa"/>
            <w:vAlign w:val="bottom"/>
            <w:tcBorders>
              <w:bottom w:val="single" w:sz="8" w:color="DC202E"/>
            </w:tcBorders>
          </w:tcPr>
          <w:p>
            <w:pPr>
              <w:spacing w:after="0"/>
              <w:rPr>
                <w:sz w:val="17"/>
                <w:szCs w:val="17"/>
                <w:color w:val="auto"/>
              </w:rPr>
            </w:pPr>
          </w:p>
        </w:tc>
        <w:tc>
          <w:tcPr>
            <w:tcW w:w="18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C202E"/>
            </w:tcBorders>
          </w:tcPr>
          <w:p>
            <w:pPr>
              <w:jc w:val="right"/>
              <w:ind w:right="68"/>
              <w:spacing w:after="0"/>
              <w:rPr>
                <w:sz w:val="20"/>
                <w:szCs w:val="20"/>
                <w:color w:val="auto"/>
              </w:rPr>
            </w:pPr>
            <w:r>
              <w:rPr>
                <w:rFonts w:ascii="Arial" w:cs="Arial" w:eastAsia="Arial" w:hAnsi="Arial"/>
                <w:sz w:val="14"/>
                <w:szCs w:val="14"/>
                <w:b w:val="1"/>
                <w:bCs w:val="1"/>
                <w:color w:val="auto"/>
              </w:rPr>
              <w:t>(48)</w:t>
            </w:r>
          </w:p>
        </w:tc>
        <w:tc>
          <w:tcPr>
            <w:tcW w:w="30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(119)</w:t>
            </w:r>
          </w:p>
        </w:tc>
      </w:tr>
    </w:tbl>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During the three and nine months ended September 30, 2023, the Company repurchased $100 million of outstanding Honeywell shares of common stock from the Honeywell U.S. Pension Plan Master Trust. The Company completed no repurchases of outstanding Honeywell shares of common stock from the Honeywell U.S. Pension Plan Master Trust during 2022.</w:t>
      </w:r>
    </w:p>
    <w:p>
      <w:pPr>
        <w:spacing w:after="0" w:line="250" w:lineRule="exact"/>
        <w:rPr>
          <w:sz w:val="20"/>
          <w:szCs w:val="20"/>
          <w:color w:val="auto"/>
        </w:rPr>
      </w:pPr>
    </w:p>
    <w:p>
      <w:pPr>
        <w:spacing w:after="0"/>
        <w:rPr>
          <w:sz w:val="20"/>
          <w:szCs w:val="20"/>
          <w:color w:val="auto"/>
        </w:rPr>
      </w:pPr>
      <w:r>
        <w:rPr>
          <w:rFonts w:ascii="Arial" w:cs="Arial" w:eastAsia="Arial" w:hAnsi="Arial"/>
          <w:sz w:val="29"/>
          <w:szCs w:val="29"/>
          <w:color w:val="D7282F"/>
        </w:rPr>
        <w:t>NOTE 16. OTHER (INCOME) EXPENSE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1"/>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(89)</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(241)</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ongoing income—non-service</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(148)</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(279)</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(440)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(847)</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postretirement income—non-service</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(6)</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(19)</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Equity income of affiliated companies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(12)</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Gain on sale of non-strategic businesses and assets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exchange</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Expense related to UOP Matters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Expense (benefit) related to Russia-Ukraine Conflict</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expense related to the NARCO Buyout and HWI</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net</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15</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w:t>
            </w:r>
          </w:p>
        </w:tc>
      </w:tr>
      <w:tr>
        <w:trPr>
          <w:trHeight w:val="201"/>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Other (income) expense</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(247)</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(715)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(846)</w:t>
            </w:r>
          </w:p>
        </w:tc>
      </w:tr>
    </w:tbl>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more information on the Net expense related to the NARCO Buyout and HWI Sale, see Notes 5 Repositioning and Other Charges, 11 Fair Value Measurements, and 14 Commitments and Contingencies.</w:t>
      </w:r>
    </w:p>
    <w:p>
      <w:pPr>
        <w:spacing w:after="0" w:line="381"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D7282F"/>
        </w:rPr>
        <w:t>NOTE 17. SEGMENT FINANCIAL DATA</w:t>
      </w:r>
    </w:p>
    <w:p>
      <w:pPr>
        <w:spacing w:after="0" w:line="248"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Honeywell globally manages its business operations through four reportable business segments. Segment information is consistent with how management reviews the businesses, makes investing and resource allocation decisions, and assesses operating performance.</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October 2023, the Company announced a realignment, expected to be effective in the first quarter of 2024, of its business units comprising its Performance Materials and Technologies and Safety and Productivity Solutions reportable business segments by forming two new reportable business segments: Industrial Automation and Energy and Sustainability Solutions. Industrial Automation will include Sensing and Safety Technologies, Productivity Solutions and Services, and Warehouse and Workflow Solutions, which are currently included in Safety and Productivity Solutions, in addition to Process Solutions, which is currently included in Performance Materials and Technologies. Energy and Sustainability Solutions will include UOP and Advanced Materials, which are currently included in Performance Materials and Technologies. Further, as part of the realignment, the Company will rename its Aerospace and Honeywell Building Technologies reportable business segments to Aerospace Technologies and Building Automation, respectively. Following the realignment, the Company’s reportable business segments will be Aerospace Technologies, Industrial Automation, Building Automation, and Energy and Sustainability Solutions. The realignment will not impact the Company’s historical consolidated financial position, results of operations, or cash flows. The Company expects to report its financial performance based on this realignment effective with the first quarter of 2024.</w:t>
      </w:r>
    </w:p>
    <w:p>
      <w:pPr>
        <w:spacing w:after="0" w:line="200" w:lineRule="exact"/>
        <w:rPr>
          <w:sz w:val="20"/>
          <w:szCs w:val="20"/>
          <w:color w:val="auto"/>
        </w:rPr>
      </w:pPr>
    </w:p>
    <w:p>
      <w:pPr>
        <w:spacing w:after="0" w:line="228"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Aerospace</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1"/>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1,824</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1,586</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5,294</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4,621</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1,675</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1,390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4,657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4,002</w:t>
            </w:r>
          </w:p>
        </w:tc>
      </w:tr>
      <w:tr>
        <w:trPr>
          <w:trHeight w:val="201"/>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Aerospace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3,499</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2,976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9,951</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8,623</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Honeywell Building Technologies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1"/>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1,172</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1,169</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3,463</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3,430</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358</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357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1,064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1,056</w:t>
            </w:r>
          </w:p>
        </w:tc>
      </w:tr>
      <w:tr>
        <w:trPr>
          <w:trHeight w:val="201"/>
        </w:trPr>
        <w:tc>
          <w:tcPr>
            <w:tcW w:w="710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Honeywell Building Technologies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1,530</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1,526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4,527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4,486</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Performance Materials and Technologies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1"/>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2,183</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2,228</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6,609</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6,394</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684</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492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1,868</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1,473</w:t>
            </w:r>
          </w:p>
        </w:tc>
      </w:tr>
      <w:tr>
        <w:trPr>
          <w:trHeight w:val="201"/>
        </w:trPr>
        <w:tc>
          <w:tcPr>
            <w:tcW w:w="710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Performance Materials and Technologies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2,867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2,720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8,477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7,867</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Safety and Productivity Solutions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1"/>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1,115</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1,605</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3,679</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4,959</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199</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122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583</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341</w:t>
            </w:r>
          </w:p>
        </w:tc>
      </w:tr>
      <w:tr>
        <w:trPr>
          <w:trHeight w:val="201"/>
        </w:trPr>
        <w:tc>
          <w:tcPr>
            <w:tcW w:w="710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Safety and Productivity Solutions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1,314</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1,727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4,262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5,300</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Corporate and All Other</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1"/>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r>
      <w:tr>
        <w:trPr>
          <w:trHeight w:val="201"/>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Corporate and All Other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w:t>
            </w:r>
          </w:p>
        </w:tc>
      </w:tr>
      <w:tr>
        <w:trPr>
          <w:trHeight w:val="196"/>
        </w:trPr>
        <w:tc>
          <w:tcPr>
            <w:tcW w:w="710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9,212</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8,951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27,222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26,280</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1"/>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Aerospace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963</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818</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2,714</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2,338</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Honeywell Building Technologies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386</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368</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1,146</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1,064</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Performance Materials and Technologies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633</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615</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1,821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1,726</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Safety and Productivity Solutions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190</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271</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689</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755</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Corporate and All Other</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(90)</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(289)</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(298)</w:t>
            </w:r>
          </w:p>
        </w:tc>
      </w:tr>
      <w:tr>
        <w:trPr>
          <w:trHeight w:val="201"/>
        </w:trPr>
        <w:tc>
          <w:tcPr>
            <w:tcW w:w="710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Total segment profit</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2,082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1,952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6,081</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5,585</w:t>
            </w:r>
          </w:p>
        </w:tc>
      </w:tr>
      <w:tr>
        <w:trPr>
          <w:trHeight w:val="191"/>
        </w:trPr>
        <w:tc>
          <w:tcPr>
            <w:tcW w:w="71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Interest and other financial charges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(206)</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(98)</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(563)</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(270)</w:t>
            </w:r>
          </w:p>
        </w:tc>
      </w:tr>
      <w:tr>
        <w:trPr>
          <w:trHeight w:val="202"/>
        </w:trPr>
        <w:tc>
          <w:tcPr>
            <w:tcW w:w="7100" w:type="dxa"/>
            <w:vAlign w:val="bottom"/>
            <w:tcBorders>
              <w:bottom w:val="single" w:sz="8" w:color="61656A"/>
            </w:tcBorders>
          </w:tcPr>
          <w:p>
            <w:pPr>
              <w:ind w:left="240"/>
              <w:spacing w:after="0" w:line="202" w:lineRule="exact"/>
              <w:rPr>
                <w:sz w:val="20"/>
                <w:szCs w:val="20"/>
                <w:color w:val="auto"/>
              </w:rPr>
            </w:pPr>
            <w:r>
              <w:rPr>
                <w:rFonts w:ascii="Arial" w:cs="Arial" w:eastAsia="Arial" w:hAnsi="Arial"/>
                <w:sz w:val="14"/>
                <w:szCs w:val="14"/>
                <w:color w:val="auto"/>
              </w:rPr>
              <w:t>Stock compensation expense</w:t>
            </w:r>
            <w:r>
              <w:rPr>
                <w:rFonts w:ascii="Arial" w:cs="Arial" w:eastAsia="Arial" w:hAnsi="Arial"/>
                <w:sz w:val="18"/>
                <w:szCs w:val="18"/>
                <w:color w:val="auto"/>
                <w:vertAlign w:val="superscript"/>
              </w:rPr>
              <w:t>1</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(39)</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(148)</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(163)</w:t>
            </w:r>
          </w:p>
        </w:tc>
      </w:tr>
      <w:tr>
        <w:trPr>
          <w:trHeight w:val="196"/>
        </w:trPr>
        <w:tc>
          <w:tcPr>
            <w:tcW w:w="7100" w:type="dxa"/>
            <w:vAlign w:val="bottom"/>
            <w:tcBorders>
              <w:bottom w:val="single" w:sz="8" w:color="61656A"/>
            </w:tcBorders>
          </w:tcPr>
          <w:p>
            <w:pPr>
              <w:ind w:left="240"/>
              <w:spacing w:after="0" w:line="196" w:lineRule="exact"/>
              <w:rPr>
                <w:sz w:val="20"/>
                <w:szCs w:val="20"/>
                <w:color w:val="auto"/>
              </w:rPr>
            </w:pPr>
            <w:r>
              <w:rPr>
                <w:rFonts w:ascii="Arial" w:cs="Arial" w:eastAsia="Arial" w:hAnsi="Arial"/>
                <w:sz w:val="14"/>
                <w:szCs w:val="14"/>
                <w:color w:val="auto"/>
              </w:rPr>
              <w:t>Pension ongoing income</w:t>
            </w:r>
            <w:r>
              <w:rPr>
                <w:rFonts w:ascii="Arial" w:cs="Arial" w:eastAsia="Arial" w:hAnsi="Arial"/>
                <w:sz w:val="18"/>
                <w:szCs w:val="18"/>
                <w:color w:val="auto"/>
                <w:vertAlign w:val="superscript"/>
              </w:rPr>
              <w:t>2</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131</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247</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391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748</w:t>
            </w:r>
          </w:p>
        </w:tc>
      </w:tr>
      <w:tr>
        <w:trPr>
          <w:trHeight w:val="196"/>
        </w:trPr>
        <w:tc>
          <w:tcPr>
            <w:tcW w:w="7100" w:type="dxa"/>
            <w:vAlign w:val="bottom"/>
            <w:tcBorders>
              <w:bottom w:val="single" w:sz="8" w:color="61656A"/>
            </w:tcBorders>
          </w:tcPr>
          <w:p>
            <w:pPr>
              <w:ind w:left="240"/>
              <w:spacing w:after="0" w:line="196" w:lineRule="exact"/>
              <w:rPr>
                <w:sz w:val="20"/>
                <w:szCs w:val="20"/>
                <w:color w:val="auto"/>
              </w:rPr>
            </w:pPr>
            <w:r>
              <w:rPr>
                <w:rFonts w:ascii="Arial" w:cs="Arial" w:eastAsia="Arial" w:hAnsi="Arial"/>
                <w:sz w:val="14"/>
                <w:szCs w:val="14"/>
                <w:color w:val="auto"/>
              </w:rPr>
              <w:t>Other postretirement income</w:t>
            </w:r>
            <w:r>
              <w:rPr>
                <w:rFonts w:ascii="Arial" w:cs="Arial" w:eastAsia="Arial" w:hAnsi="Arial"/>
                <w:sz w:val="18"/>
                <w:szCs w:val="18"/>
                <w:color w:val="auto"/>
                <w:vertAlign w:val="superscript"/>
              </w:rPr>
              <w:t>2</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w:t>
            </w:r>
          </w:p>
        </w:tc>
      </w:tr>
      <w:tr>
        <w:trPr>
          <w:trHeight w:val="196"/>
        </w:trPr>
        <w:tc>
          <w:tcPr>
            <w:tcW w:w="7100" w:type="dxa"/>
            <w:vAlign w:val="bottom"/>
            <w:tcBorders>
              <w:bottom w:val="single" w:sz="8" w:color="61656A"/>
            </w:tcBorders>
          </w:tcPr>
          <w:p>
            <w:pPr>
              <w:ind w:left="240"/>
              <w:spacing w:after="0" w:line="196" w:lineRule="exact"/>
              <w:rPr>
                <w:sz w:val="20"/>
                <w:szCs w:val="20"/>
                <w:color w:val="auto"/>
              </w:rPr>
            </w:pPr>
            <w:r>
              <w:rPr>
                <w:rFonts w:ascii="Arial" w:cs="Arial" w:eastAsia="Arial" w:hAnsi="Arial"/>
                <w:sz w:val="14"/>
                <w:szCs w:val="14"/>
                <w:color w:val="auto"/>
              </w:rPr>
              <w:t>Repositioning and other charges</w:t>
            </w:r>
            <w:r>
              <w:rPr>
                <w:rFonts w:ascii="Arial" w:cs="Arial" w:eastAsia="Arial" w:hAnsi="Arial"/>
                <w:sz w:val="18"/>
                <w:szCs w:val="18"/>
                <w:color w:val="auto"/>
                <w:vertAlign w:val="superscript"/>
              </w:rPr>
              <w:t>3</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(88)</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(331)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(714)</w:t>
            </w:r>
          </w:p>
        </w:tc>
      </w:tr>
      <w:tr>
        <w:trPr>
          <w:trHeight w:val="196"/>
        </w:trPr>
        <w:tc>
          <w:tcPr>
            <w:tcW w:w="7100" w:type="dxa"/>
            <w:vAlign w:val="bottom"/>
            <w:tcBorders>
              <w:bottom w:val="single" w:sz="8" w:color="D7282F"/>
            </w:tcBorders>
          </w:tcPr>
          <w:p>
            <w:pPr>
              <w:ind w:left="240"/>
              <w:spacing w:after="0" w:line="196" w:lineRule="exact"/>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4</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81</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204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w:t>
            </w:r>
          </w:p>
        </w:tc>
      </w:tr>
      <w:tr>
        <w:trPr>
          <w:trHeight w:val="195"/>
        </w:trPr>
        <w:tc>
          <w:tcPr>
            <w:tcW w:w="710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Income before taxes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1,967</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1,981</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5,653</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5,190</w:t>
            </w:r>
          </w:p>
        </w:tc>
      </w:tr>
    </w:tbl>
    <w:p>
      <w:pPr>
        <w:spacing w:after="0" w:line="135" w:lineRule="exact"/>
        <w:rPr>
          <w:sz w:val="20"/>
          <w:szCs w:val="20"/>
          <w:color w:val="auto"/>
        </w:rPr>
      </w:pPr>
    </w:p>
    <w:p>
      <w:pPr>
        <w:ind w:left="480" w:hanging="344"/>
        <w:spacing w:after="0"/>
        <w:tabs>
          <w:tab w:leader="none" w:pos="4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Amounts included in Selling, general and administrative expenses.</w:t>
      </w:r>
    </w:p>
    <w:p>
      <w:pPr>
        <w:spacing w:after="0" w:line="53" w:lineRule="exact"/>
        <w:rPr>
          <w:sz w:val="20"/>
          <w:szCs w:val="20"/>
          <w:color w:val="auto"/>
        </w:rPr>
      </w:pPr>
    </w:p>
    <w:p>
      <w:pPr>
        <w:ind w:left="480" w:hanging="344"/>
        <w:spacing w:after="0"/>
        <w:tabs>
          <w:tab w:leader="none" w:pos="4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Amounts included in Cost of products and services sold, Selling, general and administrative expenses (service cost component) and Other (income) expense (non-service cost component).</w:t>
      </w:r>
    </w:p>
    <w:p>
      <w:pPr>
        <w:spacing w:after="0" w:line="51" w:lineRule="exact"/>
        <w:rPr>
          <w:rFonts w:ascii="Arial" w:cs="Arial" w:eastAsia="Arial" w:hAnsi="Arial"/>
          <w:sz w:val="12"/>
          <w:szCs w:val="12"/>
          <w:color w:val="auto"/>
        </w:rPr>
      </w:pPr>
    </w:p>
    <w:p>
      <w:pPr>
        <w:ind w:left="140"/>
        <w:spacing w:after="0"/>
        <w:rPr>
          <w:rFonts w:ascii="Arial" w:cs="Arial" w:eastAsia="Arial" w:hAnsi="Arial"/>
          <w:sz w:val="12"/>
          <w:szCs w:val="12"/>
          <w:color w:val="auto"/>
        </w:rPr>
      </w:pPr>
      <w:r>
        <w:rPr>
          <w:rFonts w:ascii="Arial" w:cs="Arial" w:eastAsia="Arial" w:hAnsi="Arial"/>
          <w:sz w:val="13"/>
          <w:szCs w:val="13"/>
          <w:color w:val="auto"/>
        </w:rPr>
        <w:t>3</w:t>
      </w:r>
      <w:r>
        <w:rPr>
          <w:rFonts w:ascii="Arial" w:cs="Arial" w:eastAsia="Arial" w:hAnsi="Arial"/>
          <w:sz w:val="12"/>
          <w:szCs w:val="12"/>
          <w:color w:val="auto"/>
        </w:rPr>
        <w:t>Amounts included in Cost of products and services sold, Selling, general and administrative expenses, and Other (income) expense.</w:t>
      </w:r>
    </w:p>
    <w:p>
      <w:pPr>
        <w:spacing w:after="0" w:line="53" w:lineRule="exact"/>
        <w:rPr>
          <w:rFonts w:ascii="Arial" w:cs="Arial" w:eastAsia="Arial" w:hAnsi="Arial"/>
          <w:sz w:val="12"/>
          <w:szCs w:val="12"/>
          <w:color w:val="auto"/>
        </w:rPr>
      </w:pPr>
    </w:p>
    <w:p>
      <w:pPr>
        <w:ind w:left="140"/>
        <w:spacing w:after="0"/>
        <w:rPr>
          <w:rFonts w:ascii="Arial" w:cs="Arial" w:eastAsia="Arial" w:hAnsi="Arial"/>
          <w:sz w:val="12"/>
          <w:szCs w:val="12"/>
          <w:color w:val="auto"/>
        </w:rPr>
      </w:pPr>
      <w:r>
        <w:rPr>
          <w:rFonts w:ascii="Arial" w:cs="Arial" w:eastAsia="Arial" w:hAnsi="Arial"/>
          <w:sz w:val="13"/>
          <w:szCs w:val="13"/>
          <w:color w:val="auto"/>
        </w:rPr>
        <w:t>4</w:t>
      </w:r>
      <w:r>
        <w:rPr>
          <w:rFonts w:ascii="Arial" w:cs="Arial" w:eastAsia="Arial" w:hAnsi="Arial"/>
          <w:sz w:val="12"/>
          <w:szCs w:val="12"/>
          <w:color w:val="auto"/>
        </w:rPr>
        <w:t>Amounts include the other components of Other (income) expense not included within other categories in this reconciliation. Equity income of affiliated companies is included in segment profit.</w:t>
      </w:r>
    </w:p>
    <w:p>
      <w:pPr>
        <w:spacing w:after="0" w:line="200" w:lineRule="exact"/>
        <w:rPr>
          <w:sz w:val="20"/>
          <w:szCs w:val="20"/>
          <w:color w:val="auto"/>
        </w:rPr>
      </w:pPr>
    </w:p>
    <w:p>
      <w:pPr>
        <w:spacing w:after="0" w:line="364"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D7282F"/>
        </w:rPr>
        <w:t>NOTE 18. SUBSEQUENT EVENTS</w:t>
      </w:r>
    </w:p>
    <w:p>
      <w:pPr>
        <w:spacing w:after="0" w:line="31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See Note 17 Segment Financial Data for information related to the Company’s planned realignment of its reportable business segments announced on October 10, 2023, and expected to be effective in the first quarter of 2024.</w:t>
      </w:r>
    </w:p>
    <w:p>
      <w:pPr>
        <w:spacing w:after="0" w:line="200" w:lineRule="exact"/>
        <w:rPr>
          <w:sz w:val="20"/>
          <w:szCs w:val="20"/>
          <w:color w:val="auto"/>
        </w:rPr>
      </w:pPr>
    </w:p>
    <w:p>
      <w:pPr>
        <w:spacing w:after="0" w:line="289"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220"/>
        <w:spacing w:after="0" w:line="319" w:lineRule="auto"/>
        <w:rPr>
          <w:sz w:val="20"/>
          <w:szCs w:val="20"/>
          <w:color w:val="auto"/>
        </w:rPr>
      </w:pPr>
      <w:r>
        <w:rPr>
          <w:rFonts w:ascii="Arial" w:cs="Arial" w:eastAsia="Arial" w:hAnsi="Arial"/>
          <w:sz w:val="35"/>
          <w:szCs w:val="35"/>
          <w:b w:val="1"/>
          <w:bCs w:val="1"/>
          <w:color w:val="auto"/>
        </w:rPr>
        <w:t>ITEM 2. 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and graphs in millions, except per share amounts)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The following Management's Discussion and Analysis of Financial Condition and Results of Operations is intended to help the reader understand the results of operations and financial condition of Honeywell International Inc. and its consolidated subsidiaries (Honeywell, we, us, our, or the Company) for the three and nine months ended September 30, 2023. The financial information as of September 30, 2023, should be read in conjunction with the Consolidated Financial Statements for the year ended December 31, 2022, contained in our 2022 Annual Report on Form 10-K. See Note 3 Acquisitions and Divestitures of Notes to Consolidated Financial Statements for a discussion of acquisition and divestiture activity during the nine months ended September 30, 2023. </w:t>
      </w:r>
      <w:r>
        <w:rPr>
          <w:rFonts w:ascii="Arial" w:cs="Arial" w:eastAsia="Arial" w:hAnsi="Arial"/>
          <w:sz w:val="16"/>
          <w:szCs w:val="16"/>
          <w:color w:val="212529"/>
        </w:rPr>
        <w:t>Certain prior year amounts are reclassified to conform to the current year presentation.</w:t>
      </w: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color w:val="D7282F"/>
        </w:rPr>
        <w:t>BUSINESS UPDATE</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212529"/>
        </w:rPr>
        <w:t>Historically, we included Company-sponsored costs and costs that relate to contracts with customers for research and development projects as a component of Cost of products and services sold on the Consolidated Statement of Operations. Effective January 1, 2023, we began classifying Company-sponsored costs for research and development projects as a separate financial statement line item, titled Research and development expenses, on the Consolidated Statement of Operations, and recast prior period results for this reclassification. This reclassification had no impact on net income, earnings per share, cash flows, segment reporting, or financial position. We revised historical periods to reflect this change in presentation.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212529"/>
        </w:rPr>
        <w:t xml:space="preserve">In October 2023, the Company announced a realignment, </w:t>
      </w:r>
      <w:r>
        <w:rPr>
          <w:rFonts w:ascii="Arial" w:cs="Arial" w:eastAsia="Arial" w:hAnsi="Arial"/>
          <w:sz w:val="16"/>
          <w:szCs w:val="16"/>
          <w:color w:val="000000"/>
        </w:rPr>
        <w:t>expected to be effective in the first quarter of 2024,</w:t>
      </w:r>
      <w:r>
        <w:rPr>
          <w:rFonts w:ascii="Arial" w:cs="Arial" w:eastAsia="Arial" w:hAnsi="Arial"/>
          <w:sz w:val="16"/>
          <w:szCs w:val="16"/>
          <w:color w:val="212529"/>
        </w:rPr>
        <w:t xml:space="preserve"> of its business units comprising its Performance Materials and Technologies and Safety and Productivity Solutions reportable business segments by forming two new reportable business segments: Industrial Automation and Energy and Sustainability Solutions. Industrial Automation will include Sensing and Safety Technologies, Productivity Solutions and Services, and Warehouse and Workflow Solutions, which are currently included in Safety and Productivity Solutions, in addition to Process Solutions, which is currently included in Performance Materials and Technologies. Energy and Sustainability Solutions will include UOP and Advanced Materials, which are currently included in Performance Materials and Technologies. Further, as part of the realignment, the Company will rename its Aerospace and Honeywell Building Technologies reportable business segments to Aerospace Technologies and Building Automation, respectively. Following the realignment, the Company’s reportable business segments will be Aerospace Technologies, Industrial Automation, Building Automation, and Energy and Sustainability Solutions. </w:t>
      </w:r>
      <w:r>
        <w:rPr>
          <w:rFonts w:ascii="Arial" w:cs="Arial" w:eastAsia="Arial" w:hAnsi="Arial"/>
          <w:sz w:val="16"/>
          <w:szCs w:val="16"/>
          <w:color w:val="000000"/>
        </w:rPr>
        <w:t>The realignment will not impact the Company’s historical consolidated financial position, results of operations, or cash flows.</w:t>
      </w:r>
      <w:r>
        <w:rPr>
          <w:rFonts w:ascii="Arial" w:cs="Arial" w:eastAsia="Arial" w:hAnsi="Arial"/>
          <w:sz w:val="16"/>
          <w:szCs w:val="16"/>
          <w:color w:val="212529"/>
        </w:rPr>
        <w:t xml:space="preserve"> The Company expects to report its financial performance based on this realignment effective with the first quarter of 2024.</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MACROECONOMIC CONDITIONS</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continue to monitor the impacts of ongoing macroeconomic conditions and geopolitical events. In the third quarter of 2023, material inflation continued to moderate. While we see signs of relief in supply chains for semiconductors and logistics, we continue to experience supply chain constraints, including labor shortages in the Aerospace supply base, and inflationary cost pressures in manufacturing labor. We continue to leverage previously implemented short-term and long-term mitigation strategies.</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mitigation strategies include pricing actions, longer term planning for constrained materials, material supply tracking tools, and direct engagement with key suppliers to meet customer demand. Our relationships with primary and secondary suppliers allow us to reliably source key components and raw materials. Where we cannot procure key components or raw materials, we consider altering existing products and develop new products to satisfy customer needs. Alterations to existing products and the development of new products undergo product quality controls and engineering qualification, prior to releasing to our customers. In addition, we assist our suppliers facing manufacturing challenges by committing our own resources to their sites and facilities. We believe these mitigation strategies enable us to reduce supply risk, accelerate new product innovation, and expand our penetration in the markets we serve. Additionally, due to the strenuous quality controls and product qualification we perform on a new or altered product, we do not expect these mitigation strategies to impact product quality or reliability.</w:t>
      </w:r>
    </w:p>
    <w:p>
      <w:pPr>
        <w:spacing w:after="0" w:line="7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Russia-Ukraine conflict continues to create volatility in global financial and energy markets and contribute to supply chain shortages adding to the inflationary pressures in the global economy. We actively collaborate with our suppliers to minimize impacts of supply shortages on our manufacturing capabilities and implement strategies to reduce our reliance on natural gas at critical sites in Europe.</w:t>
      </w:r>
    </w:p>
    <w:p>
      <w:pPr>
        <w:spacing w:after="0" w:line="399"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To date, our strategies successfully mitigated our exposure to these conditions. However, if we are not successful in sustaining these strategies, these macroeconomic conditions could have a material adverse effect on our consolidated results of operations, or operating cash flows.</w:t>
      </w:r>
    </w:p>
    <w:p>
      <w:pPr>
        <w:spacing w:after="0" w:line="200" w:lineRule="exact"/>
        <w:rPr>
          <w:sz w:val="20"/>
          <w:szCs w:val="20"/>
          <w:color w:val="auto"/>
        </w:rPr>
      </w:pPr>
    </w:p>
    <w:p>
      <w:pPr>
        <w:spacing w:after="0" w:line="207" w:lineRule="exact"/>
        <w:rPr>
          <w:sz w:val="20"/>
          <w:szCs w:val="20"/>
          <w:color w:val="auto"/>
        </w:rPr>
      </w:pPr>
    </w:p>
    <w:p>
      <w:pPr>
        <w:ind w:left="400" w:hanging="392"/>
        <w:spacing w:after="0"/>
        <w:tabs>
          <w:tab w:leader="none" w:pos="400" w:val="left"/>
        </w:tabs>
        <w:numPr>
          <w:ilvl w:val="0"/>
          <w:numId w:val="3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8"/>
          <w:szCs w:val="28"/>
          <w:color w:val="D7282F"/>
        </w:rPr>
        <w:t>RESULTS OF OPERATIONS</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83185</wp:posOffset>
            </wp:positionV>
            <wp:extent cx="5572125" cy="5271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72125" cy="5271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151765</wp:posOffset>
            </wp:positionV>
            <wp:extent cx="6000750" cy="29146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0075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83185</wp:posOffset>
            </wp:positionV>
            <wp:extent cx="6000750" cy="30518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0075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9"/>
          <w:szCs w:val="29"/>
          <w:color w:val="D7282F"/>
        </w:rPr>
        <w:t>CONSOLIDATED OPERATING RESULTS</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151765</wp:posOffset>
            </wp:positionV>
            <wp:extent cx="2785745" cy="21431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857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The change in Net sales was attributable to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40" w:type="dxa"/>
            <w:vAlign w:val="bottom"/>
            <w:tcBorders>
              <w:bottom w:val="single" w:sz="8" w:color="D7282F"/>
            </w:tcBorders>
          </w:tcPr>
          <w:p>
            <w:pPr>
              <w:spacing w:after="0"/>
              <w:rPr>
                <w:sz w:val="17"/>
                <w:szCs w:val="17"/>
                <w:color w:val="auto"/>
              </w:rPr>
            </w:pPr>
          </w:p>
        </w:tc>
        <w:tc>
          <w:tcPr>
            <w:tcW w:w="4120" w:type="dxa"/>
            <w:vAlign w:val="bottom"/>
            <w:tcBorders>
              <w:bottom w:val="single" w:sz="8" w:color="D7282F"/>
            </w:tcBorders>
          </w:tcPr>
          <w:p>
            <w:pPr>
              <w:ind w:left="2480"/>
              <w:spacing w:after="0"/>
              <w:rPr>
                <w:sz w:val="20"/>
                <w:szCs w:val="20"/>
                <w:color w:val="auto"/>
              </w:rPr>
            </w:pPr>
            <w:r>
              <w:rPr>
                <w:rFonts w:ascii="Arial" w:cs="Arial" w:eastAsia="Arial" w:hAnsi="Arial"/>
                <w:sz w:val="14"/>
                <w:szCs w:val="14"/>
                <w:b w:val="1"/>
                <w:bCs w:val="1"/>
                <w:color w:val="auto"/>
              </w:rPr>
              <w:t>Q3 2023 vs. Q3 2022</w:t>
            </w:r>
          </w:p>
        </w:tc>
        <w:tc>
          <w:tcPr>
            <w:tcW w:w="208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Year to Date 2023 vs. 2022</w:t>
            </w:r>
          </w:p>
        </w:tc>
      </w:tr>
      <w:tr>
        <w:trPr>
          <w:trHeight w:val="191"/>
        </w:trPr>
        <w:tc>
          <w:tcPr>
            <w:tcW w:w="50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Volume</w:t>
            </w:r>
          </w:p>
        </w:tc>
        <w:tc>
          <w:tcPr>
            <w:tcW w:w="4120" w:type="dxa"/>
            <w:vAlign w:val="bottom"/>
            <w:tcBorders>
              <w:bottom w:val="single" w:sz="8" w:color="61656A"/>
            </w:tcBorders>
          </w:tcPr>
          <w:p>
            <w:pPr>
              <w:jc w:val="center"/>
              <w:ind w:left="2148"/>
              <w:spacing w:after="0"/>
              <w:rPr>
                <w:sz w:val="20"/>
                <w:szCs w:val="20"/>
                <w:color w:val="auto"/>
              </w:rPr>
            </w:pPr>
            <w:r>
              <w:rPr>
                <w:rFonts w:ascii="Arial" w:cs="Arial" w:eastAsia="Arial" w:hAnsi="Arial"/>
                <w:sz w:val="14"/>
                <w:szCs w:val="14"/>
                <w:color w:val="auto"/>
              </w:rPr>
              <w:t>(1)%</w:t>
            </w:r>
          </w:p>
        </w:tc>
        <w:tc>
          <w:tcPr>
            <w:tcW w:w="2080" w:type="dxa"/>
            <w:vAlign w:val="bottom"/>
            <w:tcBorders>
              <w:bottom w:val="single" w:sz="8" w:color="61656A"/>
            </w:tcBorders>
          </w:tcPr>
          <w:p>
            <w:pPr>
              <w:jc w:val="center"/>
              <w:ind w:left="148"/>
              <w:spacing w:after="0"/>
              <w:rPr>
                <w:sz w:val="20"/>
                <w:szCs w:val="20"/>
                <w:color w:val="auto"/>
              </w:rPr>
            </w:pPr>
            <w:r>
              <w:rPr>
                <w:rFonts w:ascii="Arial" w:cs="Arial" w:eastAsia="Arial" w:hAnsi="Arial"/>
                <w:sz w:val="14"/>
                <w:szCs w:val="14"/>
                <w:color w:val="auto"/>
              </w:rPr>
              <w:t>1%</w:t>
            </w:r>
          </w:p>
        </w:tc>
      </w:tr>
      <w:tr>
        <w:trPr>
          <w:trHeight w:val="196"/>
        </w:trPr>
        <w:tc>
          <w:tcPr>
            <w:tcW w:w="50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Price</w:t>
            </w:r>
          </w:p>
        </w:tc>
        <w:tc>
          <w:tcPr>
            <w:tcW w:w="4120" w:type="dxa"/>
            <w:vAlign w:val="bottom"/>
            <w:tcBorders>
              <w:bottom w:val="single" w:sz="8" w:color="61656A"/>
            </w:tcBorders>
          </w:tcPr>
          <w:p>
            <w:pPr>
              <w:jc w:val="center"/>
              <w:ind w:left="2168"/>
              <w:spacing w:after="0"/>
              <w:rPr>
                <w:sz w:val="20"/>
                <w:szCs w:val="20"/>
                <w:color w:val="auto"/>
              </w:rPr>
            </w:pPr>
            <w:r>
              <w:rPr>
                <w:rFonts w:ascii="Arial" w:cs="Arial" w:eastAsia="Arial" w:hAnsi="Arial"/>
                <w:sz w:val="14"/>
                <w:szCs w:val="14"/>
                <w:color w:val="auto"/>
                <w:w w:val="98"/>
              </w:rPr>
              <w:t>3%</w:t>
            </w:r>
          </w:p>
        </w:tc>
        <w:tc>
          <w:tcPr>
            <w:tcW w:w="2080" w:type="dxa"/>
            <w:vAlign w:val="bottom"/>
            <w:tcBorders>
              <w:bottom w:val="single" w:sz="8" w:color="61656A"/>
            </w:tcBorders>
          </w:tcPr>
          <w:p>
            <w:pPr>
              <w:jc w:val="center"/>
              <w:ind w:left="148"/>
              <w:spacing w:after="0"/>
              <w:rPr>
                <w:sz w:val="20"/>
                <w:szCs w:val="20"/>
                <w:color w:val="auto"/>
              </w:rPr>
            </w:pPr>
            <w:r>
              <w:rPr>
                <w:rFonts w:ascii="Arial" w:cs="Arial" w:eastAsia="Arial" w:hAnsi="Arial"/>
                <w:sz w:val="14"/>
                <w:szCs w:val="14"/>
                <w:color w:val="auto"/>
              </w:rPr>
              <w:t>4%</w:t>
            </w:r>
          </w:p>
        </w:tc>
      </w:tr>
      <w:tr>
        <w:trPr>
          <w:trHeight w:val="196"/>
        </w:trPr>
        <w:tc>
          <w:tcPr>
            <w:tcW w:w="50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4120" w:type="dxa"/>
            <w:vAlign w:val="bottom"/>
            <w:tcBorders>
              <w:bottom w:val="single" w:sz="8" w:color="61656A"/>
            </w:tcBorders>
          </w:tcPr>
          <w:p>
            <w:pPr>
              <w:jc w:val="center"/>
              <w:ind w:left="2168"/>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61656A"/>
            </w:tcBorders>
          </w:tcPr>
          <w:p>
            <w:pPr>
              <w:jc w:val="center"/>
              <w:ind w:left="148"/>
              <w:spacing w:after="0"/>
              <w:rPr>
                <w:sz w:val="20"/>
                <w:szCs w:val="20"/>
                <w:color w:val="auto"/>
              </w:rPr>
            </w:pPr>
            <w:r>
              <w:rPr>
                <w:rFonts w:ascii="Arial" w:cs="Arial" w:eastAsia="Arial" w:hAnsi="Arial"/>
                <w:sz w:val="14"/>
                <w:szCs w:val="14"/>
                <w:color w:val="auto"/>
              </w:rPr>
              <w:t>(1)%</w:t>
            </w:r>
          </w:p>
        </w:tc>
      </w:tr>
      <w:tr>
        <w:trPr>
          <w:trHeight w:val="196"/>
        </w:trPr>
        <w:tc>
          <w:tcPr>
            <w:tcW w:w="50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4120" w:type="dxa"/>
            <w:vAlign w:val="bottom"/>
            <w:tcBorders>
              <w:bottom w:val="single" w:sz="8" w:color="D7282F"/>
            </w:tcBorders>
          </w:tcPr>
          <w:p>
            <w:pPr>
              <w:jc w:val="center"/>
              <w:ind w:left="2168"/>
              <w:spacing w:after="0"/>
              <w:rPr>
                <w:sz w:val="20"/>
                <w:szCs w:val="20"/>
                <w:color w:val="auto"/>
              </w:rPr>
            </w:pPr>
            <w:r>
              <w:rPr>
                <w:rFonts w:ascii="Arial" w:cs="Arial" w:eastAsia="Arial" w:hAnsi="Arial"/>
                <w:sz w:val="14"/>
                <w:szCs w:val="14"/>
                <w:color w:val="auto"/>
                <w:w w:val="98"/>
              </w:rPr>
              <w:t>1%</w:t>
            </w:r>
          </w:p>
        </w:tc>
        <w:tc>
          <w:tcPr>
            <w:tcW w:w="2080" w:type="dxa"/>
            <w:vAlign w:val="bottom"/>
            <w:tcBorders>
              <w:bottom w:val="single" w:sz="8" w:color="D7282F"/>
            </w:tcBorders>
          </w:tcPr>
          <w:p>
            <w:pPr>
              <w:jc w:val="center"/>
              <w:ind w:left="148"/>
              <w:spacing w:after="0"/>
              <w:rPr>
                <w:sz w:val="20"/>
                <w:szCs w:val="20"/>
                <w:color w:val="auto"/>
              </w:rPr>
            </w:pPr>
            <w:r>
              <w:rPr>
                <w:rFonts w:ascii="Arial" w:cs="Arial" w:eastAsia="Arial" w:hAnsi="Arial"/>
                <w:sz w:val="14"/>
                <w:szCs w:val="14"/>
                <w:color w:val="auto"/>
                <w:w w:val="98"/>
              </w:rPr>
              <w:t>—%</w:t>
            </w:r>
          </w:p>
        </w:tc>
      </w:tr>
      <w:tr>
        <w:trPr>
          <w:trHeight w:val="201"/>
        </w:trPr>
        <w:tc>
          <w:tcPr>
            <w:tcW w:w="5040" w:type="dxa"/>
            <w:vAlign w:val="bottom"/>
            <w:tcBorders>
              <w:bottom w:val="single" w:sz="8" w:color="D7282F"/>
            </w:tcBorders>
          </w:tcPr>
          <w:p>
            <w:pPr>
              <w:ind w:left="60"/>
              <w:spacing w:after="0"/>
              <w:rPr>
                <w:sz w:val="20"/>
                <w:szCs w:val="20"/>
                <w:color w:val="auto"/>
              </w:rPr>
            </w:pPr>
            <w:r>
              <w:rPr>
                <w:rFonts w:ascii="Arial" w:cs="Arial" w:eastAsia="Arial" w:hAnsi="Arial"/>
                <w:sz w:val="14"/>
                <w:szCs w:val="14"/>
                <w:b w:val="1"/>
                <w:bCs w:val="1"/>
                <w:color w:val="auto"/>
              </w:rPr>
              <w:t>Total % change in Net sales</w:t>
            </w:r>
          </w:p>
        </w:tc>
        <w:tc>
          <w:tcPr>
            <w:tcW w:w="4120" w:type="dxa"/>
            <w:vAlign w:val="bottom"/>
            <w:tcBorders>
              <w:bottom w:val="single" w:sz="8" w:color="D7282F"/>
            </w:tcBorders>
          </w:tcPr>
          <w:p>
            <w:pPr>
              <w:jc w:val="center"/>
              <w:ind w:left="2168"/>
              <w:spacing w:after="0"/>
              <w:rPr>
                <w:sz w:val="20"/>
                <w:szCs w:val="20"/>
                <w:color w:val="auto"/>
              </w:rPr>
            </w:pPr>
            <w:r>
              <w:rPr>
                <w:rFonts w:ascii="Arial" w:cs="Arial" w:eastAsia="Arial" w:hAnsi="Arial"/>
                <w:sz w:val="14"/>
                <w:szCs w:val="14"/>
                <w:b w:val="1"/>
                <w:bCs w:val="1"/>
                <w:color w:val="auto"/>
                <w:w w:val="98"/>
              </w:rPr>
              <w:t>3%</w:t>
            </w:r>
          </w:p>
        </w:tc>
        <w:tc>
          <w:tcPr>
            <w:tcW w:w="2080" w:type="dxa"/>
            <w:vAlign w:val="bottom"/>
            <w:tcBorders>
              <w:bottom w:val="single" w:sz="8" w:color="D7282F"/>
            </w:tcBorders>
          </w:tcPr>
          <w:p>
            <w:pPr>
              <w:jc w:val="center"/>
              <w:ind w:left="148"/>
              <w:spacing w:after="0"/>
              <w:rPr>
                <w:sz w:val="20"/>
                <w:szCs w:val="20"/>
                <w:color w:val="auto"/>
              </w:rPr>
            </w:pPr>
            <w:r>
              <w:rPr>
                <w:rFonts w:ascii="Arial" w:cs="Arial" w:eastAsia="Arial" w:hAnsi="Arial"/>
                <w:sz w:val="14"/>
                <w:szCs w:val="14"/>
                <w:b w:val="1"/>
                <w:bCs w:val="1"/>
                <w:color w:val="auto"/>
              </w:rPr>
              <w:t>4%</w:t>
            </w:r>
          </w:p>
        </w:tc>
      </w:tr>
    </w:tbl>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 discussion of Net sales by reportable business segment can be found in the Review of Business Segments section of this Management's Discussion and Analysis.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2023 compared with Q3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115" w:lineRule="exact"/>
        <w:rPr>
          <w:sz w:val="20"/>
          <w:szCs w:val="20"/>
          <w:color w:val="auto"/>
        </w:rPr>
      </w:pPr>
    </w:p>
    <w:p>
      <w:pPr>
        <w:ind w:left="200" w:hanging="192"/>
        <w:spacing w:after="0"/>
        <w:tabs>
          <w:tab w:leader="none" w:pos="200" w:val="left"/>
        </w:tabs>
        <w:numPr>
          <w:ilvl w:val="0"/>
          <w:numId w:val="35"/>
        </w:numPr>
        <w:rPr>
          <w:rFonts w:ascii="Arial" w:cs="Arial" w:eastAsia="Arial" w:hAnsi="Arial"/>
          <w:sz w:val="16"/>
          <w:szCs w:val="16"/>
          <w:color w:val="D7282F"/>
        </w:rPr>
      </w:pPr>
      <w:r>
        <w:rPr>
          <w:rFonts w:ascii="Arial" w:cs="Arial" w:eastAsia="Arial" w:hAnsi="Arial"/>
          <w:sz w:val="16"/>
          <w:szCs w:val="16"/>
          <w:color w:val="auto"/>
        </w:rPr>
        <w:t>Increased pricing, and</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35"/>
        </w:numPr>
        <w:rPr>
          <w:rFonts w:ascii="Arial" w:cs="Arial" w:eastAsia="Arial" w:hAnsi="Arial"/>
          <w:sz w:val="16"/>
          <w:szCs w:val="16"/>
          <w:color w:val="D7282F"/>
        </w:rPr>
      </w:pPr>
      <w:r>
        <w:rPr>
          <w:rFonts w:ascii="Arial" w:cs="Arial" w:eastAsia="Arial" w:hAnsi="Arial"/>
          <w:sz w:val="16"/>
          <w:szCs w:val="16"/>
          <w:color w:val="auto"/>
        </w:rPr>
        <w:t>The acquisition of Compressor Controls Corporation during the second quarter 2023,</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35"/>
        </w:numPr>
        <w:rPr>
          <w:rFonts w:ascii="Arial" w:cs="Arial" w:eastAsia="Arial" w:hAnsi="Arial"/>
          <w:sz w:val="16"/>
          <w:szCs w:val="16"/>
          <w:color w:val="D7282F"/>
        </w:rPr>
      </w:pPr>
      <w:r>
        <w:rPr>
          <w:rFonts w:ascii="Arial" w:cs="Arial" w:eastAsia="Arial" w:hAnsi="Arial"/>
          <w:sz w:val="16"/>
          <w:szCs w:val="16"/>
          <w:color w:val="auto"/>
        </w:rPr>
        <w:t>Partially offset by lower sales volumes.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with YTD 2022</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101"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16"/>
          <w:szCs w:val="16"/>
          <w:color w:val="D7282F"/>
        </w:rPr>
      </w:pPr>
      <w:r>
        <w:rPr>
          <w:rFonts w:ascii="Arial" w:cs="Arial" w:eastAsia="Arial" w:hAnsi="Arial"/>
          <w:sz w:val="16"/>
          <w:szCs w:val="16"/>
          <w:color w:val="auto"/>
        </w:rPr>
        <w:t>Increased pricing,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36"/>
        </w:numPr>
        <w:rPr>
          <w:rFonts w:ascii="Arial" w:cs="Arial" w:eastAsia="Arial" w:hAnsi="Arial"/>
          <w:sz w:val="16"/>
          <w:szCs w:val="16"/>
          <w:color w:val="D7282F"/>
        </w:rPr>
      </w:pPr>
      <w:r>
        <w:rPr>
          <w:rFonts w:ascii="Arial" w:cs="Arial" w:eastAsia="Arial" w:hAnsi="Arial"/>
          <w:sz w:val="16"/>
          <w:szCs w:val="16"/>
          <w:color w:val="auto"/>
        </w:rPr>
        <w:t>Higher sales volumes,</w:t>
      </w:r>
    </w:p>
    <w:p>
      <w:pPr>
        <w:spacing w:after="0" w:line="86" w:lineRule="exact"/>
        <w:rPr>
          <w:rFonts w:ascii="Arial" w:cs="Arial" w:eastAsia="Arial" w:hAnsi="Arial"/>
          <w:sz w:val="16"/>
          <w:szCs w:val="16"/>
          <w:color w:val="D7282F"/>
        </w:rPr>
      </w:pPr>
    </w:p>
    <w:p>
      <w:pPr>
        <w:ind w:left="200" w:hanging="192"/>
        <w:spacing w:after="0" w:line="276" w:lineRule="auto"/>
        <w:tabs>
          <w:tab w:leader="none" w:pos="197" w:val="left"/>
        </w:tabs>
        <w:numPr>
          <w:ilvl w:val="0"/>
          <w:numId w:val="36"/>
        </w:numPr>
        <w:rPr>
          <w:rFonts w:ascii="Arial" w:cs="Arial" w:eastAsia="Arial" w:hAnsi="Arial"/>
          <w:sz w:val="16"/>
          <w:szCs w:val="16"/>
          <w:color w:val="D7282F"/>
        </w:rPr>
      </w:pPr>
      <w:r>
        <w:rPr>
          <w:rFonts w:ascii="Arial" w:cs="Arial" w:eastAsia="Arial" w:hAnsi="Arial"/>
          <w:sz w:val="16"/>
          <w:szCs w:val="16"/>
          <w:color w:val="auto"/>
        </w:rPr>
        <w:t>Partially offset by the unfavorable impact of foreign currency translation, driven by the strengthening of the U.S. Dollar against the currencies in certain of our international markets, primarily the Chinese Renminbi, Canadian Dollar, Turkish Lira, Egyptian Pound, and Australian Dollar.</w:t>
      </w:r>
    </w:p>
    <w:p>
      <w:pPr>
        <w:spacing w:after="0" w:line="367"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83185</wp:posOffset>
            </wp:positionV>
            <wp:extent cx="5572125" cy="21431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72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2023 compared with Q3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the following:</w:t>
      </w:r>
    </w:p>
    <w:p>
      <w:pPr>
        <w:spacing w:after="0" w:line="115" w:lineRule="exact"/>
        <w:rPr>
          <w:sz w:val="20"/>
          <w:szCs w:val="20"/>
          <w:color w:val="auto"/>
        </w:rPr>
      </w:pPr>
    </w:p>
    <w:p>
      <w:pPr>
        <w:ind w:left="200" w:hanging="192"/>
        <w:spacing w:after="0"/>
        <w:tabs>
          <w:tab w:leader="none" w:pos="200" w:val="left"/>
        </w:tabs>
        <w:numPr>
          <w:ilvl w:val="0"/>
          <w:numId w:val="38"/>
        </w:numPr>
        <w:rPr>
          <w:rFonts w:ascii="Arial" w:cs="Arial" w:eastAsia="Arial" w:hAnsi="Arial"/>
          <w:sz w:val="16"/>
          <w:szCs w:val="16"/>
          <w:color w:val="D7282F"/>
        </w:rPr>
      </w:pPr>
      <w:r>
        <w:rPr>
          <w:rFonts w:ascii="Arial" w:cs="Arial" w:eastAsia="Arial" w:hAnsi="Arial"/>
          <w:sz w:val="16"/>
          <w:szCs w:val="16"/>
          <w:color w:val="auto"/>
        </w:rPr>
        <w:t>Higher direct and indirect material costs and higher labor costs of approximately $0.2 billion or 4%,</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38"/>
        </w:numPr>
        <w:rPr>
          <w:rFonts w:ascii="Arial" w:cs="Arial" w:eastAsia="Arial" w:hAnsi="Arial"/>
          <w:sz w:val="16"/>
          <w:szCs w:val="16"/>
          <w:color w:val="D7282F"/>
        </w:rPr>
      </w:pPr>
      <w:r>
        <w:rPr>
          <w:rFonts w:ascii="Arial" w:cs="Arial" w:eastAsia="Arial" w:hAnsi="Arial"/>
          <w:sz w:val="16"/>
          <w:szCs w:val="16"/>
          <w:color w:val="auto"/>
        </w:rPr>
        <w:t>Partially offset by higher productivity of approximately $0.1 billion or 2%.</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with YTD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the following:</w:t>
      </w:r>
    </w:p>
    <w:p>
      <w:pPr>
        <w:spacing w:after="0" w:line="115" w:lineRule="exact"/>
        <w:rPr>
          <w:sz w:val="20"/>
          <w:szCs w:val="20"/>
          <w:color w:val="auto"/>
        </w:rPr>
      </w:pPr>
    </w:p>
    <w:p>
      <w:pPr>
        <w:ind w:left="200" w:hanging="192"/>
        <w:spacing w:after="0"/>
        <w:tabs>
          <w:tab w:leader="none" w:pos="200" w:val="left"/>
        </w:tabs>
        <w:numPr>
          <w:ilvl w:val="0"/>
          <w:numId w:val="39"/>
        </w:numPr>
        <w:rPr>
          <w:rFonts w:ascii="Arial" w:cs="Arial" w:eastAsia="Arial" w:hAnsi="Arial"/>
          <w:sz w:val="16"/>
          <w:szCs w:val="16"/>
          <w:color w:val="D7282F"/>
        </w:rPr>
      </w:pPr>
      <w:r>
        <w:rPr>
          <w:rFonts w:ascii="Arial" w:cs="Arial" w:eastAsia="Arial" w:hAnsi="Arial"/>
          <w:sz w:val="16"/>
          <w:szCs w:val="16"/>
          <w:color w:val="auto"/>
        </w:rPr>
        <w:t>Higher direct and indirect material costs and higher labor costs of approximately $0.6 billion or 4%,</w:t>
      </w:r>
    </w:p>
    <w:p>
      <w:pPr>
        <w:spacing w:after="0" w:line="72" w:lineRule="exact"/>
        <w:rPr>
          <w:rFonts w:ascii="Arial" w:cs="Arial" w:eastAsia="Arial" w:hAnsi="Arial"/>
          <w:sz w:val="16"/>
          <w:szCs w:val="16"/>
          <w:color w:val="D7282F"/>
        </w:rPr>
      </w:pPr>
    </w:p>
    <w:p>
      <w:pPr>
        <w:jc w:val="both"/>
        <w:ind w:left="200" w:hanging="192"/>
        <w:spacing w:after="0" w:line="280" w:lineRule="auto"/>
        <w:tabs>
          <w:tab w:leader="none" w:pos="197" w:val="left"/>
        </w:tabs>
        <w:numPr>
          <w:ilvl w:val="0"/>
          <w:numId w:val="39"/>
        </w:numPr>
        <w:rPr>
          <w:rFonts w:ascii="Arial" w:cs="Arial" w:eastAsia="Arial" w:hAnsi="Arial"/>
          <w:sz w:val="16"/>
          <w:szCs w:val="16"/>
          <w:color w:val="D7282F"/>
        </w:rPr>
      </w:pPr>
      <w:r>
        <w:rPr>
          <w:rFonts w:ascii="Arial" w:cs="Arial" w:eastAsia="Arial" w:hAnsi="Arial"/>
          <w:sz w:val="16"/>
          <w:szCs w:val="16"/>
          <w:color w:val="auto"/>
        </w:rPr>
        <w:t>Partially offset by lower sales volumes of higher margin products of approximately $0.3 billion or 2%, and lower repositioning and other charges of approximately $0.2 billion or 1%, which included prior year charges attributable to suspending and winding down our businesses and operations in Russia.</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83185</wp:posOffset>
            </wp:positionV>
            <wp:extent cx="5957570" cy="2314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2023 compared with Q3 2022</w:t>
      </w:r>
    </w:p>
    <w:p>
      <w:pPr>
        <w:spacing w:after="0" w:line="2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Gross margin increased by approximately $0.2 billion and gross margin percentage increased 90 basis points to 38.4% compared to 37.5% for the same period of 2022.</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with YTD 2022</w:t>
      </w:r>
    </w:p>
    <w:p>
      <w:pPr>
        <w:spacing w:after="0" w:line="25"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Gross margin increased by approximately $0.7 billion and gross margin percentage increased 140 basis points to 38.3% compared to 36.9% for the same period of 2022.</w:t>
      </w:r>
    </w:p>
    <w:p>
      <w:pPr>
        <w:sectPr>
          <w:pgSz w:w="11900" w:h="16838" w:orient="portrait"/>
          <w:cols w:equalWidth="0" w:num="1">
            <w:col w:w="11240"/>
          </w:cols>
          <w:pgMar w:left="320" w:top="118" w:right="339" w:bottom="1440" w:gutter="0" w:footer="0" w:header="0"/>
        </w:sectPr>
      </w:pPr>
    </w:p>
    <w:p>
      <w:pPr>
        <w:spacing w:after="0" w:line="392"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83185</wp:posOffset>
            </wp:positionV>
            <wp:extent cx="5572125" cy="2143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2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2023 compared with Q3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slightly decreased.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with YTD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were flat.</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83185</wp:posOffset>
            </wp:positionV>
            <wp:extent cx="5957570" cy="2314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2023 compared with Q3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increased due to the following:</w:t>
      </w:r>
    </w:p>
    <w:p>
      <w:pPr>
        <w:spacing w:after="0" w:line="101" w:lineRule="exact"/>
        <w:rPr>
          <w:sz w:val="20"/>
          <w:szCs w:val="20"/>
          <w:color w:val="auto"/>
        </w:rPr>
      </w:pPr>
    </w:p>
    <w:p>
      <w:pPr>
        <w:ind w:left="200" w:hanging="192"/>
        <w:spacing w:after="0"/>
        <w:tabs>
          <w:tab w:leader="none" w:pos="200" w:val="left"/>
        </w:tabs>
        <w:numPr>
          <w:ilvl w:val="0"/>
          <w:numId w:val="41"/>
        </w:numPr>
        <w:rPr>
          <w:rFonts w:ascii="Arial" w:cs="Arial" w:eastAsia="Arial" w:hAnsi="Arial"/>
          <w:sz w:val="16"/>
          <w:szCs w:val="16"/>
          <w:color w:val="D7282F"/>
        </w:rPr>
      </w:pPr>
      <w:r>
        <w:rPr>
          <w:rFonts w:ascii="Arial" w:cs="Arial" w:eastAsia="Arial" w:hAnsi="Arial"/>
          <w:sz w:val="16"/>
          <w:szCs w:val="16"/>
          <w:color w:val="auto"/>
        </w:rPr>
        <w:t>Higher labor costs of approximately $0.1 billion or 8%,</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1"/>
        </w:numPr>
        <w:rPr>
          <w:rFonts w:ascii="Arial" w:cs="Arial" w:eastAsia="Arial" w:hAnsi="Arial"/>
          <w:sz w:val="16"/>
          <w:szCs w:val="16"/>
          <w:color w:val="D7282F"/>
        </w:rPr>
      </w:pPr>
      <w:r>
        <w:rPr>
          <w:rFonts w:ascii="Arial" w:cs="Arial" w:eastAsia="Arial" w:hAnsi="Arial"/>
          <w:sz w:val="16"/>
          <w:szCs w:val="16"/>
          <w:color w:val="auto"/>
        </w:rPr>
        <w:t>Partially offset by higher productivity of approximately $0.1 billion or 8%.</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to YTD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decreased due to the following:</w:t>
      </w:r>
    </w:p>
    <w:p>
      <w:pPr>
        <w:spacing w:after="0" w:line="101" w:lineRule="exact"/>
        <w:rPr>
          <w:sz w:val="20"/>
          <w:szCs w:val="20"/>
          <w:color w:val="auto"/>
        </w:rPr>
      </w:pPr>
    </w:p>
    <w:p>
      <w:pPr>
        <w:ind w:left="200" w:hanging="192"/>
        <w:spacing w:after="0" w:line="293" w:lineRule="auto"/>
        <w:tabs>
          <w:tab w:leader="none" w:pos="197" w:val="left"/>
        </w:tabs>
        <w:numPr>
          <w:ilvl w:val="0"/>
          <w:numId w:val="42"/>
        </w:numPr>
        <w:rPr>
          <w:rFonts w:ascii="Arial" w:cs="Arial" w:eastAsia="Arial" w:hAnsi="Arial"/>
          <w:sz w:val="16"/>
          <w:szCs w:val="16"/>
          <w:color w:val="D7282F"/>
        </w:rPr>
      </w:pPr>
      <w:r>
        <w:rPr>
          <w:rFonts w:ascii="Arial" w:cs="Arial" w:eastAsia="Arial" w:hAnsi="Arial"/>
          <w:sz w:val="16"/>
          <w:szCs w:val="16"/>
          <w:color w:val="auto"/>
        </w:rPr>
        <w:t>Lower repositioning and other charges of approximately $0.1 billion or 3%, which included prior year charges attributable to suspending and winding down our businesses and operations in Russia, and</w:t>
      </w:r>
    </w:p>
    <w:p>
      <w:pPr>
        <w:spacing w:after="0" w:line="9" w:lineRule="exact"/>
        <w:rPr>
          <w:rFonts w:ascii="Arial" w:cs="Arial" w:eastAsia="Arial" w:hAnsi="Arial"/>
          <w:sz w:val="16"/>
          <w:szCs w:val="16"/>
          <w:color w:val="D7282F"/>
        </w:rPr>
      </w:pPr>
    </w:p>
    <w:p>
      <w:pPr>
        <w:ind w:left="200" w:hanging="192"/>
        <w:spacing w:after="0"/>
        <w:tabs>
          <w:tab w:leader="none" w:pos="200" w:val="left"/>
        </w:tabs>
        <w:numPr>
          <w:ilvl w:val="0"/>
          <w:numId w:val="42"/>
        </w:numPr>
        <w:rPr>
          <w:rFonts w:ascii="Arial" w:cs="Arial" w:eastAsia="Arial" w:hAnsi="Arial"/>
          <w:sz w:val="16"/>
          <w:szCs w:val="16"/>
          <w:color w:val="D7282F"/>
        </w:rPr>
      </w:pPr>
      <w:r>
        <w:rPr>
          <w:rFonts w:ascii="Arial" w:cs="Arial" w:eastAsia="Arial" w:hAnsi="Arial"/>
          <w:sz w:val="16"/>
          <w:szCs w:val="16"/>
          <w:color w:val="auto"/>
        </w:rPr>
        <w:t>Higher productivity of approximately $0.1 billion or 3%,</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2"/>
        </w:numPr>
        <w:rPr>
          <w:rFonts w:ascii="Arial" w:cs="Arial" w:eastAsia="Arial" w:hAnsi="Arial"/>
          <w:sz w:val="16"/>
          <w:szCs w:val="16"/>
          <w:color w:val="D7282F"/>
        </w:rPr>
      </w:pPr>
      <w:r>
        <w:rPr>
          <w:rFonts w:ascii="Arial" w:cs="Arial" w:eastAsia="Arial" w:hAnsi="Arial"/>
          <w:sz w:val="16"/>
          <w:szCs w:val="16"/>
          <w:color w:val="auto"/>
        </w:rPr>
        <w:t>Partially offset by higher labor costs of approximately $0.1 billion or 3%.</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ind w:left="300"/>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1"/>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7282F"/>
            </w:tcBorders>
          </w:tcPr>
          <w:p>
            <w:pPr>
              <w:ind w:left="320"/>
              <w:spacing w:after="0"/>
              <w:rPr>
                <w:sz w:val="20"/>
                <w:szCs w:val="20"/>
                <w:color w:val="auto"/>
              </w:rPr>
            </w:pPr>
            <w:r>
              <w:rPr>
                <w:rFonts w:ascii="Arial" w:cs="Arial" w:eastAsia="Arial" w:hAnsi="Arial"/>
                <w:sz w:val="14"/>
                <w:szCs w:val="14"/>
                <w:color w:val="auto"/>
              </w:rPr>
              <w:t>(247)</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(337)</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7282F"/>
            </w:tcBorders>
          </w:tcPr>
          <w:p>
            <w:pPr>
              <w:ind w:left="320"/>
              <w:spacing w:after="0"/>
              <w:rPr>
                <w:sz w:val="20"/>
                <w:szCs w:val="20"/>
                <w:color w:val="auto"/>
              </w:rPr>
            </w:pPr>
            <w:r>
              <w:rPr>
                <w:rFonts w:ascii="Arial" w:cs="Arial" w:eastAsia="Arial" w:hAnsi="Arial"/>
                <w:sz w:val="14"/>
                <w:szCs w:val="14"/>
                <w:color w:val="auto"/>
              </w:rPr>
              <w:t>(715)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(846)</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2023 compared with Q3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Other income decreased due to the following:</w:t>
      </w:r>
    </w:p>
    <w:p>
      <w:pPr>
        <w:spacing w:after="0" w:line="115" w:lineRule="exact"/>
        <w:rPr>
          <w:sz w:val="20"/>
          <w:szCs w:val="20"/>
          <w:color w:val="auto"/>
        </w:rPr>
      </w:pPr>
    </w:p>
    <w:p>
      <w:pPr>
        <w:ind w:left="200" w:hanging="192"/>
        <w:spacing w:after="0"/>
        <w:tabs>
          <w:tab w:leader="none" w:pos="200" w:val="left"/>
        </w:tabs>
        <w:numPr>
          <w:ilvl w:val="0"/>
          <w:numId w:val="44"/>
        </w:numPr>
        <w:rPr>
          <w:rFonts w:ascii="Arial" w:cs="Arial" w:eastAsia="Arial" w:hAnsi="Arial"/>
          <w:sz w:val="16"/>
          <w:szCs w:val="16"/>
          <w:color w:val="D7282F"/>
        </w:rPr>
      </w:pPr>
      <w:r>
        <w:rPr>
          <w:rFonts w:ascii="Arial" w:cs="Arial" w:eastAsia="Arial" w:hAnsi="Arial"/>
          <w:sz w:val="16"/>
          <w:szCs w:val="16"/>
          <w:color w:val="auto"/>
        </w:rPr>
        <w:t>Lower pension and other postretirement income.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with YTD 2022</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Other income decreased due to the following:</w:t>
      </w:r>
    </w:p>
    <w:p>
      <w:pPr>
        <w:spacing w:after="0" w:line="101" w:lineRule="exact"/>
        <w:rPr>
          <w:sz w:val="20"/>
          <w:szCs w:val="20"/>
          <w:color w:val="auto"/>
        </w:rPr>
      </w:pPr>
    </w:p>
    <w:p>
      <w:pPr>
        <w:ind w:left="200" w:hanging="192"/>
        <w:spacing w:after="0"/>
        <w:tabs>
          <w:tab w:leader="none" w:pos="200" w:val="left"/>
        </w:tabs>
        <w:numPr>
          <w:ilvl w:val="0"/>
          <w:numId w:val="45"/>
        </w:numPr>
        <w:rPr>
          <w:rFonts w:ascii="Arial" w:cs="Arial" w:eastAsia="Arial" w:hAnsi="Arial"/>
          <w:sz w:val="16"/>
          <w:szCs w:val="16"/>
          <w:color w:val="D7282F"/>
        </w:rPr>
      </w:pPr>
      <w:r>
        <w:rPr>
          <w:rFonts w:ascii="Arial" w:cs="Arial" w:eastAsia="Arial" w:hAnsi="Arial"/>
          <w:sz w:val="16"/>
          <w:szCs w:val="16"/>
          <w:color w:val="auto"/>
        </w:rPr>
        <w:t>Lower pension and other postretirement income of approximately $0.4 billion,</w:t>
      </w:r>
    </w:p>
    <w:p>
      <w:pPr>
        <w:spacing w:after="0" w:line="86" w:lineRule="exact"/>
        <w:rPr>
          <w:rFonts w:ascii="Arial" w:cs="Arial" w:eastAsia="Arial" w:hAnsi="Arial"/>
          <w:sz w:val="16"/>
          <w:szCs w:val="16"/>
          <w:color w:val="D7282F"/>
        </w:rPr>
      </w:pPr>
    </w:p>
    <w:p>
      <w:pPr>
        <w:ind w:left="200" w:hanging="192"/>
        <w:spacing w:after="0" w:line="276" w:lineRule="auto"/>
        <w:tabs>
          <w:tab w:leader="none" w:pos="197" w:val="left"/>
        </w:tabs>
        <w:numPr>
          <w:ilvl w:val="0"/>
          <w:numId w:val="45"/>
        </w:numPr>
        <w:rPr>
          <w:rFonts w:ascii="Arial" w:cs="Arial" w:eastAsia="Arial" w:hAnsi="Arial"/>
          <w:sz w:val="16"/>
          <w:szCs w:val="16"/>
          <w:color w:val="D7282F"/>
        </w:rPr>
      </w:pPr>
      <w:r>
        <w:rPr>
          <w:rFonts w:ascii="Arial" w:cs="Arial" w:eastAsia="Arial" w:hAnsi="Arial"/>
          <w:sz w:val="16"/>
          <w:szCs w:val="16"/>
          <w:color w:val="auto"/>
        </w:rPr>
        <w:t>Partially offset by higher interest income of approximately $0.2 billion and prior year charges attributable to suspending and winding down our businesses and operations in Russia and UOP Matters of approximately $0.1 billion.</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83185</wp:posOffset>
            </wp:positionV>
            <wp:extent cx="5957570" cy="2314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2023 compared with Q3 2022</w:t>
      </w:r>
    </w:p>
    <w:p>
      <w:pPr>
        <w:spacing w:after="0" w:line="2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effective tax rate increased due to lower benefits resulting from the resolution of foreign tax matters, increased valuation allowance expense, and other accrued tax expense, partially offset by benefits of taxes on non-U.S. earnings representing an aggregate 120 basis point increase.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with YTD 2022</w:t>
      </w:r>
    </w:p>
    <w:p>
      <w:pPr>
        <w:spacing w:after="0" w:line="25"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effective tax rate decreased due to benefits of taxes on non-U.S. earnings and lower repositioning related expenses, partially offset by other accrued taxes representing an aggregate 230 basis point decrease.</w:t>
      </w:r>
    </w:p>
    <w:p>
      <w:pPr>
        <w:spacing w:after="0" w:line="284"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83185</wp:posOffset>
            </wp:positionV>
            <wp:extent cx="5957570" cy="2314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2023 compared to Q3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decreased due to the following:</w:t>
      </w:r>
    </w:p>
    <w:p>
      <w:pPr>
        <w:spacing w:after="0" w:line="115" w:lineRule="exact"/>
        <w:rPr>
          <w:sz w:val="20"/>
          <w:szCs w:val="20"/>
          <w:color w:val="auto"/>
        </w:rPr>
      </w:pPr>
    </w:p>
    <w:p>
      <w:pPr>
        <w:ind w:left="200" w:hanging="192"/>
        <w:spacing w:after="0"/>
        <w:tabs>
          <w:tab w:leader="none" w:pos="200" w:val="left"/>
        </w:tabs>
        <w:numPr>
          <w:ilvl w:val="0"/>
          <w:numId w:val="47"/>
        </w:numPr>
        <w:rPr>
          <w:rFonts w:ascii="Arial" w:cs="Arial" w:eastAsia="Arial" w:hAnsi="Arial"/>
          <w:sz w:val="16"/>
          <w:szCs w:val="16"/>
          <w:color w:val="DC202E"/>
        </w:rPr>
      </w:pPr>
      <w:r>
        <w:rPr>
          <w:rFonts w:ascii="Arial" w:cs="Arial" w:eastAsia="Arial" w:hAnsi="Arial"/>
          <w:sz w:val="16"/>
          <w:szCs w:val="16"/>
          <w:color w:val="auto"/>
        </w:rPr>
        <w:t>Lower pension and other postretirement income which impacted earnings per share by $0.14 after tax, and</w:t>
      </w:r>
    </w:p>
    <w:p>
      <w:pPr>
        <w:spacing w:after="0" w:line="86" w:lineRule="exact"/>
        <w:rPr>
          <w:rFonts w:ascii="Arial" w:cs="Arial" w:eastAsia="Arial" w:hAnsi="Arial"/>
          <w:sz w:val="16"/>
          <w:szCs w:val="16"/>
          <w:color w:val="DC202E"/>
        </w:rPr>
      </w:pPr>
    </w:p>
    <w:p>
      <w:pPr>
        <w:ind w:left="200" w:hanging="192"/>
        <w:spacing w:after="0"/>
        <w:tabs>
          <w:tab w:leader="none" w:pos="200" w:val="left"/>
        </w:tabs>
        <w:numPr>
          <w:ilvl w:val="0"/>
          <w:numId w:val="47"/>
        </w:numPr>
        <w:rPr>
          <w:rFonts w:ascii="Arial" w:cs="Arial" w:eastAsia="Arial" w:hAnsi="Arial"/>
          <w:sz w:val="16"/>
          <w:szCs w:val="16"/>
          <w:color w:val="DC202E"/>
        </w:rPr>
      </w:pPr>
      <w:r>
        <w:rPr>
          <w:rFonts w:ascii="Arial" w:cs="Arial" w:eastAsia="Arial" w:hAnsi="Arial"/>
          <w:sz w:val="16"/>
          <w:szCs w:val="16"/>
          <w:color w:val="auto"/>
        </w:rPr>
        <w:t>Higher interest expense which impacted earnings per share by $0.13 after tax,</w:t>
      </w:r>
    </w:p>
    <w:p>
      <w:pPr>
        <w:spacing w:after="0" w:line="72" w:lineRule="exact"/>
        <w:rPr>
          <w:rFonts w:ascii="Arial" w:cs="Arial" w:eastAsia="Arial" w:hAnsi="Arial"/>
          <w:sz w:val="16"/>
          <w:szCs w:val="16"/>
          <w:color w:val="DC202E"/>
        </w:rPr>
      </w:pPr>
    </w:p>
    <w:p>
      <w:pPr>
        <w:ind w:left="200" w:right="20" w:hanging="192"/>
        <w:spacing w:after="0" w:line="293" w:lineRule="auto"/>
        <w:tabs>
          <w:tab w:leader="none" w:pos="197" w:val="left"/>
        </w:tabs>
        <w:numPr>
          <w:ilvl w:val="0"/>
          <w:numId w:val="47"/>
        </w:numPr>
        <w:rPr>
          <w:rFonts w:ascii="Arial" w:cs="Arial" w:eastAsia="Arial" w:hAnsi="Arial"/>
          <w:sz w:val="16"/>
          <w:szCs w:val="16"/>
          <w:color w:val="DC202E"/>
        </w:rPr>
      </w:pPr>
      <w:r>
        <w:rPr>
          <w:rFonts w:ascii="Arial" w:cs="Arial" w:eastAsia="Arial" w:hAnsi="Arial"/>
          <w:sz w:val="16"/>
          <w:szCs w:val="16"/>
          <w:color w:val="auto"/>
        </w:rPr>
        <w:t>Partially offset by higher segment profit which impacted earnings per share by $0.15 after tax, higher interest income which impacted earnings per share by $0.06 after tax, and the favorable impact of lower share count which impacted earnings per share by $0.04 after tax.</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to YTD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increased due to the following:</w:t>
      </w:r>
    </w:p>
    <w:p>
      <w:pPr>
        <w:spacing w:after="0" w:line="115" w:lineRule="exact"/>
        <w:rPr>
          <w:sz w:val="20"/>
          <w:szCs w:val="20"/>
          <w:color w:val="auto"/>
        </w:rPr>
      </w:pPr>
    </w:p>
    <w:p>
      <w:pPr>
        <w:ind w:left="200" w:hanging="192"/>
        <w:spacing w:after="0"/>
        <w:tabs>
          <w:tab w:leader="none" w:pos="200" w:val="left"/>
        </w:tabs>
        <w:numPr>
          <w:ilvl w:val="0"/>
          <w:numId w:val="48"/>
        </w:numPr>
        <w:rPr>
          <w:rFonts w:ascii="Arial" w:cs="Arial" w:eastAsia="Arial" w:hAnsi="Arial"/>
          <w:sz w:val="16"/>
          <w:szCs w:val="16"/>
          <w:color w:val="DC202E"/>
        </w:rPr>
      </w:pPr>
      <w:r>
        <w:rPr>
          <w:rFonts w:ascii="Arial" w:cs="Arial" w:eastAsia="Arial" w:hAnsi="Arial"/>
          <w:sz w:val="16"/>
          <w:szCs w:val="16"/>
          <w:color w:val="auto"/>
        </w:rPr>
        <w:t>Higher segment profit which impacted earnings per share by $0.55 after tax,</w:t>
      </w:r>
    </w:p>
    <w:p>
      <w:pPr>
        <w:spacing w:after="0" w:line="86" w:lineRule="exact"/>
        <w:rPr>
          <w:rFonts w:ascii="Arial" w:cs="Arial" w:eastAsia="Arial" w:hAnsi="Arial"/>
          <w:sz w:val="16"/>
          <w:szCs w:val="16"/>
          <w:color w:val="DC202E"/>
        </w:rPr>
      </w:pPr>
    </w:p>
    <w:p>
      <w:pPr>
        <w:ind w:left="200" w:hanging="192"/>
        <w:spacing w:after="0" w:line="276" w:lineRule="auto"/>
        <w:tabs>
          <w:tab w:leader="none" w:pos="197" w:val="left"/>
        </w:tabs>
        <w:numPr>
          <w:ilvl w:val="0"/>
          <w:numId w:val="48"/>
        </w:numPr>
        <w:rPr>
          <w:rFonts w:ascii="Arial" w:cs="Arial" w:eastAsia="Arial" w:hAnsi="Arial"/>
          <w:sz w:val="16"/>
          <w:szCs w:val="16"/>
          <w:color w:val="D7282F"/>
        </w:rPr>
      </w:pPr>
      <w:r>
        <w:rPr>
          <w:rFonts w:ascii="Arial" w:cs="Arial" w:eastAsia="Arial" w:hAnsi="Arial"/>
          <w:sz w:val="16"/>
          <w:szCs w:val="16"/>
          <w:color w:val="auto"/>
        </w:rPr>
        <w:t>Lower repositioning and other charges, including charges attributable to suspending and winding down our businesses and operations in Russia, which impacted earnings per share by $0.53 after tax,</w:t>
      </w:r>
    </w:p>
    <w:p>
      <w:pPr>
        <w:spacing w:after="0" w:line="35" w:lineRule="exact"/>
        <w:rPr>
          <w:rFonts w:ascii="Arial" w:cs="Arial" w:eastAsia="Arial" w:hAnsi="Arial"/>
          <w:sz w:val="16"/>
          <w:szCs w:val="16"/>
          <w:color w:val="D7282F"/>
        </w:rPr>
      </w:pPr>
    </w:p>
    <w:p>
      <w:pPr>
        <w:ind w:left="200" w:hanging="192"/>
        <w:spacing w:after="0"/>
        <w:tabs>
          <w:tab w:leader="none" w:pos="200" w:val="left"/>
        </w:tabs>
        <w:numPr>
          <w:ilvl w:val="0"/>
          <w:numId w:val="48"/>
        </w:numPr>
        <w:rPr>
          <w:rFonts w:ascii="Arial" w:cs="Arial" w:eastAsia="Arial" w:hAnsi="Arial"/>
          <w:sz w:val="16"/>
          <w:szCs w:val="16"/>
          <w:color w:val="DC202E"/>
        </w:rPr>
      </w:pPr>
      <w:r>
        <w:rPr>
          <w:rFonts w:ascii="Arial" w:cs="Arial" w:eastAsia="Arial" w:hAnsi="Arial"/>
          <w:sz w:val="16"/>
          <w:szCs w:val="16"/>
          <w:color w:val="auto"/>
        </w:rPr>
        <w:t>Higher interest income which impacted earnings per share by $0.18 after tax,</w:t>
      </w:r>
    </w:p>
    <w:p>
      <w:pPr>
        <w:spacing w:after="0" w:line="72" w:lineRule="exact"/>
        <w:rPr>
          <w:rFonts w:ascii="Arial" w:cs="Arial" w:eastAsia="Arial" w:hAnsi="Arial"/>
          <w:sz w:val="16"/>
          <w:szCs w:val="16"/>
          <w:color w:val="DC202E"/>
        </w:rPr>
      </w:pPr>
    </w:p>
    <w:p>
      <w:pPr>
        <w:ind w:left="200" w:hanging="192"/>
        <w:spacing w:after="0"/>
        <w:tabs>
          <w:tab w:leader="none" w:pos="200" w:val="left"/>
        </w:tabs>
        <w:numPr>
          <w:ilvl w:val="0"/>
          <w:numId w:val="48"/>
        </w:numPr>
        <w:rPr>
          <w:rFonts w:ascii="Arial" w:cs="Arial" w:eastAsia="Arial" w:hAnsi="Arial"/>
          <w:sz w:val="16"/>
          <w:szCs w:val="16"/>
          <w:color w:val="DC202E"/>
        </w:rPr>
      </w:pPr>
      <w:r>
        <w:rPr>
          <w:rFonts w:ascii="Arial" w:cs="Arial" w:eastAsia="Arial" w:hAnsi="Arial"/>
          <w:sz w:val="16"/>
          <w:szCs w:val="16"/>
          <w:color w:val="auto"/>
        </w:rPr>
        <w:t>The favorable impact of lower share count which impacted earnings per share by $0.14 after tax, and</w:t>
      </w:r>
    </w:p>
    <w:p>
      <w:pPr>
        <w:spacing w:after="0" w:line="86" w:lineRule="exact"/>
        <w:rPr>
          <w:rFonts w:ascii="Arial" w:cs="Arial" w:eastAsia="Arial" w:hAnsi="Arial"/>
          <w:sz w:val="16"/>
          <w:szCs w:val="16"/>
          <w:color w:val="DC202E"/>
        </w:rPr>
      </w:pPr>
    </w:p>
    <w:p>
      <w:pPr>
        <w:ind w:left="200" w:right="20" w:hanging="192"/>
        <w:spacing w:after="0" w:line="276" w:lineRule="auto"/>
        <w:tabs>
          <w:tab w:leader="none" w:pos="197" w:val="left"/>
        </w:tabs>
        <w:numPr>
          <w:ilvl w:val="0"/>
          <w:numId w:val="48"/>
        </w:numPr>
        <w:rPr>
          <w:rFonts w:ascii="Arial" w:cs="Arial" w:eastAsia="Arial" w:hAnsi="Arial"/>
          <w:sz w:val="16"/>
          <w:szCs w:val="16"/>
          <w:color w:val="DC202E"/>
        </w:rPr>
      </w:pPr>
      <w:r>
        <w:rPr>
          <w:rFonts w:ascii="Arial" w:cs="Arial" w:eastAsia="Arial" w:hAnsi="Arial"/>
          <w:sz w:val="16"/>
          <w:szCs w:val="16"/>
          <w:color w:val="auto"/>
        </w:rPr>
        <w:t>Partially offset by lower pension and other postretirement income which impacted earnings per share by $0.41 after tax, and higher interest expense which impacted earnings per share by $0.32 after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0" w:hanging="392"/>
        <w:spacing w:after="0"/>
        <w:tabs>
          <w:tab w:leader="none" w:pos="400" w:val="left"/>
        </w:tabs>
        <w:numPr>
          <w:ilvl w:val="0"/>
          <w:numId w:val="49"/>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REVIEW OF BUSINESS SEGMENTS</w:t>
      </w:r>
    </w:p>
    <w:p>
      <w:pPr>
        <w:spacing w:after="0" w:line="200" w:lineRule="exact"/>
        <w:rPr>
          <w:sz w:val="20"/>
          <w:szCs w:val="20"/>
          <w:color w:val="auto"/>
        </w:rPr>
      </w:pPr>
    </w:p>
    <w:p>
      <w:pPr>
        <w:spacing w:after="0" w:line="20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globally manage our business operations through four reportable business segments: Aerospace, Honeywell Building Technologies, Performance Materials and Technologies, and Safety and Productivity Solutions.</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D7282F"/>
        </w:rPr>
        <w:t>AEROSPACE</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92075</wp:posOffset>
            </wp:positionV>
            <wp:extent cx="5829300" cy="2314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293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gridSpan w:val="3"/>
          </w:tcPr>
          <w:p>
            <w:pPr>
              <w:jc w:val="right"/>
              <w:ind w:right="6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620" w:type="dxa"/>
            <w:vAlign w:val="bottom"/>
            <w:tcBorders>
              <w:bottom w:val="single" w:sz="8" w:color="D7282F"/>
            </w:tcBorders>
            <w:gridSpan w:val="4"/>
          </w:tcPr>
          <w:p>
            <w:pPr>
              <w:jc w:val="right"/>
              <w:ind w:right="348"/>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gridSpan w:val="2"/>
          </w:tcPr>
          <w:p>
            <w:pPr>
              <w:jc w:val="right"/>
              <w:ind w:right="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2"/>
                <w:szCs w:val="12"/>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2"/>
                <w:szCs w:val="12"/>
                <w:color w:val="auto"/>
              </w:rPr>
            </w:pPr>
          </w:p>
        </w:tc>
        <w:tc>
          <w:tcPr>
            <w:tcW w:w="520" w:type="dxa"/>
            <w:vAlign w:val="bottom"/>
          </w:tcPr>
          <w:p>
            <w:pPr>
              <w:jc w:val="right"/>
              <w:ind w:right="308"/>
              <w:spacing w:after="0" w:line="143" w:lineRule="exact"/>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860" w:type="dxa"/>
            <w:vAlign w:val="bottom"/>
          </w:tcPr>
          <w:p>
            <w:pPr>
              <w:jc w:val="right"/>
              <w:ind w:right="308"/>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gridSpan w:val="2"/>
            <w:vMerge w:val="continue"/>
          </w:tcPr>
          <w:p>
            <w:pPr>
              <w:spacing w:after="0"/>
              <w:rPr>
                <w:sz w:val="16"/>
                <w:szCs w:val="16"/>
                <w:color w:val="auto"/>
              </w:rPr>
            </w:pPr>
          </w:p>
        </w:tc>
        <w:tc>
          <w:tcPr>
            <w:tcW w:w="1180" w:type="dxa"/>
            <w:vAlign w:val="bottom"/>
            <w:tcBorders>
              <w:bottom w:val="single" w:sz="8" w:color="D7282F"/>
            </w:tcBorders>
            <w:gridSpan w:val="2"/>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gridSpan w:val="2"/>
            <w:vMerge w:val="continue"/>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vMerge w:val="continue"/>
          </w:tcPr>
          <w:p>
            <w:pPr>
              <w:spacing w:after="0"/>
              <w:rPr>
                <w:sz w:val="16"/>
                <w:szCs w:val="16"/>
                <w:color w:val="auto"/>
              </w:rPr>
            </w:pPr>
          </w:p>
        </w:tc>
        <w:tc>
          <w:tcPr>
            <w:tcW w:w="8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3,499</w:t>
            </w: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2,976</w:t>
            </w:r>
          </w:p>
        </w:tc>
        <w:tc>
          <w:tcPr>
            <w:tcW w:w="6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18 %</w:t>
            </w:r>
          </w:p>
        </w:tc>
        <w:tc>
          <w:tcPr>
            <w:tcW w:w="3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gridSpan w:val="3"/>
          </w:tcPr>
          <w:p>
            <w:pPr>
              <w:jc w:val="right"/>
              <w:ind w:right="40"/>
              <w:spacing w:after="0"/>
              <w:rPr>
                <w:sz w:val="20"/>
                <w:szCs w:val="20"/>
                <w:color w:val="auto"/>
              </w:rPr>
            </w:pPr>
            <w:r>
              <w:rPr>
                <w:rFonts w:ascii="Arial" w:cs="Arial" w:eastAsia="Arial" w:hAnsi="Arial"/>
                <w:sz w:val="14"/>
                <w:szCs w:val="14"/>
                <w:color w:val="auto"/>
              </w:rPr>
              <w:t>9,951</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tcPr>
          <w:p>
            <w:pPr>
              <w:ind w:left="220"/>
              <w:spacing w:after="0"/>
              <w:rPr>
                <w:sz w:val="20"/>
                <w:szCs w:val="20"/>
                <w:color w:val="auto"/>
              </w:rPr>
            </w:pPr>
            <w:r>
              <w:rPr>
                <w:rFonts w:ascii="Arial" w:cs="Arial" w:eastAsia="Arial" w:hAnsi="Arial"/>
                <w:sz w:val="14"/>
                <w:szCs w:val="14"/>
                <w:color w:val="auto"/>
              </w:rPr>
              <w:t>8,623</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2,145</w:t>
            </w:r>
          </w:p>
        </w:tc>
        <w:tc>
          <w:tcPr>
            <w:tcW w:w="42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1,818</w:t>
            </w:r>
          </w:p>
        </w:tc>
        <w:tc>
          <w:tcPr>
            <w:tcW w:w="6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gridSpan w:val="3"/>
          </w:tcPr>
          <w:p>
            <w:pPr>
              <w:jc w:val="right"/>
              <w:ind w:right="40"/>
              <w:spacing w:after="0"/>
              <w:rPr>
                <w:sz w:val="20"/>
                <w:szCs w:val="20"/>
                <w:color w:val="auto"/>
              </w:rPr>
            </w:pPr>
            <w:r>
              <w:rPr>
                <w:rFonts w:ascii="Arial" w:cs="Arial" w:eastAsia="Arial" w:hAnsi="Arial"/>
                <w:sz w:val="14"/>
                <w:szCs w:val="14"/>
                <w:color w:val="auto"/>
              </w:rPr>
              <w:t>6,122</w:t>
            </w:r>
          </w:p>
        </w:tc>
        <w:tc>
          <w:tcPr>
            <w:tcW w:w="38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ind w:left="220"/>
              <w:spacing w:after="0"/>
              <w:rPr>
                <w:sz w:val="20"/>
                <w:szCs w:val="20"/>
                <w:color w:val="auto"/>
              </w:rPr>
            </w:pPr>
            <w:r>
              <w:rPr>
                <w:rFonts w:ascii="Arial" w:cs="Arial" w:eastAsia="Arial" w:hAnsi="Arial"/>
                <w:sz w:val="14"/>
                <w:szCs w:val="14"/>
                <w:color w:val="auto"/>
              </w:rPr>
              <w:t>5,230</w:t>
            </w:r>
          </w:p>
        </w:tc>
        <w:tc>
          <w:tcPr>
            <w:tcW w:w="86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391</w:t>
            </w:r>
          </w:p>
        </w:tc>
        <w:tc>
          <w:tcPr>
            <w:tcW w:w="42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auto"/>
              </w:rPr>
              <w:t>340</w:t>
            </w:r>
          </w:p>
        </w:tc>
        <w:tc>
          <w:tcPr>
            <w:tcW w:w="6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gridSpan w:val="3"/>
          </w:tcPr>
          <w:p>
            <w:pPr>
              <w:jc w:val="right"/>
              <w:ind w:right="40"/>
              <w:spacing w:after="0"/>
              <w:rPr>
                <w:sz w:val="20"/>
                <w:szCs w:val="20"/>
                <w:color w:val="auto"/>
              </w:rPr>
            </w:pPr>
            <w:r>
              <w:rPr>
                <w:rFonts w:ascii="Arial" w:cs="Arial" w:eastAsia="Arial" w:hAnsi="Arial"/>
                <w:sz w:val="14"/>
                <w:szCs w:val="14"/>
                <w:color w:val="auto"/>
              </w:rPr>
              <w:t>1,115</w:t>
            </w: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1,055</w:t>
            </w:r>
          </w:p>
        </w:tc>
        <w:tc>
          <w:tcPr>
            <w:tcW w:w="8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963</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818</w:t>
            </w:r>
          </w:p>
        </w:tc>
        <w:tc>
          <w:tcPr>
            <w:tcW w:w="6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18 %</w:t>
            </w:r>
          </w:p>
        </w:tc>
        <w:tc>
          <w:tcPr>
            <w:tcW w:w="3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gridSpan w:val="3"/>
          </w:tcPr>
          <w:p>
            <w:pPr>
              <w:jc w:val="right"/>
              <w:ind w:right="40"/>
              <w:spacing w:after="0"/>
              <w:rPr>
                <w:sz w:val="20"/>
                <w:szCs w:val="20"/>
                <w:color w:val="auto"/>
              </w:rPr>
            </w:pPr>
            <w:r>
              <w:rPr>
                <w:rFonts w:ascii="Arial" w:cs="Arial" w:eastAsia="Arial" w:hAnsi="Arial"/>
                <w:sz w:val="14"/>
                <w:szCs w:val="14"/>
                <w:b w:val="1"/>
                <w:bCs w:val="1"/>
                <w:color w:val="auto"/>
              </w:rPr>
              <w:t>2,714</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2,338</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16 %</w:t>
            </w:r>
          </w:p>
        </w:tc>
        <w:tc>
          <w:tcPr>
            <w:tcW w:w="0" w:type="dxa"/>
            <w:vAlign w:val="bottom"/>
          </w:tcPr>
          <w:p>
            <w:pPr>
              <w:spacing w:after="0"/>
              <w:rPr>
                <w:sz w:val="1"/>
                <w:szCs w:val="1"/>
                <w:color w:val="auto"/>
              </w:rPr>
            </w:pPr>
          </w:p>
        </w:tc>
      </w:tr>
      <w:tr>
        <w:trPr>
          <w:trHeight w:val="426"/>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660" w:type="dxa"/>
            <w:vAlign w:val="bottom"/>
            <w:tcBorders>
              <w:bottom w:val="single" w:sz="8" w:color="D7282F"/>
            </w:tcBorders>
          </w:tcPr>
          <w:p>
            <w:pPr>
              <w:spacing w:after="0"/>
              <w:rPr>
                <w:sz w:val="24"/>
                <w:szCs w:val="24"/>
                <w:color w:val="auto"/>
              </w:rPr>
            </w:pPr>
          </w:p>
        </w:tc>
        <w:tc>
          <w:tcPr>
            <w:tcW w:w="52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00" w:type="dxa"/>
            <w:vAlign w:val="bottom"/>
            <w:tcBorders>
              <w:bottom w:val="single" w:sz="8" w:color="D7282F"/>
            </w:tcBorders>
          </w:tcPr>
          <w:p>
            <w:pPr>
              <w:spacing w:after="0"/>
              <w:rPr>
                <w:sz w:val="24"/>
                <w:szCs w:val="24"/>
                <w:color w:val="auto"/>
              </w:rPr>
            </w:pPr>
          </w:p>
        </w:tc>
        <w:tc>
          <w:tcPr>
            <w:tcW w:w="100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2023 vs. 2022</w:t>
            </w:r>
          </w:p>
        </w:tc>
        <w:tc>
          <w:tcPr>
            <w:tcW w:w="900" w:type="dxa"/>
            <w:vAlign w:val="bottom"/>
            <w:tcBorders>
              <w:bottom w:val="single" w:sz="8" w:color="D7282F"/>
            </w:tcBorders>
          </w:tcPr>
          <w:p>
            <w:pPr>
              <w:spacing w:after="0"/>
              <w:rPr>
                <w:sz w:val="24"/>
                <w:szCs w:val="24"/>
                <w:color w:val="auto"/>
              </w:rPr>
            </w:pPr>
          </w:p>
        </w:tc>
        <w:tc>
          <w:tcPr>
            <w:tcW w:w="86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4"/>
          </w:tcPr>
          <w:p>
            <w:pPr>
              <w:ind w:left="80"/>
              <w:spacing w:after="0" w:line="143" w:lineRule="exact"/>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gridSpan w:val="2"/>
          </w:tcPr>
          <w:p>
            <w:pPr>
              <w:jc w:val="right"/>
              <w:ind w:right="348"/>
              <w:spacing w:after="0" w:line="143"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1520" w:type="dxa"/>
            <w:vAlign w:val="bottom"/>
            <w:tcBorders>
              <w:bottom w:val="single" w:sz="8" w:color="D7282F"/>
            </w:tcBorders>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1760" w:type="dxa"/>
            <w:vAlign w:val="bottom"/>
            <w:tcBorders>
              <w:bottom w:val="single" w:sz="8" w:color="D7282F"/>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ind w:left="80"/>
              <w:spacing w:after="0" w:line="143" w:lineRule="exact"/>
              <w:rPr>
                <w:sz w:val="20"/>
                <w:szCs w:val="20"/>
                <w:color w:val="auto"/>
              </w:rPr>
            </w:pPr>
            <w:r>
              <w:rPr>
                <w:rFonts w:ascii="Arial" w:cs="Arial" w:eastAsia="Arial" w:hAnsi="Arial"/>
                <w:sz w:val="14"/>
                <w:szCs w:val="14"/>
                <w:b w:val="1"/>
                <w:bCs w:val="1"/>
                <w:color w:val="auto"/>
              </w:rPr>
              <w:t>Net</w:t>
            </w:r>
          </w:p>
        </w:tc>
        <w:tc>
          <w:tcPr>
            <w:tcW w:w="1480" w:type="dxa"/>
            <w:vAlign w:val="bottom"/>
            <w:gridSpan w:val="6"/>
          </w:tcPr>
          <w:p>
            <w:pPr>
              <w:jc w:val="right"/>
              <w:ind w:right="440"/>
              <w:spacing w:after="0" w:line="143" w:lineRule="exact"/>
              <w:rPr>
                <w:sz w:val="20"/>
                <w:szCs w:val="20"/>
                <w:color w:val="auto"/>
              </w:rPr>
            </w:pPr>
            <w:r>
              <w:rPr>
                <w:rFonts w:ascii="Arial" w:cs="Arial" w:eastAsia="Arial" w:hAnsi="Arial"/>
                <w:sz w:val="14"/>
                <w:szCs w:val="14"/>
                <w:b w:val="1"/>
                <w:bCs w:val="1"/>
                <w:color w:val="auto"/>
              </w:rPr>
              <w:t>Segment</w:t>
            </w:r>
          </w:p>
        </w:tc>
        <w:tc>
          <w:tcPr>
            <w:tcW w:w="1280" w:type="dxa"/>
            <w:vAlign w:val="bottom"/>
            <w:gridSpan w:val="2"/>
          </w:tcPr>
          <w:p>
            <w:pPr>
              <w:jc w:val="right"/>
              <w:ind w:right="648"/>
              <w:spacing w:after="0" w:line="143" w:lineRule="exact"/>
              <w:rPr>
                <w:sz w:val="20"/>
                <w:szCs w:val="20"/>
                <w:color w:val="auto"/>
              </w:rPr>
            </w:pPr>
            <w:r>
              <w:rPr>
                <w:rFonts w:ascii="Arial" w:cs="Arial" w:eastAsia="Arial" w:hAnsi="Arial"/>
                <w:sz w:val="14"/>
                <w:szCs w:val="14"/>
                <w:b w:val="1"/>
                <w:bCs w:val="1"/>
                <w:color w:val="auto"/>
              </w:rPr>
              <w:t>Net</w:t>
            </w:r>
          </w:p>
        </w:tc>
        <w:tc>
          <w:tcPr>
            <w:tcW w:w="860" w:type="dxa"/>
            <w:vAlign w:val="bottom"/>
          </w:tcPr>
          <w:p>
            <w:pPr>
              <w:jc w:val="right"/>
              <w:ind w:right="108"/>
              <w:spacing w:after="0" w:line="143"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D7282F"/>
            </w:tcBorders>
            <w:vMerge w:val="continue"/>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w w:val="98"/>
              </w:rPr>
              <w:t>Sales</w:t>
            </w:r>
          </w:p>
        </w:tc>
        <w:tc>
          <w:tcPr>
            <w:tcW w:w="5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gridSpan w:val="5"/>
          </w:tcPr>
          <w:p>
            <w:pPr>
              <w:jc w:val="right"/>
              <w:ind w:right="560"/>
              <w:spacing w:after="0"/>
              <w:rPr>
                <w:sz w:val="20"/>
                <w:szCs w:val="20"/>
                <w:color w:val="auto"/>
              </w:rPr>
            </w:pPr>
            <w:r>
              <w:rPr>
                <w:rFonts w:ascii="Arial" w:cs="Arial" w:eastAsia="Arial" w:hAnsi="Arial"/>
                <w:sz w:val="14"/>
                <w:szCs w:val="14"/>
                <w:b w:val="1"/>
                <w:bCs w:val="1"/>
                <w:color w:val="auto"/>
              </w:rPr>
              <w:t>Profit</w:t>
            </w:r>
          </w:p>
        </w:tc>
        <w:tc>
          <w:tcPr>
            <w:tcW w:w="1280" w:type="dxa"/>
            <w:vAlign w:val="bottom"/>
            <w:tcBorders>
              <w:bottom w:val="single" w:sz="8" w:color="D7282F"/>
            </w:tcBorders>
            <w:gridSpan w:val="2"/>
          </w:tcPr>
          <w:p>
            <w:pPr>
              <w:jc w:val="right"/>
              <w:ind w:right="568"/>
              <w:spacing w:after="0"/>
              <w:rPr>
                <w:sz w:val="20"/>
                <w:szCs w:val="20"/>
                <w:color w:val="auto"/>
              </w:rPr>
            </w:pPr>
            <w:r>
              <w:rPr>
                <w:rFonts w:ascii="Arial" w:cs="Arial" w:eastAsia="Arial" w:hAnsi="Arial"/>
                <w:sz w:val="14"/>
                <w:szCs w:val="14"/>
                <w:b w:val="1"/>
                <w:bCs w:val="1"/>
                <w:color w:val="auto"/>
              </w:rPr>
              <w:t>Sales</w:t>
            </w:r>
          </w:p>
        </w:tc>
        <w:tc>
          <w:tcPr>
            <w:tcW w:w="86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Organic</w:t>
            </w:r>
            <w:r>
              <w:rPr>
                <w:rFonts w:ascii="Arial" w:cs="Arial" w:eastAsia="Arial" w:hAnsi="Arial"/>
                <w:sz w:val="18"/>
                <w:szCs w:val="18"/>
                <w:color w:val="auto"/>
                <w:vertAlign w:val="superscript"/>
              </w:rPr>
              <w:t>1</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18 %</w:t>
            </w:r>
          </w:p>
        </w:tc>
        <w:tc>
          <w:tcPr>
            <w:tcW w:w="5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18 %</w:t>
            </w:r>
          </w:p>
        </w:tc>
        <w:tc>
          <w:tcPr>
            <w:tcW w:w="220" w:type="dxa"/>
            <w:vAlign w:val="bottom"/>
            <w:tcBorders>
              <w:bottom w:val="single" w:sz="8" w:color="61656A"/>
            </w:tcBorders>
          </w:tcPr>
          <w:p>
            <w:pPr>
              <w:spacing w:after="0"/>
              <w:rPr>
                <w:sz w:val="17"/>
                <w:szCs w:val="17"/>
                <w:color w:val="auto"/>
              </w:rPr>
            </w:pPr>
          </w:p>
        </w:tc>
        <w:tc>
          <w:tcPr>
            <w:tcW w:w="4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16 %</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90"/>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gridSpan w:val="3"/>
          </w:tcPr>
          <w:p>
            <w:pPr>
              <w:jc w:val="right"/>
              <w:ind w:right="280"/>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(1)%</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gridSpan w:val="3"/>
          </w:tcPr>
          <w:p>
            <w:pPr>
              <w:jc w:val="right"/>
              <w:ind w:right="280"/>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1"/>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18 %</w:t>
            </w:r>
          </w:p>
        </w:tc>
        <w:tc>
          <w:tcPr>
            <w:tcW w:w="5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18 %</w:t>
            </w:r>
          </w:p>
        </w:tc>
        <w:tc>
          <w:tcPr>
            <w:tcW w:w="220" w:type="dxa"/>
            <w:vAlign w:val="bottom"/>
            <w:tcBorders>
              <w:bottom w:val="single" w:sz="8" w:color="D7282F"/>
            </w:tcBorders>
          </w:tcPr>
          <w:p>
            <w:pPr>
              <w:spacing w:after="0"/>
              <w:rPr>
                <w:sz w:val="17"/>
                <w:szCs w:val="17"/>
                <w:color w:val="auto"/>
              </w:rPr>
            </w:pPr>
          </w:p>
        </w:tc>
        <w:tc>
          <w:tcPr>
            <w:tcW w:w="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15 %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80" w:right="40" w:hanging="344"/>
        <w:spacing w:after="0" w:line="187" w:lineRule="auto"/>
        <w:tabs>
          <w:tab w:leader="none" w:pos="480" w:val="left"/>
        </w:tabs>
        <w:numPr>
          <w:ilvl w:val="0"/>
          <w:numId w:val="50"/>
        </w:numPr>
        <w:rPr>
          <w:rFonts w:ascii="Arial" w:cs="Arial" w:eastAsia="Arial" w:hAnsi="Arial"/>
          <w:sz w:val="25"/>
          <w:szCs w:val="25"/>
          <w:color w:val="auto"/>
          <w:vertAlign w:val="superscript"/>
        </w:rPr>
      </w:pPr>
      <w:r>
        <w:rPr>
          <w:rFonts w:ascii="Arial" w:cs="Arial" w:eastAsia="Arial" w:hAnsi="Arial"/>
          <w:sz w:val="13"/>
          <w:szCs w:val="13"/>
          <w:color w:val="auto"/>
        </w:rPr>
        <w:t>Organic sales % change, presented for all of our reportable business segments, is defined as the change in Net sales, excluding the impact on sales from foreign currency translation and acquisitions, net of divestitures, for the first 12 months following the transaction date. We believe this non-GAAP measure is useful to investors and management in understanding the ongoing operations and analysis of ongoing operating trends.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2023 compared to Q3 2022</w:t>
      </w:r>
    </w:p>
    <w:p>
      <w:pPr>
        <w:spacing w:after="0" w:line="3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Sales increased $523 million due to higher organic sales of $298 million in Commercial Aviation Aftermarket driven by higher sales volumes in air transport due to an increase in flight hours and higher organic sales of $202 million in Defense and Space driven by higher sales volumes due to increased shipments.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$145 million and segment margin percentage was flat at 27.5% compared to the same period of 2022.</w:t>
      </w:r>
    </w:p>
    <w:p>
      <w:pPr>
        <w:spacing w:after="0" w:line="200" w:lineRule="exact"/>
        <w:rPr>
          <w:sz w:val="20"/>
          <w:szCs w:val="20"/>
          <w:color w:val="auto"/>
        </w:rPr>
      </w:pPr>
    </w:p>
    <w:p>
      <w:pPr>
        <w:spacing w:after="0" w:line="244"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to YTD 2022</w:t>
      </w:r>
    </w:p>
    <w:p>
      <w:pPr>
        <w:spacing w:after="0" w:line="25"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Sales increased $1,328 million due to higher organic sales of $890 million in Commercial Aviation Aftermarket driven by higher sales volumes in air transport due to an increase in flight hours and higher organic sales of $292 million in Defense and Space driven by higher sales volumes due to increased shipments.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$376 million and segment margin percentage increased 20 basis points to 27.3% compared to 27.1% for the same period of 2022.</w:t>
      </w:r>
    </w:p>
    <w:p>
      <w:pPr>
        <w:spacing w:after="0" w:line="288" w:lineRule="exact"/>
        <w:rPr>
          <w:sz w:val="20"/>
          <w:szCs w:val="20"/>
          <w:color w:val="auto"/>
        </w:rPr>
      </w:pPr>
    </w:p>
    <w:p>
      <w:pPr>
        <w:spacing w:after="0"/>
        <w:rPr>
          <w:sz w:val="20"/>
          <w:szCs w:val="20"/>
          <w:color w:val="auto"/>
        </w:rPr>
      </w:pPr>
      <w:r>
        <w:rPr>
          <w:rFonts w:ascii="Arial" w:cs="Arial" w:eastAsia="Arial" w:hAnsi="Arial"/>
          <w:sz w:val="29"/>
          <w:szCs w:val="29"/>
          <w:color w:val="D7282F"/>
        </w:rPr>
        <w:t>HONEYWELL BUILDING TECHNOLOGIES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92075</wp:posOffset>
            </wp:positionV>
            <wp:extent cx="5786120" cy="2314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8612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gridSpan w:val="3"/>
          </w:tcPr>
          <w:p>
            <w:pPr>
              <w:jc w:val="right"/>
              <w:ind w:right="6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620" w:type="dxa"/>
            <w:vAlign w:val="bottom"/>
            <w:tcBorders>
              <w:bottom w:val="single" w:sz="8" w:color="D7282F"/>
            </w:tcBorders>
            <w:gridSpan w:val="4"/>
          </w:tcPr>
          <w:p>
            <w:pPr>
              <w:jc w:val="center"/>
              <w:ind w:right="128"/>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gridSpan w:val="2"/>
          </w:tcPr>
          <w:p>
            <w:pPr>
              <w:jc w:val="right"/>
              <w:ind w:right="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2"/>
                <w:szCs w:val="12"/>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2"/>
                <w:szCs w:val="12"/>
                <w:color w:val="auto"/>
              </w:rPr>
            </w:pPr>
          </w:p>
        </w:tc>
        <w:tc>
          <w:tcPr>
            <w:tcW w:w="52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86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gridSpan w:val="2"/>
            <w:vMerge w:val="continue"/>
          </w:tcPr>
          <w:p>
            <w:pPr>
              <w:spacing w:after="0"/>
              <w:rPr>
                <w:sz w:val="16"/>
                <w:szCs w:val="16"/>
                <w:color w:val="auto"/>
              </w:rPr>
            </w:pPr>
          </w:p>
        </w:tc>
        <w:tc>
          <w:tcPr>
            <w:tcW w:w="1180" w:type="dxa"/>
            <w:vAlign w:val="bottom"/>
            <w:tcBorders>
              <w:bottom w:val="single" w:sz="8" w:color="D7282F"/>
            </w:tcBorders>
            <w:gridSpan w:val="2"/>
          </w:tcPr>
          <w:p>
            <w:pPr>
              <w:ind w:left="4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gridSpan w:val="2"/>
            <w:vMerge w:val="continue"/>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vMerge w:val="continue"/>
          </w:tcPr>
          <w:p>
            <w:pPr>
              <w:spacing w:after="0"/>
              <w:rPr>
                <w:sz w:val="16"/>
                <w:szCs w:val="16"/>
                <w:color w:val="auto"/>
              </w:rPr>
            </w:pPr>
          </w:p>
        </w:tc>
        <w:tc>
          <w:tcPr>
            <w:tcW w:w="8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1,530</w:t>
            </w: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1,526</w:t>
            </w:r>
          </w:p>
        </w:tc>
        <w:tc>
          <w:tcPr>
            <w:tcW w:w="6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3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gridSpan w:val="3"/>
          </w:tcPr>
          <w:p>
            <w:pPr>
              <w:jc w:val="right"/>
              <w:ind w:right="40"/>
              <w:spacing w:after="0"/>
              <w:rPr>
                <w:sz w:val="20"/>
                <w:szCs w:val="20"/>
                <w:color w:val="auto"/>
              </w:rPr>
            </w:pPr>
            <w:r>
              <w:rPr>
                <w:rFonts w:ascii="Arial" w:cs="Arial" w:eastAsia="Arial" w:hAnsi="Arial"/>
                <w:sz w:val="14"/>
                <w:szCs w:val="14"/>
                <w:color w:val="auto"/>
              </w:rPr>
              <w:t>4,527</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tcPr>
          <w:p>
            <w:pPr>
              <w:jc w:val="right"/>
              <w:ind w:right="248"/>
              <w:spacing w:after="0"/>
              <w:rPr>
                <w:sz w:val="20"/>
                <w:szCs w:val="20"/>
                <w:color w:val="auto"/>
              </w:rPr>
            </w:pPr>
            <w:r>
              <w:rPr>
                <w:rFonts w:ascii="Arial" w:cs="Arial" w:eastAsia="Arial" w:hAnsi="Arial"/>
                <w:sz w:val="14"/>
                <w:szCs w:val="14"/>
                <w:color w:val="auto"/>
              </w:rPr>
              <w:t>4,486</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829</w:t>
            </w:r>
          </w:p>
        </w:tc>
        <w:tc>
          <w:tcPr>
            <w:tcW w:w="42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835</w:t>
            </w:r>
          </w:p>
        </w:tc>
        <w:tc>
          <w:tcPr>
            <w:tcW w:w="6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gridSpan w:val="3"/>
          </w:tcPr>
          <w:p>
            <w:pPr>
              <w:jc w:val="right"/>
              <w:ind w:right="40"/>
              <w:spacing w:after="0"/>
              <w:rPr>
                <w:sz w:val="20"/>
                <w:szCs w:val="20"/>
                <w:color w:val="auto"/>
              </w:rPr>
            </w:pPr>
            <w:r>
              <w:rPr>
                <w:rFonts w:ascii="Arial" w:cs="Arial" w:eastAsia="Arial" w:hAnsi="Arial"/>
                <w:sz w:val="14"/>
                <w:szCs w:val="14"/>
                <w:color w:val="auto"/>
              </w:rPr>
              <w:t>2,430</w:t>
            </w:r>
          </w:p>
        </w:tc>
        <w:tc>
          <w:tcPr>
            <w:tcW w:w="38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248"/>
              <w:spacing w:after="0"/>
              <w:rPr>
                <w:sz w:val="20"/>
                <w:szCs w:val="20"/>
                <w:color w:val="auto"/>
              </w:rPr>
            </w:pPr>
            <w:r>
              <w:rPr>
                <w:rFonts w:ascii="Arial" w:cs="Arial" w:eastAsia="Arial" w:hAnsi="Arial"/>
                <w:sz w:val="14"/>
                <w:szCs w:val="14"/>
                <w:color w:val="auto"/>
              </w:rPr>
              <w:t>2,447</w:t>
            </w:r>
          </w:p>
        </w:tc>
        <w:tc>
          <w:tcPr>
            <w:tcW w:w="86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315</w:t>
            </w:r>
          </w:p>
        </w:tc>
        <w:tc>
          <w:tcPr>
            <w:tcW w:w="42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auto"/>
              </w:rPr>
              <w:t>323</w:t>
            </w:r>
          </w:p>
        </w:tc>
        <w:tc>
          <w:tcPr>
            <w:tcW w:w="6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gridSpan w:val="3"/>
          </w:tcPr>
          <w:p>
            <w:pPr>
              <w:jc w:val="right"/>
              <w:ind w:right="40"/>
              <w:spacing w:after="0"/>
              <w:rPr>
                <w:sz w:val="20"/>
                <w:szCs w:val="20"/>
                <w:color w:val="auto"/>
              </w:rPr>
            </w:pPr>
            <w:r>
              <w:rPr>
                <w:rFonts w:ascii="Arial" w:cs="Arial" w:eastAsia="Arial" w:hAnsi="Arial"/>
                <w:sz w:val="14"/>
                <w:szCs w:val="14"/>
                <w:color w:val="auto"/>
              </w:rPr>
              <w:t>951</w:t>
            </w: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color w:val="auto"/>
              </w:rPr>
              <w:t>975</w:t>
            </w:r>
          </w:p>
        </w:tc>
        <w:tc>
          <w:tcPr>
            <w:tcW w:w="8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386</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368</w:t>
            </w:r>
          </w:p>
        </w:tc>
        <w:tc>
          <w:tcPr>
            <w:tcW w:w="6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5 %</w:t>
            </w:r>
          </w:p>
        </w:tc>
        <w:tc>
          <w:tcPr>
            <w:tcW w:w="3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gridSpan w:val="3"/>
          </w:tcPr>
          <w:p>
            <w:pPr>
              <w:jc w:val="right"/>
              <w:ind w:right="40"/>
              <w:spacing w:after="0"/>
              <w:rPr>
                <w:sz w:val="20"/>
                <w:szCs w:val="20"/>
                <w:color w:val="auto"/>
              </w:rPr>
            </w:pPr>
            <w:r>
              <w:rPr>
                <w:rFonts w:ascii="Arial" w:cs="Arial" w:eastAsia="Arial" w:hAnsi="Arial"/>
                <w:sz w:val="14"/>
                <w:szCs w:val="14"/>
                <w:b w:val="1"/>
                <w:bCs w:val="1"/>
                <w:color w:val="auto"/>
              </w:rPr>
              <w:t>1,146</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1,064</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8 %</w:t>
            </w:r>
          </w:p>
        </w:tc>
        <w:tc>
          <w:tcPr>
            <w:tcW w:w="0" w:type="dxa"/>
            <w:vAlign w:val="bottom"/>
          </w:tcPr>
          <w:p>
            <w:pPr>
              <w:spacing w:after="0"/>
              <w:rPr>
                <w:sz w:val="1"/>
                <w:szCs w:val="1"/>
                <w:color w:val="auto"/>
              </w:rPr>
            </w:pPr>
          </w:p>
        </w:tc>
      </w:tr>
      <w:tr>
        <w:trPr>
          <w:trHeight w:val="412"/>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660" w:type="dxa"/>
            <w:vAlign w:val="bottom"/>
            <w:tcBorders>
              <w:bottom w:val="single" w:sz="8" w:color="D7282F"/>
            </w:tcBorders>
          </w:tcPr>
          <w:p>
            <w:pPr>
              <w:spacing w:after="0"/>
              <w:rPr>
                <w:sz w:val="24"/>
                <w:szCs w:val="24"/>
                <w:color w:val="auto"/>
              </w:rPr>
            </w:pPr>
          </w:p>
        </w:tc>
        <w:tc>
          <w:tcPr>
            <w:tcW w:w="52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00" w:type="dxa"/>
            <w:vAlign w:val="bottom"/>
            <w:tcBorders>
              <w:bottom w:val="single" w:sz="8" w:color="D7282F"/>
            </w:tcBorders>
          </w:tcPr>
          <w:p>
            <w:pPr>
              <w:spacing w:after="0"/>
              <w:rPr>
                <w:sz w:val="24"/>
                <w:szCs w:val="24"/>
                <w:color w:val="auto"/>
              </w:rPr>
            </w:pPr>
          </w:p>
        </w:tc>
        <w:tc>
          <w:tcPr>
            <w:tcW w:w="100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2023 vs. 2022</w:t>
            </w:r>
          </w:p>
        </w:tc>
        <w:tc>
          <w:tcPr>
            <w:tcW w:w="900" w:type="dxa"/>
            <w:vAlign w:val="bottom"/>
            <w:tcBorders>
              <w:bottom w:val="single" w:sz="8" w:color="D7282F"/>
            </w:tcBorders>
          </w:tcPr>
          <w:p>
            <w:pPr>
              <w:spacing w:after="0"/>
              <w:rPr>
                <w:sz w:val="24"/>
                <w:szCs w:val="24"/>
                <w:color w:val="auto"/>
              </w:rPr>
            </w:pPr>
          </w:p>
        </w:tc>
        <w:tc>
          <w:tcPr>
            <w:tcW w:w="86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4"/>
          </w:tcPr>
          <w:p>
            <w:pPr>
              <w:ind w:left="80"/>
              <w:spacing w:after="0" w:line="143" w:lineRule="exact"/>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gridSpan w:val="2"/>
          </w:tcPr>
          <w:p>
            <w:pPr>
              <w:jc w:val="right"/>
              <w:ind w:right="348"/>
              <w:spacing w:after="0" w:line="143"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1520" w:type="dxa"/>
            <w:vAlign w:val="bottom"/>
            <w:tcBorders>
              <w:bottom w:val="single" w:sz="8" w:color="D7282F"/>
            </w:tcBorders>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1760" w:type="dxa"/>
            <w:vAlign w:val="bottom"/>
            <w:tcBorders>
              <w:bottom w:val="single" w:sz="8" w:color="D7282F"/>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ind w:left="80"/>
              <w:spacing w:after="0" w:line="143" w:lineRule="exact"/>
              <w:rPr>
                <w:sz w:val="20"/>
                <w:szCs w:val="20"/>
                <w:color w:val="auto"/>
              </w:rPr>
            </w:pPr>
            <w:r>
              <w:rPr>
                <w:rFonts w:ascii="Arial" w:cs="Arial" w:eastAsia="Arial" w:hAnsi="Arial"/>
                <w:sz w:val="14"/>
                <w:szCs w:val="14"/>
                <w:b w:val="1"/>
                <w:bCs w:val="1"/>
                <w:color w:val="auto"/>
              </w:rPr>
              <w:t>Net</w:t>
            </w:r>
          </w:p>
        </w:tc>
        <w:tc>
          <w:tcPr>
            <w:tcW w:w="1480" w:type="dxa"/>
            <w:vAlign w:val="bottom"/>
            <w:gridSpan w:val="6"/>
          </w:tcPr>
          <w:p>
            <w:pPr>
              <w:jc w:val="right"/>
              <w:ind w:right="440"/>
              <w:spacing w:after="0" w:line="143" w:lineRule="exact"/>
              <w:rPr>
                <w:sz w:val="20"/>
                <w:szCs w:val="20"/>
                <w:color w:val="auto"/>
              </w:rPr>
            </w:pPr>
            <w:r>
              <w:rPr>
                <w:rFonts w:ascii="Arial" w:cs="Arial" w:eastAsia="Arial" w:hAnsi="Arial"/>
                <w:sz w:val="14"/>
                <w:szCs w:val="14"/>
                <w:b w:val="1"/>
                <w:bCs w:val="1"/>
                <w:color w:val="auto"/>
              </w:rPr>
              <w:t>Segment</w:t>
            </w:r>
          </w:p>
        </w:tc>
        <w:tc>
          <w:tcPr>
            <w:tcW w:w="1280" w:type="dxa"/>
            <w:vAlign w:val="bottom"/>
            <w:gridSpan w:val="2"/>
          </w:tcPr>
          <w:p>
            <w:pPr>
              <w:jc w:val="right"/>
              <w:ind w:right="648"/>
              <w:spacing w:after="0" w:line="143" w:lineRule="exact"/>
              <w:rPr>
                <w:sz w:val="20"/>
                <w:szCs w:val="20"/>
                <w:color w:val="auto"/>
              </w:rPr>
            </w:pPr>
            <w:r>
              <w:rPr>
                <w:rFonts w:ascii="Arial" w:cs="Arial" w:eastAsia="Arial" w:hAnsi="Arial"/>
                <w:sz w:val="14"/>
                <w:szCs w:val="14"/>
                <w:b w:val="1"/>
                <w:bCs w:val="1"/>
                <w:color w:val="auto"/>
              </w:rPr>
              <w:t>Net</w:t>
            </w:r>
          </w:p>
        </w:tc>
        <w:tc>
          <w:tcPr>
            <w:tcW w:w="860" w:type="dxa"/>
            <w:vAlign w:val="bottom"/>
          </w:tcPr>
          <w:p>
            <w:pPr>
              <w:jc w:val="right"/>
              <w:ind w:right="108"/>
              <w:spacing w:after="0" w:line="143"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D7282F"/>
            </w:tcBorders>
            <w:vMerge w:val="continue"/>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Sales</w:t>
            </w:r>
          </w:p>
        </w:tc>
        <w:tc>
          <w:tcPr>
            <w:tcW w:w="5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gridSpan w:val="5"/>
          </w:tcPr>
          <w:p>
            <w:pPr>
              <w:jc w:val="right"/>
              <w:ind w:right="560"/>
              <w:spacing w:after="0"/>
              <w:rPr>
                <w:sz w:val="20"/>
                <w:szCs w:val="20"/>
                <w:color w:val="auto"/>
              </w:rPr>
            </w:pPr>
            <w:r>
              <w:rPr>
                <w:rFonts w:ascii="Arial" w:cs="Arial" w:eastAsia="Arial" w:hAnsi="Arial"/>
                <w:sz w:val="14"/>
                <w:szCs w:val="14"/>
                <w:b w:val="1"/>
                <w:bCs w:val="1"/>
                <w:color w:val="auto"/>
              </w:rPr>
              <w:t>Profit</w:t>
            </w:r>
          </w:p>
        </w:tc>
        <w:tc>
          <w:tcPr>
            <w:tcW w:w="1280" w:type="dxa"/>
            <w:vAlign w:val="bottom"/>
            <w:tcBorders>
              <w:bottom w:val="single" w:sz="8" w:color="D7282F"/>
            </w:tcBorders>
            <w:gridSpan w:val="2"/>
          </w:tcPr>
          <w:p>
            <w:pPr>
              <w:jc w:val="right"/>
              <w:ind w:right="568"/>
              <w:spacing w:after="0"/>
              <w:rPr>
                <w:sz w:val="20"/>
                <w:szCs w:val="20"/>
                <w:color w:val="auto"/>
              </w:rPr>
            </w:pPr>
            <w:r>
              <w:rPr>
                <w:rFonts w:ascii="Arial" w:cs="Arial" w:eastAsia="Arial" w:hAnsi="Arial"/>
                <w:sz w:val="14"/>
                <w:szCs w:val="14"/>
                <w:b w:val="1"/>
                <w:bCs w:val="1"/>
                <w:color w:val="auto"/>
              </w:rPr>
              <w:t>Sales</w:t>
            </w:r>
          </w:p>
        </w:tc>
        <w:tc>
          <w:tcPr>
            <w:tcW w:w="86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0"/>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16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ind w:left="340"/>
              <w:spacing w:after="0"/>
              <w:rPr>
                <w:sz w:val="20"/>
                <w:szCs w:val="20"/>
                <w:color w:val="auto"/>
              </w:rPr>
            </w:pPr>
            <w:r>
              <w:rPr>
                <w:rFonts w:ascii="Arial" w:cs="Arial" w:eastAsia="Arial" w:hAnsi="Arial"/>
                <w:sz w:val="14"/>
                <w:szCs w:val="14"/>
                <w:color w:val="auto"/>
                <w:w w:val="98"/>
              </w:rPr>
              <w:t>— %</w:t>
            </w:r>
          </w:p>
        </w:tc>
        <w:tc>
          <w:tcPr>
            <w:tcW w:w="5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3 %</w:t>
            </w:r>
          </w:p>
        </w:tc>
        <w:tc>
          <w:tcPr>
            <w:tcW w:w="220" w:type="dxa"/>
            <w:vAlign w:val="bottom"/>
            <w:tcBorders>
              <w:bottom w:val="single" w:sz="8" w:color="61656A"/>
            </w:tcBorders>
          </w:tcPr>
          <w:p>
            <w:pPr>
              <w:spacing w:after="0"/>
              <w:rPr>
                <w:sz w:val="16"/>
                <w:szCs w:val="16"/>
                <w:color w:val="auto"/>
              </w:rPr>
            </w:pPr>
          </w:p>
        </w:tc>
        <w:tc>
          <w:tcPr>
            <w:tcW w:w="4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3 %</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ind w:left="340"/>
              <w:spacing w:after="0"/>
              <w:rPr>
                <w:sz w:val="20"/>
                <w:szCs w:val="20"/>
                <w:color w:val="auto"/>
              </w:rPr>
            </w:pPr>
            <w:r>
              <w:rPr>
                <w:rFonts w:ascii="Arial" w:cs="Arial" w:eastAsia="Arial" w:hAnsi="Arial"/>
                <w:sz w:val="14"/>
                <w:szCs w:val="14"/>
                <w:color w:val="auto"/>
                <w:w w:val="98"/>
              </w:rPr>
              <w:t>— %</w:t>
            </w:r>
          </w:p>
        </w:tc>
        <w:tc>
          <w:tcPr>
            <w:tcW w:w="5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2 %</w:t>
            </w:r>
          </w:p>
        </w:tc>
        <w:tc>
          <w:tcPr>
            <w:tcW w:w="220" w:type="dxa"/>
            <w:vAlign w:val="bottom"/>
            <w:tcBorders>
              <w:bottom w:val="single" w:sz="8" w:color="61656A"/>
            </w:tcBorders>
          </w:tcPr>
          <w:p>
            <w:pPr>
              <w:spacing w:after="0"/>
              <w:rPr>
                <w:sz w:val="17"/>
                <w:szCs w:val="17"/>
                <w:color w:val="auto"/>
              </w:rPr>
            </w:pPr>
          </w:p>
        </w:tc>
        <w:tc>
          <w:tcPr>
            <w:tcW w:w="4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(2)%</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ind w:left="340"/>
              <w:spacing w:after="0"/>
              <w:rPr>
                <w:sz w:val="20"/>
                <w:szCs w:val="20"/>
                <w:color w:val="auto"/>
              </w:rPr>
            </w:pPr>
            <w:r>
              <w:rPr>
                <w:rFonts w:ascii="Arial" w:cs="Arial" w:eastAsia="Arial" w:hAnsi="Arial"/>
                <w:sz w:val="14"/>
                <w:szCs w:val="14"/>
                <w:color w:val="auto"/>
                <w:w w:val="98"/>
              </w:rPr>
              <w:t>— %</w:t>
            </w:r>
          </w:p>
        </w:tc>
        <w:tc>
          <w:tcPr>
            <w:tcW w:w="5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gridSpan w:val="3"/>
          </w:tcPr>
          <w:p>
            <w:pPr>
              <w:jc w:val="right"/>
              <w:ind w:right="280"/>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1"/>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ind w:left="340"/>
              <w:spacing w:after="0"/>
              <w:rPr>
                <w:sz w:val="20"/>
                <w:szCs w:val="20"/>
                <w:color w:val="auto"/>
              </w:rPr>
            </w:pPr>
            <w:r>
              <w:rPr>
                <w:rFonts w:ascii="Arial" w:cs="Arial" w:eastAsia="Arial" w:hAnsi="Arial"/>
                <w:sz w:val="14"/>
                <w:szCs w:val="14"/>
                <w:b w:val="1"/>
                <w:bCs w:val="1"/>
                <w:color w:val="auto"/>
                <w:w w:val="98"/>
              </w:rPr>
              <w:t>— %</w:t>
            </w:r>
          </w:p>
        </w:tc>
        <w:tc>
          <w:tcPr>
            <w:tcW w:w="5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5 %</w:t>
            </w:r>
          </w:p>
        </w:tc>
        <w:tc>
          <w:tcPr>
            <w:tcW w:w="220" w:type="dxa"/>
            <w:vAlign w:val="bottom"/>
            <w:tcBorders>
              <w:bottom w:val="single" w:sz="8" w:color="D7282F"/>
            </w:tcBorders>
          </w:tcPr>
          <w:p>
            <w:pPr>
              <w:spacing w:after="0"/>
              <w:rPr>
                <w:sz w:val="17"/>
                <w:szCs w:val="17"/>
                <w:color w:val="auto"/>
              </w:rPr>
            </w:pPr>
          </w:p>
        </w:tc>
        <w:tc>
          <w:tcPr>
            <w:tcW w:w="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1 %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2023 compared to Q3 2022</w:t>
      </w:r>
    </w:p>
    <w:p>
      <w:pPr>
        <w:spacing w:after="0" w:line="2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Sales were flat due to higher organic sales of $27 million in Building Solutions driven by increased pricing in building projects and services, offset by lower organic sales of $27 million in Products driven by lower sales volumes.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$18 million and segment margin percentage increased 110 basis points to 25.2% compared to 24.1% for the same period of 2022.</w:t>
      </w:r>
    </w:p>
    <w:p>
      <w:pPr>
        <w:spacing w:after="0" w:line="200" w:lineRule="exact"/>
        <w:rPr>
          <w:sz w:val="20"/>
          <w:szCs w:val="20"/>
          <w:color w:val="auto"/>
        </w:rPr>
      </w:pPr>
    </w:p>
    <w:p>
      <w:pPr>
        <w:spacing w:after="0" w:line="244"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to YTD 2022</w:t>
      </w:r>
    </w:p>
    <w:p>
      <w:pPr>
        <w:spacing w:after="0" w:line="2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Sales increased $41 million due to higher organic sales of $111 million in Building Solutions driven by increased pricing in building projects and services and higher organic sales of $25 million in Products driven by increased pricing, partially offset by the unfavorable impact of foreign currency translation of $97 million.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$82 million and segment margin percentage increased 160 basis points to 25.3% compared to 23.7% for the same period of 2022.</w:t>
      </w:r>
    </w:p>
    <w:p>
      <w:pPr>
        <w:spacing w:after="0" w:line="275" w:lineRule="exact"/>
        <w:rPr>
          <w:sz w:val="20"/>
          <w:szCs w:val="20"/>
          <w:color w:val="auto"/>
        </w:rPr>
      </w:pPr>
    </w:p>
    <w:p>
      <w:pPr>
        <w:spacing w:after="0"/>
        <w:rPr>
          <w:sz w:val="20"/>
          <w:szCs w:val="20"/>
          <w:color w:val="auto"/>
        </w:rPr>
      </w:pPr>
      <w:r>
        <w:rPr>
          <w:rFonts w:ascii="Arial" w:cs="Arial" w:eastAsia="Arial" w:hAnsi="Arial"/>
          <w:sz w:val="29"/>
          <w:szCs w:val="29"/>
          <w:color w:val="D7282F"/>
        </w:rPr>
        <w:t>PERFORMANCE MATERIALS AND TECHNOLOGIES</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83185</wp:posOffset>
            </wp:positionV>
            <wp:extent cx="5786120" cy="2314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8612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gridSpan w:val="3"/>
          </w:tcPr>
          <w:p>
            <w:pPr>
              <w:jc w:val="right"/>
              <w:ind w:right="6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360" w:type="dxa"/>
            <w:vAlign w:val="bottom"/>
            <w:tcBorders>
              <w:bottom w:val="single" w:sz="8" w:color="D7282F"/>
            </w:tcBorders>
            <w:gridSpan w:val="3"/>
          </w:tcPr>
          <w:p>
            <w:pPr>
              <w:jc w:val="right"/>
              <w:ind w:right="88"/>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gridSpan w:val="2"/>
          </w:tcPr>
          <w:p>
            <w:pPr>
              <w:jc w:val="right"/>
              <w:ind w:right="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2"/>
                <w:szCs w:val="12"/>
                <w:color w:val="auto"/>
              </w:rPr>
            </w:pPr>
          </w:p>
        </w:tc>
        <w:tc>
          <w:tcPr>
            <w:tcW w:w="940" w:type="dxa"/>
            <w:vAlign w:val="bottom"/>
            <w:gridSpan w:val="2"/>
            <w:vMerge w:val="restart"/>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780" w:type="dxa"/>
            <w:vAlign w:val="bottom"/>
          </w:tcPr>
          <w:p>
            <w:pPr>
              <w:jc w:val="right"/>
              <w:ind w:right="308"/>
              <w:spacing w:after="0" w:line="14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860" w:type="dxa"/>
            <w:vAlign w:val="bottom"/>
          </w:tcPr>
          <w:p>
            <w:pPr>
              <w:jc w:val="right"/>
              <w:ind w:right="308"/>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gridSpan w:val="2"/>
            <w:vMerge w:val="continue"/>
          </w:tcPr>
          <w:p>
            <w:pPr>
              <w:spacing w:after="0"/>
              <w:rPr>
                <w:sz w:val="16"/>
                <w:szCs w:val="16"/>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gridSpan w:val="2"/>
            <w:vMerge w:val="continue"/>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vMerge w:val="continue"/>
          </w:tcPr>
          <w:p>
            <w:pPr>
              <w:spacing w:after="0"/>
              <w:rPr>
                <w:sz w:val="16"/>
                <w:szCs w:val="16"/>
                <w:color w:val="auto"/>
              </w:rPr>
            </w:pPr>
          </w:p>
        </w:tc>
        <w:tc>
          <w:tcPr>
            <w:tcW w:w="8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2,867</w:t>
            </w: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gridSpan w:val="2"/>
          </w:tcPr>
          <w:p>
            <w:pPr>
              <w:jc w:val="right"/>
              <w:ind w:right="328"/>
              <w:spacing w:after="0"/>
              <w:rPr>
                <w:sz w:val="20"/>
                <w:szCs w:val="20"/>
                <w:color w:val="auto"/>
              </w:rPr>
            </w:pPr>
            <w:r>
              <w:rPr>
                <w:rFonts w:ascii="Arial" w:cs="Arial" w:eastAsia="Arial" w:hAnsi="Arial"/>
                <w:sz w:val="14"/>
                <w:szCs w:val="14"/>
                <w:color w:val="auto"/>
              </w:rPr>
              <w:t>2,720</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5 %</w:t>
            </w:r>
          </w:p>
        </w:tc>
        <w:tc>
          <w:tcPr>
            <w:tcW w:w="3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gridSpan w:val="3"/>
          </w:tcPr>
          <w:p>
            <w:pPr>
              <w:jc w:val="right"/>
              <w:ind w:right="40"/>
              <w:spacing w:after="0"/>
              <w:rPr>
                <w:sz w:val="20"/>
                <w:szCs w:val="20"/>
                <w:color w:val="auto"/>
              </w:rPr>
            </w:pPr>
            <w:r>
              <w:rPr>
                <w:rFonts w:ascii="Arial" w:cs="Arial" w:eastAsia="Arial" w:hAnsi="Arial"/>
                <w:sz w:val="14"/>
                <w:szCs w:val="14"/>
                <w:color w:val="auto"/>
              </w:rPr>
              <w:t>8,477</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tcPr>
          <w:p>
            <w:pPr>
              <w:jc w:val="right"/>
              <w:ind w:right="248"/>
              <w:spacing w:after="0"/>
              <w:rPr>
                <w:sz w:val="20"/>
                <w:szCs w:val="20"/>
                <w:color w:val="auto"/>
              </w:rPr>
            </w:pPr>
            <w:r>
              <w:rPr>
                <w:rFonts w:ascii="Arial" w:cs="Arial" w:eastAsia="Arial" w:hAnsi="Arial"/>
                <w:sz w:val="14"/>
                <w:szCs w:val="14"/>
                <w:color w:val="auto"/>
              </w:rPr>
              <w:t>7,867</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1,787</w:t>
            </w:r>
          </w:p>
        </w:tc>
        <w:tc>
          <w:tcPr>
            <w:tcW w:w="4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gridSpan w:val="2"/>
          </w:tcPr>
          <w:p>
            <w:pPr>
              <w:jc w:val="right"/>
              <w:ind w:right="328"/>
              <w:spacing w:after="0"/>
              <w:rPr>
                <w:sz w:val="20"/>
                <w:szCs w:val="20"/>
                <w:color w:val="auto"/>
              </w:rPr>
            </w:pPr>
            <w:r>
              <w:rPr>
                <w:rFonts w:ascii="Arial" w:cs="Arial" w:eastAsia="Arial" w:hAnsi="Arial"/>
                <w:sz w:val="14"/>
                <w:szCs w:val="14"/>
                <w:color w:val="auto"/>
              </w:rPr>
              <w:t>1,694</w:t>
            </w:r>
          </w:p>
        </w:tc>
        <w:tc>
          <w:tcPr>
            <w:tcW w:w="78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gridSpan w:val="3"/>
          </w:tcPr>
          <w:p>
            <w:pPr>
              <w:jc w:val="right"/>
              <w:ind w:right="40"/>
              <w:spacing w:after="0"/>
              <w:rPr>
                <w:sz w:val="20"/>
                <w:szCs w:val="20"/>
                <w:color w:val="auto"/>
              </w:rPr>
            </w:pPr>
            <w:r>
              <w:rPr>
                <w:rFonts w:ascii="Arial" w:cs="Arial" w:eastAsia="Arial" w:hAnsi="Arial"/>
                <w:sz w:val="14"/>
                <w:szCs w:val="14"/>
                <w:color w:val="auto"/>
              </w:rPr>
              <w:t>5,314</w:t>
            </w:r>
          </w:p>
        </w:tc>
        <w:tc>
          <w:tcPr>
            <w:tcW w:w="38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248"/>
              <w:spacing w:after="0"/>
              <w:rPr>
                <w:sz w:val="20"/>
                <w:szCs w:val="20"/>
                <w:color w:val="auto"/>
              </w:rPr>
            </w:pPr>
            <w:r>
              <w:rPr>
                <w:rFonts w:ascii="Arial" w:cs="Arial" w:eastAsia="Arial" w:hAnsi="Arial"/>
                <w:sz w:val="14"/>
                <w:szCs w:val="14"/>
                <w:color w:val="auto"/>
              </w:rPr>
              <w:t>4,860</w:t>
            </w:r>
          </w:p>
        </w:tc>
        <w:tc>
          <w:tcPr>
            <w:tcW w:w="86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447</w:t>
            </w:r>
          </w:p>
        </w:tc>
        <w:tc>
          <w:tcPr>
            <w:tcW w:w="4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gridSpan w:val="2"/>
          </w:tcPr>
          <w:p>
            <w:pPr>
              <w:jc w:val="right"/>
              <w:ind w:right="328"/>
              <w:spacing w:after="0"/>
              <w:rPr>
                <w:sz w:val="20"/>
                <w:szCs w:val="20"/>
                <w:color w:val="auto"/>
              </w:rPr>
            </w:pPr>
            <w:r>
              <w:rPr>
                <w:rFonts w:ascii="Arial" w:cs="Arial" w:eastAsia="Arial" w:hAnsi="Arial"/>
                <w:sz w:val="14"/>
                <w:szCs w:val="14"/>
                <w:color w:val="auto"/>
              </w:rPr>
              <w:t>411</w:t>
            </w:r>
          </w:p>
        </w:tc>
        <w:tc>
          <w:tcPr>
            <w:tcW w:w="7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gridSpan w:val="3"/>
          </w:tcPr>
          <w:p>
            <w:pPr>
              <w:jc w:val="right"/>
              <w:ind w:right="40"/>
              <w:spacing w:after="0"/>
              <w:rPr>
                <w:sz w:val="20"/>
                <w:szCs w:val="20"/>
                <w:color w:val="auto"/>
              </w:rPr>
            </w:pPr>
            <w:r>
              <w:rPr>
                <w:rFonts w:ascii="Arial" w:cs="Arial" w:eastAsia="Arial" w:hAnsi="Arial"/>
                <w:sz w:val="14"/>
                <w:szCs w:val="14"/>
                <w:color w:val="auto"/>
              </w:rPr>
              <w:t>1,342</w:t>
            </w: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color w:val="auto"/>
              </w:rPr>
              <w:t>1,281</w:t>
            </w:r>
          </w:p>
        </w:tc>
        <w:tc>
          <w:tcPr>
            <w:tcW w:w="8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633</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gridSpan w:val="2"/>
          </w:tcPr>
          <w:p>
            <w:pPr>
              <w:jc w:val="right"/>
              <w:ind w:right="328"/>
              <w:spacing w:after="0"/>
              <w:rPr>
                <w:sz w:val="20"/>
                <w:szCs w:val="20"/>
                <w:color w:val="auto"/>
              </w:rPr>
            </w:pPr>
            <w:r>
              <w:rPr>
                <w:rFonts w:ascii="Arial" w:cs="Arial" w:eastAsia="Arial" w:hAnsi="Arial"/>
                <w:sz w:val="14"/>
                <w:szCs w:val="14"/>
                <w:b w:val="1"/>
                <w:bCs w:val="1"/>
                <w:color w:val="auto"/>
              </w:rPr>
              <w:t>615</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3 %</w:t>
            </w:r>
          </w:p>
        </w:tc>
        <w:tc>
          <w:tcPr>
            <w:tcW w:w="3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gridSpan w:val="3"/>
          </w:tcPr>
          <w:p>
            <w:pPr>
              <w:jc w:val="right"/>
              <w:ind w:right="40"/>
              <w:spacing w:after="0"/>
              <w:rPr>
                <w:sz w:val="20"/>
                <w:szCs w:val="20"/>
                <w:color w:val="auto"/>
              </w:rPr>
            </w:pPr>
            <w:r>
              <w:rPr>
                <w:rFonts w:ascii="Arial" w:cs="Arial" w:eastAsia="Arial" w:hAnsi="Arial"/>
                <w:sz w:val="14"/>
                <w:szCs w:val="14"/>
                <w:b w:val="1"/>
                <w:bCs w:val="1"/>
                <w:color w:val="auto"/>
              </w:rPr>
              <w:t>1,821</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1,726</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6 %</w:t>
            </w:r>
          </w:p>
        </w:tc>
        <w:tc>
          <w:tcPr>
            <w:tcW w:w="0" w:type="dxa"/>
            <w:vAlign w:val="bottom"/>
          </w:tcPr>
          <w:p>
            <w:pPr>
              <w:spacing w:after="0"/>
              <w:rPr>
                <w:sz w:val="1"/>
                <w:szCs w:val="1"/>
                <w:color w:val="auto"/>
              </w:rPr>
            </w:pPr>
          </w:p>
        </w:tc>
      </w:tr>
      <w:tr>
        <w:trPr>
          <w:trHeight w:val="425"/>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Borders>
              <w:bottom w:val="single" w:sz="8" w:color="D7282F"/>
            </w:tcBorders>
          </w:tcPr>
          <w:p>
            <w:pPr>
              <w:spacing w:after="0"/>
              <w:rPr>
                <w:sz w:val="24"/>
                <w:szCs w:val="24"/>
                <w:color w:val="auto"/>
              </w:rPr>
            </w:pPr>
          </w:p>
        </w:tc>
        <w:tc>
          <w:tcPr>
            <w:tcW w:w="78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00" w:type="dxa"/>
            <w:vAlign w:val="bottom"/>
            <w:tcBorders>
              <w:bottom w:val="single" w:sz="8" w:color="D7282F"/>
            </w:tcBorders>
          </w:tcPr>
          <w:p>
            <w:pPr>
              <w:spacing w:after="0"/>
              <w:rPr>
                <w:sz w:val="24"/>
                <w:szCs w:val="24"/>
                <w:color w:val="auto"/>
              </w:rPr>
            </w:pPr>
          </w:p>
        </w:tc>
        <w:tc>
          <w:tcPr>
            <w:tcW w:w="100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2023 vs. 2022</w:t>
            </w:r>
          </w:p>
        </w:tc>
        <w:tc>
          <w:tcPr>
            <w:tcW w:w="900" w:type="dxa"/>
            <w:vAlign w:val="bottom"/>
            <w:tcBorders>
              <w:bottom w:val="single" w:sz="8" w:color="D7282F"/>
            </w:tcBorders>
          </w:tcPr>
          <w:p>
            <w:pPr>
              <w:spacing w:after="0"/>
              <w:rPr>
                <w:sz w:val="24"/>
                <w:szCs w:val="24"/>
                <w:color w:val="auto"/>
              </w:rPr>
            </w:pPr>
          </w:p>
        </w:tc>
        <w:tc>
          <w:tcPr>
            <w:tcW w:w="86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4"/>
          </w:tcPr>
          <w:p>
            <w:pPr>
              <w:ind w:left="360"/>
              <w:spacing w:after="0" w:line="143" w:lineRule="exact"/>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gridSpan w:val="2"/>
          </w:tcPr>
          <w:p>
            <w:pPr>
              <w:jc w:val="right"/>
              <w:ind w:right="348"/>
              <w:spacing w:after="0" w:line="143"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Borders>
              <w:bottom w:val="single" w:sz="8" w:color="D7282F"/>
            </w:tcBorders>
            <w:gridSpan w:val="4"/>
          </w:tcPr>
          <w:p>
            <w:pPr>
              <w:ind w:left="58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1760" w:type="dxa"/>
            <w:vAlign w:val="bottom"/>
            <w:tcBorders>
              <w:bottom w:val="single" w:sz="8" w:color="D7282F"/>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ind w:left="360"/>
              <w:spacing w:after="0" w:line="142" w:lineRule="exact"/>
              <w:rPr>
                <w:sz w:val="20"/>
                <w:szCs w:val="20"/>
                <w:color w:val="auto"/>
              </w:rPr>
            </w:pPr>
            <w:r>
              <w:rPr>
                <w:rFonts w:ascii="Arial" w:cs="Arial" w:eastAsia="Arial" w:hAnsi="Arial"/>
                <w:sz w:val="14"/>
                <w:szCs w:val="14"/>
                <w:b w:val="1"/>
                <w:bCs w:val="1"/>
                <w:color w:val="auto"/>
              </w:rPr>
              <w:t>Net</w:t>
            </w:r>
          </w:p>
        </w:tc>
        <w:tc>
          <w:tcPr>
            <w:tcW w:w="1740" w:type="dxa"/>
            <w:vAlign w:val="bottom"/>
            <w:gridSpan w:val="6"/>
          </w:tcPr>
          <w:p>
            <w:pPr>
              <w:jc w:val="right"/>
              <w:ind w:right="440"/>
              <w:spacing w:after="0" w:line="142" w:lineRule="exact"/>
              <w:rPr>
                <w:sz w:val="20"/>
                <w:szCs w:val="20"/>
                <w:color w:val="auto"/>
              </w:rPr>
            </w:pPr>
            <w:r>
              <w:rPr>
                <w:rFonts w:ascii="Arial" w:cs="Arial" w:eastAsia="Arial" w:hAnsi="Arial"/>
                <w:sz w:val="14"/>
                <w:szCs w:val="14"/>
                <w:b w:val="1"/>
                <w:bCs w:val="1"/>
                <w:color w:val="auto"/>
              </w:rPr>
              <w:t>Segment</w:t>
            </w:r>
          </w:p>
        </w:tc>
        <w:tc>
          <w:tcPr>
            <w:tcW w:w="1280" w:type="dxa"/>
            <w:vAlign w:val="bottom"/>
            <w:gridSpan w:val="2"/>
          </w:tcPr>
          <w:p>
            <w:pPr>
              <w:jc w:val="right"/>
              <w:ind w:right="648"/>
              <w:spacing w:after="0" w:line="142" w:lineRule="exact"/>
              <w:rPr>
                <w:sz w:val="20"/>
                <w:szCs w:val="20"/>
                <w:color w:val="auto"/>
              </w:rPr>
            </w:pPr>
            <w:r>
              <w:rPr>
                <w:rFonts w:ascii="Arial" w:cs="Arial" w:eastAsia="Arial" w:hAnsi="Arial"/>
                <w:sz w:val="14"/>
                <w:szCs w:val="14"/>
                <w:b w:val="1"/>
                <w:bCs w:val="1"/>
                <w:color w:val="auto"/>
              </w:rPr>
              <w:t>Net</w:t>
            </w:r>
          </w:p>
        </w:tc>
        <w:tc>
          <w:tcPr>
            <w:tcW w:w="8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D7282F"/>
            </w:tcBorders>
            <w:vMerge w:val="continue"/>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Sales</w:t>
            </w:r>
          </w:p>
        </w:tc>
        <w:tc>
          <w:tcPr>
            <w:tcW w:w="78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gridSpan w:val="5"/>
          </w:tcPr>
          <w:p>
            <w:pPr>
              <w:jc w:val="right"/>
              <w:ind w:right="560"/>
              <w:spacing w:after="0"/>
              <w:rPr>
                <w:sz w:val="20"/>
                <w:szCs w:val="20"/>
                <w:color w:val="auto"/>
              </w:rPr>
            </w:pPr>
            <w:r>
              <w:rPr>
                <w:rFonts w:ascii="Arial" w:cs="Arial" w:eastAsia="Arial" w:hAnsi="Arial"/>
                <w:sz w:val="14"/>
                <w:szCs w:val="14"/>
                <w:b w:val="1"/>
                <w:bCs w:val="1"/>
                <w:color w:val="auto"/>
              </w:rPr>
              <w:t>Profit</w:t>
            </w:r>
          </w:p>
        </w:tc>
        <w:tc>
          <w:tcPr>
            <w:tcW w:w="1280" w:type="dxa"/>
            <w:vAlign w:val="bottom"/>
            <w:tcBorders>
              <w:bottom w:val="single" w:sz="8" w:color="D7282F"/>
            </w:tcBorders>
            <w:gridSpan w:val="2"/>
          </w:tcPr>
          <w:p>
            <w:pPr>
              <w:jc w:val="right"/>
              <w:ind w:right="568"/>
              <w:spacing w:after="0"/>
              <w:rPr>
                <w:sz w:val="20"/>
                <w:szCs w:val="20"/>
                <w:color w:val="auto"/>
              </w:rPr>
            </w:pPr>
            <w:r>
              <w:rPr>
                <w:rFonts w:ascii="Arial" w:cs="Arial" w:eastAsia="Arial" w:hAnsi="Arial"/>
                <w:sz w:val="14"/>
                <w:szCs w:val="14"/>
                <w:b w:val="1"/>
                <w:bCs w:val="1"/>
                <w:color w:val="auto"/>
              </w:rPr>
              <w:t>Sales</w:t>
            </w:r>
          </w:p>
        </w:tc>
        <w:tc>
          <w:tcPr>
            <w:tcW w:w="86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0"/>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16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w w:val="99"/>
              </w:rPr>
              <w:t>3 %</w:t>
            </w:r>
          </w:p>
        </w:tc>
        <w:tc>
          <w:tcPr>
            <w:tcW w:w="240" w:type="dxa"/>
            <w:vAlign w:val="bottom"/>
            <w:tcBorders>
              <w:bottom w:val="single" w:sz="8" w:color="61656A"/>
            </w:tcBorders>
          </w:tcPr>
          <w:p>
            <w:pPr>
              <w:spacing w:after="0"/>
              <w:rPr>
                <w:sz w:val="16"/>
                <w:szCs w:val="16"/>
                <w:color w:val="auto"/>
              </w:rPr>
            </w:pPr>
          </w:p>
        </w:tc>
        <w:tc>
          <w:tcPr>
            <w:tcW w:w="1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1 %</w:t>
            </w:r>
          </w:p>
        </w:tc>
        <w:tc>
          <w:tcPr>
            <w:tcW w:w="220" w:type="dxa"/>
            <w:vAlign w:val="bottom"/>
            <w:tcBorders>
              <w:bottom w:val="single" w:sz="8" w:color="61656A"/>
            </w:tcBorders>
          </w:tcPr>
          <w:p>
            <w:pPr>
              <w:spacing w:after="0"/>
              <w:rPr>
                <w:sz w:val="16"/>
                <w:szCs w:val="16"/>
                <w:color w:val="auto"/>
              </w:rPr>
            </w:pPr>
          </w:p>
        </w:tc>
        <w:tc>
          <w:tcPr>
            <w:tcW w:w="4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8 %</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w w:val="99"/>
              </w:rPr>
              <w:t>1 %</w:t>
            </w: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1 %</w:t>
            </w:r>
          </w:p>
        </w:tc>
        <w:tc>
          <w:tcPr>
            <w:tcW w:w="220" w:type="dxa"/>
            <w:vAlign w:val="bottom"/>
            <w:tcBorders>
              <w:bottom w:val="single" w:sz="8" w:color="61656A"/>
            </w:tcBorders>
          </w:tcPr>
          <w:p>
            <w:pPr>
              <w:spacing w:after="0"/>
              <w:rPr>
                <w:sz w:val="17"/>
                <w:szCs w:val="17"/>
                <w:color w:val="auto"/>
              </w:rPr>
            </w:pPr>
          </w:p>
        </w:tc>
        <w:tc>
          <w:tcPr>
            <w:tcW w:w="4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(1)%</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color w:val="auto"/>
                <w:w w:val="99"/>
              </w:rPr>
              <w:t>1 %</w:t>
            </w: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1 %</w:t>
            </w:r>
          </w:p>
        </w:tc>
        <w:tc>
          <w:tcPr>
            <w:tcW w:w="220" w:type="dxa"/>
            <w:vAlign w:val="bottom"/>
            <w:tcBorders>
              <w:bottom w:val="single" w:sz="8" w:color="D7282F"/>
            </w:tcBorders>
          </w:tcPr>
          <w:p>
            <w:pPr>
              <w:spacing w:after="0"/>
              <w:rPr>
                <w:sz w:val="17"/>
                <w:szCs w:val="17"/>
                <w:color w:val="auto"/>
              </w:rPr>
            </w:pPr>
          </w:p>
        </w:tc>
        <w:tc>
          <w:tcPr>
            <w:tcW w:w="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1 %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1"/>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w w:val="99"/>
              </w:rPr>
              <w:t>5 %</w:t>
            </w: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3 %</w:t>
            </w:r>
          </w:p>
        </w:tc>
        <w:tc>
          <w:tcPr>
            <w:tcW w:w="220" w:type="dxa"/>
            <w:vAlign w:val="bottom"/>
            <w:tcBorders>
              <w:bottom w:val="single" w:sz="8" w:color="D7282F"/>
            </w:tcBorders>
          </w:tcPr>
          <w:p>
            <w:pPr>
              <w:spacing w:after="0"/>
              <w:rPr>
                <w:sz w:val="17"/>
                <w:szCs w:val="17"/>
                <w:color w:val="auto"/>
              </w:rPr>
            </w:pPr>
          </w:p>
        </w:tc>
        <w:tc>
          <w:tcPr>
            <w:tcW w:w="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8 %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6 %</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2023 compared to Q3 2022</w:t>
      </w:r>
    </w:p>
    <w:p>
      <w:pPr>
        <w:spacing w:after="0" w:line="3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Sales increased $147 million due to higher organic sales of $127 million in Process Solutions driven by increased demand in projects and lifecycle solutions and services and higher organic sales of $37 million in UOP driven by increased pricing, partially offset by lower organic sales of $71 million in Advanced Materials driven by lower sales volumes.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$18 million and segment margin percentage decreased 50 basis points to 22.1% compared to 22.6% for the same period of 2022.</w:t>
      </w:r>
    </w:p>
    <w:p>
      <w:pPr>
        <w:spacing w:after="0" w:line="200" w:lineRule="exact"/>
        <w:rPr>
          <w:sz w:val="20"/>
          <w:szCs w:val="20"/>
          <w:color w:val="auto"/>
        </w:rPr>
      </w:pPr>
    </w:p>
    <w:p>
      <w:pPr>
        <w:spacing w:after="0" w:line="244"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to YTD 2022</w:t>
      </w:r>
    </w:p>
    <w:p>
      <w:pPr>
        <w:spacing w:after="0" w:line="2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Sales increased $610 million due to higher organic sales of $435 million in Process Solutions driven by increased demand in projects and lifecycle solutions and services and higher organic sales of $187 million in UOP driven by growth in gas processing and refining catalyst shipments, partially offset by the unfavorable impact of foreign currency translation of $68 million.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$95 million and segment margin percentage decreased 40 basis points to 21.5% compared to 21.9% for the same period of 2022.</w:t>
      </w:r>
    </w:p>
    <w:p>
      <w:pPr>
        <w:spacing w:after="0" w:line="275" w:lineRule="exact"/>
        <w:rPr>
          <w:sz w:val="20"/>
          <w:szCs w:val="20"/>
          <w:color w:val="auto"/>
        </w:rPr>
      </w:pPr>
    </w:p>
    <w:p>
      <w:pPr>
        <w:spacing w:after="0"/>
        <w:rPr>
          <w:sz w:val="20"/>
          <w:szCs w:val="20"/>
          <w:color w:val="auto"/>
        </w:rPr>
      </w:pPr>
      <w:r>
        <w:rPr>
          <w:rFonts w:ascii="Arial" w:cs="Arial" w:eastAsia="Arial" w:hAnsi="Arial"/>
          <w:sz w:val="29"/>
          <w:szCs w:val="29"/>
          <w:color w:val="D7282F"/>
        </w:rPr>
        <w:t>SAFETY AND PRODUCTIVITY SOLUTIONS</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83185</wp:posOffset>
            </wp:positionV>
            <wp:extent cx="5915025" cy="2314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1502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gridSpan w:val="3"/>
          </w:tcPr>
          <w:p>
            <w:pPr>
              <w:jc w:val="right"/>
              <w:ind w:right="6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620" w:type="dxa"/>
            <w:vAlign w:val="bottom"/>
            <w:tcBorders>
              <w:bottom w:val="single" w:sz="8" w:color="D7282F"/>
            </w:tcBorders>
            <w:gridSpan w:val="4"/>
          </w:tcPr>
          <w:p>
            <w:pPr>
              <w:jc w:val="right"/>
              <w:ind w:right="348"/>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gridSpan w:val="2"/>
          </w:tcPr>
          <w:p>
            <w:pPr>
              <w:jc w:val="right"/>
              <w:ind w:right="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2"/>
                <w:szCs w:val="12"/>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2"/>
                <w:szCs w:val="12"/>
                <w:color w:val="auto"/>
              </w:rPr>
            </w:pPr>
          </w:p>
        </w:tc>
        <w:tc>
          <w:tcPr>
            <w:tcW w:w="520" w:type="dxa"/>
            <w:vAlign w:val="bottom"/>
          </w:tcPr>
          <w:p>
            <w:pPr>
              <w:jc w:val="right"/>
              <w:ind w:right="308"/>
              <w:spacing w:after="0" w:line="143" w:lineRule="exact"/>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860" w:type="dxa"/>
            <w:vAlign w:val="bottom"/>
          </w:tcPr>
          <w:p>
            <w:pPr>
              <w:jc w:val="right"/>
              <w:ind w:right="308"/>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gridSpan w:val="2"/>
            <w:vMerge w:val="continue"/>
          </w:tcPr>
          <w:p>
            <w:pPr>
              <w:spacing w:after="0"/>
              <w:rPr>
                <w:sz w:val="16"/>
                <w:szCs w:val="16"/>
                <w:color w:val="auto"/>
              </w:rPr>
            </w:pPr>
          </w:p>
        </w:tc>
        <w:tc>
          <w:tcPr>
            <w:tcW w:w="1180" w:type="dxa"/>
            <w:vAlign w:val="bottom"/>
            <w:tcBorders>
              <w:bottom w:val="single" w:sz="8" w:color="D7282F"/>
            </w:tcBorders>
            <w:gridSpan w:val="2"/>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gridSpan w:val="2"/>
            <w:vMerge w:val="continue"/>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vMerge w:val="continue"/>
          </w:tcPr>
          <w:p>
            <w:pPr>
              <w:spacing w:after="0"/>
              <w:rPr>
                <w:sz w:val="16"/>
                <w:szCs w:val="16"/>
                <w:color w:val="auto"/>
              </w:rPr>
            </w:pPr>
          </w:p>
        </w:tc>
        <w:tc>
          <w:tcPr>
            <w:tcW w:w="8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1,314</w:t>
            </w: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1,727</w:t>
            </w:r>
          </w:p>
        </w:tc>
        <w:tc>
          <w:tcPr>
            <w:tcW w:w="6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w:t>
            </w:r>
          </w:p>
        </w:tc>
        <w:tc>
          <w:tcPr>
            <w:tcW w:w="3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gridSpan w:val="3"/>
          </w:tcPr>
          <w:p>
            <w:pPr>
              <w:jc w:val="right"/>
              <w:ind w:right="40"/>
              <w:spacing w:after="0"/>
              <w:rPr>
                <w:sz w:val="20"/>
                <w:szCs w:val="20"/>
                <w:color w:val="auto"/>
              </w:rPr>
            </w:pPr>
            <w:r>
              <w:rPr>
                <w:rFonts w:ascii="Arial" w:cs="Arial" w:eastAsia="Arial" w:hAnsi="Arial"/>
                <w:sz w:val="14"/>
                <w:szCs w:val="14"/>
                <w:color w:val="auto"/>
              </w:rPr>
              <w:t>4,262</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tcPr>
          <w:p>
            <w:pPr>
              <w:jc w:val="right"/>
              <w:ind w:right="248"/>
              <w:spacing w:after="0"/>
              <w:rPr>
                <w:sz w:val="20"/>
                <w:szCs w:val="20"/>
                <w:color w:val="auto"/>
              </w:rPr>
            </w:pPr>
            <w:r>
              <w:rPr>
                <w:rFonts w:ascii="Arial" w:cs="Arial" w:eastAsia="Arial" w:hAnsi="Arial"/>
                <w:sz w:val="14"/>
                <w:szCs w:val="14"/>
                <w:color w:val="auto"/>
              </w:rPr>
              <w:t>5,300</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827</w:t>
            </w:r>
          </w:p>
        </w:tc>
        <w:tc>
          <w:tcPr>
            <w:tcW w:w="42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1,134</w:t>
            </w:r>
          </w:p>
        </w:tc>
        <w:tc>
          <w:tcPr>
            <w:tcW w:w="6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gridSpan w:val="3"/>
          </w:tcPr>
          <w:p>
            <w:pPr>
              <w:jc w:val="right"/>
              <w:ind w:right="40"/>
              <w:spacing w:after="0"/>
              <w:rPr>
                <w:sz w:val="20"/>
                <w:szCs w:val="20"/>
                <w:color w:val="auto"/>
              </w:rPr>
            </w:pPr>
            <w:r>
              <w:rPr>
                <w:rFonts w:ascii="Arial" w:cs="Arial" w:eastAsia="Arial" w:hAnsi="Arial"/>
                <w:sz w:val="14"/>
                <w:szCs w:val="14"/>
                <w:color w:val="auto"/>
              </w:rPr>
              <w:t>2,661</w:t>
            </w:r>
          </w:p>
        </w:tc>
        <w:tc>
          <w:tcPr>
            <w:tcW w:w="38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248"/>
              <w:spacing w:after="0"/>
              <w:rPr>
                <w:sz w:val="20"/>
                <w:szCs w:val="20"/>
                <w:color w:val="auto"/>
              </w:rPr>
            </w:pPr>
            <w:r>
              <w:rPr>
                <w:rFonts w:ascii="Arial" w:cs="Arial" w:eastAsia="Arial" w:hAnsi="Arial"/>
                <w:sz w:val="14"/>
                <w:szCs w:val="14"/>
                <w:color w:val="auto"/>
              </w:rPr>
              <w:t>3,519</w:t>
            </w:r>
          </w:p>
        </w:tc>
        <w:tc>
          <w:tcPr>
            <w:tcW w:w="86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297</w:t>
            </w:r>
          </w:p>
        </w:tc>
        <w:tc>
          <w:tcPr>
            <w:tcW w:w="42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auto"/>
              </w:rPr>
              <w:t>322</w:t>
            </w:r>
          </w:p>
        </w:tc>
        <w:tc>
          <w:tcPr>
            <w:tcW w:w="6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gridSpan w:val="3"/>
          </w:tcPr>
          <w:p>
            <w:pPr>
              <w:jc w:val="right"/>
              <w:ind w:right="40"/>
              <w:spacing w:after="0"/>
              <w:rPr>
                <w:sz w:val="20"/>
                <w:szCs w:val="20"/>
                <w:color w:val="auto"/>
              </w:rPr>
            </w:pPr>
            <w:r>
              <w:rPr>
                <w:rFonts w:ascii="Arial" w:cs="Arial" w:eastAsia="Arial" w:hAnsi="Arial"/>
                <w:sz w:val="14"/>
                <w:szCs w:val="14"/>
                <w:color w:val="auto"/>
              </w:rPr>
              <w:t>912</w:t>
            </w: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color w:val="auto"/>
              </w:rPr>
              <w:t>1,026</w:t>
            </w:r>
          </w:p>
        </w:tc>
        <w:tc>
          <w:tcPr>
            <w:tcW w:w="8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190</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271</w:t>
            </w:r>
          </w:p>
        </w:tc>
        <w:tc>
          <w:tcPr>
            <w:tcW w:w="6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w:t>
            </w:r>
          </w:p>
        </w:tc>
        <w:tc>
          <w:tcPr>
            <w:tcW w:w="3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gridSpan w:val="3"/>
          </w:tcPr>
          <w:p>
            <w:pPr>
              <w:jc w:val="right"/>
              <w:ind w:right="40"/>
              <w:spacing w:after="0"/>
              <w:rPr>
                <w:sz w:val="20"/>
                <w:szCs w:val="20"/>
                <w:color w:val="auto"/>
              </w:rPr>
            </w:pPr>
            <w:r>
              <w:rPr>
                <w:rFonts w:ascii="Arial" w:cs="Arial" w:eastAsia="Arial" w:hAnsi="Arial"/>
                <w:sz w:val="14"/>
                <w:szCs w:val="14"/>
                <w:b w:val="1"/>
                <w:bCs w:val="1"/>
                <w:color w:val="auto"/>
              </w:rPr>
              <w:t>689</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755</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425"/>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660" w:type="dxa"/>
            <w:vAlign w:val="bottom"/>
            <w:tcBorders>
              <w:bottom w:val="single" w:sz="8" w:color="D7282F"/>
            </w:tcBorders>
          </w:tcPr>
          <w:p>
            <w:pPr>
              <w:spacing w:after="0"/>
              <w:rPr>
                <w:sz w:val="24"/>
                <w:szCs w:val="24"/>
                <w:color w:val="auto"/>
              </w:rPr>
            </w:pPr>
          </w:p>
        </w:tc>
        <w:tc>
          <w:tcPr>
            <w:tcW w:w="52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00" w:type="dxa"/>
            <w:vAlign w:val="bottom"/>
            <w:tcBorders>
              <w:bottom w:val="single" w:sz="8" w:color="D7282F"/>
            </w:tcBorders>
          </w:tcPr>
          <w:p>
            <w:pPr>
              <w:spacing w:after="0"/>
              <w:rPr>
                <w:sz w:val="24"/>
                <w:szCs w:val="24"/>
                <w:color w:val="auto"/>
              </w:rPr>
            </w:pPr>
          </w:p>
        </w:tc>
        <w:tc>
          <w:tcPr>
            <w:tcW w:w="100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2023 vs. 2022</w:t>
            </w:r>
          </w:p>
        </w:tc>
        <w:tc>
          <w:tcPr>
            <w:tcW w:w="900" w:type="dxa"/>
            <w:vAlign w:val="bottom"/>
            <w:tcBorders>
              <w:bottom w:val="single" w:sz="8" w:color="D7282F"/>
            </w:tcBorders>
          </w:tcPr>
          <w:p>
            <w:pPr>
              <w:spacing w:after="0"/>
              <w:rPr>
                <w:sz w:val="24"/>
                <w:szCs w:val="24"/>
                <w:color w:val="auto"/>
              </w:rPr>
            </w:pPr>
          </w:p>
        </w:tc>
        <w:tc>
          <w:tcPr>
            <w:tcW w:w="86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4"/>
          </w:tcPr>
          <w:p>
            <w:pPr>
              <w:ind w:left="80"/>
              <w:spacing w:after="0" w:line="143" w:lineRule="exact"/>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gridSpan w:val="2"/>
          </w:tcPr>
          <w:p>
            <w:pPr>
              <w:jc w:val="right"/>
              <w:ind w:right="348"/>
              <w:spacing w:after="0" w:line="143"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1520" w:type="dxa"/>
            <w:vAlign w:val="bottom"/>
            <w:tcBorders>
              <w:bottom w:val="single" w:sz="8" w:color="D7282F"/>
            </w:tcBorders>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1760" w:type="dxa"/>
            <w:vAlign w:val="bottom"/>
            <w:tcBorders>
              <w:bottom w:val="single" w:sz="8" w:color="D7282F"/>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Net</w:t>
            </w:r>
          </w:p>
        </w:tc>
        <w:tc>
          <w:tcPr>
            <w:tcW w:w="1480" w:type="dxa"/>
            <w:vAlign w:val="bottom"/>
            <w:gridSpan w:val="6"/>
          </w:tcPr>
          <w:p>
            <w:pPr>
              <w:jc w:val="right"/>
              <w:ind w:right="440"/>
              <w:spacing w:after="0" w:line="142" w:lineRule="exact"/>
              <w:rPr>
                <w:sz w:val="20"/>
                <w:szCs w:val="20"/>
                <w:color w:val="auto"/>
              </w:rPr>
            </w:pPr>
            <w:r>
              <w:rPr>
                <w:rFonts w:ascii="Arial" w:cs="Arial" w:eastAsia="Arial" w:hAnsi="Arial"/>
                <w:sz w:val="14"/>
                <w:szCs w:val="14"/>
                <w:b w:val="1"/>
                <w:bCs w:val="1"/>
                <w:color w:val="auto"/>
              </w:rPr>
              <w:t>Segment</w:t>
            </w:r>
          </w:p>
        </w:tc>
        <w:tc>
          <w:tcPr>
            <w:tcW w:w="1280" w:type="dxa"/>
            <w:vAlign w:val="bottom"/>
            <w:gridSpan w:val="2"/>
          </w:tcPr>
          <w:p>
            <w:pPr>
              <w:jc w:val="right"/>
              <w:ind w:right="648"/>
              <w:spacing w:after="0" w:line="142" w:lineRule="exact"/>
              <w:rPr>
                <w:sz w:val="20"/>
                <w:szCs w:val="20"/>
                <w:color w:val="auto"/>
              </w:rPr>
            </w:pPr>
            <w:r>
              <w:rPr>
                <w:rFonts w:ascii="Arial" w:cs="Arial" w:eastAsia="Arial" w:hAnsi="Arial"/>
                <w:sz w:val="14"/>
                <w:szCs w:val="14"/>
                <w:b w:val="1"/>
                <w:bCs w:val="1"/>
                <w:color w:val="auto"/>
              </w:rPr>
              <w:t>Net</w:t>
            </w:r>
          </w:p>
        </w:tc>
        <w:tc>
          <w:tcPr>
            <w:tcW w:w="8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D7282F"/>
            </w:tcBorders>
            <w:vMerge w:val="continue"/>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w w:val="98"/>
              </w:rPr>
              <w:t>Sales</w:t>
            </w:r>
          </w:p>
        </w:tc>
        <w:tc>
          <w:tcPr>
            <w:tcW w:w="5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gridSpan w:val="5"/>
          </w:tcPr>
          <w:p>
            <w:pPr>
              <w:jc w:val="right"/>
              <w:ind w:right="560"/>
              <w:spacing w:after="0"/>
              <w:rPr>
                <w:sz w:val="20"/>
                <w:szCs w:val="20"/>
                <w:color w:val="auto"/>
              </w:rPr>
            </w:pPr>
            <w:r>
              <w:rPr>
                <w:rFonts w:ascii="Arial" w:cs="Arial" w:eastAsia="Arial" w:hAnsi="Arial"/>
                <w:sz w:val="14"/>
                <w:szCs w:val="14"/>
                <w:b w:val="1"/>
                <w:bCs w:val="1"/>
                <w:color w:val="auto"/>
              </w:rPr>
              <w:t>Profit</w:t>
            </w:r>
          </w:p>
        </w:tc>
        <w:tc>
          <w:tcPr>
            <w:tcW w:w="1280" w:type="dxa"/>
            <w:vAlign w:val="bottom"/>
            <w:tcBorders>
              <w:bottom w:val="single" w:sz="8" w:color="D7282F"/>
            </w:tcBorders>
            <w:gridSpan w:val="2"/>
          </w:tcPr>
          <w:p>
            <w:pPr>
              <w:jc w:val="right"/>
              <w:ind w:right="568"/>
              <w:spacing w:after="0"/>
              <w:rPr>
                <w:sz w:val="20"/>
                <w:szCs w:val="20"/>
                <w:color w:val="auto"/>
              </w:rPr>
            </w:pPr>
            <w:r>
              <w:rPr>
                <w:rFonts w:ascii="Arial" w:cs="Arial" w:eastAsia="Arial" w:hAnsi="Arial"/>
                <w:sz w:val="14"/>
                <w:szCs w:val="14"/>
                <w:b w:val="1"/>
                <w:bCs w:val="1"/>
                <w:color w:val="auto"/>
              </w:rPr>
              <w:t>Sales</w:t>
            </w:r>
          </w:p>
        </w:tc>
        <w:tc>
          <w:tcPr>
            <w:tcW w:w="86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0"/>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16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w:t>
            </w:r>
          </w:p>
        </w:tc>
        <w:tc>
          <w:tcPr>
            <w:tcW w:w="52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gridSpan w:val="3"/>
          </w:tcPr>
          <w:p>
            <w:pPr>
              <w:jc w:val="right"/>
              <w:spacing w:after="0"/>
              <w:rPr>
                <w:sz w:val="20"/>
                <w:szCs w:val="20"/>
                <w:color w:val="auto"/>
              </w:rPr>
            </w:pPr>
            <w:r>
              <w:rPr>
                <w:rFonts w:ascii="Arial" w:cs="Arial" w:eastAsia="Arial" w:hAnsi="Arial"/>
                <w:sz w:val="14"/>
                <w:szCs w:val="14"/>
                <w:color w:val="auto"/>
              </w:rPr>
              <w:t>(31)%</w:t>
            </w:r>
          </w:p>
        </w:tc>
        <w:tc>
          <w:tcPr>
            <w:tcW w:w="220" w:type="dxa"/>
            <w:vAlign w:val="bottom"/>
            <w:tcBorders>
              <w:bottom w:val="single" w:sz="8" w:color="61656A"/>
            </w:tcBorders>
          </w:tcPr>
          <w:p>
            <w:pPr>
              <w:spacing w:after="0"/>
              <w:rPr>
                <w:sz w:val="16"/>
                <w:szCs w:val="16"/>
                <w:color w:val="auto"/>
              </w:rPr>
            </w:pPr>
          </w:p>
        </w:tc>
        <w:tc>
          <w:tcPr>
            <w:tcW w:w="4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(19)%</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1 %</w:t>
            </w:r>
          </w:p>
        </w:tc>
        <w:tc>
          <w:tcPr>
            <w:tcW w:w="5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1 %</w:t>
            </w:r>
          </w:p>
        </w:tc>
        <w:tc>
          <w:tcPr>
            <w:tcW w:w="220" w:type="dxa"/>
            <w:vAlign w:val="bottom"/>
            <w:tcBorders>
              <w:bottom w:val="single" w:sz="8" w:color="61656A"/>
            </w:tcBorders>
          </w:tcPr>
          <w:p>
            <w:pPr>
              <w:spacing w:after="0"/>
              <w:rPr>
                <w:sz w:val="17"/>
                <w:szCs w:val="17"/>
                <w:color w:val="auto"/>
              </w:rPr>
            </w:pPr>
          </w:p>
        </w:tc>
        <w:tc>
          <w:tcPr>
            <w:tcW w:w="4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(1)%</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gridSpan w:val="3"/>
          </w:tcPr>
          <w:p>
            <w:pPr>
              <w:jc w:val="right"/>
              <w:ind w:right="280"/>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1"/>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w:t>
            </w:r>
          </w:p>
        </w:tc>
        <w:tc>
          <w:tcPr>
            <w:tcW w:w="52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(30)%</w:t>
            </w:r>
          </w:p>
        </w:tc>
        <w:tc>
          <w:tcPr>
            <w:tcW w:w="220" w:type="dxa"/>
            <w:vAlign w:val="bottom"/>
            <w:tcBorders>
              <w:bottom w:val="single" w:sz="8" w:color="D7282F"/>
            </w:tcBorders>
          </w:tcPr>
          <w:p>
            <w:pPr>
              <w:spacing w:after="0"/>
              <w:rPr>
                <w:sz w:val="17"/>
                <w:szCs w:val="17"/>
                <w:color w:val="auto"/>
              </w:rPr>
            </w:pPr>
          </w:p>
        </w:tc>
        <w:tc>
          <w:tcPr>
            <w:tcW w:w="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2023 compared to Q3 2022</w:t>
      </w:r>
    </w:p>
    <w:p>
      <w:pPr>
        <w:spacing w:after="0" w:line="3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Sales decreased $413 million due to lower organic sales of $250 million in Warehouse and Workflow Solutions driven by lower demand for projects and lower organic sales of $136 million in Productivity Solutions and Services driven by lower demand for products.</w:t>
      </w:r>
    </w:p>
    <w:p>
      <w:pPr>
        <w:spacing w:after="0" w:line="7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Segment profit decreased $81 million and segment margin percentage decreased 120 basis points to 14.5% compared to 15.7% for the same period in 2022.</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0" w:hanging="392"/>
        <w:spacing w:after="0"/>
        <w:tabs>
          <w:tab w:leader="none" w:pos="400" w:val="left"/>
        </w:tabs>
        <w:numPr>
          <w:ilvl w:val="0"/>
          <w:numId w:val="54"/>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2023 compared to YTD 2022</w:t>
      </w:r>
    </w:p>
    <w:p>
      <w:pPr>
        <w:spacing w:after="0" w:line="2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Sales decreased $1,038 million due to lower organic sales of $610 million in Warehouse and Workflow Solutions driven by lower demand for projects and lower organic sales of $329 million in Productivity Solutions and Services driven by lower demand for products.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decreased $66 million and segment margin percentage increased 200 basis points to 16.2% compared to 14.2% for the same period in 2022.</w:t>
      </w:r>
    </w:p>
    <w:p>
      <w:pPr>
        <w:spacing w:after="0" w:line="288" w:lineRule="exact"/>
        <w:rPr>
          <w:sz w:val="20"/>
          <w:szCs w:val="20"/>
          <w:color w:val="auto"/>
        </w:rPr>
      </w:pPr>
    </w:p>
    <w:p>
      <w:pPr>
        <w:spacing w:after="0"/>
        <w:rPr>
          <w:sz w:val="20"/>
          <w:szCs w:val="20"/>
          <w:color w:val="auto"/>
        </w:rPr>
      </w:pPr>
      <w:r>
        <w:rPr>
          <w:rFonts w:ascii="Arial" w:cs="Arial" w:eastAsia="Arial" w:hAnsi="Arial"/>
          <w:sz w:val="29"/>
          <w:szCs w:val="29"/>
          <w:color w:val="D7282F"/>
        </w:rPr>
        <w:t>CORPORATE AND ALL OTHER</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Corporate and All Other primarily includes unallocated corporate costs, interest expense on holding-company debt, and the controlling majority-owned interest in Quantinuum. Corporate and All Other is not a separate reportable business segment as segment reporting criteria is not met. The Company continues to monitor the activities in Corporate and All Other to determine the need for further reportable business segment disaggregation.</w:t>
      </w:r>
    </w:p>
    <w:p>
      <w:pPr>
        <w:spacing w:after="0" w:line="243" w:lineRule="exact"/>
        <w:rPr>
          <w:sz w:val="20"/>
          <w:szCs w:val="20"/>
          <w:color w:val="auto"/>
        </w:rPr>
      </w:pPr>
    </w:p>
    <w:p>
      <w:pPr>
        <w:spacing w:after="0"/>
        <w:rPr>
          <w:sz w:val="20"/>
          <w:szCs w:val="20"/>
          <w:color w:val="auto"/>
        </w:rPr>
      </w:pPr>
      <w:r>
        <w:rPr>
          <w:rFonts w:ascii="Arial" w:cs="Arial" w:eastAsia="Arial" w:hAnsi="Arial"/>
          <w:sz w:val="29"/>
          <w:szCs w:val="29"/>
          <w:color w:val="D7282F"/>
        </w:rPr>
        <w:t>REPOSITIONING CHARGES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See Note 5 Repositioning and Other Charges of Notes to Consolidated Financial Statements for a discussion of our repositioning actions and related charges incurred in the nine months ended September 30, 2023, and 2022. Cash spending related to our repositioning actions was $218 million in the nine months ended September 30, 2023, and was funded through operating cash flows.</w:t>
      </w:r>
    </w:p>
    <w:p>
      <w:pPr>
        <w:spacing w:after="0" w:line="200" w:lineRule="exact"/>
        <w:rPr>
          <w:sz w:val="20"/>
          <w:szCs w:val="20"/>
          <w:color w:val="auto"/>
        </w:rPr>
      </w:pPr>
    </w:p>
    <w:p>
      <w:pPr>
        <w:spacing w:after="0" w:line="219" w:lineRule="exact"/>
        <w:rPr>
          <w:sz w:val="20"/>
          <w:szCs w:val="20"/>
          <w:color w:val="auto"/>
        </w:rPr>
      </w:pPr>
    </w:p>
    <w:p>
      <w:pPr>
        <w:ind w:left="400" w:hanging="392"/>
        <w:spacing w:after="0"/>
        <w:tabs>
          <w:tab w:leader="none" w:pos="400" w:val="left"/>
        </w:tabs>
        <w:numPr>
          <w:ilvl w:val="0"/>
          <w:numId w:val="55"/>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LIQUIDITY AND CAPITAL RESOURCES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in millions)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manage our businesses to maximize operating cash flows as the primary source of liquidity. Each of our businesses is focused on increasing operating cash flows through revenue growth, margin expansion, and improved working capital turnover. Additional sources of liquidity include U.S. cash balances, and the ability to access non-U.S. cash balances, short-term debt from the commercial paper market, long-term borrowings, committed credit lines, and access to the public debt and equity markets.</w:t>
      </w:r>
    </w:p>
    <w:p>
      <w:pPr>
        <w:spacing w:after="0" w:line="249" w:lineRule="exact"/>
        <w:rPr>
          <w:sz w:val="20"/>
          <w:szCs w:val="20"/>
          <w:color w:val="auto"/>
        </w:rPr>
      </w:pPr>
    </w:p>
    <w:p>
      <w:pPr>
        <w:spacing w:after="0"/>
        <w:rPr>
          <w:sz w:val="20"/>
          <w:szCs w:val="20"/>
          <w:color w:val="auto"/>
        </w:rPr>
      </w:pPr>
      <w:r>
        <w:rPr>
          <w:rFonts w:ascii="Arial" w:cs="Arial" w:eastAsia="Arial" w:hAnsi="Arial"/>
          <w:sz w:val="29"/>
          <w:szCs w:val="29"/>
          <w:color w:val="D7282F"/>
        </w:rPr>
        <w:t>CASH</w:t>
      </w:r>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of September 30, 2023, and December 31, 2022, we held $7.9 billion and $10.1 billion, respectively, of cash and cash equivalents, including our short-term investments. 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counterparty.</w:t>
      </w:r>
    </w:p>
    <w:p>
      <w:pPr>
        <w:spacing w:after="0" w:line="7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of September 30, 2023, $5.4 billion of the Company’s cash, cash equivalents, and short-term investments were held by non-U.S. subsidiaries. We do not have material amounts related to any jurisdiction subject to currency control restrictions that impact our ability to access and repatriate such amounts. Under current laws, we do not expect taxes on repatriation or restrictions on amounts held outside of the U.S. to have a material effect on our overall liquidity.</w:t>
      </w:r>
    </w:p>
    <w:p>
      <w:pPr>
        <w:spacing w:after="0" w:line="243" w:lineRule="exact"/>
        <w:rPr>
          <w:sz w:val="20"/>
          <w:szCs w:val="20"/>
          <w:color w:val="auto"/>
        </w:rPr>
      </w:pPr>
    </w:p>
    <w:p>
      <w:pPr>
        <w:spacing w:after="0"/>
        <w:rPr>
          <w:sz w:val="20"/>
          <w:szCs w:val="20"/>
          <w:color w:val="auto"/>
        </w:rPr>
      </w:pPr>
      <w:r>
        <w:rPr>
          <w:rFonts w:ascii="Arial" w:cs="Arial" w:eastAsia="Arial" w:hAnsi="Arial"/>
          <w:sz w:val="29"/>
          <w:szCs w:val="29"/>
          <w:color w:val="D7282F"/>
        </w:rPr>
        <w:t>CASH FLOW SUMMARY</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from operating, investing, and financing activities, as reflected in the Consolidated Statement of Cash Flows, are summarized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180" w:type="dxa"/>
            <w:vAlign w:val="bottom"/>
          </w:tcPr>
          <w:p>
            <w:pPr>
              <w:spacing w:after="0"/>
              <w:rPr>
                <w:sz w:val="17"/>
                <w:szCs w:val="17"/>
                <w:color w:val="auto"/>
              </w:rPr>
            </w:pPr>
          </w:p>
        </w:tc>
        <w:tc>
          <w:tcPr>
            <w:tcW w:w="200" w:type="dxa"/>
            <w:vAlign w:val="bottom"/>
            <w:tcBorders>
              <w:bottom w:val="single" w:sz="8" w:color="D7282F"/>
            </w:tcBorders>
          </w:tcPr>
          <w:p>
            <w:pPr>
              <w:spacing w:after="0"/>
              <w:rPr>
                <w:sz w:val="17"/>
                <w:szCs w:val="17"/>
                <w:color w:val="auto"/>
              </w:rPr>
            </w:pPr>
          </w:p>
        </w:tc>
        <w:tc>
          <w:tcPr>
            <w:tcW w:w="2860" w:type="dxa"/>
            <w:vAlign w:val="bottom"/>
            <w:tcBorders>
              <w:bottom w:val="single" w:sz="8" w:color="D7282F"/>
            </w:tcBorders>
            <w:gridSpan w:val="5"/>
          </w:tcPr>
          <w:p>
            <w:pPr>
              <w:jc w:val="right"/>
              <w:ind w:right="26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180" w:type="dxa"/>
            <w:vAlign w:val="bottom"/>
            <w:tcBorders>
              <w:bottom w:val="single" w:sz="8" w:color="D7282F"/>
            </w:tcBorders>
          </w:tcPr>
          <w:p>
            <w:pPr>
              <w:spacing w:after="0"/>
              <w:rPr>
                <w:sz w:val="17"/>
                <w:szCs w:val="17"/>
                <w:color w:val="auto"/>
              </w:rPr>
            </w:pP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w w:val="99"/>
              </w:rPr>
              <w:t>Variance</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9,627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10,959</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(1,332)</w:t>
            </w:r>
          </w:p>
        </w:tc>
      </w:tr>
      <w:tr>
        <w:trPr>
          <w:trHeight w:val="196"/>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r>
      <w:tr>
        <w:trPr>
          <w:trHeight w:val="191"/>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20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4,395</w:t>
            </w:r>
          </w:p>
        </w:tc>
        <w:tc>
          <w:tcPr>
            <w:tcW w:w="3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3,947</w:t>
            </w:r>
          </w:p>
        </w:tc>
        <w:tc>
          <w:tcPr>
            <w:tcW w:w="2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448</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Noncash adjustments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1,112</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1,202</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(90)</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Changes in working capital</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(696)</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(1,415)</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719</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NARCO Buyout payment</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(1,325)</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(1,325)</w:t>
            </w:r>
          </w:p>
        </w:tc>
      </w:tr>
      <w:tr>
        <w:trPr>
          <w:trHeight w:val="196"/>
        </w:trPr>
        <w:tc>
          <w:tcPr>
            <w:tcW w:w="81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operating activities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(1,101)</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(826)</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(275)</w:t>
            </w:r>
          </w:p>
        </w:tc>
      </w:tr>
      <w:tr>
        <w:trPr>
          <w:trHeight w:val="201"/>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2,385</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2,908</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(523)</w:t>
            </w:r>
          </w:p>
        </w:tc>
      </w:tr>
      <w:tr>
        <w:trPr>
          <w:trHeight w:val="191"/>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provided by (used for) investing activities</w:t>
            </w:r>
          </w:p>
        </w:tc>
        <w:tc>
          <w:tcPr>
            <w:tcW w:w="20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(754)</w:t>
            </w:r>
          </w:p>
        </w:tc>
        <w:tc>
          <w:tcPr>
            <w:tcW w:w="3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540</w:t>
            </w:r>
          </w:p>
        </w:tc>
        <w:tc>
          <w:tcPr>
            <w:tcW w:w="2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(1,294)</w:t>
            </w:r>
          </w:p>
        </w:tc>
      </w:tr>
      <w:tr>
        <w:trPr>
          <w:trHeight w:val="196"/>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used for financing activities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(3,427)</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(6,609)</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3,182</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(61)</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(349)</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288</w:t>
            </w:r>
          </w:p>
        </w:tc>
      </w:tr>
      <w:tr>
        <w:trPr>
          <w:trHeight w:val="201"/>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decrease in cash and cash equivalents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(1,857)</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(3,510)</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1,653</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7,770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7,449</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321</w:t>
            </w:r>
          </w:p>
        </w:tc>
      </w:tr>
    </w:tbl>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Cash related to operating activities decreased by $523 million driven by the payment pursuant to the North American Refractories Company (NARCO) Amended Buyout Agreement and payment for the settlement of UOP Matters. This was partially offset by cash generated from operations, which included a favorable impact of working capital and the HWI Net Sale Proceeds. The favorable impact of working capital was driven by a $461 million increase in Accounts payable, due to increased material receipts and lower disbursements, and a $316 million decrease in Accounts receivable, due to higher cash receipts. See Note 14 Commitments and Contingencies of Notes to the Consolidated Financial Statements for additional information on the NARCO Amended Buyout Agreement, HWI Net Sale Proceeds, and UOP Matters.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Cash related to investing activities decreased by $1,294 million due to a $561 million decrease in cash receipts from settlements of derivative contracts related to foreign exchange risk management activities, $538 million increase in cash paid for acquisitions, and $409 million cash receipts from Garrett Motion Inc. (Garrett) in 2022, partially offset by $354 million net decrease in investments, as maturing short-term investments were moved into cash deposits.</w:t>
      </w:r>
    </w:p>
    <w:p>
      <w:pPr>
        <w:spacing w:after="0" w:line="200" w:lineRule="exact"/>
        <w:rPr>
          <w:sz w:val="20"/>
          <w:szCs w:val="20"/>
          <w:color w:val="auto"/>
        </w:rPr>
      </w:pPr>
    </w:p>
    <w:p>
      <w:pPr>
        <w:spacing w:after="0" w:line="399" w:lineRule="exact"/>
        <w:rPr>
          <w:sz w:val="20"/>
          <w:szCs w:val="20"/>
          <w:color w:val="auto"/>
        </w:rPr>
      </w:pPr>
    </w:p>
    <w:p>
      <w:pPr>
        <w:ind w:left="400" w:hanging="392"/>
        <w:spacing w:after="0"/>
        <w:tabs>
          <w:tab w:leader="none" w:pos="400" w:val="left"/>
        </w:tabs>
        <w:numPr>
          <w:ilvl w:val="0"/>
          <w:numId w:val="5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Cash related to financing activities increased by $3,182 million due to a $2,983 million increase in proceeds from the issuance of long-term debt, $640 million decrease in repurchases of common stock, and $408 million decrease in payments of long-term debt, partially offset by $743 million decrease in net proceeds from the issuance of commercial paper and $116 million increase in cash dividends paid.</w:t>
      </w:r>
    </w:p>
    <w:p>
      <w:pPr>
        <w:spacing w:after="0" w:line="243" w:lineRule="exact"/>
        <w:rPr>
          <w:sz w:val="20"/>
          <w:szCs w:val="20"/>
          <w:color w:val="auto"/>
        </w:rPr>
      </w:pPr>
    </w:p>
    <w:p>
      <w:pPr>
        <w:spacing w:after="0"/>
        <w:rPr>
          <w:sz w:val="20"/>
          <w:szCs w:val="20"/>
          <w:color w:val="auto"/>
        </w:rPr>
      </w:pPr>
      <w:r>
        <w:rPr>
          <w:rFonts w:ascii="Arial" w:cs="Arial" w:eastAsia="Arial" w:hAnsi="Arial"/>
          <w:sz w:val="29"/>
          <w:szCs w:val="29"/>
          <w:color w:val="D7282F"/>
        </w:rPr>
        <w:t>CASH REQUIREMENTS AND ASSESSMENT OF CURRENT LIQUIDITY</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addition to our normal operating cash requirements, we expect our principal future cash requirements will be to fund capital expenditures, share repurchases, dividends, strategic acquisitions, and debt repayments. On April 24, 2023, the Board of Directors authorized the repurchase of up to $10 billion of Honeywell common stock, including approximately $2.1 billion of remaining availability under the previously announced $10 billion share repurchase authorization. During the nine months ended September 30, 2023, we repurchased common stock of $2,187 million. Refer to the section titled Liquidity and Capital Resources of our 2022 Form 10-K for a discussion of our expected capital expenditures, share repurchases, and dividends for 2023.</w:t>
      </w:r>
    </w:p>
    <w:p>
      <w:pPr>
        <w:spacing w:after="0" w:line="7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We continually seek opportunities to improve our liquidity and working capital efficiency, which includes the extension of payment terms with our suppliers and transfer of our trade receivables to unaffiliated financial institutions on a true sale basis. The impact of these programs is not material to our overall liquidity.</w:t>
      </w:r>
    </w:p>
    <w:p>
      <w:pPr>
        <w:spacing w:after="0" w:line="25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continue to assess the relative strength of each business in our portfolio as to strategic fit, market position, profit, and cash flow contribution in order to identify target investment and acquisition opportunities in order to upgrade our combined portfolio.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early 2023, we made payments of approximately $1.5 billion in connection with the NARCO Buyout and UOP Matters. Pursuant to the NARCO Amended Buyout Agreement, we are entitled to receive proceeds related to the HWI Sale. During the nine months ended September 30, 2023, we received proceeds from the HWI Sale in the amount of $275 million. These payments and receipts have not materially impacted our liquidity position. See Note 11 Fair Value Measurements of Notes to Consolidated Financial Statements for additional discussion related to the fair value of future proceeds from the HWI Sale.</w:t>
      </w:r>
    </w:p>
    <w:p>
      <w:pPr>
        <w:spacing w:after="0" w:line="8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See Note 8 Long-term Debt and Credit Agreements of Notes to Consolidated Financial Statements for additional discussion of items impacting our liquidity.</w:t>
      </w:r>
    </w:p>
    <w:p>
      <w:pPr>
        <w:spacing w:after="0" w:line="288" w:lineRule="exact"/>
        <w:rPr>
          <w:sz w:val="20"/>
          <w:szCs w:val="20"/>
          <w:color w:val="auto"/>
        </w:rPr>
      </w:pPr>
    </w:p>
    <w:p>
      <w:pPr>
        <w:spacing w:after="0"/>
        <w:rPr>
          <w:sz w:val="20"/>
          <w:szCs w:val="20"/>
          <w:color w:val="auto"/>
        </w:rPr>
      </w:pPr>
      <w:r>
        <w:rPr>
          <w:rFonts w:ascii="Arial" w:cs="Arial" w:eastAsia="Arial" w:hAnsi="Arial"/>
          <w:sz w:val="29"/>
          <w:szCs w:val="29"/>
          <w:color w:val="D7282F"/>
        </w:rPr>
        <w:t>BORROWINGS</w:t>
      </w:r>
    </w:p>
    <w:p>
      <w:pPr>
        <w:spacing w:after="0" w:line="2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leverage a variety of debt instruments to manage our overall borrowing costs. As of September 30, 2023, and December 31, 2022, our total borrowings were $20.3 billion and $19.6 billion, respectively.</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20" w:type="dxa"/>
            <w:vAlign w:val="bottom"/>
            <w:tcBorders>
              <w:bottom w:val="single" w:sz="8" w:color="D7282F"/>
            </w:tcBorders>
          </w:tcPr>
          <w:p>
            <w:pPr>
              <w:spacing w:after="0"/>
              <w:rPr>
                <w:sz w:val="17"/>
                <w:szCs w:val="17"/>
                <w:color w:val="auto"/>
              </w:rPr>
            </w:pPr>
          </w:p>
        </w:tc>
        <w:tc>
          <w:tcPr>
            <w:tcW w:w="280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2022</w:t>
            </w:r>
          </w:p>
        </w:tc>
      </w:tr>
      <w:tr>
        <w:trPr>
          <w:trHeight w:val="191"/>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Commercial paper</w:t>
            </w:r>
          </w:p>
        </w:tc>
        <w:tc>
          <w:tcPr>
            <w:tcW w:w="2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1,931</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2,715</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Variable rate notes</w:t>
            </w:r>
          </w:p>
        </w:tc>
        <w:tc>
          <w:tcPr>
            <w:tcW w:w="280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Fixed rate notes</w:t>
            </w:r>
          </w:p>
        </w:tc>
        <w:tc>
          <w:tcPr>
            <w:tcW w:w="280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18,677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17,086</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w:t>
            </w:r>
          </w:p>
        </w:tc>
        <w:tc>
          <w:tcPr>
            <w:tcW w:w="280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267</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280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(323)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(287)</w:t>
            </w:r>
          </w:p>
        </w:tc>
      </w:tr>
      <w:tr>
        <w:trPr>
          <w:trHeight w:val="196"/>
        </w:trPr>
        <w:tc>
          <w:tcPr>
            <w:tcW w:w="48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280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(251)</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(233)</w:t>
            </w:r>
          </w:p>
        </w:tc>
      </w:tr>
      <w:tr>
        <w:trPr>
          <w:trHeight w:val="201"/>
        </w:trPr>
        <w:tc>
          <w:tcPr>
            <w:tcW w:w="48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borrowings</w:t>
            </w:r>
          </w:p>
        </w:tc>
        <w:tc>
          <w:tcPr>
            <w:tcW w:w="2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20,286</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19,570</w:t>
            </w:r>
          </w:p>
        </w:tc>
      </w:tr>
    </w:tbl>
    <w:p>
      <w:pPr>
        <w:spacing w:after="0" w:line="192"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A primary source of liquidity is our ability to access the corporate bond markets. Through these markets, we issue a variety of long-term fixed rate notes, in a variety of currencies, to manage our overall funding costs.</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Another primary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w:t>
      </w:r>
    </w:p>
    <w:p>
      <w:pPr>
        <w:spacing w:after="0" w:line="200" w:lineRule="exact"/>
        <w:rPr>
          <w:sz w:val="20"/>
          <w:szCs w:val="20"/>
          <w:color w:val="auto"/>
        </w:rPr>
      </w:pPr>
    </w:p>
    <w:p>
      <w:pPr>
        <w:spacing w:after="0" w:line="212" w:lineRule="exact"/>
        <w:rPr>
          <w:sz w:val="20"/>
          <w:szCs w:val="20"/>
          <w:color w:val="auto"/>
        </w:rPr>
      </w:pPr>
    </w:p>
    <w:p>
      <w:pPr>
        <w:ind w:left="400" w:hanging="392"/>
        <w:spacing w:after="0"/>
        <w:tabs>
          <w:tab w:leader="none" w:pos="400" w:val="left"/>
        </w:tabs>
        <w:numPr>
          <w:ilvl w:val="0"/>
          <w:numId w:val="5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We also have the following revolving credit agreements:</w:t>
      </w:r>
    </w:p>
    <w:p>
      <w:pPr>
        <w:spacing w:after="0" w:line="113" w:lineRule="exact"/>
        <w:rPr>
          <w:sz w:val="20"/>
          <w:szCs w:val="20"/>
          <w:color w:val="auto"/>
        </w:rPr>
      </w:pPr>
    </w:p>
    <w:p>
      <w:pPr>
        <w:jc w:val="both"/>
        <w:ind w:left="200" w:hanging="192"/>
        <w:spacing w:after="0" w:line="259" w:lineRule="auto"/>
        <w:tabs>
          <w:tab w:leader="none" w:pos="197" w:val="left"/>
        </w:tabs>
        <w:numPr>
          <w:ilvl w:val="0"/>
          <w:numId w:val="58"/>
        </w:numPr>
        <w:rPr>
          <w:rFonts w:ascii="Arial" w:cs="Arial" w:eastAsia="Arial" w:hAnsi="Arial"/>
          <w:sz w:val="16"/>
          <w:szCs w:val="16"/>
          <w:color w:val="D7282F"/>
        </w:rPr>
      </w:pPr>
      <w:r>
        <w:rPr>
          <w:rFonts w:ascii="Arial" w:cs="Arial" w:eastAsia="Arial" w:hAnsi="Arial"/>
          <w:sz w:val="16"/>
          <w:szCs w:val="16"/>
          <w:color w:val="auto"/>
        </w:rPr>
        <w:t>A $1.5 billion 364-day credit agreement (the 364-Day Credit Agreement) with a syndicate of banks, dated as of March 20, 2023. Amounts borrowed under the 364-Day Credit Agreement are required to be repaid no later than March 18, 2024, unless (i) we elect to convert all then outstanding amounts into a term loan, upon which such amounts shall be repaid in full on March 18, 2025, or (ii) the 364-Day Credit Agreement is terminated earlier pursuant to its terms. The 364-Day Credit Agreement replaced the previously reported $1.5 billion 364-day credit agreement dated as of March 24, 2022, which was terminated in accordance with its terms effective March 20, 2023. As of September 30, 2023, there were no outstanding borrowings under our 364-Day Credit Agreement.</w:t>
      </w:r>
    </w:p>
    <w:p>
      <w:pPr>
        <w:spacing w:after="0" w:line="50" w:lineRule="exact"/>
        <w:rPr>
          <w:rFonts w:ascii="Arial" w:cs="Arial" w:eastAsia="Arial" w:hAnsi="Arial"/>
          <w:sz w:val="16"/>
          <w:szCs w:val="16"/>
          <w:color w:val="D7282F"/>
        </w:rPr>
      </w:pPr>
    </w:p>
    <w:p>
      <w:pPr>
        <w:jc w:val="both"/>
        <w:ind w:left="200" w:hanging="192"/>
        <w:spacing w:after="0" w:line="262" w:lineRule="auto"/>
        <w:tabs>
          <w:tab w:leader="none" w:pos="197" w:val="left"/>
        </w:tabs>
        <w:numPr>
          <w:ilvl w:val="0"/>
          <w:numId w:val="58"/>
        </w:numPr>
        <w:rPr>
          <w:rFonts w:ascii="Arial" w:cs="Arial" w:eastAsia="Arial" w:hAnsi="Arial"/>
          <w:sz w:val="16"/>
          <w:szCs w:val="16"/>
          <w:color w:val="D7282F"/>
        </w:rPr>
      </w:pPr>
      <w:r>
        <w:rPr>
          <w:rFonts w:ascii="Arial" w:cs="Arial" w:eastAsia="Arial" w:hAnsi="Arial"/>
          <w:sz w:val="16"/>
          <w:szCs w:val="16"/>
          <w:color w:val="auto"/>
        </w:rPr>
        <w:t>A $4.0 billion five-year credit agreement (the 5-Year Credit Agreement) with a syndicate of banks, dated as of March 20, 2023. Commitments under the 5-Year Credit Agreement can be increased pursuant to the terms of the 5-Year Credit Agreement to an aggregate amount not to exceed $4.5 billion. The 5-Year Credit Agreement amended and restated the previously reported $4.0 billion amended and restated five-year credit agreement dated as of March 24, 2022. As of September 30, 2023, there were no outstanding borrowings under our 5-Year Credit Agreement.</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also have a current shelf registration statement filed with the Securities and Exchange Commission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pacing w:after="0" w:line="249" w:lineRule="exact"/>
        <w:rPr>
          <w:sz w:val="20"/>
          <w:szCs w:val="20"/>
          <w:color w:val="auto"/>
        </w:rPr>
      </w:pPr>
    </w:p>
    <w:p>
      <w:pPr>
        <w:spacing w:after="0"/>
        <w:rPr>
          <w:sz w:val="20"/>
          <w:szCs w:val="20"/>
          <w:color w:val="auto"/>
        </w:rPr>
      </w:pPr>
      <w:r>
        <w:rPr>
          <w:rFonts w:ascii="Arial" w:cs="Arial" w:eastAsia="Arial" w:hAnsi="Arial"/>
          <w:sz w:val="29"/>
          <w:szCs w:val="29"/>
          <w:color w:val="D7282F"/>
        </w:rPr>
        <w:t>CREDIT RATINGS</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September 30, 2023, S&amp;P Global Inc. (S&amp;P), Fitch Ratings Inc. (Fitch), and Moody’s Investor Service (Moody's) have ratings on our debt set forth in the table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D7282F"/>
            </w:tcBorders>
          </w:tcPr>
          <w:p>
            <w:pPr>
              <w:spacing w:after="0"/>
              <w:rPr>
                <w:sz w:val="17"/>
                <w:szCs w:val="17"/>
                <w:color w:val="auto"/>
              </w:rPr>
            </w:pPr>
          </w:p>
        </w:tc>
        <w:tc>
          <w:tcPr>
            <w:tcW w:w="4200" w:type="dxa"/>
            <w:vAlign w:val="bottom"/>
            <w:tcBorders>
              <w:bottom w:val="single" w:sz="8" w:color="D7282F"/>
            </w:tcBorders>
          </w:tcPr>
          <w:p>
            <w:pPr>
              <w:jc w:val="center"/>
              <w:ind w:left="2508"/>
              <w:spacing w:after="0"/>
              <w:rPr>
                <w:sz w:val="20"/>
                <w:szCs w:val="20"/>
                <w:color w:val="auto"/>
              </w:rPr>
            </w:pPr>
            <w:r>
              <w:rPr>
                <w:rFonts w:ascii="Arial" w:cs="Arial" w:eastAsia="Arial" w:hAnsi="Arial"/>
                <w:sz w:val="14"/>
                <w:szCs w:val="14"/>
                <w:b w:val="1"/>
                <w:bCs w:val="1"/>
                <w:color w:val="auto"/>
              </w:rPr>
              <w:t>S&amp;P</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Fitch</w:t>
            </w:r>
          </w:p>
        </w:tc>
        <w:tc>
          <w:tcPr>
            <w:tcW w:w="156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b w:val="1"/>
                <w:bCs w:val="1"/>
                <w:color w:val="auto"/>
              </w:rPr>
              <w:t>Moody's</w:t>
            </w:r>
          </w:p>
        </w:tc>
      </w:tr>
      <w:tr>
        <w:trPr>
          <w:trHeight w:val="191"/>
        </w:trPr>
        <w:tc>
          <w:tcPr>
            <w:tcW w:w="3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Outlook</w:t>
            </w:r>
          </w:p>
        </w:tc>
        <w:tc>
          <w:tcPr>
            <w:tcW w:w="4200" w:type="dxa"/>
            <w:vAlign w:val="bottom"/>
            <w:tcBorders>
              <w:bottom w:val="single" w:sz="8" w:color="61656A"/>
            </w:tcBorders>
          </w:tcPr>
          <w:p>
            <w:pPr>
              <w:jc w:val="center"/>
              <w:ind w:left="2508"/>
              <w:spacing w:after="0"/>
              <w:rPr>
                <w:sz w:val="20"/>
                <w:szCs w:val="20"/>
                <w:color w:val="auto"/>
              </w:rPr>
            </w:pPr>
            <w:r>
              <w:rPr>
                <w:rFonts w:ascii="Arial" w:cs="Arial" w:eastAsia="Arial" w:hAnsi="Arial"/>
                <w:sz w:val="14"/>
                <w:szCs w:val="14"/>
                <w:color w:val="auto"/>
              </w:rPr>
              <w:t>Stable</w:t>
            </w:r>
          </w:p>
        </w:tc>
        <w:tc>
          <w:tcPr>
            <w:tcW w:w="16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Stable</w:t>
            </w:r>
          </w:p>
        </w:tc>
        <w:tc>
          <w:tcPr>
            <w:tcW w:w="156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rPr>
              <w:t>Positive</w:t>
            </w:r>
          </w:p>
        </w:tc>
      </w:tr>
      <w:tr>
        <w:trPr>
          <w:trHeight w:val="196"/>
        </w:trPr>
        <w:tc>
          <w:tcPr>
            <w:tcW w:w="3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Short-term</w:t>
            </w:r>
          </w:p>
        </w:tc>
        <w:tc>
          <w:tcPr>
            <w:tcW w:w="4200" w:type="dxa"/>
            <w:vAlign w:val="bottom"/>
            <w:tcBorders>
              <w:bottom w:val="single" w:sz="8" w:color="61656A"/>
            </w:tcBorders>
          </w:tcPr>
          <w:p>
            <w:pPr>
              <w:jc w:val="center"/>
              <w:ind w:left="2508"/>
              <w:spacing w:after="0"/>
              <w:rPr>
                <w:sz w:val="20"/>
                <w:szCs w:val="20"/>
                <w:color w:val="auto"/>
              </w:rPr>
            </w:pPr>
            <w:r>
              <w:rPr>
                <w:rFonts w:ascii="Arial" w:cs="Arial" w:eastAsia="Arial" w:hAnsi="Arial"/>
                <w:sz w:val="14"/>
                <w:szCs w:val="14"/>
                <w:color w:val="auto"/>
              </w:rPr>
              <w:t>A-1</w:t>
            </w:r>
          </w:p>
        </w:tc>
        <w:tc>
          <w:tcPr>
            <w:tcW w:w="16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7"/>
              </w:rPr>
              <w:t>F1</w:t>
            </w:r>
          </w:p>
        </w:tc>
        <w:tc>
          <w:tcPr>
            <w:tcW w:w="156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w w:val="93"/>
              </w:rPr>
              <w:t>P1</w:t>
            </w:r>
          </w:p>
        </w:tc>
      </w:tr>
      <w:tr>
        <w:trPr>
          <w:trHeight w:val="196"/>
        </w:trPr>
        <w:tc>
          <w:tcPr>
            <w:tcW w:w="38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w:t>
            </w:r>
          </w:p>
        </w:tc>
        <w:tc>
          <w:tcPr>
            <w:tcW w:w="4200" w:type="dxa"/>
            <w:vAlign w:val="bottom"/>
            <w:tcBorders>
              <w:bottom w:val="single" w:sz="8" w:color="D7282F"/>
            </w:tcBorders>
          </w:tcPr>
          <w:p>
            <w:pPr>
              <w:jc w:val="center"/>
              <w:ind w:left="2508"/>
              <w:spacing w:after="0"/>
              <w:rPr>
                <w:sz w:val="20"/>
                <w:szCs w:val="20"/>
                <w:color w:val="auto"/>
              </w:rPr>
            </w:pPr>
            <w:r>
              <w:rPr>
                <w:rFonts w:ascii="Arial" w:cs="Arial" w:eastAsia="Arial" w:hAnsi="Arial"/>
                <w:sz w:val="14"/>
                <w:szCs w:val="14"/>
                <w:color w:val="auto"/>
              </w:rPr>
              <w:t>A</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A</w:t>
            </w:r>
          </w:p>
        </w:tc>
        <w:tc>
          <w:tcPr>
            <w:tcW w:w="1560" w:type="dxa"/>
            <w:vAlign w:val="bottom"/>
            <w:tcBorders>
              <w:bottom w:val="single" w:sz="8" w:color="D7282F"/>
            </w:tcBorders>
          </w:tcPr>
          <w:p>
            <w:pPr>
              <w:jc w:val="center"/>
              <w:ind w:left="88"/>
              <w:spacing w:after="0"/>
              <w:rPr>
                <w:sz w:val="20"/>
                <w:szCs w:val="20"/>
                <w:color w:val="auto"/>
              </w:rPr>
            </w:pPr>
            <w:r>
              <w:rPr>
                <w:rFonts w:ascii="Arial" w:cs="Arial" w:eastAsia="Arial" w:hAnsi="Arial"/>
                <w:sz w:val="14"/>
                <w:szCs w:val="14"/>
                <w:color w:val="auto"/>
                <w:w w:val="93"/>
              </w:rPr>
              <w:t>A2</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On September 20, 2023, Moody's affirmed all credit ratings of the Company and revised their credit rating outlook from stable to positive.</w:t>
      </w:r>
    </w:p>
    <w:p>
      <w:pPr>
        <w:spacing w:after="0" w:line="34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MATTERS</w:t>
      </w: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D7282F"/>
        </w:rPr>
        <w:t>LITIGATION</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are subject to a number of lawsuits, investigations, and claims (some of which involve substantial amounts) arising out of the conduct of our business. See Note 14 Commitments and Contingencies of Notes to Consolidated Financial Statements for further discussion of environmental, asbestos, and other litigation matters.</w:t>
      </w:r>
    </w:p>
    <w:p>
      <w:pPr>
        <w:spacing w:after="0" w:line="243" w:lineRule="exact"/>
        <w:rPr>
          <w:sz w:val="20"/>
          <w:szCs w:val="20"/>
          <w:color w:val="auto"/>
        </w:rPr>
      </w:pPr>
    </w:p>
    <w:p>
      <w:pPr>
        <w:spacing w:after="0"/>
        <w:rPr>
          <w:sz w:val="20"/>
          <w:szCs w:val="20"/>
          <w:color w:val="auto"/>
        </w:rPr>
      </w:pPr>
      <w:r>
        <w:rPr>
          <w:rFonts w:ascii="Arial" w:cs="Arial" w:eastAsia="Arial" w:hAnsi="Arial"/>
          <w:sz w:val="29"/>
          <w:szCs w:val="29"/>
          <w:color w:val="D7282F"/>
        </w:rPr>
        <w:t>CRITICAL ACCOUNTING ESTIMATES</w:t>
      </w:r>
    </w:p>
    <w:p>
      <w:pPr>
        <w:spacing w:after="0" w:line="234"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There have been no material changes to our Critical Accounting Estimates presented in our 2022 Annual Report on Form 10-K. For a discussion of the Company’s Critical Accounting Estimates, see the section titled Critical Accounting Estimates in our 2022 Annual Report on Form 10-K.</w:t>
      </w:r>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color w:val="D7282F"/>
        </w:rPr>
        <w:t>RECENT ACCOUNTING PRONOUNCEMENTS</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See Note 2 Summary of Significant Accounting Policies of Notes to Consolidated Financial Statements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0" w:hanging="392"/>
        <w:spacing w:after="0"/>
        <w:tabs>
          <w:tab w:leader="none" w:pos="400" w:val="left"/>
        </w:tabs>
        <w:numPr>
          <w:ilvl w:val="0"/>
          <w:numId w:val="59"/>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240"/>
        <w:spacing w:after="0" w:line="303" w:lineRule="auto"/>
        <w:rPr>
          <w:sz w:val="20"/>
          <w:szCs w:val="20"/>
          <w:color w:val="auto"/>
        </w:rPr>
      </w:pPr>
      <w:r>
        <w:rPr>
          <w:rFonts w:ascii="Arial" w:cs="Arial" w:eastAsia="Arial" w:hAnsi="Arial"/>
          <w:sz w:val="36"/>
          <w:szCs w:val="36"/>
          <w:b w:val="1"/>
          <w:bCs w:val="1"/>
          <w:color w:val="auto"/>
        </w:rPr>
        <w:t>ITEM 3. QUANTITATIVE AND QUALITATIVE DISCLOSURES ABOUT MARKET RISKS</w:t>
      </w:r>
    </w:p>
    <w:p>
      <w:pPr>
        <w:spacing w:after="0" w:line="194"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For a discussion of the Company’s quantitative and qualitative disclosures about market risks, see the section titled Quantitative and Qualitative Disclosures About Market Risks in our 2022 Annual Report on Form 10-K. As of September 30, 2023, there has been no material change in this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CONTROLS AND PROCEDURES</w:t>
      </w:r>
    </w:p>
    <w:p>
      <w:pPr>
        <w:spacing w:after="0" w:line="3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SEC's rules and forms, and that it is accumulated and communicated to our management, including our Chief Executive Officer, our Chief Financial Officer, and our Controller, as appropriate, to allow timely decisions regarding required disclosure. There were no changes that materially affected, or are reasonably likely to materially affect, Honeywell’s internal control over financial reporting that occurred during the period covered by this Quarterly Report on Form 10-Q.</w:t>
      </w:r>
    </w:p>
    <w:p>
      <w:pPr>
        <w:spacing w:after="0" w:line="200" w:lineRule="exact"/>
        <w:rPr>
          <w:sz w:val="20"/>
          <w:szCs w:val="20"/>
          <w:color w:val="auto"/>
        </w:rPr>
      </w:pPr>
    </w:p>
    <w:p>
      <w:pPr>
        <w:spacing w:after="0" w:line="207" w:lineRule="exact"/>
        <w:rPr>
          <w:sz w:val="20"/>
          <w:szCs w:val="20"/>
          <w:color w:val="auto"/>
        </w:rPr>
      </w:pPr>
    </w:p>
    <w:p>
      <w:pPr>
        <w:ind w:left="400" w:hanging="392"/>
        <w:spacing w:after="0"/>
        <w:tabs>
          <w:tab w:leader="none" w:pos="400" w:val="left"/>
        </w:tabs>
        <w:numPr>
          <w:ilvl w:val="0"/>
          <w:numId w:val="6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II. OTHER INFORMATION</w:t>
      </w:r>
    </w:p>
    <w:p>
      <w:pPr>
        <w:spacing w:after="0" w:line="3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 LEGAL PROCEEDINGS</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a number of lawsuits, investigations, and claims (some of which involve substantial amounts) arising out of the conduct of our business.</w:t>
      </w:r>
    </w:p>
    <w:p>
      <w:pPr>
        <w:spacing w:after="0" w:line="2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See a discussion of environmental, asbestos, and other litigation matters in </w:t>
      </w:r>
      <w:r>
        <w:rPr>
          <w:rFonts w:ascii="Arial" w:cs="Arial" w:eastAsia="Arial" w:hAnsi="Arial"/>
          <w:sz w:val="16"/>
          <w:szCs w:val="16"/>
          <w:b w:val="1"/>
          <w:bCs w:val="1"/>
          <w:color w:val="auto"/>
        </w:rPr>
        <w:t>Note 14 Commitments and Contingencies of Notes to Consolidated</w:t>
      </w:r>
      <w:r>
        <w:rPr>
          <w:rFonts w:ascii="Arial" w:cs="Arial" w:eastAsia="Arial" w:hAnsi="Arial"/>
          <w:sz w:val="16"/>
          <w:szCs w:val="16"/>
          <w:color w:val="auto"/>
        </w:rPr>
        <w:t xml:space="preserve"> </w:t>
      </w:r>
      <w:r>
        <w:rPr>
          <w:rFonts w:ascii="Arial" w:cs="Arial" w:eastAsia="Arial" w:hAnsi="Arial"/>
          <w:sz w:val="16"/>
          <w:szCs w:val="16"/>
          <w:b w:val="1"/>
          <w:bCs w:val="1"/>
          <w:color w:val="auto"/>
        </w:rPr>
        <w:t>Financial Statements</w:t>
      </w:r>
      <w:r>
        <w:rPr>
          <w:rFonts w:ascii="Arial" w:cs="Arial" w:eastAsia="Arial" w:hAnsi="Arial"/>
          <w:sz w:val="16"/>
          <w:szCs w:val="16"/>
          <w:color w:val="auto"/>
        </w:rPr>
        <w:t>.</w:t>
      </w:r>
    </w:p>
    <w:p>
      <w:pPr>
        <w:spacing w:after="0" w:line="4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There were no matters requiring disclosure pursuant to the requirement to disclose certain environmental matters involving potential monetary sanctions in excess of $300,000.</w:t>
      </w:r>
    </w:p>
    <w:p>
      <w:pPr>
        <w:spacing w:after="0" w:line="2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1A. RISK FACTORS</w:t>
      </w:r>
    </w:p>
    <w:p>
      <w:pPr>
        <w:spacing w:after="0" w:line="200" w:lineRule="exact"/>
        <w:rPr>
          <w:sz w:val="20"/>
          <w:szCs w:val="20"/>
          <w:color w:val="auto"/>
        </w:rPr>
      </w:pPr>
    </w:p>
    <w:p>
      <w:pPr>
        <w:spacing w:after="0" w:line="20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There have been no material changes to our Risk Factors presented in our 2022 Annual Report on Form 10-K under the section titled Risk Factors. For further discussion of our Risk Factors, refer to the section titled Risk Factors in our 2022 Annual Report on Form 10-K.</w:t>
      </w:r>
    </w:p>
    <w:p>
      <w:pPr>
        <w:spacing w:after="0" w:line="295" w:lineRule="exact"/>
        <w:rPr>
          <w:sz w:val="20"/>
          <w:szCs w:val="20"/>
          <w:color w:val="auto"/>
        </w:rPr>
      </w:pPr>
    </w:p>
    <w:p>
      <w:pPr>
        <w:ind w:right="480"/>
        <w:spacing w:after="0" w:line="277" w:lineRule="auto"/>
        <w:rPr>
          <w:sz w:val="20"/>
          <w:szCs w:val="20"/>
          <w:color w:val="auto"/>
        </w:rPr>
      </w:pPr>
      <w:r>
        <w:rPr>
          <w:rFonts w:ascii="Arial" w:cs="Arial" w:eastAsia="Arial" w:hAnsi="Arial"/>
          <w:sz w:val="36"/>
          <w:szCs w:val="36"/>
          <w:b w:val="1"/>
          <w:bCs w:val="1"/>
          <w:color w:val="auto"/>
        </w:rPr>
        <w:t>ITEM 2. UNREGISTERED SALES OF EQUITY SECURITIES, USE OF PROCEEDS, AND ISSUER PURCHASES OF EQUITY SECURITIES</w:t>
      </w:r>
    </w:p>
    <w:p>
      <w:pPr>
        <w:spacing w:after="0" w:line="25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On April 24, 2023, the Board of Directors authorized the repurchase of up to $10 billion of Honeywell common stock, including approximately $2.1 billion of remaining availability under the previously announced $10 billion share repurchase authorization. The repurchase authorization does not have an expiration date and may be amended or terminated by the Board of Directors at any time without prior notice.</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w:t>
      </w:r>
    </w:p>
    <w:p>
      <w:pPr>
        <w:spacing w:after="0" w:line="78"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During the quarter ended September 30, 2023, Honeywell purchased 5,267,030 shares of its common stock, par value $1 per share. As of September 30, 2023, $8.6 billion remained available for additional share repurchases. The following table summarizes our purchases of Honeywell's common stock for the quarter ended September 30, 2023:</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080" w:type="dxa"/>
            <w:vAlign w:val="bottom"/>
            <w:tcBorders>
              <w:top w:val="single" w:sz="8" w:color="D7282F"/>
            </w:tcBorders>
          </w:tcPr>
          <w:p>
            <w:pPr>
              <w:spacing w:after="0"/>
              <w:rPr>
                <w:sz w:val="12"/>
                <w:szCs w:val="12"/>
                <w:color w:val="auto"/>
              </w:rPr>
            </w:pPr>
          </w:p>
        </w:tc>
        <w:tc>
          <w:tcPr>
            <w:tcW w:w="2860" w:type="dxa"/>
            <w:vAlign w:val="bottom"/>
            <w:tcBorders>
              <w:top w:val="single" w:sz="8" w:color="D7282F"/>
            </w:tcBorders>
          </w:tcPr>
          <w:p>
            <w:pPr>
              <w:spacing w:after="0"/>
              <w:rPr>
                <w:sz w:val="12"/>
                <w:szCs w:val="12"/>
                <w:color w:val="auto"/>
              </w:rPr>
            </w:pPr>
          </w:p>
        </w:tc>
        <w:tc>
          <w:tcPr>
            <w:tcW w:w="1680" w:type="dxa"/>
            <w:vAlign w:val="bottom"/>
            <w:tcBorders>
              <w:top w:val="single" w:sz="8" w:color="D7282F"/>
            </w:tcBorders>
          </w:tcPr>
          <w:p>
            <w:pPr>
              <w:spacing w:after="0"/>
              <w:rPr>
                <w:sz w:val="12"/>
                <w:szCs w:val="12"/>
                <w:color w:val="auto"/>
              </w:rPr>
            </w:pPr>
          </w:p>
        </w:tc>
        <w:tc>
          <w:tcPr>
            <w:tcW w:w="1700" w:type="dxa"/>
            <w:vAlign w:val="bottom"/>
            <w:tcBorders>
              <w:top w:val="single" w:sz="8" w:color="D7282F"/>
            </w:tcBorders>
          </w:tcPr>
          <w:p>
            <w:pPr>
              <w:jc w:val="center"/>
              <w:ind w:left="148"/>
              <w:spacing w:after="0" w:line="145" w:lineRule="exact"/>
              <w:rPr>
                <w:sz w:val="20"/>
                <w:szCs w:val="20"/>
                <w:color w:val="auto"/>
              </w:rPr>
            </w:pPr>
            <w:r>
              <w:rPr>
                <w:rFonts w:ascii="Arial" w:cs="Arial" w:eastAsia="Arial" w:hAnsi="Arial"/>
                <w:sz w:val="14"/>
                <w:szCs w:val="14"/>
                <w:b w:val="1"/>
                <w:bCs w:val="1"/>
                <w:color w:val="auto"/>
              </w:rPr>
              <w:t>Total Number</w:t>
            </w:r>
          </w:p>
        </w:tc>
        <w:tc>
          <w:tcPr>
            <w:tcW w:w="1920" w:type="dxa"/>
            <w:vAlign w:val="bottom"/>
            <w:tcBorders>
              <w:top w:val="single" w:sz="8" w:color="D7282F"/>
            </w:tcBorders>
          </w:tcPr>
          <w:p>
            <w:pPr>
              <w:jc w:val="center"/>
              <w:ind w:left="88"/>
              <w:spacing w:after="0" w:line="145"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of Shares</w:t>
            </w:r>
          </w:p>
        </w:tc>
        <w:tc>
          <w:tcPr>
            <w:tcW w:w="19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2860" w:type="dxa"/>
            <w:vAlign w:val="bottom"/>
            <w:vMerge w:val="restart"/>
          </w:tcPr>
          <w:p>
            <w:pPr>
              <w:jc w:val="center"/>
              <w:ind w:left="1008"/>
              <w:spacing w:after="0"/>
              <w:rPr>
                <w:sz w:val="20"/>
                <w:szCs w:val="20"/>
                <w:color w:val="auto"/>
              </w:rPr>
            </w:pPr>
            <w:r>
              <w:rPr>
                <w:rFonts w:ascii="Arial" w:cs="Arial" w:eastAsia="Arial" w:hAnsi="Arial"/>
                <w:sz w:val="14"/>
                <w:szCs w:val="14"/>
                <w:b w:val="1"/>
                <w:bCs w:val="1"/>
                <w:color w:val="auto"/>
              </w:rPr>
              <w:t>Total</w:t>
            </w:r>
          </w:p>
        </w:tc>
        <w:tc>
          <w:tcPr>
            <w:tcW w:w="1680" w:type="dxa"/>
            <w:vAlign w:val="bottom"/>
          </w:tcPr>
          <w:p>
            <w:pPr>
              <w:spacing w:after="0"/>
              <w:rPr>
                <w:sz w:val="12"/>
                <w:szCs w:val="12"/>
                <w:color w:val="auto"/>
              </w:rPr>
            </w:pPr>
          </w:p>
        </w:tc>
        <w:tc>
          <w:tcPr>
            <w:tcW w:w="1700" w:type="dxa"/>
            <w:vAlign w:val="bottom"/>
          </w:tcPr>
          <w:p>
            <w:pPr>
              <w:jc w:val="center"/>
              <w:ind w:left="168"/>
              <w:spacing w:after="0" w:line="148" w:lineRule="exact"/>
              <w:rPr>
                <w:sz w:val="20"/>
                <w:szCs w:val="20"/>
                <w:color w:val="auto"/>
              </w:rPr>
            </w:pPr>
            <w:r>
              <w:rPr>
                <w:rFonts w:ascii="Arial" w:cs="Arial" w:eastAsia="Arial" w:hAnsi="Arial"/>
                <w:sz w:val="14"/>
                <w:szCs w:val="14"/>
                <w:b w:val="1"/>
                <w:bCs w:val="1"/>
                <w:color w:val="auto"/>
              </w:rPr>
              <w:t>Purchased as</w:t>
            </w:r>
          </w:p>
        </w:tc>
        <w:tc>
          <w:tcPr>
            <w:tcW w:w="1920" w:type="dxa"/>
            <w:vAlign w:val="bottom"/>
          </w:tcPr>
          <w:p>
            <w:pPr>
              <w:jc w:val="center"/>
              <w:ind w:left="88"/>
              <w:spacing w:after="0" w:line="148"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2860" w:type="dxa"/>
            <w:vAlign w:val="bottom"/>
            <w:vMerge w:val="continue"/>
          </w:tcPr>
          <w:p>
            <w:pPr>
              <w:spacing w:after="0"/>
              <w:rPr>
                <w:sz w:val="11"/>
                <w:szCs w:val="11"/>
                <w:color w:val="auto"/>
              </w:rPr>
            </w:pPr>
          </w:p>
        </w:tc>
        <w:tc>
          <w:tcPr>
            <w:tcW w:w="16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rPr>
              <w:t>Part of Publicly</w:t>
            </w:r>
          </w:p>
        </w:tc>
        <w:tc>
          <w:tcPr>
            <w:tcW w:w="1920" w:type="dxa"/>
            <w:vAlign w:val="bottom"/>
          </w:tcPr>
          <w:p>
            <w:pPr>
              <w:jc w:val="center"/>
              <w:ind w:left="68"/>
              <w:spacing w:after="0" w:line="135" w:lineRule="exact"/>
              <w:rPr>
                <w:sz w:val="20"/>
                <w:szCs w:val="20"/>
                <w:color w:val="auto"/>
              </w:rPr>
            </w:pPr>
            <w:r>
              <w:rPr>
                <w:rFonts w:ascii="Arial" w:cs="Arial" w:eastAsia="Arial" w:hAnsi="Arial"/>
                <w:sz w:val="14"/>
                <w:szCs w:val="14"/>
                <w:b w:val="1"/>
                <w:bCs w:val="1"/>
                <w:color w:val="auto"/>
              </w:rPr>
              <w:t>Purchased Under Plans</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2860" w:type="dxa"/>
            <w:vAlign w:val="bottom"/>
          </w:tcPr>
          <w:p>
            <w:pPr>
              <w:jc w:val="center"/>
              <w:ind w:left="1028"/>
              <w:spacing w:after="0" w:line="149" w:lineRule="exact"/>
              <w:rPr>
                <w:sz w:val="20"/>
                <w:szCs w:val="20"/>
                <w:color w:val="auto"/>
              </w:rPr>
            </w:pPr>
            <w:r>
              <w:rPr>
                <w:rFonts w:ascii="Arial" w:cs="Arial" w:eastAsia="Arial" w:hAnsi="Arial"/>
                <w:sz w:val="14"/>
                <w:szCs w:val="14"/>
                <w:b w:val="1"/>
                <w:bCs w:val="1"/>
                <w:color w:val="auto"/>
              </w:rPr>
              <w:t>Number of</w:t>
            </w:r>
          </w:p>
        </w:tc>
        <w:tc>
          <w:tcPr>
            <w:tcW w:w="1680" w:type="dxa"/>
            <w:vAlign w:val="bottom"/>
            <w:vMerge w:val="continue"/>
          </w:tcPr>
          <w:p>
            <w:pPr>
              <w:spacing w:after="0"/>
              <w:rPr>
                <w:sz w:val="12"/>
                <w:szCs w:val="12"/>
                <w:color w:val="auto"/>
              </w:rPr>
            </w:pPr>
          </w:p>
        </w:tc>
        <w:tc>
          <w:tcPr>
            <w:tcW w:w="17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Announced</w:t>
            </w:r>
          </w:p>
        </w:tc>
        <w:tc>
          <w:tcPr>
            <w:tcW w:w="19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48"/>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860" w:type="dxa"/>
            <w:vAlign w:val="bottom"/>
          </w:tcPr>
          <w:p>
            <w:pPr>
              <w:jc w:val="center"/>
              <w:ind w:left="1028"/>
              <w:spacing w:after="0" w:line="148" w:lineRule="exact"/>
              <w:rPr>
                <w:sz w:val="20"/>
                <w:szCs w:val="20"/>
                <w:color w:val="auto"/>
              </w:rPr>
            </w:pPr>
            <w:r>
              <w:rPr>
                <w:rFonts w:ascii="Arial" w:cs="Arial" w:eastAsia="Arial" w:hAnsi="Arial"/>
                <w:sz w:val="14"/>
                <w:szCs w:val="14"/>
                <w:b w:val="1"/>
                <w:bCs w:val="1"/>
                <w:color w:val="auto"/>
              </w:rPr>
              <w:t>Shares</w:t>
            </w:r>
          </w:p>
        </w:tc>
        <w:tc>
          <w:tcPr>
            <w:tcW w:w="1680" w:type="dxa"/>
            <w:vAlign w:val="bottom"/>
          </w:tcPr>
          <w:p>
            <w:pPr>
              <w:jc w:val="center"/>
              <w:ind w:left="8"/>
              <w:spacing w:after="0" w:line="148"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ind w:left="168"/>
              <w:spacing w:after="0" w:line="148" w:lineRule="exact"/>
              <w:rPr>
                <w:sz w:val="20"/>
                <w:szCs w:val="20"/>
                <w:color w:val="auto"/>
              </w:rPr>
            </w:pPr>
            <w:r>
              <w:rPr>
                <w:rFonts w:ascii="Arial" w:cs="Arial" w:eastAsia="Arial" w:hAnsi="Arial"/>
                <w:sz w:val="14"/>
                <w:szCs w:val="14"/>
                <w:b w:val="1"/>
                <w:bCs w:val="1"/>
                <w:color w:val="auto"/>
              </w:rPr>
              <w:t>Plans</w:t>
            </w:r>
          </w:p>
        </w:tc>
        <w:tc>
          <w:tcPr>
            <w:tcW w:w="1920" w:type="dxa"/>
            <w:vAlign w:val="bottom"/>
          </w:tcPr>
          <w:p>
            <w:pPr>
              <w:jc w:val="center"/>
              <w:ind w:left="88"/>
              <w:spacing w:after="0" w:line="148"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D7282F"/>
            </w:tcBorders>
            <w:vMerge w:val="continue"/>
          </w:tcPr>
          <w:p>
            <w:pPr>
              <w:spacing w:after="0"/>
              <w:rPr>
                <w:sz w:val="16"/>
                <w:szCs w:val="16"/>
                <w:color w:val="auto"/>
              </w:rPr>
            </w:pPr>
          </w:p>
        </w:tc>
        <w:tc>
          <w:tcPr>
            <w:tcW w:w="2860" w:type="dxa"/>
            <w:vAlign w:val="bottom"/>
            <w:tcBorders>
              <w:bottom w:val="single" w:sz="8" w:color="D7282F"/>
            </w:tcBorders>
          </w:tcPr>
          <w:p>
            <w:pPr>
              <w:jc w:val="center"/>
              <w:ind w:left="1008"/>
              <w:spacing w:after="0"/>
              <w:rPr>
                <w:sz w:val="20"/>
                <w:szCs w:val="20"/>
                <w:color w:val="auto"/>
              </w:rPr>
            </w:pPr>
            <w:r>
              <w:rPr>
                <w:rFonts w:ascii="Arial" w:cs="Arial" w:eastAsia="Arial" w:hAnsi="Arial"/>
                <w:sz w:val="14"/>
                <w:szCs w:val="14"/>
                <w:b w:val="1"/>
                <w:bCs w:val="1"/>
                <w:color w:val="auto"/>
              </w:rPr>
              <w:t>Purchased</w:t>
            </w:r>
          </w:p>
        </w:tc>
        <w:tc>
          <w:tcPr>
            <w:tcW w:w="168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rPr>
              <w:t>per Share</w:t>
            </w:r>
          </w:p>
        </w:tc>
        <w:tc>
          <w:tcPr>
            <w:tcW w:w="1700" w:type="dxa"/>
            <w:vAlign w:val="bottom"/>
            <w:tcBorders>
              <w:bottom w:val="single" w:sz="8" w:color="D7282F"/>
            </w:tcBorders>
          </w:tcPr>
          <w:p>
            <w:pPr>
              <w:jc w:val="center"/>
              <w:ind w:left="168"/>
              <w:spacing w:after="0"/>
              <w:rPr>
                <w:sz w:val="20"/>
                <w:szCs w:val="20"/>
                <w:color w:val="auto"/>
              </w:rPr>
            </w:pPr>
            <w:r>
              <w:rPr>
                <w:rFonts w:ascii="Arial" w:cs="Arial" w:eastAsia="Arial" w:hAnsi="Arial"/>
                <w:sz w:val="14"/>
                <w:szCs w:val="14"/>
                <w:b w:val="1"/>
                <w:bCs w:val="1"/>
                <w:color w:val="auto"/>
              </w:rPr>
              <w:t>or Programs</w:t>
            </w:r>
          </w:p>
        </w:tc>
        <w:tc>
          <w:tcPr>
            <w:tcW w:w="192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190"/>
        </w:trPr>
        <w:tc>
          <w:tcPr>
            <w:tcW w:w="3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July 1-31, 2023</w:t>
            </w:r>
          </w:p>
        </w:tc>
        <w:tc>
          <w:tcPr>
            <w:tcW w:w="2860" w:type="dxa"/>
            <w:vAlign w:val="bottom"/>
            <w:tcBorders>
              <w:bottom w:val="single" w:sz="8" w:color="61656A"/>
            </w:tcBorders>
          </w:tcPr>
          <w:p>
            <w:pPr>
              <w:jc w:val="center"/>
              <w:ind w:left="1028"/>
              <w:spacing w:after="0"/>
              <w:rPr>
                <w:sz w:val="20"/>
                <w:szCs w:val="20"/>
                <w:color w:val="auto"/>
              </w:rPr>
            </w:pPr>
            <w:r>
              <w:rPr>
                <w:rFonts w:ascii="Arial" w:cs="Arial" w:eastAsia="Arial" w:hAnsi="Arial"/>
                <w:sz w:val="14"/>
                <w:szCs w:val="14"/>
                <w:color w:val="auto"/>
              </w:rPr>
              <w:t>733,713</w:t>
            </w:r>
          </w:p>
        </w:tc>
        <w:tc>
          <w:tcPr>
            <w:tcW w:w="168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$207.14</w:t>
            </w:r>
          </w:p>
        </w:tc>
        <w:tc>
          <w:tcPr>
            <w:tcW w:w="1700" w:type="dxa"/>
            <w:vAlign w:val="bottom"/>
            <w:tcBorders>
              <w:bottom w:val="single" w:sz="8" w:color="61656A"/>
            </w:tcBorders>
          </w:tcPr>
          <w:p>
            <w:pPr>
              <w:jc w:val="center"/>
              <w:ind w:left="148"/>
              <w:spacing w:after="0"/>
              <w:rPr>
                <w:sz w:val="20"/>
                <w:szCs w:val="20"/>
                <w:color w:val="auto"/>
              </w:rPr>
            </w:pPr>
            <w:r>
              <w:rPr>
                <w:rFonts w:ascii="Arial" w:cs="Arial" w:eastAsia="Arial" w:hAnsi="Arial"/>
                <w:sz w:val="14"/>
                <w:szCs w:val="14"/>
                <w:color w:val="auto"/>
              </w:rPr>
              <w:t>733,713</w:t>
            </w:r>
          </w:p>
        </w:tc>
        <w:tc>
          <w:tcPr>
            <w:tcW w:w="192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rPr>
              <w:t>$9,490</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August 1-31, 2023</w:t>
            </w:r>
          </w:p>
        </w:tc>
        <w:tc>
          <w:tcPr>
            <w:tcW w:w="2860" w:type="dxa"/>
            <w:vAlign w:val="bottom"/>
            <w:tcBorders>
              <w:bottom w:val="single" w:sz="8" w:color="61656A"/>
            </w:tcBorders>
          </w:tcPr>
          <w:p>
            <w:pPr>
              <w:jc w:val="center"/>
              <w:ind w:left="1028"/>
              <w:spacing w:after="0"/>
              <w:rPr>
                <w:sz w:val="20"/>
                <w:szCs w:val="20"/>
                <w:color w:val="auto"/>
              </w:rPr>
            </w:pPr>
            <w:r>
              <w:rPr>
                <w:rFonts w:ascii="Arial" w:cs="Arial" w:eastAsia="Arial" w:hAnsi="Arial"/>
                <w:sz w:val="14"/>
                <w:szCs w:val="14"/>
                <w:color w:val="auto"/>
              </w:rPr>
              <w:t>2,631,818</w:t>
            </w:r>
          </w:p>
        </w:tc>
        <w:tc>
          <w:tcPr>
            <w:tcW w:w="168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$189.40</w:t>
            </w:r>
          </w:p>
        </w:tc>
        <w:tc>
          <w:tcPr>
            <w:tcW w:w="1700" w:type="dxa"/>
            <w:vAlign w:val="bottom"/>
            <w:tcBorders>
              <w:bottom w:val="single" w:sz="8" w:color="61656A"/>
            </w:tcBorders>
          </w:tcPr>
          <w:p>
            <w:pPr>
              <w:jc w:val="center"/>
              <w:ind w:left="148"/>
              <w:spacing w:after="0"/>
              <w:rPr>
                <w:sz w:val="20"/>
                <w:szCs w:val="20"/>
                <w:color w:val="auto"/>
              </w:rPr>
            </w:pPr>
            <w:r>
              <w:rPr>
                <w:rFonts w:ascii="Arial" w:cs="Arial" w:eastAsia="Arial" w:hAnsi="Arial"/>
                <w:sz w:val="14"/>
                <w:szCs w:val="14"/>
                <w:color w:val="auto"/>
              </w:rPr>
              <w:t>2,631,818</w:t>
            </w:r>
          </w:p>
        </w:tc>
        <w:tc>
          <w:tcPr>
            <w:tcW w:w="192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rPr>
              <w:t>$8,992</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September 1-30, 2023</w:t>
            </w:r>
          </w:p>
        </w:tc>
        <w:tc>
          <w:tcPr>
            <w:tcW w:w="2860" w:type="dxa"/>
            <w:vAlign w:val="bottom"/>
            <w:tcBorders>
              <w:bottom w:val="single" w:sz="8" w:color="D7282F"/>
            </w:tcBorders>
          </w:tcPr>
          <w:p>
            <w:pPr>
              <w:jc w:val="center"/>
              <w:ind w:left="1028"/>
              <w:spacing w:after="0"/>
              <w:rPr>
                <w:sz w:val="20"/>
                <w:szCs w:val="20"/>
                <w:color w:val="auto"/>
              </w:rPr>
            </w:pPr>
            <w:r>
              <w:rPr>
                <w:rFonts w:ascii="Arial" w:cs="Arial" w:eastAsia="Arial" w:hAnsi="Arial"/>
                <w:sz w:val="14"/>
                <w:szCs w:val="14"/>
                <w:color w:val="auto"/>
              </w:rPr>
              <w:t>1,901,499</w:t>
            </w:r>
          </w:p>
        </w:tc>
        <w:tc>
          <w:tcPr>
            <w:tcW w:w="168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rPr>
              <w:t>$189.30</w:t>
            </w:r>
          </w:p>
        </w:tc>
        <w:tc>
          <w:tcPr>
            <w:tcW w:w="1700" w:type="dxa"/>
            <w:vAlign w:val="bottom"/>
            <w:tcBorders>
              <w:bottom w:val="single" w:sz="8" w:color="D7282F"/>
            </w:tcBorders>
          </w:tcPr>
          <w:p>
            <w:pPr>
              <w:jc w:val="center"/>
              <w:ind w:left="148"/>
              <w:spacing w:after="0"/>
              <w:rPr>
                <w:sz w:val="20"/>
                <w:szCs w:val="20"/>
                <w:color w:val="auto"/>
              </w:rPr>
            </w:pPr>
            <w:r>
              <w:rPr>
                <w:rFonts w:ascii="Arial" w:cs="Arial" w:eastAsia="Arial" w:hAnsi="Arial"/>
                <w:sz w:val="14"/>
                <w:szCs w:val="14"/>
                <w:color w:val="auto"/>
              </w:rPr>
              <w:t>1,901,499</w:t>
            </w:r>
          </w:p>
        </w:tc>
        <w:tc>
          <w:tcPr>
            <w:tcW w:w="1920" w:type="dxa"/>
            <w:vAlign w:val="bottom"/>
            <w:tcBorders>
              <w:bottom w:val="single" w:sz="8" w:color="D7282F"/>
            </w:tcBorders>
          </w:tcPr>
          <w:p>
            <w:pPr>
              <w:jc w:val="center"/>
              <w:ind w:left="88"/>
              <w:spacing w:after="0"/>
              <w:rPr>
                <w:sz w:val="20"/>
                <w:szCs w:val="20"/>
                <w:color w:val="auto"/>
              </w:rPr>
            </w:pPr>
            <w:r>
              <w:rPr>
                <w:rFonts w:ascii="Arial" w:cs="Arial" w:eastAsia="Arial" w:hAnsi="Arial"/>
                <w:sz w:val="14"/>
                <w:szCs w:val="14"/>
                <w:color w:val="auto"/>
              </w:rPr>
              <w:t>$8,632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ind w:left="400" w:hanging="392"/>
        <w:spacing w:after="0"/>
        <w:tabs>
          <w:tab w:leader="none" w:pos="400" w:val="left"/>
        </w:tabs>
        <w:numPr>
          <w:ilvl w:val="0"/>
          <w:numId w:val="6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MINE SAFETY DISCLOSURES</w:t>
      </w: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quarterly report.</w:t>
      </w:r>
    </w:p>
    <w:p>
      <w:pPr>
        <w:spacing w:after="0" w:line="30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5. OTHER INFORMATION</w:t>
      </w: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D7282F"/>
        </w:rPr>
        <w:t>EQUITY TRADING PLAN ELECTIONS</w:t>
      </w:r>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Certain executive officers and directors of the Company may execute purchases and sales of the Company's common stock through Rule 10b5-1 and non-Rule 10b5-1 equity trading plans.</w:t>
      </w:r>
    </w:p>
    <w:p>
      <w:pPr>
        <w:spacing w:after="0" w:line="76"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During the three months ended September 30, 2023, none of our executive officers or directors adopted, terminated, or modified a Rule 10b5-1 equity trading plan, or adopted, terminated, or modified any "non-Rule 10b5-1 trading arrangement" (as defined in Item 408(c) of Regulation S-K).</w:t>
      </w:r>
    </w:p>
    <w:p>
      <w:pPr>
        <w:spacing w:after="0" w:line="394" w:lineRule="exact"/>
        <w:rPr>
          <w:sz w:val="20"/>
          <w:szCs w:val="20"/>
          <w:color w:val="auto"/>
        </w:rPr>
      </w:pPr>
    </w:p>
    <w:p>
      <w:pPr>
        <w:ind w:left="400" w:hanging="392"/>
        <w:spacing w:after="0"/>
        <w:tabs>
          <w:tab w:leader="none" w:pos="400" w:val="left"/>
        </w:tabs>
        <w:numPr>
          <w:ilvl w:val="0"/>
          <w:numId w:val="6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6. EXHIBITS</w:t>
      </w: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1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0120" w:type="dxa"/>
            <w:vAlign w:val="bottom"/>
            <w:tcBorders>
              <w:bottom w:val="single" w:sz="8" w:color="D7282F"/>
            </w:tcBorders>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191"/>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31.1</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Certification of Principal Executive Officer Pursuant to Section 302 of the Sarbanes-Oxley Act of 2002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31.2</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Certification of Principal Financial Officer Pursuant to Section 302 of the Sarbanes-Oxley Act of 2002 (filed herewith)</w:t>
            </w:r>
          </w:p>
        </w:tc>
      </w:tr>
      <w:tr>
        <w:trPr>
          <w:trHeight w:val="148"/>
        </w:trPr>
        <w:tc>
          <w:tcPr>
            <w:tcW w:w="1080" w:type="dxa"/>
            <w:vAlign w:val="bottom"/>
          </w:tcPr>
          <w:p>
            <w:pPr>
              <w:ind w:left="20"/>
              <w:spacing w:after="0" w:line="148" w:lineRule="exact"/>
              <w:rPr>
                <w:sz w:val="20"/>
                <w:szCs w:val="20"/>
                <w:color w:val="auto"/>
              </w:rPr>
            </w:pPr>
            <w:r>
              <w:rPr>
                <w:rFonts w:ascii="Arial" w:cs="Arial" w:eastAsia="Arial" w:hAnsi="Arial"/>
                <w:sz w:val="14"/>
                <w:szCs w:val="14"/>
                <w:color w:val="auto"/>
              </w:rPr>
              <w:t>32.1</w:t>
            </w:r>
          </w:p>
        </w:tc>
        <w:tc>
          <w:tcPr>
            <w:tcW w:w="10120" w:type="dxa"/>
            <w:vAlign w:val="bottom"/>
          </w:tcPr>
          <w:p>
            <w:pPr>
              <w:ind w:left="300"/>
              <w:spacing w:after="0" w:line="148" w:lineRule="exact"/>
              <w:rPr>
                <w:sz w:val="20"/>
                <w:szCs w:val="20"/>
                <w:color w:val="auto"/>
              </w:rPr>
            </w:pPr>
            <w:r>
              <w:rPr>
                <w:rFonts w:ascii="Arial" w:cs="Arial" w:eastAsia="Arial" w:hAnsi="Arial"/>
                <w:sz w:val="14"/>
                <w:szCs w:val="14"/>
                <w:color w:val="auto"/>
              </w:rPr>
              <w:t>Certification of Principal Executive Officer Pursuant to 18 U.S.C. Section 1350, as Adopted Pursuant to Section 906 of the Sarbanes-Oxley Act of 2002</w:t>
            </w:r>
          </w:p>
        </w:tc>
      </w:tr>
      <w:tr>
        <w:trPr>
          <w:trHeight w:val="186"/>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(furnished herewith)</w:t>
            </w:r>
          </w:p>
        </w:tc>
      </w:tr>
      <w:tr>
        <w:trPr>
          <w:trHeight w:val="145"/>
        </w:trPr>
        <w:tc>
          <w:tcPr>
            <w:tcW w:w="1080" w:type="dxa"/>
            <w:vAlign w:val="bottom"/>
          </w:tcPr>
          <w:p>
            <w:pPr>
              <w:ind w:left="20"/>
              <w:spacing w:after="0" w:line="145" w:lineRule="exact"/>
              <w:rPr>
                <w:sz w:val="20"/>
                <w:szCs w:val="20"/>
                <w:color w:val="auto"/>
              </w:rPr>
            </w:pPr>
            <w:r>
              <w:rPr>
                <w:rFonts w:ascii="Arial" w:cs="Arial" w:eastAsia="Arial" w:hAnsi="Arial"/>
                <w:sz w:val="14"/>
                <w:szCs w:val="14"/>
                <w:color w:val="auto"/>
              </w:rPr>
              <w:t>32.2</w:t>
            </w:r>
          </w:p>
        </w:tc>
        <w:tc>
          <w:tcPr>
            <w:tcW w:w="10120" w:type="dxa"/>
            <w:vAlign w:val="bottom"/>
          </w:tcPr>
          <w:p>
            <w:pPr>
              <w:ind w:left="300"/>
              <w:spacing w:after="0" w:line="145" w:lineRule="exact"/>
              <w:rPr>
                <w:sz w:val="20"/>
                <w:szCs w:val="20"/>
                <w:color w:val="auto"/>
              </w:rPr>
            </w:pPr>
            <w:r>
              <w:rPr>
                <w:rFonts w:ascii="Arial" w:cs="Arial" w:eastAsia="Arial" w:hAnsi="Arial"/>
                <w:sz w:val="14"/>
                <w:szCs w:val="14"/>
                <w:color w:val="auto"/>
              </w:rPr>
              <w:t>Certification of Principal Financial Officer Pursuant to 18 U.S.C. Section 1350, as Adopted Pursuant to Section 906 of the Sarbanes-Oxley Act of 2002</w:t>
            </w:r>
          </w:p>
        </w:tc>
      </w:tr>
      <w:tr>
        <w:trPr>
          <w:trHeight w:val="186"/>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(furnished herewith)</w:t>
            </w:r>
          </w:p>
        </w:tc>
      </w:tr>
      <w:tr>
        <w:trPr>
          <w:trHeight w:val="193"/>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95</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Mine Safety Disclosures (filed herewith)</w:t>
            </w:r>
          </w:p>
        </w:tc>
      </w:tr>
      <w:tr>
        <w:trPr>
          <w:trHeight w:val="148"/>
        </w:trPr>
        <w:tc>
          <w:tcPr>
            <w:tcW w:w="1080" w:type="dxa"/>
            <w:vAlign w:val="bottom"/>
          </w:tcPr>
          <w:p>
            <w:pPr>
              <w:ind w:left="20"/>
              <w:spacing w:after="0" w:line="148" w:lineRule="exact"/>
              <w:rPr>
                <w:sz w:val="20"/>
                <w:szCs w:val="20"/>
                <w:color w:val="auto"/>
              </w:rPr>
            </w:pPr>
            <w:r>
              <w:rPr>
                <w:rFonts w:ascii="Arial" w:cs="Arial" w:eastAsia="Arial" w:hAnsi="Arial"/>
                <w:sz w:val="14"/>
                <w:szCs w:val="14"/>
                <w:color w:val="auto"/>
              </w:rPr>
              <w:t>101.INS</w:t>
            </w:r>
          </w:p>
        </w:tc>
        <w:tc>
          <w:tcPr>
            <w:tcW w:w="10120" w:type="dxa"/>
            <w:vAlign w:val="bottom"/>
          </w:tcPr>
          <w:p>
            <w:pPr>
              <w:ind w:left="300"/>
              <w:spacing w:after="0" w:line="148" w:lineRule="exact"/>
              <w:rPr>
                <w:sz w:val="20"/>
                <w:szCs w:val="20"/>
                <w:color w:val="auto"/>
              </w:rPr>
            </w:pPr>
            <w:r>
              <w:rPr>
                <w:rFonts w:ascii="Arial" w:cs="Arial" w:eastAsia="Arial" w:hAnsi="Arial"/>
                <w:sz w:val="14"/>
                <w:szCs w:val="14"/>
                <w:color w:val="auto"/>
              </w:rPr>
              <w:t>Inline XBRL Instance Document (the instance document does not appear in the Interactive Data File because its XBRL tags are embedded within the</w:t>
            </w:r>
          </w:p>
        </w:tc>
      </w:tr>
      <w:tr>
        <w:trPr>
          <w:trHeight w:val="186"/>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document)</w:t>
            </w:r>
          </w:p>
        </w:tc>
      </w:tr>
      <w:tr>
        <w:trPr>
          <w:trHeight w:val="193"/>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101.SCH</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Schema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101.CAL</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Calculation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101.DEF</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Definition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101.LAB</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Label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101.PRE</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Presentation Linkbase (filed herewith)</w:t>
            </w:r>
          </w:p>
        </w:tc>
      </w:tr>
      <w:tr>
        <w:trPr>
          <w:trHeight w:val="196"/>
        </w:trPr>
        <w:tc>
          <w:tcPr>
            <w:tcW w:w="10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104</w:t>
            </w:r>
          </w:p>
        </w:tc>
        <w:tc>
          <w:tcPr>
            <w:tcW w:w="10120" w:type="dxa"/>
            <w:vAlign w:val="bottom"/>
            <w:tcBorders>
              <w:bottom w:val="single" w:sz="8" w:color="D7282F"/>
            </w:tcBorders>
          </w:tcPr>
          <w:p>
            <w:pPr>
              <w:ind w:left="300"/>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0" w:hanging="392"/>
        <w:spacing w:after="0"/>
        <w:tabs>
          <w:tab w:leader="none" w:pos="400" w:val="left"/>
        </w:tabs>
        <w:numPr>
          <w:ilvl w:val="0"/>
          <w:numId w:val="6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SIGNATURES</w:t>
      </w:r>
    </w:p>
    <w:p>
      <w:pPr>
        <w:spacing w:after="0" w:line="200" w:lineRule="exact"/>
        <w:rPr>
          <w:sz w:val="20"/>
          <w:szCs w:val="20"/>
          <w:color w:val="auto"/>
        </w:rPr>
      </w:pPr>
    </w:p>
    <w:p>
      <w:pPr>
        <w:spacing w:after="0" w:line="20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HONEYWELL INTERNATIONAL INC.</w:t>
      </w:r>
    </w:p>
    <w:p>
      <w:pPr>
        <w:spacing w:after="0" w:line="248" w:lineRule="exact"/>
        <w:rPr>
          <w:sz w:val="20"/>
          <w:szCs w:val="20"/>
          <w:color w:val="auto"/>
        </w:rPr>
      </w:pPr>
    </w:p>
    <w:p>
      <w:pPr>
        <w:ind w:left="20"/>
        <w:spacing w:after="0"/>
        <w:tabs>
          <w:tab w:leader="none" w:pos="6640" w:val="left"/>
          <w:tab w:leader="none" w:pos="7160" w:val="left"/>
        </w:tabs>
        <w:rPr>
          <w:sz w:val="20"/>
          <w:szCs w:val="20"/>
          <w:color w:val="auto"/>
        </w:rPr>
      </w:pPr>
      <w:r>
        <w:rPr>
          <w:rFonts w:ascii="Arial" w:cs="Arial" w:eastAsia="Arial" w:hAnsi="Arial"/>
          <w:sz w:val="16"/>
          <w:szCs w:val="16"/>
          <w:color w:val="auto"/>
        </w:rPr>
        <w:t>Date: October 26,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18415</wp:posOffset>
            </wp:positionV>
            <wp:extent cx="24517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Robert D. Mailloux</w:t>
      </w:r>
    </w:p>
    <w:p>
      <w:pPr>
        <w:ind w:left="7180"/>
        <w:spacing w:after="0" w:line="211" w:lineRule="auto"/>
        <w:rPr>
          <w:sz w:val="20"/>
          <w:szCs w:val="20"/>
          <w:color w:val="auto"/>
        </w:rPr>
      </w:pPr>
      <w:r>
        <w:rPr>
          <w:rFonts w:ascii="Arial" w:cs="Arial" w:eastAsia="Arial" w:hAnsi="Arial"/>
          <w:sz w:val="16"/>
          <w:szCs w:val="16"/>
          <w:color w:val="auto"/>
        </w:rPr>
        <w:t>Vice President and Controller</w:t>
      </w:r>
    </w:p>
    <w:p>
      <w:pPr>
        <w:ind w:left="7180"/>
        <w:spacing w:after="0" w:line="211" w:lineRule="auto"/>
        <w:rPr>
          <w:sz w:val="20"/>
          <w:szCs w:val="20"/>
          <w:color w:val="auto"/>
        </w:rPr>
      </w:pPr>
      <w:r>
        <w:rPr>
          <w:rFonts w:ascii="Arial" w:cs="Arial" w:eastAsia="Arial" w:hAnsi="Arial"/>
          <w:sz w:val="16"/>
          <w:szCs w:val="16"/>
          <w:color w:val="auto"/>
        </w:rPr>
        <w:t>(on behalf of the Registrant</w:t>
      </w:r>
    </w:p>
    <w:p>
      <w:pPr>
        <w:ind w:left="7180"/>
        <w:spacing w:after="0" w:line="211" w:lineRule="auto"/>
        <w:rPr>
          <w:sz w:val="20"/>
          <w:szCs w:val="20"/>
          <w:color w:val="auto"/>
        </w:rPr>
      </w:pPr>
      <w:r>
        <w:rPr>
          <w:rFonts w:ascii="Arial" w:cs="Arial" w:eastAsia="Arial" w:hAnsi="Arial"/>
          <w:sz w:val="16"/>
          <w:szCs w:val="16"/>
          <w:color w:val="auto"/>
        </w:rPr>
        <w:t>and as the Registrant’s</w:t>
      </w:r>
    </w:p>
    <w:p>
      <w:pPr>
        <w:spacing w:after="0" w:line="1"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0" w:hanging="392"/>
        <w:spacing w:after="0"/>
        <w:tabs>
          <w:tab w:leader="none" w:pos="400" w:val="left"/>
        </w:tabs>
        <w:numPr>
          <w:ilvl w:val="0"/>
          <w:numId w:val="64"/>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ectPr>
          <w:pgSz w:w="11900" w:h="16838" w:orient="portrait"/>
          <w:cols w:equalWidth="0" w:num="1">
            <w:col w:w="11240"/>
          </w:cols>
          <w:pgMar w:left="320" w:top="118"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Vimal Kapur, certify that:</w:t>
      </w:r>
    </w:p>
    <w:p>
      <w:pPr>
        <w:spacing w:after="0" w:line="266" w:lineRule="exact"/>
        <w:rPr>
          <w:sz w:val="20"/>
          <w:szCs w:val="20"/>
          <w:color w:val="auto"/>
        </w:rPr>
      </w:pPr>
    </w:p>
    <w:p>
      <w:pPr>
        <w:ind w:left="360" w:hanging="334"/>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29" w:lineRule="auto"/>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1" w:lineRule="exact"/>
        <w:rPr>
          <w:rFonts w:ascii="Arial" w:cs="Arial" w:eastAsia="Arial" w:hAnsi="Arial"/>
          <w:sz w:val="18"/>
          <w:szCs w:val="18"/>
          <w:color w:val="auto"/>
        </w:rPr>
      </w:pPr>
    </w:p>
    <w:p>
      <w:pPr>
        <w:ind w:left="360" w:right="60" w:hanging="334"/>
        <w:spacing w:after="0" w:line="234" w:lineRule="auto"/>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4" w:lineRule="exact"/>
        <w:rPr>
          <w:rFonts w:ascii="Arial" w:cs="Arial" w:eastAsia="Arial" w:hAnsi="Arial"/>
          <w:sz w:val="18"/>
          <w:szCs w:val="18"/>
          <w:color w:val="auto"/>
        </w:rPr>
      </w:pPr>
    </w:p>
    <w:p>
      <w:pPr>
        <w:jc w:val="both"/>
        <w:ind w:left="360" w:right="60" w:hanging="334"/>
        <w:spacing w:after="0" w:line="218" w:lineRule="auto"/>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40" w:lineRule="exact"/>
        <w:rPr>
          <w:rFonts w:ascii="Arial" w:cs="Arial" w:eastAsia="Arial" w:hAnsi="Arial"/>
          <w:sz w:val="18"/>
          <w:szCs w:val="18"/>
          <w:color w:val="auto"/>
        </w:rPr>
      </w:pPr>
    </w:p>
    <w:p>
      <w:pPr>
        <w:jc w:val="both"/>
        <w:ind w:left="1380" w:right="60" w:hanging="608"/>
        <w:spacing w:after="0" w:line="229" w:lineRule="auto"/>
        <w:tabs>
          <w:tab w:leader="none" w:pos="13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1" w:lineRule="exact"/>
        <w:rPr>
          <w:rFonts w:ascii="Arial" w:cs="Arial" w:eastAsia="Arial" w:hAnsi="Arial"/>
          <w:sz w:val="18"/>
          <w:szCs w:val="18"/>
          <w:color w:val="auto"/>
        </w:rPr>
      </w:pPr>
    </w:p>
    <w:p>
      <w:pPr>
        <w:jc w:val="both"/>
        <w:ind w:left="1380" w:right="80" w:hanging="608"/>
        <w:spacing w:after="0" w:line="229" w:lineRule="auto"/>
        <w:tabs>
          <w:tab w:leader="none" w:pos="13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1" w:lineRule="exact"/>
        <w:rPr>
          <w:rFonts w:ascii="Arial" w:cs="Arial" w:eastAsia="Arial" w:hAnsi="Arial"/>
          <w:sz w:val="18"/>
          <w:szCs w:val="18"/>
          <w:color w:val="auto"/>
        </w:rPr>
      </w:pPr>
    </w:p>
    <w:p>
      <w:pPr>
        <w:jc w:val="both"/>
        <w:ind w:left="1380" w:right="60" w:hanging="603"/>
        <w:spacing w:after="0" w:line="229" w:lineRule="auto"/>
        <w:tabs>
          <w:tab w:leader="none" w:pos="13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1" w:lineRule="exact"/>
        <w:rPr>
          <w:rFonts w:ascii="Arial" w:cs="Arial" w:eastAsia="Arial" w:hAnsi="Arial"/>
          <w:sz w:val="18"/>
          <w:szCs w:val="18"/>
          <w:color w:val="auto"/>
        </w:rPr>
      </w:pPr>
    </w:p>
    <w:p>
      <w:pPr>
        <w:jc w:val="both"/>
        <w:ind w:left="1380" w:right="60" w:hanging="608"/>
        <w:spacing w:after="0" w:line="229" w:lineRule="auto"/>
        <w:tabs>
          <w:tab w:leader="none" w:pos="13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31" w:lineRule="exact"/>
        <w:rPr>
          <w:rFonts w:ascii="Arial" w:cs="Arial" w:eastAsia="Arial" w:hAnsi="Arial"/>
          <w:sz w:val="18"/>
          <w:szCs w:val="18"/>
          <w:color w:val="auto"/>
        </w:rPr>
      </w:pPr>
    </w:p>
    <w:p>
      <w:pPr>
        <w:jc w:val="both"/>
        <w:ind w:left="360" w:right="60" w:hanging="334"/>
        <w:spacing w:after="0" w:line="229" w:lineRule="auto"/>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1" w:lineRule="exact"/>
        <w:rPr>
          <w:rFonts w:ascii="Arial" w:cs="Arial" w:eastAsia="Arial" w:hAnsi="Arial"/>
          <w:sz w:val="18"/>
          <w:szCs w:val="18"/>
          <w:color w:val="auto"/>
        </w:rPr>
      </w:pPr>
    </w:p>
    <w:p>
      <w:pPr>
        <w:jc w:val="both"/>
        <w:ind w:left="1380" w:right="60" w:hanging="608"/>
        <w:spacing w:after="0" w:line="229" w:lineRule="auto"/>
        <w:tabs>
          <w:tab w:leader="none" w:pos="13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1" w:lineRule="exact"/>
        <w:rPr>
          <w:rFonts w:ascii="Arial" w:cs="Arial" w:eastAsia="Arial" w:hAnsi="Arial"/>
          <w:sz w:val="18"/>
          <w:szCs w:val="18"/>
          <w:color w:val="auto"/>
        </w:rPr>
      </w:pPr>
    </w:p>
    <w:p>
      <w:pPr>
        <w:ind w:left="1380" w:right="60" w:hanging="608"/>
        <w:spacing w:after="0" w:line="234" w:lineRule="auto"/>
        <w:tabs>
          <w:tab w:leader="none" w:pos="13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October 26,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Vimal Kapur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13970</wp:posOffset>
            </wp:positionV>
            <wp:extent cx="32232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Vimal Kapur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86"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Gregory P. Lewis, certify that:</w:t>
      </w:r>
    </w:p>
    <w:p>
      <w:pPr>
        <w:spacing w:after="0" w:line="266" w:lineRule="exact"/>
        <w:rPr>
          <w:sz w:val="20"/>
          <w:szCs w:val="20"/>
          <w:color w:val="auto"/>
        </w:rPr>
      </w:pPr>
    </w:p>
    <w:p>
      <w:pPr>
        <w:ind w:left="360" w:hanging="334"/>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29" w:lineRule="auto"/>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1" w:lineRule="exact"/>
        <w:rPr>
          <w:rFonts w:ascii="Arial" w:cs="Arial" w:eastAsia="Arial" w:hAnsi="Arial"/>
          <w:sz w:val="18"/>
          <w:szCs w:val="18"/>
          <w:color w:val="auto"/>
        </w:rPr>
      </w:pPr>
    </w:p>
    <w:p>
      <w:pPr>
        <w:ind w:left="360" w:right="60" w:hanging="334"/>
        <w:spacing w:after="0" w:line="234" w:lineRule="auto"/>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4" w:lineRule="exact"/>
        <w:rPr>
          <w:rFonts w:ascii="Arial" w:cs="Arial" w:eastAsia="Arial" w:hAnsi="Arial"/>
          <w:sz w:val="18"/>
          <w:szCs w:val="18"/>
          <w:color w:val="auto"/>
        </w:rPr>
      </w:pPr>
    </w:p>
    <w:p>
      <w:pPr>
        <w:jc w:val="both"/>
        <w:ind w:left="360" w:right="60" w:hanging="334"/>
        <w:spacing w:after="0" w:line="218" w:lineRule="auto"/>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40" w:lineRule="exact"/>
        <w:rPr>
          <w:rFonts w:ascii="Arial" w:cs="Arial" w:eastAsia="Arial" w:hAnsi="Arial"/>
          <w:sz w:val="18"/>
          <w:szCs w:val="18"/>
          <w:color w:val="auto"/>
        </w:rPr>
      </w:pPr>
    </w:p>
    <w:p>
      <w:pPr>
        <w:jc w:val="both"/>
        <w:ind w:left="1380" w:right="60" w:hanging="608"/>
        <w:spacing w:after="0" w:line="229" w:lineRule="auto"/>
        <w:tabs>
          <w:tab w:leader="none" w:pos="13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1" w:lineRule="exact"/>
        <w:rPr>
          <w:rFonts w:ascii="Arial" w:cs="Arial" w:eastAsia="Arial" w:hAnsi="Arial"/>
          <w:sz w:val="18"/>
          <w:szCs w:val="18"/>
          <w:color w:val="auto"/>
        </w:rPr>
      </w:pPr>
    </w:p>
    <w:p>
      <w:pPr>
        <w:jc w:val="both"/>
        <w:ind w:left="1380" w:right="80" w:hanging="608"/>
        <w:spacing w:after="0" w:line="229" w:lineRule="auto"/>
        <w:tabs>
          <w:tab w:leader="none" w:pos="13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1" w:lineRule="exact"/>
        <w:rPr>
          <w:rFonts w:ascii="Arial" w:cs="Arial" w:eastAsia="Arial" w:hAnsi="Arial"/>
          <w:sz w:val="18"/>
          <w:szCs w:val="18"/>
          <w:color w:val="auto"/>
        </w:rPr>
      </w:pPr>
    </w:p>
    <w:p>
      <w:pPr>
        <w:jc w:val="both"/>
        <w:ind w:left="1380" w:right="60" w:hanging="603"/>
        <w:spacing w:after="0" w:line="229" w:lineRule="auto"/>
        <w:tabs>
          <w:tab w:leader="none" w:pos="13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1" w:lineRule="exact"/>
        <w:rPr>
          <w:rFonts w:ascii="Arial" w:cs="Arial" w:eastAsia="Arial" w:hAnsi="Arial"/>
          <w:sz w:val="18"/>
          <w:szCs w:val="18"/>
          <w:color w:val="auto"/>
        </w:rPr>
      </w:pPr>
    </w:p>
    <w:p>
      <w:pPr>
        <w:jc w:val="both"/>
        <w:ind w:left="1380" w:right="60" w:hanging="608"/>
        <w:spacing w:after="0" w:line="229" w:lineRule="auto"/>
        <w:tabs>
          <w:tab w:leader="none" w:pos="13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31" w:lineRule="exact"/>
        <w:rPr>
          <w:rFonts w:ascii="Arial" w:cs="Arial" w:eastAsia="Arial" w:hAnsi="Arial"/>
          <w:sz w:val="18"/>
          <w:szCs w:val="18"/>
          <w:color w:val="auto"/>
        </w:rPr>
      </w:pPr>
    </w:p>
    <w:p>
      <w:pPr>
        <w:jc w:val="both"/>
        <w:ind w:left="360" w:right="60" w:hanging="334"/>
        <w:spacing w:after="0" w:line="229" w:lineRule="auto"/>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1" w:lineRule="exact"/>
        <w:rPr>
          <w:rFonts w:ascii="Arial" w:cs="Arial" w:eastAsia="Arial" w:hAnsi="Arial"/>
          <w:sz w:val="18"/>
          <w:szCs w:val="18"/>
          <w:color w:val="auto"/>
        </w:rPr>
      </w:pPr>
    </w:p>
    <w:p>
      <w:pPr>
        <w:jc w:val="both"/>
        <w:ind w:left="1380" w:right="60" w:hanging="608"/>
        <w:spacing w:after="0" w:line="229" w:lineRule="auto"/>
        <w:tabs>
          <w:tab w:leader="none" w:pos="13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1" w:lineRule="exact"/>
        <w:rPr>
          <w:rFonts w:ascii="Arial" w:cs="Arial" w:eastAsia="Arial" w:hAnsi="Arial"/>
          <w:sz w:val="18"/>
          <w:szCs w:val="18"/>
          <w:color w:val="auto"/>
        </w:rPr>
      </w:pPr>
    </w:p>
    <w:p>
      <w:pPr>
        <w:ind w:left="1380" w:right="60" w:hanging="608"/>
        <w:spacing w:after="0" w:line="234" w:lineRule="auto"/>
        <w:tabs>
          <w:tab w:leader="none" w:pos="13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October 26,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13970</wp:posOffset>
            </wp:positionV>
            <wp:extent cx="32232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Gregory P. Lewis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86"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2023 as filed with the Securities and Exchange Commission on the date hereof (the Report), I, Vimal Kapur, Chief Executive Officer of the Company, certify, pursuant to 18 U.S.C. Section 1350, as adopted pursuant to Section 906 of the Sarbanes-Oxley Act of 2002, that:</w:t>
      </w:r>
    </w:p>
    <w:p>
      <w:pPr>
        <w:spacing w:after="0" w:line="184" w:lineRule="exact"/>
        <w:rPr>
          <w:sz w:val="20"/>
          <w:szCs w:val="20"/>
          <w:color w:val="auto"/>
        </w:rPr>
      </w:pPr>
    </w:p>
    <w:p>
      <w:pPr>
        <w:ind w:left="800" w:hanging="306"/>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 w:lineRule="exact"/>
        <w:rPr>
          <w:rFonts w:ascii="Arial" w:cs="Arial" w:eastAsia="Arial" w:hAnsi="Arial"/>
          <w:sz w:val="18"/>
          <w:szCs w:val="18"/>
          <w:color w:val="auto"/>
        </w:rPr>
      </w:pPr>
    </w:p>
    <w:p>
      <w:pPr>
        <w:ind w:left="820" w:right="20" w:hanging="326"/>
        <w:spacing w:after="0" w:line="261" w:lineRule="auto"/>
        <w:tabs>
          <w:tab w:leader="none" w:pos="81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3" w:lineRule="exact"/>
        <w:rPr>
          <w:sz w:val="20"/>
          <w:szCs w:val="20"/>
          <w:color w:val="auto"/>
        </w:rPr>
      </w:pPr>
    </w:p>
    <w:tbl>
      <w:tblPr>
        <w:tblLayout w:type="fixed"/>
        <w:tblInd w:w="180" w:type="dxa"/>
        <w:tblCellMar>
          <w:top w:w="0" w:type="dxa"/>
          <w:left w:w="0" w:type="dxa"/>
          <w:bottom w:w="0" w:type="dxa"/>
          <w:right w:w="0" w:type="dxa"/>
        </w:tblCellMar>
      </w:tblP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Date: October 26, 2023</w:t>
            </w:r>
          </w:p>
        </w:tc>
        <w:tc>
          <w:tcPr>
            <w:tcW w:w="2380" w:type="dxa"/>
            <w:vAlign w:val="bottom"/>
          </w:tcPr>
          <w:p>
            <w:pPr>
              <w:ind w:left="17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Vimal Kapur</w:t>
            </w:r>
          </w:p>
        </w:tc>
      </w:tr>
      <w:tr>
        <w:trPr>
          <w:trHeight w:val="223"/>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Vimal Kapur</w:t>
            </w:r>
          </w:p>
        </w:tc>
      </w:tr>
      <w:tr>
        <w:trPr>
          <w:trHeight w:val="229"/>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86"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2023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190" w:lineRule="exact"/>
        <w:rPr>
          <w:sz w:val="20"/>
          <w:szCs w:val="20"/>
          <w:color w:val="auto"/>
        </w:rPr>
      </w:pPr>
    </w:p>
    <w:p>
      <w:pPr>
        <w:ind w:left="800" w:hanging="306"/>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 w:lineRule="exact"/>
        <w:rPr>
          <w:rFonts w:ascii="Arial" w:cs="Arial" w:eastAsia="Arial" w:hAnsi="Arial"/>
          <w:sz w:val="18"/>
          <w:szCs w:val="18"/>
          <w:color w:val="auto"/>
        </w:rPr>
      </w:pPr>
    </w:p>
    <w:p>
      <w:pPr>
        <w:ind w:left="820" w:right="20" w:hanging="326"/>
        <w:spacing w:after="0" w:line="261" w:lineRule="auto"/>
        <w:tabs>
          <w:tab w:leader="none" w:pos="81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3" w:lineRule="exact"/>
        <w:rPr>
          <w:sz w:val="20"/>
          <w:szCs w:val="20"/>
          <w:color w:val="auto"/>
        </w:rPr>
      </w:pPr>
    </w:p>
    <w:tbl>
      <w:tblPr>
        <w:tblLayout w:type="fixed"/>
        <w:tblInd w:w="180" w:type="dxa"/>
        <w:tblCellMar>
          <w:top w:w="0" w:type="dxa"/>
          <w:left w:w="0" w:type="dxa"/>
          <w:bottom w:w="0" w:type="dxa"/>
          <w:right w:w="0" w:type="dxa"/>
        </w:tblCellMar>
      </w:tblP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Date: October 26, 2023</w:t>
            </w:r>
          </w:p>
        </w:tc>
        <w:tc>
          <w:tcPr>
            <w:tcW w:w="2380" w:type="dxa"/>
            <w:vAlign w:val="bottom"/>
          </w:tcPr>
          <w:p>
            <w:pPr>
              <w:ind w:left="17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P. Lewis</w:t>
            </w:r>
          </w:p>
        </w:tc>
      </w:tr>
      <w:tr>
        <w:trPr>
          <w:trHeight w:val="223"/>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Gregory P. Lewis</w:t>
            </w:r>
          </w:p>
        </w:tc>
      </w:tr>
      <w:tr>
        <w:trPr>
          <w:trHeight w:val="229"/>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86"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343" w:lineRule="exact"/>
        <w:rPr>
          <w:sz w:val="20"/>
          <w:szCs w:val="20"/>
          <w:color w:val="auto"/>
        </w:rPr>
      </w:pPr>
    </w:p>
    <w:p>
      <w:pPr>
        <w:jc w:val="both"/>
        <w:ind w:firstLine="364"/>
        <w:spacing w:after="0" w:line="256" w:lineRule="auto"/>
        <w:rPr>
          <w:sz w:val="20"/>
          <w:szCs w:val="20"/>
          <w:color w:val="auto"/>
        </w:rPr>
      </w:pPr>
      <w:r>
        <w:rPr>
          <w:rFonts w:ascii="Arial" w:cs="Arial" w:eastAsia="Arial" w:hAnsi="Arial"/>
          <w:sz w:val="18"/>
          <w:szCs w:val="18"/>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84"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During the quarter ended September 30, 2023,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84" w:lineRule="exact"/>
        <w:rPr>
          <w:sz w:val="20"/>
          <w:szCs w:val="20"/>
          <w:color w:val="auto"/>
        </w:rPr>
      </w:pPr>
    </w:p>
    <w:p>
      <w:pPr>
        <w:jc w:val="both"/>
        <w:ind w:firstLine="364"/>
        <w:spacing w:after="0" w:line="256" w:lineRule="auto"/>
        <w:rPr>
          <w:sz w:val="20"/>
          <w:szCs w:val="20"/>
          <w:color w:val="auto"/>
        </w:rPr>
      </w:pPr>
      <w:r>
        <w:rPr>
          <w:rFonts w:ascii="Arial" w:cs="Arial" w:eastAsia="Arial" w:hAnsi="Arial"/>
          <w:sz w:val="18"/>
          <w:szCs w:val="18"/>
          <w:color w:val="auto"/>
        </w:rPr>
        <w:t>In addition, during the quarter ended September 30, 2023,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bullet"/>
      <w:start w:val="1"/>
    </w:lvl>
  </w:abstractNum>
  <w:abstractNum w:abstractNumId="3">
    <w:nsid w:val="5072367"/>
    <w:multiLevelType w:val="hybridMultilevel"/>
    <w:lvl w:ilvl="0">
      <w:lvlJc w:val="left"/>
      <w:lvlText w:val="2"/>
      <w:numFmt w:val="bullet"/>
      <w:start w:val="1"/>
    </w:lvl>
  </w:abstractNum>
  <w:abstractNum w:abstractNumId="4">
    <w:nsid w:val="3804823E"/>
    <w:multiLevelType w:val="hybridMultilevel"/>
    <w:lvl w:ilvl="0">
      <w:lvlJc w:val="left"/>
      <w:lvlText w:val="3"/>
      <w:numFmt w:val="bullet"/>
      <w:start w:val="1"/>
    </w:lvl>
  </w:abstractNum>
  <w:abstractNum w:abstractNumId="5">
    <w:nsid w:val="77465F01"/>
    <w:multiLevelType w:val="hybridMultilevel"/>
    <w:lvl w:ilvl="0">
      <w:lvlJc w:val="left"/>
      <w:lvlText w:val="4"/>
      <w:numFmt w:val="bullet"/>
      <w:start w:val="1"/>
    </w:lvl>
  </w:abstractNum>
  <w:abstractNum w:abstractNumId="6">
    <w:nsid w:val="7724C67E"/>
    <w:multiLevelType w:val="hybridMultilevel"/>
    <w:lvl w:ilvl="0">
      <w:lvlJc w:val="left"/>
      <w:lvlText w:val="5"/>
      <w:numFmt w:val="bullet"/>
      <w:start w:val="1"/>
    </w:lvl>
  </w:abstractNum>
  <w:abstractNum w:abstractNumId="7">
    <w:nsid w:val="5C482A97"/>
    <w:multiLevelType w:val="hybridMultilevel"/>
    <w:lvl w:ilvl="0">
      <w:lvlJc w:val="left"/>
      <w:lvlText w:val="6"/>
      <w:numFmt w:val="bullet"/>
      <w:start w:val="1"/>
    </w:lvl>
  </w:abstractNum>
  <w:abstractNum w:abstractNumId="8">
    <w:nsid w:val="2463B9EA"/>
    <w:multiLevelType w:val="hybridMultilevel"/>
    <w:lvl w:ilvl="0">
      <w:lvlJc w:val="left"/>
      <w:lvlText w:val="7"/>
      <w:numFmt w:val="bullet"/>
      <w:start w:val="1"/>
    </w:lvl>
  </w:abstractNum>
  <w:abstractNum w:abstractNumId="9">
    <w:nsid w:val="5E884ADC"/>
    <w:multiLevelType w:val="hybridMultilevel"/>
    <w:lvl w:ilvl="0">
      <w:lvlJc w:val="left"/>
      <w:lvlText w:val="8"/>
      <w:numFmt w:val="bullet"/>
      <w:start w:val="1"/>
    </w:lvl>
  </w:abstractNum>
  <w:abstractNum w:abstractNumId="10">
    <w:nsid w:val="51EAD36B"/>
    <w:multiLevelType w:val="hybridMultilevel"/>
    <w:lvl w:ilvl="0">
      <w:lvlJc w:val="left"/>
      <w:lvlText w:val="9"/>
      <w:numFmt w:val="bullet"/>
      <w:start w:val="1"/>
    </w:lvl>
  </w:abstractNum>
  <w:abstractNum w:abstractNumId="11">
    <w:nsid w:val="2D517796"/>
    <w:multiLevelType w:val="hybridMultilevel"/>
    <w:lvl w:ilvl="0">
      <w:lvlJc w:val="left"/>
      <w:lvlText w:val="%1"/>
      <w:numFmt w:val="decimal"/>
      <w:start w:val="10"/>
    </w:lvl>
  </w:abstractNum>
  <w:abstractNum w:abstractNumId="12">
    <w:nsid w:val="580BD78F"/>
    <w:multiLevelType w:val="hybridMultilevel"/>
    <w:lvl w:ilvl="0">
      <w:lvlJc w:val="left"/>
      <w:lvlText w:val="%1"/>
      <w:numFmt w:val="decimal"/>
      <w:start w:val="12"/>
    </w:lvl>
  </w:abstractNum>
  <w:abstractNum w:abstractNumId="13">
    <w:nsid w:val="153EA438"/>
    <w:multiLevelType w:val="hybridMultilevel"/>
    <w:lvl w:ilvl="0">
      <w:lvlJc w:val="left"/>
      <w:lvlText w:val="1"/>
      <w:numFmt w:val="bullet"/>
      <w:start w:val="1"/>
    </w:lvl>
  </w:abstractNum>
  <w:abstractNum w:abstractNumId="14">
    <w:nsid w:val="3855585C"/>
    <w:multiLevelType w:val="hybridMultilevel"/>
    <w:lvl w:ilvl="0">
      <w:lvlJc w:val="left"/>
      <w:lvlText w:val="%1"/>
      <w:numFmt w:val="decimal"/>
      <w:start w:val="14"/>
    </w:lvl>
  </w:abstractNum>
  <w:abstractNum w:abstractNumId="15">
    <w:nsid w:val="70A64E2A"/>
    <w:multiLevelType w:val="hybridMultilevel"/>
    <w:lvl w:ilvl="0">
      <w:lvlJc w:val="left"/>
      <w:lvlText w:val="%1"/>
      <w:numFmt w:val="decimal"/>
      <w:start w:val="15"/>
    </w:lvl>
  </w:abstractNum>
  <w:abstractNum w:abstractNumId="16">
    <w:nsid w:val="6A2342EC"/>
    <w:multiLevelType w:val="hybridMultilevel"/>
    <w:lvl w:ilvl="0">
      <w:lvlJc w:val="left"/>
      <w:lvlText w:val="%1"/>
      <w:numFmt w:val="decimal"/>
      <w:start w:val="18"/>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1"/>
      <w:numFmt w:val="decimal"/>
      <w:start w:val="21"/>
    </w:lvl>
  </w:abstractNum>
  <w:abstractNum w:abstractNumId="19">
    <w:nsid w:val="725A06FB"/>
    <w:multiLevelType w:val="hybridMultilevel"/>
    <w:lvl w:ilvl="0">
      <w:lvlJc w:val="left"/>
      <w:lvlText w:val="%1"/>
      <w:numFmt w:val="decimal"/>
      <w:start w:val="22"/>
    </w:lvl>
  </w:abstractNum>
  <w:abstractNum w:abstractNumId="20">
    <w:nsid w:val="2CD89A32"/>
    <w:multiLevelType w:val="hybridMultilevel"/>
    <w:lvl w:ilvl="0">
      <w:lvlJc w:val="left"/>
      <w:lvlText w:val="1"/>
      <w:numFmt w:val="bullet"/>
      <w:start w:val="1"/>
    </w:lvl>
  </w:abstractNum>
  <w:abstractNum w:abstractNumId="21">
    <w:nsid w:val="57E4CCAF"/>
    <w:multiLevelType w:val="hybridMultilevel"/>
    <w:lvl w:ilvl="0">
      <w:lvlJc w:val="left"/>
      <w:lvlText w:val="%1"/>
      <w:numFmt w:val="decimal"/>
      <w:start w:val="25"/>
    </w:lvl>
  </w:abstractNum>
  <w:abstractNum w:abstractNumId="22">
    <w:nsid w:val="7A6D8D3C"/>
    <w:multiLevelType w:val="hybridMultilevel"/>
    <w:lvl w:ilvl="0">
      <w:lvlJc w:val="left"/>
      <w:lvlText w:val="%1"/>
      <w:numFmt w:val="decimal"/>
      <w:start w:val="26"/>
    </w:lvl>
  </w:abstractNum>
  <w:abstractNum w:abstractNumId="23">
    <w:nsid w:val="4B588F54"/>
    <w:multiLevelType w:val="hybridMultilevel"/>
    <w:lvl w:ilvl="0">
      <w:lvlJc w:val="left"/>
      <w:lvlText w:val="%1"/>
      <w:numFmt w:val="decimal"/>
      <w:start w:val="28"/>
    </w:lvl>
  </w:abstractNum>
  <w:abstractNum w:abstractNumId="24">
    <w:nsid w:val="542289EC"/>
    <w:multiLevelType w:val="hybridMultilevel"/>
    <w:lvl w:ilvl="0">
      <w:lvlJc w:val="left"/>
      <w:lvlText w:val="%1"/>
      <w:numFmt w:val="decimal"/>
      <w:start w:val="29"/>
    </w:lvl>
  </w:abstractNum>
  <w:abstractNum w:abstractNumId="25">
    <w:nsid w:val="6DE91B18"/>
    <w:multiLevelType w:val="hybridMultilevel"/>
    <w:lvl w:ilvl="0">
      <w:lvlJc w:val="left"/>
      <w:lvlText w:val="1"/>
      <w:numFmt w:val="bullet"/>
      <w:start w:val="1"/>
    </w:lvl>
  </w:abstractNum>
  <w:abstractNum w:abstractNumId="26">
    <w:nsid w:val="38437FDB"/>
    <w:multiLevelType w:val="hybridMultilevel"/>
    <w:lvl w:ilvl="0">
      <w:lvlJc w:val="left"/>
      <w:lvlText w:val="2"/>
      <w:numFmt w:val="bullet"/>
      <w:start w:val="1"/>
    </w:lvl>
  </w:abstractNum>
  <w:abstractNum w:abstractNumId="27">
    <w:nsid w:val="7644A45C"/>
    <w:multiLevelType w:val="hybridMultilevel"/>
    <w:lvl w:ilvl="0">
      <w:lvlJc w:val="left"/>
      <w:lvlText w:val="%1"/>
      <w:numFmt w:val="decimal"/>
      <w:start w:val="30"/>
    </w:lvl>
  </w:abstractNum>
  <w:abstractNum w:abstractNumId="28">
    <w:nsid w:val="32FFF902"/>
    <w:multiLevelType w:val="hybridMultilevel"/>
    <w:lvl w:ilvl="0">
      <w:lvlJc w:val="left"/>
      <w:lvlText w:val="%1"/>
      <w:numFmt w:val="decimal"/>
      <w:start w:val="31"/>
    </w:lvl>
  </w:abstractNum>
  <w:abstractNum w:abstractNumId="29">
    <w:nsid w:val="684A481A"/>
    <w:multiLevelType w:val="hybridMultilevel"/>
    <w:lvl w:ilvl="0">
      <w:lvlJc w:val="left"/>
      <w:lvlText w:val="%1"/>
      <w:numFmt w:val="decimal"/>
      <w:start w:val="32"/>
    </w:lvl>
  </w:abstractNum>
  <w:abstractNum w:abstractNumId="30">
    <w:nsid w:val="579478FE"/>
    <w:multiLevelType w:val="hybridMultilevel"/>
    <w:lvl w:ilvl="0">
      <w:lvlJc w:val="left"/>
      <w:lvlText w:val="%1"/>
      <w:numFmt w:val="decimal"/>
      <w:start w:val="33"/>
    </w:lvl>
  </w:abstractNum>
  <w:abstractNum w:abstractNumId="31">
    <w:nsid w:val="749ABB43"/>
    <w:multiLevelType w:val="hybridMultilevel"/>
    <w:lvl w:ilvl="0">
      <w:lvlJc w:val="left"/>
      <w:lvlText w:val="%1"/>
      <w:numFmt w:val="decimal"/>
      <w:start w:val="34"/>
    </w:lvl>
  </w:abstractNum>
  <w:abstractNum w:abstractNumId="32">
    <w:nsid w:val="3DC240FB"/>
    <w:multiLevelType w:val="hybridMultilevel"/>
    <w:lvl w:ilvl="0">
      <w:lvlJc w:val="left"/>
      <w:lvlText w:val="%1"/>
      <w:numFmt w:val="decimal"/>
      <w:start w:val="35"/>
    </w:lvl>
  </w:abstractNum>
  <w:abstractNum w:abstractNumId="33">
    <w:nsid w:val="1BA026FA"/>
    <w:multiLevelType w:val="hybridMultilevel"/>
    <w:lvl w:ilvl="0">
      <w:lvlJc w:val="left"/>
      <w:lvlText w:val="%1"/>
      <w:numFmt w:val="decimal"/>
      <w:start w:val="36"/>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1"/>
      <w:numFmt w:val="decimal"/>
      <w:start w:val="37"/>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1"/>
      <w:numFmt w:val="decimal"/>
      <w:start w:val="38"/>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1"/>
      <w:numFmt w:val="decimal"/>
      <w:start w:val="39"/>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1"/>
      <w:numFmt w:val="decimal"/>
      <w:start w:val="40"/>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1"/>
      <w:numFmt w:val="decimal"/>
      <w:start w:val="41"/>
    </w:lvl>
  </w:abstractNum>
  <w:abstractNum w:abstractNumId="49">
    <w:nsid w:val="354FE9F9"/>
    <w:multiLevelType w:val="hybridMultilevel"/>
    <w:lvl w:ilvl="0">
      <w:lvlJc w:val="left"/>
      <w:lvlText w:val="1"/>
      <w:numFmt w:val="bullet"/>
      <w:start w:val="1"/>
    </w:lvl>
  </w:abstractNum>
  <w:abstractNum w:abstractNumId="50">
    <w:nsid w:val="15B5AF5C"/>
    <w:multiLevelType w:val="hybridMultilevel"/>
    <w:lvl w:ilvl="0">
      <w:lvlJc w:val="left"/>
      <w:lvlText w:val="%1"/>
      <w:numFmt w:val="decimal"/>
      <w:start w:val="42"/>
    </w:lvl>
  </w:abstractNum>
  <w:abstractNum w:abstractNumId="51">
    <w:nsid w:val="741226BB"/>
    <w:multiLevelType w:val="hybridMultilevel"/>
    <w:lvl w:ilvl="0">
      <w:lvlJc w:val="left"/>
      <w:lvlText w:val="%1"/>
      <w:numFmt w:val="decimal"/>
      <w:start w:val="43"/>
    </w:lvl>
  </w:abstractNum>
  <w:abstractNum w:abstractNumId="52">
    <w:nsid w:val="D34B6A8"/>
    <w:multiLevelType w:val="hybridMultilevel"/>
    <w:lvl w:ilvl="0">
      <w:lvlJc w:val="left"/>
      <w:lvlText w:val="%1"/>
      <w:numFmt w:val="decimal"/>
      <w:start w:val="44"/>
    </w:lvl>
  </w:abstractNum>
  <w:abstractNum w:abstractNumId="53">
    <w:nsid w:val="10233C99"/>
    <w:multiLevelType w:val="hybridMultilevel"/>
    <w:lvl w:ilvl="0">
      <w:lvlJc w:val="left"/>
      <w:lvlText w:val="%1"/>
      <w:numFmt w:val="decimal"/>
      <w:start w:val="45"/>
    </w:lvl>
  </w:abstractNum>
  <w:abstractNum w:abstractNumId="54">
    <w:nsid w:val="3F6AB60F"/>
    <w:multiLevelType w:val="hybridMultilevel"/>
    <w:lvl w:ilvl="0">
      <w:lvlJc w:val="left"/>
      <w:lvlText w:val="%1"/>
      <w:numFmt w:val="decimal"/>
      <w:start w:val="46"/>
    </w:lvl>
  </w:abstractNum>
  <w:abstractNum w:abstractNumId="55">
    <w:nsid w:val="61574095"/>
    <w:multiLevelType w:val="hybridMultilevel"/>
    <w:lvl w:ilvl="0">
      <w:lvlJc w:val="left"/>
      <w:lvlText w:val="%1"/>
      <w:numFmt w:val="decimal"/>
      <w:start w:val="47"/>
    </w:lvl>
  </w:abstractNum>
  <w:abstractNum w:abstractNumId="56">
    <w:nsid w:val="7E0C57B1"/>
    <w:multiLevelType w:val="hybridMultilevel"/>
    <w:lvl w:ilvl="0">
      <w:lvlJc w:val="left"/>
      <w:lvlText w:val="%1"/>
      <w:numFmt w:val="decimal"/>
      <w:start w:val="48"/>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1"/>
      <w:numFmt w:val="decimal"/>
      <w:start w:val="49"/>
    </w:lvl>
  </w:abstractNum>
  <w:abstractNum w:abstractNumId="59">
    <w:nsid w:val="310C50B3"/>
    <w:multiLevelType w:val="hybridMultilevel"/>
    <w:lvl w:ilvl="0">
      <w:lvlJc w:val="left"/>
      <w:lvlText w:val="%1"/>
      <w:numFmt w:val="decimal"/>
      <w:start w:val="50"/>
    </w:lvl>
  </w:abstractNum>
  <w:abstractNum w:abstractNumId="60">
    <w:nsid w:val="5FF87E05"/>
    <w:multiLevelType w:val="hybridMultilevel"/>
    <w:lvl w:ilvl="0">
      <w:lvlJc w:val="left"/>
      <w:lvlText w:val="%1"/>
      <w:numFmt w:val="decimal"/>
      <w:start w:val="51"/>
    </w:lvl>
  </w:abstractNum>
  <w:abstractNum w:abstractNumId="61">
    <w:nsid w:val="2F305DEF"/>
    <w:multiLevelType w:val="hybridMultilevel"/>
    <w:lvl w:ilvl="0">
      <w:lvlJc w:val="left"/>
      <w:lvlText w:val="%1"/>
      <w:numFmt w:val="decimal"/>
      <w:start w:val="52"/>
    </w:lvl>
  </w:abstractNum>
  <w:abstractNum w:abstractNumId="62">
    <w:nsid w:val="25A70BF7"/>
    <w:multiLevelType w:val="hybridMultilevel"/>
    <w:lvl w:ilvl="0">
      <w:lvlJc w:val="left"/>
      <w:lvlText w:val="%1"/>
      <w:numFmt w:val="decimal"/>
      <w:start w:val="53"/>
    </w:lvl>
  </w:abstractNum>
  <w:abstractNum w:abstractNumId="63">
    <w:nsid w:val="1DBABF00"/>
    <w:multiLevelType w:val="hybridMultilevel"/>
    <w:lvl w:ilvl="0">
      <w:lvlJc w:val="left"/>
      <w:lvlText w:val="%1"/>
      <w:numFmt w:val="decimal"/>
      <w:start w:val="54"/>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2023-10-26T08:31:39Z</dcterms:created>
  <dcterms:modified xsi:type="dcterms:W3CDTF">2023-10-26T08:31:39Z</dcterms:modified>
</cp:coreProperties>
</file>