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903.xml.htm"/>
      <w:bookmarkStart w:id="1" w:name="kswkform4_1784583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Stepniak Michal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78"/>
        <w:gridCol w:w="447"/>
        <w:gridCol w:w="835"/>
        <w:gridCol w:w="1224"/>
        <w:gridCol w:w="987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3,488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1,124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239.58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2,364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347.6037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settlement of restricted share units granted under the 2016 Stock Incentive Plan of Honeywell International Inc. and its Affiliates that vested upon the successful completion of the spin-off of Honeywell Aerospace Inc. from Honeywell International Inc. ("Honeywell Technologies") on June 29, 2026 and were adjusted to reflect the spin-off and further adjusted to reflect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the reinvestment of dividend equivalents into 81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Instrument converts to common stock of Honeywell Technologies on a one-for-one basis.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Michal Stepniak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381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687</Words>
  <Characters>3763</Characters>
  <CharactersWithSpaces>4356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