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jc w:val="center"/>
        <w:ind w:right="-1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140335</wp:posOffset>
            </wp:positionV>
            <wp:extent cx="1089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3260" w:hanging="206"/>
        <w:spacing w:after="0"/>
        <w:tabs>
          <w:tab w:leader="none" w:pos="3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ind w:left="370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2016</w:t>
      </w:r>
    </w:p>
    <w:p>
      <w:pPr>
        <w:spacing w:after="0" w:line="198" w:lineRule="exact"/>
        <w:rPr>
          <w:sz w:val="24"/>
          <w:szCs w:val="24"/>
          <w:color w:val="auto"/>
        </w:rPr>
      </w:pPr>
    </w:p>
    <w:p>
      <w:pPr>
        <w:ind w:left="5580"/>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o TRANSITION REPORT PURSUANT TO SECTION 13 OR 15(d)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For the transition period from ______ to _____</w:t>
      </w:r>
    </w:p>
    <w:p>
      <w:pPr>
        <w:spacing w:after="0" w:line="198"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1-8974</w:t>
      </w:r>
    </w:p>
    <w:p>
      <w:pPr>
        <w:spacing w:after="0" w:line="176"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Honeywell International Inc.</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440" w:type="dxa"/>
            <w:vAlign w:val="bottom"/>
            <w:tcBorders>
              <w:top w:val="single" w:sz="8" w:color="auto"/>
            </w:tcBorders>
            <w:gridSpan w:val="3"/>
          </w:tcPr>
          <w:p>
            <w:pPr>
              <w:jc w:val="center"/>
              <w:ind w:left="1450"/>
              <w:spacing w:after="0"/>
              <w:rPr>
                <w:sz w:val="20"/>
                <w:szCs w:val="20"/>
                <w:color w:val="auto"/>
              </w:rPr>
            </w:pPr>
            <w:r>
              <w:rPr>
                <w:rFonts w:ascii="Arial" w:cs="Arial" w:eastAsia="Arial" w:hAnsi="Arial"/>
                <w:sz w:val="18"/>
                <w:szCs w:val="18"/>
                <w:color w:val="auto"/>
                <w:w w:val="99"/>
              </w:rPr>
              <w:t>(Exact name of registrant as specified in its charter)</w:t>
            </w:r>
          </w:p>
        </w:tc>
        <w:tc>
          <w:tcPr>
            <w:tcW w:w="15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r>
      <w:tr>
        <w:trPr>
          <w:trHeight w:val="40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40" w:type="dxa"/>
            <w:vAlign w:val="bottom"/>
            <w:gridSpan w:val="3"/>
          </w:tcPr>
          <w:p>
            <w:pPr>
              <w:jc w:val="center"/>
              <w:ind w:right="3200"/>
              <w:spacing w:after="0"/>
              <w:rPr>
                <w:sz w:val="20"/>
                <w:szCs w:val="20"/>
                <w:color w:val="auto"/>
              </w:rPr>
            </w:pPr>
            <w:r>
              <w:rPr>
                <w:rFonts w:ascii="Arial" w:cs="Arial" w:eastAsia="Arial" w:hAnsi="Arial"/>
                <w:sz w:val="18"/>
                <w:szCs w:val="18"/>
                <w:color w:val="auto"/>
                <w:w w:val="99"/>
              </w:rPr>
              <w:t>Delaware</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22-2640650</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2"/>
        </w:trPr>
        <w:tc>
          <w:tcPr>
            <w:tcW w:w="5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360" w:type="dxa"/>
            <w:vAlign w:val="bottom"/>
            <w:tcBorders>
              <w:top w:val="single" w:sz="8" w:color="auto"/>
            </w:tcBorders>
          </w:tcPr>
          <w:p>
            <w:pPr>
              <w:jc w:val="center"/>
              <w:ind w:right="1050"/>
              <w:spacing w:after="0" w:line="201" w:lineRule="exact"/>
              <w:rPr>
                <w:sz w:val="20"/>
                <w:szCs w:val="20"/>
                <w:color w:val="auto"/>
              </w:rPr>
            </w:pPr>
            <w:r>
              <w:rPr>
                <w:rFonts w:ascii="Arial" w:cs="Arial" w:eastAsia="Arial" w:hAnsi="Arial"/>
                <w:sz w:val="18"/>
                <w:szCs w:val="18"/>
                <w:color w:val="auto"/>
              </w:rPr>
              <w:t>(State or other jurisdiction of</w:t>
            </w:r>
          </w:p>
        </w:tc>
        <w:tc>
          <w:tcPr>
            <w:tcW w:w="13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gridSpan w:val="2"/>
          </w:tcPr>
          <w:p>
            <w:pPr>
              <w:jc w:val="center"/>
              <w:ind w:right="740"/>
              <w:spacing w:after="0" w:line="201" w:lineRule="exact"/>
              <w:rPr>
                <w:sz w:val="20"/>
                <w:szCs w:val="20"/>
                <w:color w:val="auto"/>
              </w:rPr>
            </w:pPr>
            <w:r>
              <w:rPr>
                <w:rFonts w:ascii="Arial" w:cs="Arial" w:eastAsia="Arial" w:hAnsi="Arial"/>
                <w:sz w:val="18"/>
                <w:szCs w:val="18"/>
                <w:color w:val="auto"/>
                <w:w w:val="99"/>
              </w:rPr>
              <w:t>(I.R.S. Employer</w:t>
            </w:r>
          </w:p>
        </w:tc>
        <w:tc>
          <w:tcPr>
            <w:tcW w:w="420" w:type="dxa"/>
            <w:vAlign w:val="bottom"/>
          </w:tcPr>
          <w:p>
            <w:pPr>
              <w:spacing w:after="0"/>
              <w:rPr>
                <w:sz w:val="17"/>
                <w:szCs w:val="17"/>
                <w:color w:val="auto"/>
              </w:rPr>
            </w:pPr>
          </w:p>
        </w:tc>
      </w:tr>
      <w:tr>
        <w:trPr>
          <w:trHeight w:val="217"/>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40" w:type="dxa"/>
            <w:vAlign w:val="bottom"/>
            <w:gridSpan w:val="3"/>
          </w:tcPr>
          <w:p>
            <w:pPr>
              <w:jc w:val="center"/>
              <w:ind w:right="3220"/>
              <w:spacing w:after="0"/>
              <w:rPr>
                <w:sz w:val="20"/>
                <w:szCs w:val="20"/>
                <w:color w:val="auto"/>
              </w:rPr>
            </w:pPr>
            <w:r>
              <w:rPr>
                <w:rFonts w:ascii="Arial" w:cs="Arial" w:eastAsia="Arial" w:hAnsi="Arial"/>
                <w:sz w:val="18"/>
                <w:szCs w:val="18"/>
                <w:color w:val="auto"/>
                <w:w w:val="99"/>
              </w:rPr>
              <w:t>incorporation or organization)</w:t>
            </w:r>
          </w:p>
        </w:tc>
        <w:tc>
          <w:tcPr>
            <w:tcW w:w="3120" w:type="dxa"/>
            <w:vAlign w:val="bottom"/>
            <w:gridSpan w:val="3"/>
          </w:tcPr>
          <w:p>
            <w:pPr>
              <w:jc w:val="center"/>
              <w:ind w:right="1160"/>
              <w:spacing w:after="0"/>
              <w:rPr>
                <w:sz w:val="20"/>
                <w:szCs w:val="20"/>
                <w:color w:val="auto"/>
              </w:rPr>
            </w:pPr>
            <w:r>
              <w:rPr>
                <w:rFonts w:ascii="Arial" w:cs="Arial" w:eastAsia="Arial" w:hAnsi="Arial"/>
                <w:sz w:val="18"/>
                <w:szCs w:val="18"/>
                <w:color w:val="auto"/>
                <w:w w:val="99"/>
              </w:rPr>
              <w:t>Identification No.)</w:t>
            </w:r>
          </w:p>
        </w:tc>
      </w:tr>
      <w:tr>
        <w:trPr>
          <w:trHeight w:val="404"/>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40" w:type="dxa"/>
            <w:vAlign w:val="bottom"/>
            <w:gridSpan w:val="3"/>
          </w:tcPr>
          <w:p>
            <w:pPr>
              <w:jc w:val="center"/>
              <w:ind w:right="3220"/>
              <w:spacing w:after="0"/>
              <w:rPr>
                <w:sz w:val="20"/>
                <w:szCs w:val="20"/>
                <w:color w:val="auto"/>
              </w:rPr>
            </w:pPr>
            <w:r>
              <w:rPr>
                <w:rFonts w:ascii="Arial" w:cs="Arial" w:eastAsia="Arial" w:hAnsi="Arial"/>
                <w:sz w:val="18"/>
                <w:szCs w:val="18"/>
                <w:color w:val="auto"/>
                <w:w w:val="99"/>
              </w:rPr>
              <w:t>115 Tabor Road</w:t>
            </w: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40" w:type="dxa"/>
            <w:vAlign w:val="bottom"/>
            <w:gridSpan w:val="3"/>
          </w:tcPr>
          <w:p>
            <w:pPr>
              <w:jc w:val="center"/>
              <w:ind w:right="3200"/>
              <w:spacing w:after="0" w:line="203" w:lineRule="exact"/>
              <w:rPr>
                <w:sz w:val="20"/>
                <w:szCs w:val="20"/>
                <w:color w:val="auto"/>
              </w:rPr>
            </w:pPr>
            <w:r>
              <w:rPr>
                <w:rFonts w:ascii="Arial" w:cs="Arial" w:eastAsia="Arial" w:hAnsi="Arial"/>
                <w:sz w:val="18"/>
                <w:szCs w:val="18"/>
                <w:color w:val="auto"/>
                <w:w w:val="99"/>
              </w:rPr>
              <w:t>Morris Plains, New Jersey</w:t>
            </w:r>
          </w:p>
        </w:tc>
        <w:tc>
          <w:tcPr>
            <w:tcW w:w="156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07950</w:t>
            </w: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10"/>
        </w:trPr>
        <w:tc>
          <w:tcPr>
            <w:tcW w:w="5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360" w:type="dxa"/>
            <w:vAlign w:val="bottom"/>
            <w:tcBorders>
              <w:top w:val="single" w:sz="8" w:color="auto"/>
            </w:tcBorders>
          </w:tcPr>
          <w:p>
            <w:pPr>
              <w:jc w:val="center"/>
              <w:ind w:right="1050"/>
              <w:spacing w:after="0"/>
              <w:rPr>
                <w:sz w:val="20"/>
                <w:szCs w:val="20"/>
                <w:color w:val="auto"/>
              </w:rPr>
            </w:pPr>
            <w:r>
              <w:rPr>
                <w:rFonts w:ascii="Arial" w:cs="Arial" w:eastAsia="Arial" w:hAnsi="Arial"/>
                <w:sz w:val="18"/>
                <w:szCs w:val="18"/>
                <w:color w:val="auto"/>
                <w:w w:val="99"/>
              </w:rPr>
              <w:t>(Address of principal executive offices)</w:t>
            </w:r>
          </w:p>
        </w:tc>
        <w:tc>
          <w:tcPr>
            <w:tcW w:w="13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8"/>
              </w:rPr>
              <w:t>(Zip Code)</w:t>
            </w:r>
          </w:p>
        </w:tc>
        <w:tc>
          <w:tcPr>
            <w:tcW w:w="420" w:type="dxa"/>
            <w:vAlign w:val="bottom"/>
          </w:tcPr>
          <w:p>
            <w:pPr>
              <w:spacing w:after="0"/>
              <w:rPr>
                <w:sz w:val="18"/>
                <w:szCs w:val="18"/>
                <w:color w:val="auto"/>
              </w:rPr>
            </w:pPr>
          </w:p>
        </w:tc>
      </w:tr>
      <w:tr>
        <w:trPr>
          <w:trHeight w:val="411"/>
        </w:trPr>
        <w:tc>
          <w:tcPr>
            <w:tcW w:w="7440" w:type="dxa"/>
            <w:vAlign w:val="bottom"/>
            <w:gridSpan w:val="4"/>
          </w:tcPr>
          <w:p>
            <w:pPr>
              <w:jc w:val="center"/>
              <w:ind w:left="3910"/>
              <w:spacing w:after="0"/>
              <w:rPr>
                <w:sz w:val="20"/>
                <w:szCs w:val="20"/>
                <w:color w:val="auto"/>
              </w:rPr>
            </w:pPr>
            <w:r>
              <w:rPr>
                <w:rFonts w:ascii="Arial" w:cs="Arial" w:eastAsia="Arial" w:hAnsi="Arial"/>
                <w:sz w:val="18"/>
                <w:szCs w:val="18"/>
                <w:color w:val="auto"/>
              </w:rPr>
              <w:t>(973) 455-2000</w:t>
            </w: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40" w:type="dxa"/>
            <w:vAlign w:val="bottom"/>
            <w:tcBorders>
              <w:top w:val="single" w:sz="8" w:color="auto"/>
            </w:tcBorders>
            <w:gridSpan w:val="3"/>
          </w:tcPr>
          <w:p>
            <w:pPr>
              <w:jc w:val="center"/>
              <w:ind w:left="1490"/>
              <w:spacing w:after="0"/>
              <w:rPr>
                <w:sz w:val="20"/>
                <w:szCs w:val="20"/>
                <w:color w:val="auto"/>
              </w:rPr>
            </w:pPr>
            <w:r>
              <w:rPr>
                <w:rFonts w:ascii="Arial" w:cs="Arial" w:eastAsia="Arial" w:hAnsi="Arial"/>
                <w:sz w:val="18"/>
                <w:szCs w:val="18"/>
                <w:color w:val="auto"/>
                <w:w w:val="99"/>
              </w:rPr>
              <w:t>(Registrant’s telephone number, including area code)</w:t>
            </w:r>
          </w:p>
        </w:tc>
        <w:tc>
          <w:tcPr>
            <w:tcW w:w="156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2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40" w:type="dxa"/>
            <w:vAlign w:val="bottom"/>
            <w:tcBorders>
              <w:bottom w:val="single" w:sz="8" w:color="auto"/>
            </w:tcBorders>
            <w:gridSpan w:val="3"/>
          </w:tcPr>
          <w:p>
            <w:pPr>
              <w:jc w:val="center"/>
              <w:ind w:left="1470"/>
              <w:spacing w:after="0"/>
              <w:rPr>
                <w:sz w:val="20"/>
                <w:szCs w:val="20"/>
                <w:color w:val="auto"/>
              </w:rPr>
            </w:pPr>
            <w:r>
              <w:rPr>
                <w:rFonts w:ascii="Arial" w:cs="Arial" w:eastAsia="Arial" w:hAnsi="Arial"/>
                <w:sz w:val="18"/>
                <w:szCs w:val="18"/>
                <w:color w:val="auto"/>
                <w:w w:val="99"/>
              </w:rPr>
              <w:t>Not Applicable</w:t>
            </w:r>
          </w:p>
        </w:tc>
        <w:tc>
          <w:tcPr>
            <w:tcW w:w="15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2"/>
        </w:trPr>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40" w:type="dxa"/>
            <w:vAlign w:val="bottom"/>
            <w:gridSpan w:val="3"/>
          </w:tcPr>
          <w:p>
            <w:pPr>
              <w:jc w:val="center"/>
              <w:ind w:left="1470"/>
              <w:spacing w:after="0" w:line="201" w:lineRule="exact"/>
              <w:rPr>
                <w:sz w:val="20"/>
                <w:szCs w:val="20"/>
                <w:color w:val="auto"/>
              </w:rPr>
            </w:pPr>
            <w:r>
              <w:rPr>
                <w:rFonts w:ascii="Arial" w:cs="Arial" w:eastAsia="Arial" w:hAnsi="Arial"/>
                <w:sz w:val="18"/>
                <w:szCs w:val="18"/>
                <w:color w:val="auto"/>
                <w:w w:val="99"/>
              </w:rPr>
              <w:t>(Former name, former address and former fiscal year,</w:t>
            </w:r>
          </w:p>
        </w:tc>
        <w:tc>
          <w:tcPr>
            <w:tcW w:w="1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17"/>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40" w:type="dxa"/>
            <w:vAlign w:val="bottom"/>
            <w:gridSpan w:val="3"/>
          </w:tcPr>
          <w:p>
            <w:pPr>
              <w:jc w:val="center"/>
              <w:ind w:left="1470"/>
              <w:spacing w:after="0"/>
              <w:rPr>
                <w:sz w:val="20"/>
                <w:szCs w:val="20"/>
                <w:color w:val="auto"/>
              </w:rPr>
            </w:pPr>
            <w:r>
              <w:rPr>
                <w:rFonts w:ascii="Arial" w:cs="Arial" w:eastAsia="Arial" w:hAnsi="Arial"/>
                <w:sz w:val="18"/>
                <w:szCs w:val="18"/>
                <w:color w:val="auto"/>
                <w:w w:val="99"/>
              </w:rPr>
              <w:t>if changed since last report)</w:t>
            </w: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r>
    </w:tbl>
    <w:p>
      <w:pPr>
        <w:spacing w:after="0" w:line="391"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2" w:lineRule="exact"/>
        <w:rPr>
          <w:sz w:val="24"/>
          <w:szCs w:val="24"/>
          <w:color w:val="auto"/>
        </w:rPr>
      </w:pPr>
    </w:p>
    <w:p>
      <w:pPr>
        <w:jc w:val="both"/>
        <w:spacing w:after="0" w:line="23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 See definitions of “accelerated filer,” “large accelerated filer” and “smaller reporting company” in Rule 12b-2 of the Exchange Act. (Check one):</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Smaller reporting company o</w:t>
      </w:r>
    </w:p>
    <w:p>
      <w:pPr>
        <w:spacing w:after="0" w:line="1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There were 762,124,709 shares of Common Stock outstanding at September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40" w:type="dxa"/>
            <w:vAlign w:val="bottom"/>
            <w:gridSpan w:val="11"/>
          </w:tcPr>
          <w:p>
            <w:pPr>
              <w:jc w:val="center"/>
              <w:ind w:right="3060"/>
              <w:spacing w:after="0"/>
              <w:rPr>
                <w:sz w:val="20"/>
                <w:szCs w:val="20"/>
                <w:color w:val="auto"/>
              </w:rPr>
            </w:pPr>
            <w:r>
              <w:rPr>
                <w:rFonts w:ascii="Arial" w:cs="Arial" w:eastAsia="Arial" w:hAnsi="Arial"/>
                <w:sz w:val="22"/>
                <w:szCs w:val="22"/>
                <w:b w:val="1"/>
                <w:bCs w:val="1"/>
                <w:color w:val="auto"/>
                <w:w w:val="98"/>
              </w:rPr>
              <w:t>Honeywell International Inc.</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39"/>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40" w:type="dxa"/>
            <w:vAlign w:val="bottom"/>
            <w:gridSpan w:val="9"/>
          </w:tcPr>
          <w:p>
            <w:pPr>
              <w:jc w:val="center"/>
              <w:ind w:right="3860"/>
              <w:spacing w:after="0"/>
              <w:rPr>
                <w:sz w:val="20"/>
                <w:szCs w:val="20"/>
                <w:color w:val="auto"/>
              </w:rPr>
            </w:pPr>
            <w:r>
              <w:rPr>
                <w:rFonts w:ascii="Arial" w:cs="Arial" w:eastAsia="Arial" w:hAnsi="Arial"/>
                <w:sz w:val="18"/>
                <w:szCs w:val="18"/>
                <w:b w:val="1"/>
                <w:bCs w:val="1"/>
                <w:color w:val="auto"/>
                <w:w w:val="97"/>
              </w:rPr>
              <w:t>Index</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05"/>
        </w:trPr>
        <w:tc>
          <w:tcPr>
            <w:tcW w:w="2300" w:type="dxa"/>
            <w:vAlign w:val="bottom"/>
            <w:gridSpan w:val="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806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w w:val="98"/>
              </w:rPr>
              <w:t>Page No.</w:t>
            </w:r>
          </w:p>
        </w:tc>
      </w:tr>
      <w:tr>
        <w:trPr>
          <w:trHeight w:val="399"/>
        </w:trPr>
        <w:tc>
          <w:tcPr>
            <w:tcW w:w="5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82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624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90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 of Operations (unaudited) – Three and Nine Months Ended September 30,</w:t>
              </w:r>
            </w:hyperlink>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80" w:type="dxa"/>
            <w:vAlign w:val="bottom"/>
            <w:gridSpan w:val="19"/>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2016 and 2015</w:t>
              </w:r>
            </w:hyperlink>
          </w:p>
        </w:tc>
        <w:tc>
          <w:tcPr>
            <w:tcW w:w="940" w:type="dxa"/>
            <w:vAlign w:val="bottom"/>
            <w:gridSpan w:val="2"/>
          </w:tcPr>
          <w:p>
            <w:pPr>
              <w:jc w:val="center"/>
              <w:ind w:left="70"/>
              <w:spacing w:after="0" w:line="182" w:lineRule="exact"/>
              <w:rPr>
                <w:sz w:val="20"/>
                <w:szCs w:val="20"/>
                <w:color w:val="auto"/>
              </w:rPr>
            </w:pPr>
            <w:r>
              <w:rPr>
                <w:rFonts w:ascii="Arial" w:cs="Arial" w:eastAsia="Arial" w:hAnsi="Arial"/>
                <w:sz w:val="18"/>
                <w:szCs w:val="18"/>
                <w:color w:val="auto"/>
                <w:w w:val="99"/>
              </w:rPr>
              <w:t>3</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Income (unaudited) – Three and Nine Months Ended</w:t>
              </w:r>
            </w:hyperlink>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4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September 30, 2016 and 2015</w:t>
              </w:r>
            </w:hyperlink>
          </w:p>
        </w:tc>
        <w:tc>
          <w:tcPr>
            <w:tcW w:w="5060" w:type="dxa"/>
            <w:vAlign w:val="bottom"/>
            <w:tcBorders>
              <w:top w:val="single" w:sz="8" w:color="0000EE"/>
            </w:tcBorders>
            <w:gridSpan w:val="6"/>
          </w:tcPr>
          <w:p>
            <w:pPr>
              <w:spacing w:after="0"/>
              <w:rPr>
                <w:sz w:val="15"/>
                <w:szCs w:val="15"/>
                <w:color w:val="auto"/>
              </w:rPr>
            </w:pPr>
          </w:p>
        </w:tc>
        <w:tc>
          <w:tcPr>
            <w:tcW w:w="380" w:type="dxa"/>
            <w:vAlign w:val="bottom"/>
            <w:gridSpan w:val="3"/>
          </w:tcPr>
          <w:p>
            <w:pPr>
              <w:spacing w:after="0"/>
              <w:rPr>
                <w:sz w:val="15"/>
                <w:szCs w:val="15"/>
                <w:color w:val="auto"/>
              </w:rPr>
            </w:pPr>
          </w:p>
        </w:tc>
        <w:tc>
          <w:tcPr>
            <w:tcW w:w="940" w:type="dxa"/>
            <w:vAlign w:val="bottom"/>
            <w:gridSpan w:val="2"/>
          </w:tcPr>
          <w:p>
            <w:pPr>
              <w:jc w:val="center"/>
              <w:ind w:left="70"/>
              <w:spacing w:after="0" w:line="182" w:lineRule="exact"/>
              <w:rPr>
                <w:sz w:val="20"/>
                <w:szCs w:val="20"/>
                <w:color w:val="auto"/>
              </w:rPr>
            </w:pPr>
            <w:r>
              <w:rPr>
                <w:rFonts w:ascii="Arial" w:cs="Arial" w:eastAsia="Arial" w:hAnsi="Arial"/>
                <w:sz w:val="18"/>
                <w:szCs w:val="18"/>
                <w:color w:val="auto"/>
                <w:w w:val="99"/>
              </w:rPr>
              <w:t>4</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 (unaudited) – September 30, 2016 and December 31, 2015</w:t>
              </w:r>
            </w:hyperlink>
          </w:p>
        </w:tc>
        <w:tc>
          <w:tcPr>
            <w:tcW w:w="94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5</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(unaudited) – Nine Months Ended September 30, 2016 and</w:t>
              </w:r>
            </w:hyperlink>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3"/>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2015</w:t>
              </w:r>
            </w:hyperlink>
          </w:p>
        </w:tc>
        <w:tc>
          <w:tcPr>
            <w:tcW w:w="6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2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left="70"/>
              <w:spacing w:after="0" w:line="182" w:lineRule="exact"/>
              <w:rPr>
                <w:sz w:val="20"/>
                <w:szCs w:val="20"/>
                <w:color w:val="auto"/>
              </w:rPr>
            </w:pPr>
            <w:r>
              <w:rPr>
                <w:rFonts w:ascii="Arial" w:cs="Arial" w:eastAsia="Arial" w:hAnsi="Arial"/>
                <w:sz w:val="18"/>
                <w:szCs w:val="18"/>
                <w:color w:val="auto"/>
                <w:w w:val="99"/>
              </w:rPr>
              <w:t>6</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 (unaudited)</w:t>
              </w:r>
            </w:hyperlink>
          </w:p>
        </w:tc>
        <w:tc>
          <w:tcPr>
            <w:tcW w:w="94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7</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8"/>
              </w:rPr>
            </w:pPr>
            <w:hyperlink w:anchor="page25">
              <w:r>
                <w:rPr>
                  <w:rFonts w:ascii="Arial" w:cs="Arial" w:eastAsia="Arial" w:hAnsi="Arial"/>
                  <w:sz w:val="18"/>
                  <w:szCs w:val="18"/>
                  <w:color w:val="0000EE"/>
                  <w:w w:val="98"/>
                </w:rPr>
                <w:t>Item 2.</w:t>
              </w:r>
            </w:hyperlink>
          </w:p>
        </w:tc>
        <w:tc>
          <w:tcPr>
            <w:tcW w:w="58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9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25</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Item 3.</w:t>
              </w:r>
            </w:hyperlink>
          </w:p>
        </w:tc>
        <w:tc>
          <w:tcPr>
            <w:tcW w:w="580" w:type="dxa"/>
            <w:vAlign w:val="bottom"/>
          </w:tcPr>
          <w:p>
            <w:pPr>
              <w:spacing w:after="0"/>
              <w:rPr>
                <w:sz w:val="24"/>
                <w:szCs w:val="24"/>
                <w:color w:val="auto"/>
              </w:rPr>
            </w:pPr>
          </w:p>
        </w:tc>
        <w:tc>
          <w:tcPr>
            <w:tcW w:w="7080" w:type="dxa"/>
            <w:vAlign w:val="bottom"/>
            <w:tcBorders>
              <w:top w:val="single" w:sz="8" w:color="0000EE"/>
            </w:tcBorders>
            <w:gridSpan w:val="1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Risks</w:t>
              </w:r>
            </w:hyperlink>
          </w:p>
        </w:tc>
        <w:tc>
          <w:tcPr>
            <w:tcW w:w="980" w:type="dxa"/>
            <w:vAlign w:val="bottom"/>
            <w:gridSpan w:val="4"/>
          </w:tcPr>
          <w:p>
            <w:pPr>
              <w:spacing w:after="0"/>
              <w:rPr>
                <w:sz w:val="24"/>
                <w:szCs w:val="24"/>
                <w:color w:val="auto"/>
              </w:rPr>
            </w:pPr>
          </w:p>
        </w:tc>
        <w:tc>
          <w:tcPr>
            <w:tcW w:w="9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34</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Item 4.</w:t>
              </w:r>
            </w:hyperlink>
          </w:p>
        </w:tc>
        <w:tc>
          <w:tcPr>
            <w:tcW w:w="580" w:type="dxa"/>
            <w:vAlign w:val="bottom"/>
          </w:tcPr>
          <w:p>
            <w:pPr>
              <w:spacing w:after="0"/>
              <w:rPr>
                <w:sz w:val="24"/>
                <w:szCs w:val="24"/>
                <w:color w:val="auto"/>
              </w:rPr>
            </w:pPr>
          </w:p>
        </w:tc>
        <w:tc>
          <w:tcPr>
            <w:tcW w:w="4800" w:type="dxa"/>
            <w:vAlign w:val="bottom"/>
            <w:tcBorders>
              <w:top w:val="single" w:sz="8" w:color="0000EE"/>
            </w:tcBorders>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3260" w:type="dxa"/>
            <w:vAlign w:val="bottom"/>
            <w:gridSpan w:val="6"/>
          </w:tcPr>
          <w:p>
            <w:pPr>
              <w:spacing w:after="0"/>
              <w:rPr>
                <w:sz w:val="24"/>
                <w:szCs w:val="24"/>
                <w:color w:val="auto"/>
              </w:rPr>
            </w:pPr>
          </w:p>
        </w:tc>
        <w:tc>
          <w:tcPr>
            <w:tcW w:w="9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35</w:t>
            </w:r>
          </w:p>
        </w:tc>
      </w:tr>
      <w:tr>
        <w:trPr>
          <w:trHeight w:val="385"/>
        </w:trPr>
        <w:tc>
          <w:tcPr>
            <w:tcW w:w="560" w:type="dxa"/>
            <w:vAlign w:val="bottom"/>
            <w:gridSpan w:val="2"/>
          </w:tcPr>
          <w:p>
            <w:pPr>
              <w:spacing w:after="0"/>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Part II.</w:t>
              </w:r>
            </w:hyperlink>
          </w:p>
        </w:tc>
        <w:tc>
          <w:tcPr>
            <w:tcW w:w="600" w:type="dxa"/>
            <w:vAlign w:val="bottom"/>
            <w:gridSpan w:val="2"/>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0" w:type="dxa"/>
            <w:vAlign w:val="bottom"/>
            <w:gridSpan w:val="2"/>
          </w:tcPr>
          <w:p>
            <w:pPr>
              <w:spacing w:after="0"/>
              <w:rPr>
                <w:sz w:val="24"/>
                <w:szCs w:val="24"/>
                <w:color w:val="auto"/>
              </w:rPr>
            </w:pPr>
          </w:p>
        </w:tc>
        <w:tc>
          <w:tcPr>
            <w:tcW w:w="200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Other Information</w:t>
              </w:r>
            </w:hyperlink>
          </w:p>
        </w:tc>
        <w:tc>
          <w:tcPr>
            <w:tcW w:w="606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5"/>
        </w:trPr>
        <w:tc>
          <w:tcPr>
            <w:tcW w:w="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Item 1.</w:t>
              </w:r>
            </w:hyperlink>
          </w:p>
        </w:tc>
        <w:tc>
          <w:tcPr>
            <w:tcW w:w="580" w:type="dxa"/>
            <w:vAlign w:val="bottom"/>
          </w:tcPr>
          <w:p>
            <w:pPr>
              <w:spacing w:after="0"/>
              <w:rPr>
                <w:sz w:val="24"/>
                <w:szCs w:val="24"/>
                <w:color w:val="auto"/>
              </w:rPr>
            </w:pPr>
          </w:p>
        </w:tc>
        <w:tc>
          <w:tcPr>
            <w:tcW w:w="15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Legal Proceedings</w:t>
              </w:r>
            </w:hyperlink>
          </w:p>
        </w:tc>
        <w:tc>
          <w:tcPr>
            <w:tcW w:w="20" w:type="dxa"/>
            <w:vAlign w:val="bottom"/>
            <w:tcBorders>
              <w:top w:val="single" w:sz="8" w:color="0000EE"/>
            </w:tcBorders>
          </w:tcPr>
          <w:p>
            <w:pPr>
              <w:spacing w:after="0"/>
              <w:rPr>
                <w:sz w:val="24"/>
                <w:szCs w:val="24"/>
                <w:color w:val="auto"/>
              </w:rPr>
            </w:pPr>
          </w:p>
        </w:tc>
        <w:tc>
          <w:tcPr>
            <w:tcW w:w="6540" w:type="dxa"/>
            <w:vAlign w:val="bottom"/>
            <w:gridSpan w:val="13"/>
          </w:tcPr>
          <w:p>
            <w:pPr>
              <w:spacing w:after="0"/>
              <w:rPr>
                <w:sz w:val="24"/>
                <w:szCs w:val="24"/>
                <w:color w:val="auto"/>
              </w:rPr>
            </w:pPr>
          </w:p>
        </w:tc>
        <w:tc>
          <w:tcPr>
            <w:tcW w:w="9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36</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gridSpan w:val="2"/>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Item 2.</w:t>
              </w:r>
            </w:hyperlink>
          </w:p>
        </w:tc>
        <w:tc>
          <w:tcPr>
            <w:tcW w:w="580" w:type="dxa"/>
            <w:vAlign w:val="bottom"/>
          </w:tcPr>
          <w:p>
            <w:pPr>
              <w:spacing w:after="0"/>
              <w:rPr>
                <w:sz w:val="24"/>
                <w:szCs w:val="24"/>
                <w:color w:val="auto"/>
              </w:rPr>
            </w:pPr>
          </w:p>
        </w:tc>
        <w:tc>
          <w:tcPr>
            <w:tcW w:w="806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Changes in Securities and Use of Proceeds</w:t>
              </w:r>
            </w:hyperlink>
          </w:p>
        </w:tc>
        <w:tc>
          <w:tcPr>
            <w:tcW w:w="9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36</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Item 5.</w:t>
              </w:r>
            </w:hyperlink>
          </w:p>
        </w:tc>
        <w:tc>
          <w:tcPr>
            <w:tcW w:w="580" w:type="dxa"/>
            <w:vAlign w:val="bottom"/>
          </w:tcPr>
          <w:p>
            <w:pPr>
              <w:spacing w:after="0"/>
              <w:rPr>
                <w:sz w:val="24"/>
                <w:szCs w:val="24"/>
                <w:color w:val="auto"/>
              </w:rPr>
            </w:pPr>
          </w:p>
        </w:tc>
        <w:tc>
          <w:tcPr>
            <w:tcW w:w="3480" w:type="dxa"/>
            <w:vAlign w:val="bottom"/>
            <w:tcBorders>
              <w:top w:val="single" w:sz="8" w:color="0000EE"/>
            </w:tcBorders>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4580" w:type="dxa"/>
            <w:vAlign w:val="bottom"/>
            <w:gridSpan w:val="7"/>
          </w:tcPr>
          <w:p>
            <w:pPr>
              <w:spacing w:after="0"/>
              <w:rPr>
                <w:sz w:val="24"/>
                <w:szCs w:val="24"/>
                <w:color w:val="auto"/>
              </w:rPr>
            </w:pPr>
          </w:p>
        </w:tc>
        <w:tc>
          <w:tcPr>
            <w:tcW w:w="9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36</w:t>
            </w:r>
          </w:p>
        </w:tc>
      </w:tr>
      <w:tr>
        <w:trPr>
          <w:trHeight w:val="385"/>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0000EE"/>
            </w:tcBorders>
            <w:gridSpan w:val="2"/>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Item 6.</w:t>
              </w:r>
            </w:hyperlink>
          </w:p>
        </w:tc>
        <w:tc>
          <w:tcPr>
            <w:tcW w:w="580" w:type="dxa"/>
            <w:vAlign w:val="bottom"/>
          </w:tcPr>
          <w:p>
            <w:pPr>
              <w:spacing w:after="0"/>
              <w:rPr>
                <w:sz w:val="24"/>
                <w:szCs w:val="24"/>
                <w:color w:val="auto"/>
              </w:rPr>
            </w:pPr>
          </w:p>
        </w:tc>
        <w:tc>
          <w:tcPr>
            <w:tcW w:w="1400" w:type="dxa"/>
            <w:vAlign w:val="bottom"/>
            <w:tcBorders>
              <w:top w:val="single" w:sz="8" w:color="0000EE"/>
            </w:tcBorders>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6660" w:type="dxa"/>
            <w:vAlign w:val="bottom"/>
            <w:gridSpan w:val="15"/>
          </w:tcPr>
          <w:p>
            <w:pPr>
              <w:spacing w:after="0"/>
              <w:rPr>
                <w:sz w:val="24"/>
                <w:szCs w:val="24"/>
                <w:color w:val="auto"/>
              </w:rPr>
            </w:pPr>
          </w:p>
        </w:tc>
        <w:tc>
          <w:tcPr>
            <w:tcW w:w="9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36</w:t>
            </w:r>
          </w:p>
        </w:tc>
      </w:tr>
      <w:tr>
        <w:trPr>
          <w:trHeight w:val="385"/>
        </w:trPr>
        <w:tc>
          <w:tcPr>
            <w:tcW w:w="116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540" w:type="dxa"/>
            <w:vAlign w:val="bottom"/>
            <w:tcBorders>
              <w:top w:val="single" w:sz="8" w:color="0000EE"/>
            </w:tcBorders>
          </w:tcPr>
          <w:p>
            <w:pPr>
              <w:spacing w:after="0"/>
              <w:rPr>
                <w:sz w:val="24"/>
                <w:szCs w:val="24"/>
                <w:color w:val="auto"/>
              </w:rPr>
            </w:pPr>
          </w:p>
        </w:tc>
        <w:tc>
          <w:tcPr>
            <w:tcW w:w="600" w:type="dxa"/>
            <w:vAlign w:val="bottom"/>
            <w:gridSpan w:val="2"/>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37</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Cautionary Statement about Forward-Looking Statements</w:t>
      </w:r>
    </w:p>
    <w:p>
      <w:pPr>
        <w:spacing w:after="0" w:line="198" w:lineRule="exact"/>
        <w:rPr>
          <w:sz w:val="20"/>
          <w:szCs w:val="20"/>
          <w:color w:val="auto"/>
        </w:rPr>
      </w:pPr>
    </w:p>
    <w:p>
      <w:pPr>
        <w:jc w:val="both"/>
        <w:ind w:left="340"/>
        <w:spacing w:after="0" w:line="236" w:lineRule="auto"/>
        <w:rPr>
          <w:sz w:val="20"/>
          <w:szCs w:val="20"/>
          <w:color w:val="auto"/>
        </w:rPr>
      </w:pPr>
      <w:r>
        <w:rPr>
          <w:rFonts w:ascii="Arial" w:cs="Arial" w:eastAsia="Arial" w:hAnsi="Arial"/>
          <w:sz w:val="18"/>
          <w:szCs w:val="18"/>
          <w:color w:val="auto"/>
        </w:rPr>
        <w:t>This report contains “forward-looking statements” within the meaning of Section 21E of the Securities Exchange Act of 1934.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may differ from those envisaged by our forward-looking statements. Our forward-looking statements are also subject to risks and uncertainties, which can affect our performance in both the near- and long-term. These forward-looking statements should be considered in the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our 2015 Annual Report on Form 10-K.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198"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The financial statements and related footnotes as of September 30, 2016 should be read in conjunction with the financial statements for the year ended December 31, 2015 contained in our 2015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4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gridSpan w:val="8"/>
          </w:tcPr>
          <w:p>
            <w:pPr>
              <w:ind w:left="660"/>
              <w:spacing w:after="0"/>
              <w:rPr>
                <w:sz w:val="20"/>
                <w:szCs w:val="20"/>
                <w:color w:val="auto"/>
              </w:rPr>
            </w:pPr>
            <w:r>
              <w:rPr>
                <w:rFonts w:ascii="Arial" w:cs="Arial" w:eastAsia="Arial" w:hAnsi="Arial"/>
                <w:sz w:val="14"/>
                <w:szCs w:val="14"/>
                <w:b w:val="1"/>
                <w:bCs w:val="1"/>
                <w:color w:val="auto"/>
              </w:rPr>
              <w:t>(Dollars in millions, except per share amounts)</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Product sales</w:t>
            </w:r>
          </w:p>
        </w:tc>
        <w:tc>
          <w:tcPr>
            <w:tcW w:w="1380" w:type="dxa"/>
            <w:vAlign w:val="bottom"/>
            <w:gridSpan w:val="2"/>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7,744</w:t>
            </w:r>
          </w:p>
        </w:tc>
        <w:tc>
          <w:tcPr>
            <w:tcW w:w="660" w:type="dxa"/>
            <w:vAlign w:val="bottom"/>
            <w:gridSpan w:val="2"/>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7,573</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23,398</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22,735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Service sales</w:t>
            </w:r>
          </w:p>
        </w:tc>
        <w:tc>
          <w:tcPr>
            <w:tcW w:w="11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2,060</w:t>
            </w: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2,038</w:t>
            </w: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5,919</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114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82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9,804</w:t>
            </w:r>
          </w:p>
        </w:tc>
        <w:tc>
          <w:tcPr>
            <w:tcW w:w="34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70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9,611</w:t>
            </w:r>
          </w:p>
        </w:tc>
        <w:tc>
          <w:tcPr>
            <w:tcW w:w="3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29,317</w:t>
            </w:r>
          </w:p>
        </w:tc>
        <w:tc>
          <w:tcPr>
            <w:tcW w:w="340" w:type="dxa"/>
            <w:vAlign w:val="bottom"/>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spacing w:after="0"/>
              <w:rPr>
                <w:sz w:val="17"/>
                <w:szCs w:val="17"/>
                <w:color w:val="auto"/>
              </w:rPr>
            </w:pPr>
          </w:p>
        </w:tc>
        <w:tc>
          <w:tcPr>
            <w:tcW w:w="6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28,599</w:t>
            </w:r>
          </w:p>
        </w:tc>
        <w:tc>
          <w:tcPr>
            <w:tcW w:w="0" w:type="dxa"/>
            <w:vAlign w:val="bottom"/>
          </w:tcPr>
          <w:p>
            <w:pPr>
              <w:spacing w:after="0"/>
              <w:rPr>
                <w:sz w:val="1"/>
                <w:szCs w:val="1"/>
                <w:color w:val="auto"/>
              </w:rPr>
            </w:pPr>
          </w:p>
        </w:tc>
      </w:tr>
      <w:tr>
        <w:trPr>
          <w:trHeight w:val="399"/>
        </w:trPr>
        <w:tc>
          <w:tcPr>
            <w:tcW w:w="5160" w:type="dxa"/>
            <w:vAlign w:val="bottom"/>
            <w:gridSpan w:val="2"/>
          </w:tcPr>
          <w:p>
            <w:pPr>
              <w:spacing w:after="0"/>
              <w:rPr>
                <w:sz w:val="20"/>
                <w:szCs w:val="20"/>
                <w:color w:val="auto"/>
              </w:rPr>
            </w:pPr>
            <w:r>
              <w:rPr>
                <w:rFonts w:ascii="Arial" w:cs="Arial" w:eastAsia="Arial" w:hAnsi="Arial"/>
                <w:sz w:val="18"/>
                <w:szCs w:val="18"/>
                <w:color w:val="auto"/>
              </w:rPr>
              <w:t>Costs, expenses and other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Cost of products sold</w:t>
            </w:r>
          </w:p>
        </w:tc>
        <w:tc>
          <w:tcPr>
            <w:tcW w:w="11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5,594</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5,372</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16,545</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16,126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Cost of services sold</w:t>
            </w:r>
          </w:p>
        </w:tc>
        <w:tc>
          <w:tcPr>
            <w:tcW w:w="11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1,309</w:t>
            </w: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1,282</w:t>
            </w: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3,726</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6,903</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6,654</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20,271</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19,830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1,367</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1,202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3,976</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Other (income) expense</w:t>
            </w:r>
          </w:p>
        </w:tc>
        <w:tc>
          <w:tcPr>
            <w:tcW w:w="11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(180)</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(197)</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E5FFFF"/>
            </w:tcBorders>
          </w:tcPr>
          <w:p>
            <w:pPr>
              <w:ind w:left="160"/>
              <w:spacing w:after="0"/>
              <w:rPr>
                <w:sz w:val="20"/>
                <w:szCs w:val="20"/>
                <w:color w:val="auto"/>
              </w:rPr>
            </w:pPr>
            <w:r>
              <w:rPr>
                <w:rFonts w:ascii="Arial" w:cs="Arial" w:eastAsia="Arial" w:hAnsi="Arial"/>
                <w:sz w:val="18"/>
                <w:szCs w:val="18"/>
                <w:color w:val="auto"/>
              </w:rPr>
              <w:t>Interest and other financial charges</w:t>
            </w:r>
          </w:p>
        </w:tc>
        <w:tc>
          <w:tcPr>
            <w:tcW w:w="114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w:t>
            </w: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252</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82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8,172</w:t>
            </w:r>
          </w:p>
        </w:tc>
        <w:tc>
          <w:tcPr>
            <w:tcW w:w="34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70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7,904</w:t>
            </w:r>
          </w:p>
        </w:tc>
        <w:tc>
          <w:tcPr>
            <w:tcW w:w="3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24,302</w:t>
            </w:r>
          </w:p>
        </w:tc>
        <w:tc>
          <w:tcPr>
            <w:tcW w:w="340" w:type="dxa"/>
            <w:vAlign w:val="bottom"/>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spacing w:after="0"/>
              <w:rPr>
                <w:sz w:val="17"/>
                <w:szCs w:val="17"/>
                <w:color w:val="auto"/>
              </w:rPr>
            </w:pPr>
          </w:p>
        </w:tc>
        <w:tc>
          <w:tcPr>
            <w:tcW w:w="6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23,666</w:t>
            </w:r>
          </w:p>
        </w:tc>
        <w:tc>
          <w:tcPr>
            <w:tcW w:w="0" w:type="dxa"/>
            <w:vAlign w:val="bottom"/>
          </w:tcPr>
          <w:p>
            <w:pPr>
              <w:spacing w:after="0"/>
              <w:rPr>
                <w:sz w:val="1"/>
                <w:szCs w:val="1"/>
                <w:color w:val="auto"/>
              </w:rPr>
            </w:pPr>
          </w:p>
        </w:tc>
      </w:tr>
      <w:tr>
        <w:trPr>
          <w:trHeight w:val="399"/>
        </w:trPr>
        <w:tc>
          <w:tcPr>
            <w:tcW w:w="516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1,632</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1,707</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5,015</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E5FFFF"/>
          </w:tcPr>
          <w:p>
            <w:pPr>
              <w:spacing w:after="0"/>
              <w:rPr>
                <w:sz w:val="20"/>
                <w:szCs w:val="20"/>
                <w:color w:val="auto"/>
              </w:rPr>
            </w:pPr>
            <w:r>
              <w:rPr>
                <w:rFonts w:ascii="Arial" w:cs="Arial" w:eastAsia="Arial" w:hAnsi="Arial"/>
                <w:sz w:val="18"/>
                <w:szCs w:val="18"/>
                <w:color w:val="auto"/>
              </w:rPr>
              <w:t>Tax expense</w:t>
            </w:r>
          </w:p>
        </w:tc>
        <w:tc>
          <w:tcPr>
            <w:tcW w:w="114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384</w:t>
            </w:r>
          </w:p>
        </w:tc>
        <w:tc>
          <w:tcPr>
            <w:tcW w:w="34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431</w:t>
            </w:r>
          </w:p>
        </w:tc>
        <w:tc>
          <w:tcPr>
            <w:tcW w:w="3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1,214</w:t>
            </w:r>
          </w:p>
        </w:tc>
        <w:tc>
          <w:tcPr>
            <w:tcW w:w="34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6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1,248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1,276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3,801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Less: Net income attributable to the noncontrolling interest</w:t>
            </w:r>
          </w:p>
        </w:tc>
        <w:tc>
          <w:tcPr>
            <w:tcW w:w="11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8</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12</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26</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Honeywell</w:t>
            </w:r>
          </w:p>
        </w:tc>
        <w:tc>
          <w:tcPr>
            <w:tcW w:w="1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1,240</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1,264</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3,775</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Earnings per share of common stock - basic</w:t>
            </w:r>
          </w:p>
        </w:tc>
        <w:tc>
          <w:tcPr>
            <w:tcW w:w="1140" w:type="dxa"/>
            <w:vAlign w:val="bottom"/>
            <w:tcBorders>
              <w:bottom w:val="single" w:sz="8" w:color="E5FFFF"/>
            </w:tcBorders>
            <w:shd w:val="clear" w:color="auto" w:fill="E5FFFF"/>
          </w:tcPr>
          <w:p>
            <w:pPr>
              <w:spacing w:after="0"/>
              <w:rPr>
                <w:sz w:val="19"/>
                <w:szCs w:val="19"/>
                <w:color w:val="auto"/>
              </w:rPr>
            </w:pPr>
          </w:p>
        </w:tc>
        <w:tc>
          <w:tcPr>
            <w:tcW w:w="240" w:type="dxa"/>
            <w:vAlign w:val="bottom"/>
            <w:tcBorders>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1.62</w:t>
            </w:r>
          </w:p>
        </w:tc>
        <w:tc>
          <w:tcPr>
            <w:tcW w:w="340" w:type="dxa"/>
            <w:vAlign w:val="bottom"/>
            <w:tcBorders>
              <w:bottom w:val="single" w:sz="8" w:color="E5FFFF"/>
            </w:tcBorders>
            <w:shd w:val="clear" w:color="auto" w:fill="E5FFFF"/>
          </w:tcPr>
          <w:p>
            <w:pPr>
              <w:spacing w:after="0"/>
              <w:rPr>
                <w:sz w:val="19"/>
                <w:szCs w:val="19"/>
                <w:color w:val="auto"/>
              </w:rPr>
            </w:pPr>
          </w:p>
        </w:tc>
        <w:tc>
          <w:tcPr>
            <w:tcW w:w="320" w:type="dxa"/>
            <w:vAlign w:val="bottom"/>
            <w:tcBorders>
              <w:bottom w:val="single" w:sz="8" w:color="auto"/>
            </w:tcBorders>
            <w:shd w:val="clear" w:color="auto" w:fill="E5FF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1.62</w:t>
            </w:r>
          </w:p>
        </w:tc>
        <w:tc>
          <w:tcPr>
            <w:tcW w:w="34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4.93</w:t>
            </w:r>
          </w:p>
        </w:tc>
        <w:tc>
          <w:tcPr>
            <w:tcW w:w="340" w:type="dxa"/>
            <w:vAlign w:val="bottom"/>
            <w:tcBorders>
              <w:bottom w:val="single" w:sz="8" w:color="E5FFFF"/>
            </w:tcBorders>
            <w:shd w:val="clear" w:color="auto" w:fill="E5FFFF"/>
          </w:tcPr>
          <w:p>
            <w:pPr>
              <w:spacing w:after="0"/>
              <w:rPr>
                <w:sz w:val="19"/>
                <w:szCs w:val="19"/>
                <w:color w:val="auto"/>
              </w:rPr>
            </w:pPr>
          </w:p>
        </w:tc>
        <w:tc>
          <w:tcPr>
            <w:tcW w:w="340" w:type="dxa"/>
            <w:vAlign w:val="bottom"/>
            <w:tcBorders>
              <w:bottom w:val="single" w:sz="8" w:color="auto"/>
            </w:tcBorders>
            <w:shd w:val="clear" w:color="auto" w:fill="E5FF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gridSpan w:val="2"/>
            <w:vMerge w:val="continue"/>
          </w:tcPr>
          <w:p>
            <w:pPr>
              <w:spacing w:after="0"/>
              <w:rPr>
                <w:sz w:val="24"/>
                <w:szCs w:val="24"/>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1.60</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4.86</w:t>
            </w:r>
          </w:p>
        </w:tc>
        <w:tc>
          <w:tcPr>
            <w:tcW w:w="34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8"/>
                <w:szCs w:val="18"/>
                <w:color w:val="auto"/>
              </w:rPr>
              <w:t>Cash dividends per share of common stock</w:t>
            </w:r>
          </w:p>
        </w:tc>
        <w:tc>
          <w:tcPr>
            <w:tcW w:w="1140" w:type="dxa"/>
            <w:vAlign w:val="bottom"/>
            <w:tcBorders>
              <w:bottom w:val="single" w:sz="8" w:color="E5FFFF"/>
            </w:tcBorders>
            <w:shd w:val="clear" w:color="auto" w:fill="E5FFFF"/>
          </w:tcPr>
          <w:p>
            <w:pPr>
              <w:spacing w:after="0"/>
              <w:rPr>
                <w:sz w:val="19"/>
                <w:szCs w:val="19"/>
                <w:color w:val="auto"/>
              </w:rPr>
            </w:pPr>
          </w:p>
        </w:tc>
        <w:tc>
          <w:tcPr>
            <w:tcW w:w="240" w:type="dxa"/>
            <w:vAlign w:val="bottom"/>
            <w:tcBorders>
              <w:bottom w:val="single" w:sz="8" w:color="auto"/>
            </w:tcBorders>
            <w:shd w:val="clear" w:color="auto" w:fill="E5FF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0.5950</w:t>
            </w:r>
          </w:p>
        </w:tc>
        <w:tc>
          <w:tcPr>
            <w:tcW w:w="340" w:type="dxa"/>
            <w:vAlign w:val="bottom"/>
            <w:tcBorders>
              <w:bottom w:val="single" w:sz="8" w:color="E5FFFF"/>
            </w:tcBorders>
            <w:shd w:val="clear" w:color="auto" w:fill="E5FFFF"/>
          </w:tcPr>
          <w:p>
            <w:pPr>
              <w:spacing w:after="0"/>
              <w:rPr>
                <w:sz w:val="19"/>
                <w:szCs w:val="19"/>
                <w:color w:val="auto"/>
              </w:rPr>
            </w:pPr>
          </w:p>
        </w:tc>
        <w:tc>
          <w:tcPr>
            <w:tcW w:w="320" w:type="dxa"/>
            <w:vAlign w:val="bottom"/>
            <w:tcBorders>
              <w:bottom w:val="single" w:sz="8" w:color="auto"/>
            </w:tcBorders>
            <w:shd w:val="clear" w:color="auto" w:fill="E5FF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0.5175</w:t>
            </w:r>
          </w:p>
        </w:tc>
        <w:tc>
          <w:tcPr>
            <w:tcW w:w="34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1.7850</w:t>
            </w:r>
          </w:p>
        </w:tc>
        <w:tc>
          <w:tcPr>
            <w:tcW w:w="340" w:type="dxa"/>
            <w:vAlign w:val="bottom"/>
            <w:tcBorders>
              <w:bottom w:val="single" w:sz="8" w:color="E5FFFF"/>
            </w:tcBorders>
            <w:shd w:val="clear" w:color="auto" w:fill="E5FFFF"/>
          </w:tcPr>
          <w:p>
            <w:pPr>
              <w:spacing w:after="0"/>
              <w:rPr>
                <w:sz w:val="19"/>
                <w:szCs w:val="19"/>
                <w:color w:val="auto"/>
              </w:rPr>
            </w:pPr>
          </w:p>
        </w:tc>
        <w:tc>
          <w:tcPr>
            <w:tcW w:w="340" w:type="dxa"/>
            <w:vAlign w:val="bottom"/>
            <w:tcBorders>
              <w:bottom w:val="single" w:sz="8" w:color="auto"/>
            </w:tcBorders>
            <w:shd w:val="clear" w:color="auto" w:fill="E5FF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1.5525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9040" w:type="dxa"/>
            <w:vAlign w:val="bottom"/>
            <w:gridSpan w:val="8"/>
          </w:tcPr>
          <w:p>
            <w:pPr>
              <w:jc w:val="center"/>
              <w:ind w:left="2250"/>
              <w:spacing w:after="0"/>
              <w:rPr>
                <w:sz w:val="20"/>
                <w:szCs w:val="20"/>
                <w:color w:val="auto"/>
              </w:rPr>
            </w:pPr>
            <w:r>
              <w:rPr>
                <w:rFonts w:ascii="Arial" w:cs="Arial" w:eastAsia="Arial" w:hAnsi="Arial"/>
                <w:sz w:val="18"/>
                <w:szCs w:val="18"/>
                <w:color w:val="auto"/>
                <w:w w:val="99"/>
              </w:rPr>
              <w:t>The Notes to Financial Statements are an integral part of this statement.</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4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E5FF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1,248</w:t>
            </w:r>
          </w:p>
        </w:tc>
        <w:tc>
          <w:tcPr>
            <w:tcW w:w="660" w:type="dxa"/>
            <w:vAlign w:val="bottom"/>
            <w:gridSpan w:val="2"/>
            <w:shd w:val="clear" w:color="auto" w:fill="E5FF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1,276</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3,801</w:t>
            </w:r>
          </w:p>
        </w:tc>
        <w:tc>
          <w:tcPr>
            <w:tcW w:w="680" w:type="dxa"/>
            <w:vAlign w:val="bottom"/>
            <w:gridSpan w:val="2"/>
            <w:shd w:val="clear" w:color="auto" w:fill="E5FF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E5FFFF"/>
          </w:tcPr>
          <w:p>
            <w:pPr>
              <w:ind w:left="340"/>
              <w:spacing w:after="0" w:line="202" w:lineRule="exact"/>
              <w:rPr>
                <w:sz w:val="20"/>
                <w:szCs w:val="20"/>
                <w:color w:val="auto"/>
              </w:rPr>
            </w:pPr>
            <w:r>
              <w:rPr>
                <w:rFonts w:ascii="Arial" w:cs="Arial" w:eastAsia="Arial" w:hAnsi="Arial"/>
                <w:sz w:val="18"/>
                <w:szCs w:val="18"/>
                <w:color w:val="auto"/>
              </w:rPr>
              <w:t>Foreign exchange translation adjustment</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35</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(383)</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83</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6060" w:type="dxa"/>
            <w:vAlign w:val="bottom"/>
          </w:tcPr>
          <w:p>
            <w:pPr>
              <w:ind w:left="520"/>
              <w:spacing w:after="0"/>
              <w:rPr>
                <w:sz w:val="20"/>
                <w:szCs w:val="20"/>
                <w:color w:val="auto"/>
              </w:rPr>
            </w:pPr>
            <w:r>
              <w:rPr>
                <w:rFonts w:ascii="Arial" w:cs="Arial" w:eastAsia="Arial" w:hAnsi="Arial"/>
                <w:sz w:val="18"/>
                <w:szCs w:val="18"/>
                <w:color w:val="auto"/>
              </w:rPr>
              <w:t>Actuarial losses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E5FFFF"/>
          </w:tcPr>
          <w:p>
            <w:pPr>
              <w:ind w:left="520"/>
              <w:spacing w:after="0" w:line="202" w:lineRule="exact"/>
              <w:rPr>
                <w:sz w:val="20"/>
                <w:szCs w:val="20"/>
                <w:color w:val="auto"/>
              </w:rPr>
            </w:pPr>
            <w:r>
              <w:rPr>
                <w:rFonts w:ascii="Arial" w:cs="Arial" w:eastAsia="Arial" w:hAnsi="Arial"/>
                <w:sz w:val="18"/>
                <w:szCs w:val="18"/>
                <w:color w:val="auto"/>
              </w:rPr>
              <w:t>Actuarial losses recognized</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4</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11</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520"/>
              <w:spacing w:after="0" w:line="202" w:lineRule="exact"/>
              <w:rPr>
                <w:sz w:val="20"/>
                <w:szCs w:val="20"/>
                <w:color w:val="auto"/>
              </w:rPr>
            </w:pPr>
            <w:r>
              <w:rPr>
                <w:rFonts w:ascii="Arial" w:cs="Arial" w:eastAsia="Arial" w:hAnsi="Arial"/>
                <w:sz w:val="18"/>
                <w:szCs w:val="18"/>
                <w:color w:val="auto"/>
              </w:rPr>
              <w:t>Prior service credits recognized</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5FFFF"/>
          </w:tcPr>
          <w:p>
            <w:pPr>
              <w:ind w:left="520"/>
              <w:spacing w:after="0"/>
              <w:rPr>
                <w:sz w:val="20"/>
                <w:szCs w:val="20"/>
                <w:color w:val="auto"/>
              </w:rPr>
            </w:pPr>
            <w:r>
              <w:rPr>
                <w:rFonts w:ascii="Arial" w:cs="Arial" w:eastAsia="Arial" w:hAnsi="Arial"/>
                <w:sz w:val="18"/>
                <w:szCs w:val="18"/>
                <w:color w:val="auto"/>
              </w:rPr>
              <w:t>Settlements and curtailments</w:t>
            </w:r>
          </w:p>
        </w:tc>
        <w:tc>
          <w:tcPr>
            <w:tcW w:w="22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32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2</w:t>
            </w:r>
          </w:p>
        </w:tc>
        <w:tc>
          <w:tcPr>
            <w:tcW w:w="340" w:type="dxa"/>
            <w:vAlign w:val="bottom"/>
            <w:shd w:val="clear" w:color="auto" w:fill="E5FFFF"/>
          </w:tcPr>
          <w:p>
            <w:pPr>
              <w:spacing w:after="0"/>
              <w:rPr>
                <w:sz w:val="18"/>
                <w:szCs w:val="18"/>
                <w:color w:val="auto"/>
              </w:rPr>
            </w:pPr>
          </w:p>
        </w:tc>
        <w:tc>
          <w:tcPr>
            <w:tcW w:w="220" w:type="dxa"/>
            <w:vAlign w:val="bottom"/>
            <w:tcBorders>
              <w:bottom w:val="single" w:sz="8" w:color="auto"/>
            </w:tcBorders>
            <w:shd w:val="clear" w:color="auto" w:fill="E5FFFF"/>
          </w:tcPr>
          <w:p>
            <w:pPr>
              <w:spacing w:after="0"/>
              <w:rPr>
                <w:sz w:val="18"/>
                <w:szCs w:val="18"/>
                <w:color w:val="auto"/>
              </w:rPr>
            </w:pPr>
          </w:p>
        </w:tc>
        <w:tc>
          <w:tcPr>
            <w:tcW w:w="78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6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Pension and other postretirement benefits adjustments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E5FFFF"/>
          </w:tcPr>
          <w:p>
            <w:pPr>
              <w:ind w:left="520"/>
              <w:spacing w:after="0" w:line="201" w:lineRule="exact"/>
              <w:rPr>
                <w:sz w:val="20"/>
                <w:szCs w:val="20"/>
                <w:color w:val="auto"/>
              </w:rPr>
            </w:pPr>
            <w:r>
              <w:rPr>
                <w:rFonts w:ascii="Arial" w:cs="Arial" w:eastAsia="Arial" w:hAnsi="Arial"/>
                <w:sz w:val="18"/>
                <w:szCs w:val="18"/>
                <w:color w:val="auto"/>
              </w:rPr>
              <w:t>Effective portion of cash flow hedges recognized in other</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E5FFFF"/>
          </w:tcPr>
          <w:p>
            <w:pPr>
              <w:ind w:left="700"/>
              <w:spacing w:after="0" w:line="203" w:lineRule="exact"/>
              <w:rPr>
                <w:sz w:val="20"/>
                <w:szCs w:val="20"/>
                <w:color w:val="auto"/>
              </w:rPr>
            </w:pPr>
            <w:r>
              <w:rPr>
                <w:rFonts w:ascii="Arial" w:cs="Arial" w:eastAsia="Arial" w:hAnsi="Arial"/>
                <w:sz w:val="18"/>
                <w:szCs w:val="18"/>
                <w:color w:val="auto"/>
              </w:rPr>
              <w:t>comprehensive income (loss)</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(7)</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(8)</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jc w:val="right"/>
              <w:spacing w:after="0" w:line="203" w:lineRule="exact"/>
              <w:rPr>
                <w:sz w:val="20"/>
                <w:szCs w:val="20"/>
                <w:color w:val="auto"/>
              </w:rPr>
            </w:pPr>
            <w:r>
              <w:rPr>
                <w:rFonts w:ascii="Arial" w:cs="Arial" w:eastAsia="Arial" w:hAnsi="Arial"/>
                <w:sz w:val="18"/>
                <w:szCs w:val="18"/>
                <w:color w:val="auto"/>
              </w:rPr>
              <w:t>(1)</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3"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520"/>
              <w:spacing w:after="0" w:line="201" w:lineRule="exact"/>
              <w:rPr>
                <w:sz w:val="20"/>
                <w:szCs w:val="20"/>
                <w:color w:val="auto"/>
              </w:rPr>
            </w:pPr>
            <w:r>
              <w:rPr>
                <w:rFonts w:ascii="Arial" w:cs="Arial" w:eastAsia="Arial" w:hAnsi="Arial"/>
                <w:sz w:val="18"/>
                <w:szCs w:val="18"/>
                <w:color w:val="auto"/>
              </w:rPr>
              <w:t>Less: Reclassification adjustment for gains (losses) included in net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tcBorders>
              <w:bottom w:val="single" w:sz="8" w:color="E5FFFF"/>
            </w:tcBorders>
          </w:tcPr>
          <w:p>
            <w:pPr>
              <w:ind w:left="700"/>
              <w:spacing w:after="0"/>
              <w:rPr>
                <w:sz w:val="20"/>
                <w:szCs w:val="20"/>
                <w:color w:val="auto"/>
              </w:rPr>
            </w:pPr>
            <w:r>
              <w:rPr>
                <w:rFonts w:ascii="Arial" w:cs="Arial" w:eastAsia="Arial" w:hAnsi="Arial"/>
                <w:sz w:val="18"/>
                <w:szCs w:val="18"/>
                <w:color w:val="auto"/>
              </w:rPr>
              <w:t>income</w:t>
            </w:r>
          </w:p>
        </w:tc>
        <w:tc>
          <w:tcPr>
            <w:tcW w:w="2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E5FFFF"/>
          </w:tcPr>
          <w:p>
            <w:pPr>
              <w:ind w:left="340"/>
              <w:spacing w:after="0" w:line="196" w:lineRule="exact"/>
              <w:rPr>
                <w:sz w:val="20"/>
                <w:szCs w:val="20"/>
                <w:color w:val="auto"/>
              </w:rPr>
            </w:pPr>
            <w:r>
              <w:rPr>
                <w:rFonts w:ascii="Arial" w:cs="Arial" w:eastAsia="Arial" w:hAnsi="Arial"/>
                <w:sz w:val="18"/>
                <w:szCs w:val="18"/>
                <w:color w:val="auto"/>
              </w:rPr>
              <w:t>Changes in fair value of effective cash flow hedges</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(27)</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17</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vMerge w:val="restart"/>
          </w:tcPr>
          <w:p>
            <w:pPr>
              <w:ind w:left="16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17</w:t>
            </w: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(404)</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53</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Comprehensive income</w:t>
            </w:r>
          </w:p>
        </w:tc>
        <w:tc>
          <w:tcPr>
            <w:tcW w:w="2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1,265</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872</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3,854</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520"/>
              <w:spacing w:after="0" w:line="201" w:lineRule="exact"/>
              <w:rPr>
                <w:sz w:val="20"/>
                <w:szCs w:val="20"/>
                <w:color w:val="auto"/>
              </w:rPr>
            </w:pPr>
            <w:r>
              <w:rPr>
                <w:rFonts w:ascii="Arial" w:cs="Arial" w:eastAsia="Arial" w:hAnsi="Arial"/>
                <w:sz w:val="18"/>
                <w:szCs w:val="18"/>
                <w:color w:val="auto"/>
              </w:rPr>
              <w:t>Less: Comprehensive income attributable to the noncontrolling</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tcBorders>
              <w:bottom w:val="single" w:sz="8" w:color="E5FFFF"/>
            </w:tcBorders>
          </w:tcPr>
          <w:p>
            <w:pPr>
              <w:ind w:left="70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Comprehensive income attributable to Honeywell</w:t>
            </w:r>
          </w:p>
        </w:tc>
        <w:tc>
          <w:tcPr>
            <w:tcW w:w="46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1,257</w:t>
            </w:r>
          </w:p>
        </w:tc>
        <w:tc>
          <w:tcPr>
            <w:tcW w:w="66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864</w:t>
            </w:r>
          </w:p>
        </w:tc>
        <w:tc>
          <w:tcPr>
            <w:tcW w:w="340" w:type="dxa"/>
            <w:vAlign w:val="bottom"/>
            <w:shd w:val="clear" w:color="auto" w:fill="E5FFFF"/>
          </w:tcPr>
          <w:p>
            <w:pPr>
              <w:spacing w:after="0"/>
              <w:rPr>
                <w:sz w:val="18"/>
                <w:szCs w:val="18"/>
                <w:color w:val="auto"/>
              </w:rPr>
            </w:pPr>
          </w:p>
        </w:tc>
        <w:tc>
          <w:tcPr>
            <w:tcW w:w="2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3,831</w:t>
            </w:r>
          </w:p>
        </w:tc>
        <w:tc>
          <w:tcPr>
            <w:tcW w:w="680" w:type="dxa"/>
            <w:vAlign w:val="bottom"/>
            <w:gridSpan w:val="2"/>
            <w:shd w:val="clear" w:color="auto" w:fill="E5FF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280" w:type="dxa"/>
            <w:vAlign w:val="bottom"/>
          </w:tcPr>
          <w:p>
            <w:pPr>
              <w:jc w:val="right"/>
              <w:ind w:right="1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7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412"/>
        </w:trPr>
        <w:tc>
          <w:tcPr>
            <w:tcW w:w="7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gridSpan w:val="4"/>
          </w:tcPr>
          <w:p>
            <w:pPr>
              <w:jc w:val="right"/>
              <w:ind w:right="951"/>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216"/>
        </w:trPr>
        <w:tc>
          <w:tcPr>
            <w:tcW w:w="71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6,431</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5,455</w:t>
            </w:r>
          </w:p>
        </w:tc>
        <w:tc>
          <w:tcPr>
            <w:tcW w:w="0" w:type="dxa"/>
            <w:vAlign w:val="bottom"/>
          </w:tcPr>
          <w:p>
            <w:pPr>
              <w:spacing w:after="0"/>
              <w:rPr>
                <w:sz w:val="1"/>
                <w:szCs w:val="1"/>
                <w:color w:val="auto"/>
              </w:rPr>
            </w:pPr>
          </w:p>
        </w:tc>
      </w:tr>
      <w:tr>
        <w:trPr>
          <w:trHeight w:val="203"/>
        </w:trPr>
        <w:tc>
          <w:tcPr>
            <w:tcW w:w="7140" w:type="dxa"/>
            <w:vAlign w:val="bottom"/>
          </w:tcPr>
          <w:p>
            <w:pPr>
              <w:ind w:left="180"/>
              <w:spacing w:after="0" w:line="202" w:lineRule="exact"/>
              <w:rPr>
                <w:sz w:val="20"/>
                <w:szCs w:val="20"/>
                <w:color w:val="auto"/>
              </w:rPr>
            </w:pPr>
            <w:r>
              <w:rPr>
                <w:rFonts w:ascii="Arial" w:cs="Arial" w:eastAsia="Arial" w:hAnsi="Arial"/>
                <w:sz w:val="18"/>
                <w:szCs w:val="18"/>
                <w:color w:val="auto"/>
              </w:rPr>
              <w:t>Accounts, notes and other receivables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8,627</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03"/>
        </w:trPr>
        <w:tc>
          <w:tcPr>
            <w:tcW w:w="71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Inventories</w:t>
            </w:r>
          </w:p>
        </w:tc>
        <w:tc>
          <w:tcPr>
            <w:tcW w:w="9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4,587</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Investments and other current assets</w:t>
            </w:r>
          </w:p>
        </w:tc>
        <w:tc>
          <w:tcPr>
            <w:tcW w:w="98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2,189</w:t>
            </w:r>
          </w:p>
        </w:tc>
        <w:tc>
          <w:tcPr>
            <w:tcW w:w="34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196"/>
        </w:trPr>
        <w:tc>
          <w:tcPr>
            <w:tcW w:w="7140" w:type="dxa"/>
            <w:vAlign w:val="bottom"/>
            <w:shd w:val="clear" w:color="auto" w:fill="E5FFFF"/>
          </w:tcPr>
          <w:p>
            <w:pPr>
              <w:ind w:left="360"/>
              <w:spacing w:after="0" w:line="196" w:lineRule="exact"/>
              <w:rPr>
                <w:sz w:val="20"/>
                <w:szCs w:val="20"/>
                <w:color w:val="auto"/>
              </w:rPr>
            </w:pPr>
            <w:r>
              <w:rPr>
                <w:rFonts w:ascii="Arial" w:cs="Arial" w:eastAsia="Arial" w:hAnsi="Arial"/>
                <w:sz w:val="18"/>
                <w:szCs w:val="18"/>
                <w:color w:val="auto"/>
              </w:rPr>
              <w:t>Total current assets</w:t>
            </w:r>
          </w:p>
        </w:tc>
        <w:tc>
          <w:tcPr>
            <w:tcW w:w="9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21,834</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20,053</w:t>
            </w: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Investments and long-term receivables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639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3"/>
        </w:trPr>
        <w:tc>
          <w:tcPr>
            <w:tcW w:w="7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Property, plant and equipment - net</w:t>
            </w:r>
          </w:p>
        </w:tc>
        <w:tc>
          <w:tcPr>
            <w:tcW w:w="9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5,725</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17,846</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15,895</w:t>
            </w:r>
          </w:p>
        </w:tc>
        <w:tc>
          <w:tcPr>
            <w:tcW w:w="0" w:type="dxa"/>
            <w:vAlign w:val="bottom"/>
          </w:tcPr>
          <w:p>
            <w:pPr>
              <w:spacing w:after="0"/>
              <w:rPr>
                <w:sz w:val="1"/>
                <w:szCs w:val="1"/>
                <w:color w:val="auto"/>
              </w:rPr>
            </w:pPr>
          </w:p>
        </w:tc>
      </w:tr>
      <w:tr>
        <w:trPr>
          <w:trHeight w:val="203"/>
        </w:trPr>
        <w:tc>
          <w:tcPr>
            <w:tcW w:w="7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intangible assets - net</w:t>
            </w:r>
          </w:p>
        </w:tc>
        <w:tc>
          <w:tcPr>
            <w:tcW w:w="9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4,847</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4,577</w:t>
            </w: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Insurance recoveries for asbestos related liabilities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433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3"/>
        </w:trPr>
        <w:tc>
          <w:tcPr>
            <w:tcW w:w="7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Deferred income taxes</w:t>
            </w:r>
          </w:p>
        </w:tc>
        <w:tc>
          <w:tcPr>
            <w:tcW w:w="9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335</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assets</w:t>
            </w:r>
          </w:p>
        </w:tc>
        <w:tc>
          <w:tcPr>
            <w:tcW w:w="98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1,897</w:t>
            </w:r>
          </w:p>
        </w:tc>
        <w:tc>
          <w:tcPr>
            <w:tcW w:w="34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0"/>
        </w:trPr>
        <w:tc>
          <w:tcPr>
            <w:tcW w:w="7140" w:type="dxa"/>
            <w:vAlign w:val="bottom"/>
            <w:shd w:val="clear" w:color="auto" w:fill="E5FFFF"/>
          </w:tcPr>
          <w:p>
            <w:pPr>
              <w:ind w:left="180"/>
              <w:spacing w:after="0" w:line="197" w:lineRule="exact"/>
              <w:rPr>
                <w:sz w:val="20"/>
                <w:szCs w:val="20"/>
                <w:color w:val="auto"/>
              </w:rPr>
            </w:pPr>
            <w:r>
              <w:rPr>
                <w:rFonts w:ascii="Arial" w:cs="Arial" w:eastAsia="Arial" w:hAnsi="Arial"/>
                <w:sz w:val="18"/>
                <w:szCs w:val="18"/>
                <w:color w:val="auto"/>
              </w:rPr>
              <w:t>Total assets</w:t>
            </w:r>
          </w:p>
        </w:tc>
        <w:tc>
          <w:tcPr>
            <w:tcW w:w="116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5FFFF"/>
          </w:tcPr>
          <w:p>
            <w:pPr>
              <w:jc w:val="right"/>
              <w:ind w:right="31"/>
              <w:spacing w:after="0"/>
              <w:rPr>
                <w:sz w:val="20"/>
                <w:szCs w:val="20"/>
                <w:color w:val="auto"/>
              </w:rPr>
            </w:pPr>
            <w:r>
              <w:rPr>
                <w:rFonts w:ascii="Arial" w:cs="Arial" w:eastAsia="Arial" w:hAnsi="Arial"/>
                <w:sz w:val="18"/>
                <w:szCs w:val="18"/>
                <w:color w:val="auto"/>
              </w:rPr>
              <w:t>53,556</w:t>
            </w: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49,316</w:t>
            </w:r>
          </w:p>
        </w:tc>
        <w:tc>
          <w:tcPr>
            <w:tcW w:w="0" w:type="dxa"/>
            <w:vAlign w:val="bottom"/>
          </w:tcPr>
          <w:p>
            <w:pPr>
              <w:spacing w:after="0"/>
              <w:rPr>
                <w:sz w:val="1"/>
                <w:szCs w:val="1"/>
                <w:color w:val="auto"/>
              </w:rPr>
            </w:pPr>
          </w:p>
        </w:tc>
      </w:tr>
      <w:tr>
        <w:trPr>
          <w:trHeight w:val="20"/>
        </w:trPr>
        <w:tc>
          <w:tcPr>
            <w:tcW w:w="714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8"/>
                <w:szCs w:val="18"/>
                <w:b w:val="1"/>
                <w:bCs w:val="1"/>
                <w:color w:val="auto"/>
              </w:rPr>
              <w:t>LIABILITIES</w:t>
            </w:r>
          </w:p>
        </w:tc>
        <w:tc>
          <w:tcPr>
            <w:tcW w:w="9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E5FFFF"/>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5,418</w:t>
            </w:r>
          </w:p>
        </w:tc>
        <w:tc>
          <w:tcPr>
            <w:tcW w:w="3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03"/>
        </w:trPr>
        <w:tc>
          <w:tcPr>
            <w:tcW w:w="714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Commercial paper and other short-term borrowings</w:t>
            </w:r>
          </w:p>
        </w:tc>
        <w:tc>
          <w:tcPr>
            <w:tcW w:w="9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5,601</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203"/>
        </w:trPr>
        <w:tc>
          <w:tcPr>
            <w:tcW w:w="7140" w:type="dxa"/>
            <w:vAlign w:val="bottom"/>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649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7140" w:type="dxa"/>
            <w:vAlign w:val="bottom"/>
            <w:shd w:val="clear" w:color="auto" w:fill="E5FFFF"/>
          </w:tcPr>
          <w:p>
            <w:pPr>
              <w:ind w:left="180"/>
              <w:spacing w:after="0"/>
              <w:rPr>
                <w:sz w:val="20"/>
                <w:szCs w:val="20"/>
                <w:color w:val="auto"/>
              </w:rPr>
            </w:pPr>
            <w:r>
              <w:rPr>
                <w:rFonts w:ascii="Arial" w:cs="Arial" w:eastAsia="Arial" w:hAnsi="Arial"/>
                <w:sz w:val="18"/>
                <w:szCs w:val="18"/>
                <w:color w:val="auto"/>
              </w:rPr>
              <w:t>Accrued liabilities</w:t>
            </w:r>
          </w:p>
        </w:tc>
        <w:tc>
          <w:tcPr>
            <w:tcW w:w="98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ind w:right="31"/>
              <w:spacing w:after="0"/>
              <w:rPr>
                <w:sz w:val="20"/>
                <w:szCs w:val="20"/>
                <w:color w:val="auto"/>
              </w:rPr>
            </w:pPr>
            <w:r>
              <w:rPr>
                <w:rFonts w:ascii="Arial" w:cs="Arial" w:eastAsia="Arial" w:hAnsi="Arial"/>
                <w:sz w:val="18"/>
                <w:szCs w:val="18"/>
                <w:color w:val="auto"/>
              </w:rPr>
              <w:t>6,545</w:t>
            </w:r>
          </w:p>
        </w:tc>
        <w:tc>
          <w:tcPr>
            <w:tcW w:w="340" w:type="dxa"/>
            <w:vAlign w:val="bottom"/>
            <w:shd w:val="clear" w:color="auto" w:fill="E5FFFF"/>
          </w:tcPr>
          <w:p>
            <w:pPr>
              <w:spacing w:after="0"/>
              <w:rPr>
                <w:sz w:val="18"/>
                <w:szCs w:val="18"/>
                <w:color w:val="auto"/>
              </w:rPr>
            </w:pPr>
          </w:p>
        </w:tc>
        <w:tc>
          <w:tcPr>
            <w:tcW w:w="180" w:type="dxa"/>
            <w:vAlign w:val="bottom"/>
            <w:tcBorders>
              <w:bottom w:val="single" w:sz="8" w:color="auto"/>
            </w:tcBorders>
            <w:shd w:val="clear" w:color="auto" w:fill="E5FFFF"/>
          </w:tcPr>
          <w:p>
            <w:pPr>
              <w:spacing w:after="0"/>
              <w:rPr>
                <w:sz w:val="18"/>
                <w:szCs w:val="18"/>
                <w:color w:val="auto"/>
              </w:rPr>
            </w:pPr>
          </w:p>
        </w:tc>
        <w:tc>
          <w:tcPr>
            <w:tcW w:w="128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8"/>
                <w:szCs w:val="18"/>
                <w:color w:val="auto"/>
              </w:rPr>
              <w:t>6,277</w:t>
            </w:r>
          </w:p>
        </w:tc>
        <w:tc>
          <w:tcPr>
            <w:tcW w:w="0" w:type="dxa"/>
            <w:vAlign w:val="bottom"/>
          </w:tcPr>
          <w:p>
            <w:pPr>
              <w:spacing w:after="0"/>
              <w:rPr>
                <w:sz w:val="1"/>
                <w:szCs w:val="1"/>
                <w:color w:val="auto"/>
              </w:rPr>
            </w:pPr>
          </w:p>
        </w:tc>
      </w:tr>
      <w:tr>
        <w:trPr>
          <w:trHeight w:val="196"/>
        </w:trPr>
        <w:tc>
          <w:tcPr>
            <w:tcW w:w="7140" w:type="dxa"/>
            <w:vAlign w:val="bottom"/>
          </w:tcPr>
          <w:p>
            <w:pPr>
              <w:ind w:left="360"/>
              <w:spacing w:after="0" w:line="196" w:lineRule="exact"/>
              <w:rPr>
                <w:sz w:val="20"/>
                <w:szCs w:val="20"/>
                <w:color w:val="auto"/>
              </w:rPr>
            </w:pPr>
            <w:r>
              <w:rPr>
                <w:rFonts w:ascii="Arial" w:cs="Arial" w:eastAsia="Arial" w:hAnsi="Arial"/>
                <w:sz w:val="18"/>
                <w:szCs w:val="18"/>
                <w:color w:val="auto"/>
              </w:rPr>
              <w:t>Total current liabilities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18,213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18,371</w:t>
            </w:r>
          </w:p>
        </w:tc>
        <w:tc>
          <w:tcPr>
            <w:tcW w:w="0" w:type="dxa"/>
            <w:vAlign w:val="bottom"/>
          </w:tcPr>
          <w:p>
            <w:pPr>
              <w:spacing w:after="0"/>
              <w:rPr>
                <w:sz w:val="1"/>
                <w:szCs w:val="1"/>
                <w:color w:val="auto"/>
              </w:rPr>
            </w:pPr>
          </w:p>
        </w:tc>
      </w:tr>
      <w:tr>
        <w:trPr>
          <w:trHeight w:val="203"/>
        </w:trPr>
        <w:tc>
          <w:tcPr>
            <w:tcW w:w="7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Long-term debt</w:t>
            </w:r>
          </w:p>
        </w:tc>
        <w:tc>
          <w:tcPr>
            <w:tcW w:w="9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9,608</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701</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3"/>
        </w:trPr>
        <w:tc>
          <w:tcPr>
            <w:tcW w:w="7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Postretirement benefit obligations other than pensions</w:t>
            </w:r>
          </w:p>
        </w:tc>
        <w:tc>
          <w:tcPr>
            <w:tcW w:w="9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477</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Asbestos related liabilities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1,278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03"/>
        </w:trPr>
        <w:tc>
          <w:tcPr>
            <w:tcW w:w="7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liabilities</w:t>
            </w:r>
          </w:p>
        </w:tc>
        <w:tc>
          <w:tcPr>
            <w:tcW w:w="9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3,905</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Redeemable noncontrolling interest</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71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SHAREOWNERS’ EQUITY</w:t>
            </w:r>
          </w:p>
        </w:tc>
        <w:tc>
          <w:tcPr>
            <w:tcW w:w="9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3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2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Capital - common stock issued</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958</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3"/>
        </w:trPr>
        <w:tc>
          <w:tcPr>
            <w:tcW w:w="7140" w:type="dxa"/>
            <w:vAlign w:val="bottom"/>
            <w:shd w:val="clear" w:color="auto" w:fill="E5FFFF"/>
          </w:tcPr>
          <w:p>
            <w:pPr>
              <w:ind w:left="620"/>
              <w:spacing w:after="0" w:line="202" w:lineRule="exact"/>
              <w:rPr>
                <w:sz w:val="20"/>
                <w:szCs w:val="20"/>
                <w:color w:val="auto"/>
              </w:rPr>
            </w:pPr>
            <w:r>
              <w:rPr>
                <w:rFonts w:ascii="Arial" w:cs="Arial" w:eastAsia="Arial" w:hAnsi="Arial"/>
                <w:sz w:val="18"/>
                <w:szCs w:val="18"/>
                <w:color w:val="auto"/>
              </w:rPr>
              <w:t>- additional paid-in capital</w:t>
            </w:r>
          </w:p>
        </w:tc>
        <w:tc>
          <w:tcPr>
            <w:tcW w:w="9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31"/>
              <w:spacing w:after="0" w:line="202" w:lineRule="exact"/>
              <w:rPr>
                <w:sz w:val="20"/>
                <w:szCs w:val="20"/>
                <w:color w:val="auto"/>
              </w:rPr>
            </w:pPr>
            <w:r>
              <w:rPr>
                <w:rFonts w:ascii="Arial" w:cs="Arial" w:eastAsia="Arial" w:hAnsi="Arial"/>
                <w:sz w:val="18"/>
                <w:szCs w:val="18"/>
                <w:color w:val="auto"/>
              </w:rPr>
              <w:t>5,707</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Common stock held in treasury, at cost</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(13,182)</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03"/>
        </w:trPr>
        <w:tc>
          <w:tcPr>
            <w:tcW w:w="7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9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(2,482)</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Retained earnings</w:t>
            </w:r>
          </w:p>
        </w:tc>
        <w:tc>
          <w:tcPr>
            <w:tcW w:w="98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28,190</w:t>
            </w:r>
          </w:p>
        </w:tc>
        <w:tc>
          <w:tcPr>
            <w:tcW w:w="34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26,147</w:t>
            </w:r>
          </w:p>
        </w:tc>
        <w:tc>
          <w:tcPr>
            <w:tcW w:w="0" w:type="dxa"/>
            <w:vAlign w:val="bottom"/>
          </w:tcPr>
          <w:p>
            <w:pPr>
              <w:spacing w:after="0"/>
              <w:rPr>
                <w:sz w:val="1"/>
                <w:szCs w:val="1"/>
                <w:color w:val="auto"/>
              </w:rPr>
            </w:pPr>
          </w:p>
        </w:tc>
      </w:tr>
      <w:tr>
        <w:trPr>
          <w:trHeight w:val="196"/>
        </w:trPr>
        <w:tc>
          <w:tcPr>
            <w:tcW w:w="714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Honeywell shareowners’ equity</w:t>
            </w:r>
          </w:p>
        </w:tc>
        <w:tc>
          <w:tcPr>
            <w:tcW w:w="9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20" w:type="dxa"/>
            <w:vAlign w:val="bottom"/>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19,191</w:t>
            </w:r>
          </w:p>
        </w:tc>
        <w:tc>
          <w:tcPr>
            <w:tcW w:w="3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2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18,283</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Noncontrolling interest</w:t>
            </w:r>
          </w:p>
        </w:tc>
        <w:tc>
          <w:tcPr>
            <w:tcW w:w="98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180</w:t>
            </w:r>
          </w:p>
        </w:tc>
        <w:tc>
          <w:tcPr>
            <w:tcW w:w="34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7140" w:type="dxa"/>
            <w:vAlign w:val="bottom"/>
            <w:shd w:val="clear" w:color="auto" w:fill="E5FFFF"/>
          </w:tcPr>
          <w:p>
            <w:pPr>
              <w:ind w:left="180"/>
              <w:spacing w:after="0" w:line="196" w:lineRule="exact"/>
              <w:rPr>
                <w:sz w:val="20"/>
                <w:szCs w:val="20"/>
                <w:color w:val="auto"/>
              </w:rPr>
            </w:pPr>
            <w:r>
              <w:rPr>
                <w:rFonts w:ascii="Arial" w:cs="Arial" w:eastAsia="Arial" w:hAnsi="Arial"/>
                <w:sz w:val="18"/>
                <w:szCs w:val="18"/>
                <w:color w:val="auto"/>
              </w:rPr>
              <w:t>Total shareowners’ equity</w:t>
            </w:r>
          </w:p>
        </w:tc>
        <w:tc>
          <w:tcPr>
            <w:tcW w:w="98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1320" w:type="dxa"/>
            <w:vAlign w:val="bottom"/>
            <w:tcBorders>
              <w:bottom w:val="single" w:sz="8" w:color="auto"/>
            </w:tcBorders>
            <w:shd w:val="clear" w:color="auto" w:fill="E5FFFF"/>
          </w:tcPr>
          <w:p>
            <w:pPr>
              <w:jc w:val="right"/>
              <w:ind w:right="31"/>
              <w:spacing w:after="0" w:line="196" w:lineRule="exact"/>
              <w:rPr>
                <w:sz w:val="20"/>
                <w:szCs w:val="20"/>
                <w:color w:val="auto"/>
              </w:rPr>
            </w:pPr>
            <w:r>
              <w:rPr>
                <w:rFonts w:ascii="Arial" w:cs="Arial" w:eastAsia="Arial" w:hAnsi="Arial"/>
                <w:sz w:val="18"/>
                <w:szCs w:val="18"/>
                <w:color w:val="auto"/>
              </w:rPr>
              <w:t>19,371</w:t>
            </w:r>
          </w:p>
        </w:tc>
        <w:tc>
          <w:tcPr>
            <w:tcW w:w="34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12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18,418</w:t>
            </w:r>
          </w:p>
        </w:tc>
        <w:tc>
          <w:tcPr>
            <w:tcW w:w="0" w:type="dxa"/>
            <w:vAlign w:val="bottom"/>
          </w:tcPr>
          <w:p>
            <w:pPr>
              <w:spacing w:after="0"/>
              <w:rPr>
                <w:sz w:val="1"/>
                <w:szCs w:val="1"/>
                <w:color w:val="auto"/>
              </w:rPr>
            </w:pPr>
          </w:p>
        </w:tc>
      </w:tr>
      <w:tr>
        <w:trPr>
          <w:trHeight w:val="210"/>
        </w:trPr>
        <w:tc>
          <w:tcPr>
            <w:tcW w:w="7140" w:type="dxa"/>
            <w:vAlign w:val="bottom"/>
          </w:tcPr>
          <w:p>
            <w:pPr>
              <w:ind w:left="180"/>
              <w:spacing w:after="0" w:line="197" w:lineRule="exact"/>
              <w:rPr>
                <w:sz w:val="20"/>
                <w:szCs w:val="20"/>
                <w:color w:val="auto"/>
              </w:rPr>
            </w:pPr>
            <w:r>
              <w:rPr>
                <w:rFonts w:ascii="Arial" w:cs="Arial" w:eastAsia="Arial" w:hAnsi="Arial"/>
                <w:sz w:val="18"/>
                <w:szCs w:val="18"/>
                <w:color w:val="auto"/>
              </w:rPr>
              <w:t>Total liabilities, redeemable noncontrolling interest and shareowners’ equity</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53,556</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49,316</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right"/>
              <w:ind w:right="439"/>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8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r>
      <w:tr>
        <w:trPr>
          <w:trHeight w:val="183"/>
        </w:trPr>
        <w:tc>
          <w:tcPr>
            <w:tcW w:w="8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r>
      <w:tr>
        <w:trPr>
          <w:trHeight w:val="399"/>
        </w:trPr>
        <w:tc>
          <w:tcPr>
            <w:tcW w:w="8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5"/>
          </w:tcPr>
          <w:p>
            <w:pPr>
              <w:jc w:val="right"/>
              <w:ind w:right="499"/>
              <w:spacing w:after="0"/>
              <w:rPr>
                <w:sz w:val="20"/>
                <w:szCs w:val="20"/>
                <w:color w:val="auto"/>
              </w:rPr>
            </w:pPr>
            <w:r>
              <w:rPr>
                <w:rFonts w:ascii="Arial" w:cs="Arial" w:eastAsia="Arial" w:hAnsi="Arial"/>
                <w:sz w:val="14"/>
                <w:szCs w:val="14"/>
                <w:b w:val="1"/>
                <w:bCs w:val="1"/>
                <w:color w:val="auto"/>
              </w:rPr>
              <w:t>(Dollars in millions)</w:t>
            </w:r>
          </w:p>
        </w:tc>
      </w:tr>
      <w:tr>
        <w:trPr>
          <w:trHeight w:val="203"/>
        </w:trPr>
        <w:tc>
          <w:tcPr>
            <w:tcW w:w="84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6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r>
      <w:tr>
        <w:trPr>
          <w:trHeight w:val="189"/>
        </w:trPr>
        <w:tc>
          <w:tcPr>
            <w:tcW w:w="84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3,801</w:t>
            </w:r>
          </w:p>
        </w:tc>
        <w:tc>
          <w:tcPr>
            <w:tcW w:w="340" w:type="dxa"/>
            <w:vAlign w:val="bottom"/>
          </w:tcPr>
          <w:p>
            <w:pPr>
              <w:spacing w:after="0"/>
              <w:rPr>
                <w:sz w:val="16"/>
                <w:szCs w:val="16"/>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3,644</w:t>
            </w:r>
          </w:p>
        </w:tc>
      </w:tr>
      <w:tr>
        <w:trPr>
          <w:trHeight w:val="203"/>
        </w:trPr>
        <w:tc>
          <w:tcPr>
            <w:tcW w:w="8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Less: Net income attributable to the noncontrolling interest</w:t>
            </w:r>
          </w:p>
        </w:tc>
        <w:tc>
          <w:tcPr>
            <w:tcW w:w="6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ind w:right="20"/>
              <w:spacing w:after="0"/>
              <w:rPr>
                <w:sz w:val="20"/>
                <w:szCs w:val="20"/>
                <w:color w:val="auto"/>
              </w:rPr>
            </w:pPr>
            <w:r>
              <w:rPr>
                <w:rFonts w:ascii="Arial" w:cs="Arial" w:eastAsia="Arial" w:hAnsi="Arial"/>
                <w:sz w:val="16"/>
                <w:szCs w:val="16"/>
                <w:color w:val="auto"/>
              </w:rPr>
              <w:t>26</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68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70</w:t>
            </w:r>
          </w:p>
        </w:tc>
      </w:tr>
      <w:tr>
        <w:trPr>
          <w:trHeight w:val="183"/>
        </w:trPr>
        <w:tc>
          <w:tcPr>
            <w:tcW w:w="8400" w:type="dxa"/>
            <w:vAlign w:val="bottom"/>
          </w:tcPr>
          <w:p>
            <w:pPr>
              <w:ind w:left="180"/>
              <w:spacing w:after="0" w:line="183" w:lineRule="exact"/>
              <w:rPr>
                <w:sz w:val="20"/>
                <w:szCs w:val="20"/>
                <w:color w:val="auto"/>
              </w:rPr>
            </w:pPr>
            <w:r>
              <w:rPr>
                <w:rFonts w:ascii="Arial" w:cs="Arial" w:eastAsia="Arial" w:hAnsi="Arial"/>
                <w:sz w:val="16"/>
                <w:szCs w:val="16"/>
                <w:color w:val="auto"/>
              </w:rPr>
              <w:t>Net income attributable to Honeywell</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0"/>
              <w:spacing w:after="0" w:line="183" w:lineRule="exact"/>
              <w:rPr>
                <w:sz w:val="20"/>
                <w:szCs w:val="20"/>
                <w:color w:val="auto"/>
              </w:rPr>
            </w:pPr>
            <w:r>
              <w:rPr>
                <w:rFonts w:ascii="Arial" w:cs="Arial" w:eastAsia="Arial" w:hAnsi="Arial"/>
                <w:sz w:val="16"/>
                <w:szCs w:val="16"/>
                <w:color w:val="auto"/>
              </w:rPr>
              <w:t>3,775</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3,574</w:t>
            </w:r>
          </w:p>
        </w:tc>
      </w:tr>
      <w:tr>
        <w:trPr>
          <w:trHeight w:val="203"/>
        </w:trPr>
        <w:tc>
          <w:tcPr>
            <w:tcW w:w="8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Adjustments to reconcile net income attributable to Honeywell to net cash provided by operating activities:</w:t>
            </w:r>
          </w:p>
        </w:tc>
        <w:tc>
          <w:tcPr>
            <w:tcW w:w="6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r>
      <w:tr>
        <w:trPr>
          <w:trHeight w:val="189"/>
        </w:trPr>
        <w:tc>
          <w:tcPr>
            <w:tcW w:w="840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546</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503</w:t>
            </w:r>
          </w:p>
        </w:tc>
      </w:tr>
      <w:tr>
        <w:trPr>
          <w:trHeight w:val="189"/>
        </w:trPr>
        <w:tc>
          <w:tcPr>
            <w:tcW w:w="8400" w:type="dxa"/>
            <w:vAlign w:val="bottom"/>
            <w:shd w:val="clear" w:color="auto" w:fill="E5FFFF"/>
          </w:tcPr>
          <w:p>
            <w:pPr>
              <w:ind w:left="360"/>
              <w:spacing w:after="0"/>
              <w:rPr>
                <w:sz w:val="20"/>
                <w:szCs w:val="20"/>
                <w:color w:val="auto"/>
              </w:rPr>
            </w:pPr>
            <w:r>
              <w:rPr>
                <w:rFonts w:ascii="Arial" w:cs="Arial" w:eastAsia="Arial" w:hAnsi="Arial"/>
                <w:sz w:val="16"/>
                <w:szCs w:val="16"/>
                <w:color w:val="auto"/>
              </w:rPr>
              <w:t>Amortization</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ind w:right="20"/>
              <w:spacing w:after="0"/>
              <w:rPr>
                <w:sz w:val="20"/>
                <w:szCs w:val="20"/>
                <w:color w:val="auto"/>
              </w:rPr>
            </w:pPr>
            <w:r>
              <w:rPr>
                <w:rFonts w:ascii="Arial" w:cs="Arial" w:eastAsia="Arial" w:hAnsi="Arial"/>
                <w:sz w:val="16"/>
                <w:szCs w:val="16"/>
                <w:color w:val="auto"/>
              </w:rPr>
              <w:t>227</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158</w:t>
            </w:r>
          </w:p>
        </w:tc>
      </w:tr>
      <w:tr>
        <w:trPr>
          <w:trHeight w:val="189"/>
        </w:trPr>
        <w:tc>
          <w:tcPr>
            <w:tcW w:w="8400" w:type="dxa"/>
            <w:vAlign w:val="bottom"/>
          </w:tcPr>
          <w:p>
            <w:pPr>
              <w:ind w:left="360"/>
              <w:spacing w:after="0"/>
              <w:rPr>
                <w:sz w:val="20"/>
                <w:szCs w:val="20"/>
                <w:color w:val="auto"/>
              </w:rPr>
            </w:pPr>
            <w:r>
              <w:rPr>
                <w:rFonts w:ascii="Arial" w:cs="Arial" w:eastAsia="Arial" w:hAnsi="Arial"/>
                <w:sz w:val="16"/>
                <w:szCs w:val="16"/>
                <w:color w:val="auto"/>
              </w:rPr>
              <w:t>Gain on sale of non-strategic businesses and assets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8400" w:type="dxa"/>
            <w:vAlign w:val="bottom"/>
            <w:shd w:val="clear" w:color="auto" w:fill="E5FFFF"/>
          </w:tcPr>
          <w:p>
            <w:pPr>
              <w:ind w:left="360"/>
              <w:spacing w:after="0"/>
              <w:rPr>
                <w:sz w:val="20"/>
                <w:szCs w:val="20"/>
                <w:color w:val="auto"/>
              </w:rPr>
            </w:pPr>
            <w:r>
              <w:rPr>
                <w:rFonts w:ascii="Arial" w:cs="Arial" w:eastAsia="Arial" w:hAnsi="Arial"/>
                <w:sz w:val="16"/>
                <w:szCs w:val="16"/>
                <w:color w:val="auto"/>
              </w:rPr>
              <w:t>Repositioning and other charges</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ind w:right="20"/>
              <w:spacing w:after="0"/>
              <w:rPr>
                <w:sz w:val="20"/>
                <w:szCs w:val="20"/>
                <w:color w:val="auto"/>
              </w:rPr>
            </w:pPr>
            <w:r>
              <w:rPr>
                <w:rFonts w:ascii="Arial" w:cs="Arial" w:eastAsia="Arial" w:hAnsi="Arial"/>
                <w:sz w:val="16"/>
                <w:szCs w:val="16"/>
                <w:color w:val="auto"/>
              </w:rPr>
              <w:t>567</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393</w:t>
            </w:r>
          </w:p>
        </w:tc>
      </w:tr>
      <w:tr>
        <w:trPr>
          <w:trHeight w:val="189"/>
        </w:trPr>
        <w:tc>
          <w:tcPr>
            <w:tcW w:w="8400" w:type="dxa"/>
            <w:vAlign w:val="bottom"/>
          </w:tcPr>
          <w:p>
            <w:pPr>
              <w:ind w:left="360"/>
              <w:spacing w:after="0"/>
              <w:rPr>
                <w:sz w:val="20"/>
                <w:szCs w:val="20"/>
                <w:color w:val="auto"/>
              </w:rPr>
            </w:pPr>
            <w:r>
              <w:rPr>
                <w:rFonts w:ascii="Arial" w:cs="Arial" w:eastAsia="Arial" w:hAnsi="Arial"/>
                <w:sz w:val="16"/>
                <w:szCs w:val="16"/>
                <w:color w:val="auto"/>
              </w:rPr>
              <w:t>Net payments for repositioning and other charges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(420)</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189"/>
        </w:trPr>
        <w:tc>
          <w:tcPr>
            <w:tcW w:w="8400" w:type="dxa"/>
            <w:vAlign w:val="bottom"/>
            <w:shd w:val="clear" w:color="auto" w:fill="E5FFFF"/>
          </w:tcPr>
          <w:p>
            <w:pPr>
              <w:ind w:left="360"/>
              <w:spacing w:after="0"/>
              <w:rPr>
                <w:sz w:val="20"/>
                <w:szCs w:val="20"/>
                <w:color w:val="auto"/>
              </w:rPr>
            </w:pPr>
            <w:r>
              <w:rPr>
                <w:rFonts w:ascii="Arial" w:cs="Arial" w:eastAsia="Arial" w:hAnsi="Arial"/>
                <w:sz w:val="16"/>
                <w:szCs w:val="16"/>
                <w:color w:val="auto"/>
              </w:rPr>
              <w:t>Pension and other postretirement income</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(471)</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(269)</w:t>
            </w:r>
          </w:p>
        </w:tc>
      </w:tr>
      <w:tr>
        <w:trPr>
          <w:trHeight w:val="189"/>
        </w:trPr>
        <w:tc>
          <w:tcPr>
            <w:tcW w:w="8400" w:type="dxa"/>
            <w:vAlign w:val="bottom"/>
          </w:tcPr>
          <w:p>
            <w:pPr>
              <w:ind w:left="360"/>
              <w:spacing w:after="0"/>
              <w:rPr>
                <w:sz w:val="20"/>
                <w:szCs w:val="20"/>
                <w:color w:val="auto"/>
              </w:rPr>
            </w:pPr>
            <w:r>
              <w:rPr>
                <w:rFonts w:ascii="Arial" w:cs="Arial" w:eastAsia="Arial" w:hAnsi="Arial"/>
                <w:sz w:val="16"/>
                <w:szCs w:val="16"/>
                <w:color w:val="auto"/>
              </w:rPr>
              <w:t>Pension and other postretirement benefit payments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189"/>
        </w:trPr>
        <w:tc>
          <w:tcPr>
            <w:tcW w:w="8400" w:type="dxa"/>
            <w:vAlign w:val="bottom"/>
            <w:shd w:val="clear" w:color="auto" w:fill="E5FFFF"/>
          </w:tcPr>
          <w:p>
            <w:pPr>
              <w:ind w:left="360"/>
              <w:spacing w:after="0"/>
              <w:rPr>
                <w:sz w:val="20"/>
                <w:szCs w:val="20"/>
                <w:color w:val="auto"/>
              </w:rPr>
            </w:pPr>
            <w:r>
              <w:rPr>
                <w:rFonts w:ascii="Arial" w:cs="Arial" w:eastAsia="Arial" w:hAnsi="Arial"/>
                <w:sz w:val="16"/>
                <w:szCs w:val="16"/>
                <w:color w:val="auto"/>
              </w:rPr>
              <w:t>Stock compensation expense</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ind w:right="20"/>
              <w:spacing w:after="0"/>
              <w:rPr>
                <w:sz w:val="20"/>
                <w:szCs w:val="20"/>
                <w:color w:val="auto"/>
              </w:rPr>
            </w:pPr>
            <w:r>
              <w:rPr>
                <w:rFonts w:ascii="Arial" w:cs="Arial" w:eastAsia="Arial" w:hAnsi="Arial"/>
                <w:sz w:val="16"/>
                <w:szCs w:val="16"/>
                <w:color w:val="auto"/>
              </w:rPr>
              <w:t>145</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132</w:t>
            </w:r>
          </w:p>
        </w:tc>
      </w:tr>
      <w:tr>
        <w:trPr>
          <w:trHeight w:val="189"/>
        </w:trPr>
        <w:tc>
          <w:tcPr>
            <w:tcW w:w="840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146</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284</w:t>
            </w:r>
          </w:p>
        </w:tc>
      </w:tr>
      <w:tr>
        <w:trPr>
          <w:trHeight w:val="189"/>
        </w:trPr>
        <w:tc>
          <w:tcPr>
            <w:tcW w:w="8400" w:type="dxa"/>
            <w:vAlign w:val="bottom"/>
            <w:shd w:val="clear" w:color="auto" w:fill="E5FFFF"/>
          </w:tcPr>
          <w:p>
            <w:pPr>
              <w:ind w:left="360"/>
              <w:spacing w:after="0"/>
              <w:rPr>
                <w:sz w:val="20"/>
                <w:szCs w:val="20"/>
                <w:color w:val="auto"/>
              </w:rPr>
            </w:pPr>
            <w:r>
              <w:rPr>
                <w:rFonts w:ascii="Arial" w:cs="Arial" w:eastAsia="Arial" w:hAnsi="Arial"/>
                <w:sz w:val="16"/>
                <w:szCs w:val="16"/>
                <w:color w:val="auto"/>
              </w:rPr>
              <w:t>Excess tax benefits from share based payment arrangements</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(69)</w:t>
            </w:r>
          </w:p>
        </w:tc>
      </w:tr>
      <w:tr>
        <w:trPr>
          <w:trHeight w:val="189"/>
        </w:trPr>
        <w:tc>
          <w:tcPr>
            <w:tcW w:w="8400" w:type="dxa"/>
            <w:vAlign w:val="bottom"/>
          </w:tcPr>
          <w:p>
            <w:pPr>
              <w:ind w:left="360"/>
              <w:spacing w:after="0"/>
              <w:rPr>
                <w:sz w:val="20"/>
                <w:szCs w:val="20"/>
                <w:color w:val="auto"/>
              </w:rPr>
            </w:pPr>
            <w:r>
              <w:rPr>
                <w:rFonts w:ascii="Arial" w:cs="Arial" w:eastAsia="Arial" w:hAnsi="Arial"/>
                <w:sz w:val="16"/>
                <w:szCs w:val="16"/>
                <w:color w:val="auto"/>
              </w:rPr>
              <w:t>Other</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151</w:t>
            </w:r>
          </w:p>
        </w:tc>
      </w:tr>
      <w:tr>
        <w:trPr>
          <w:trHeight w:val="203"/>
        </w:trPr>
        <w:tc>
          <w:tcPr>
            <w:tcW w:w="8400" w:type="dxa"/>
            <w:vAlign w:val="bottom"/>
            <w:shd w:val="clear" w:color="auto" w:fill="E5FFFF"/>
          </w:tcPr>
          <w:p>
            <w:pPr>
              <w:ind w:left="360"/>
              <w:spacing w:after="0"/>
              <w:rPr>
                <w:sz w:val="20"/>
                <w:szCs w:val="20"/>
                <w:color w:val="auto"/>
              </w:rPr>
            </w:pPr>
            <w:r>
              <w:rPr>
                <w:rFonts w:ascii="Arial" w:cs="Arial" w:eastAsia="Arial" w:hAnsi="Arial"/>
                <w:sz w:val="16"/>
                <w:szCs w:val="16"/>
                <w:color w:val="auto"/>
              </w:rPr>
              <w:t>Changes in assets and liabilities, net of the effects of acquisitions and divestitures:</w:t>
            </w:r>
          </w:p>
        </w:tc>
        <w:tc>
          <w:tcPr>
            <w:tcW w:w="6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r>
      <w:tr>
        <w:trPr>
          <w:trHeight w:val="189"/>
        </w:trPr>
        <w:tc>
          <w:tcPr>
            <w:tcW w:w="8400" w:type="dxa"/>
            <w:vAlign w:val="bottom"/>
          </w:tcPr>
          <w:p>
            <w:pPr>
              <w:ind w:left="540"/>
              <w:spacing w:after="0"/>
              <w:rPr>
                <w:sz w:val="20"/>
                <w:szCs w:val="20"/>
                <w:color w:val="auto"/>
              </w:rPr>
            </w:pPr>
            <w:r>
              <w:rPr>
                <w:rFonts w:ascii="Arial" w:cs="Arial" w:eastAsia="Arial" w:hAnsi="Arial"/>
                <w:sz w:val="16"/>
                <w:szCs w:val="16"/>
                <w:color w:val="auto"/>
              </w:rPr>
              <w:t>Accounts, notes and other receivables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(570)</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189"/>
        </w:trPr>
        <w:tc>
          <w:tcPr>
            <w:tcW w:w="8400" w:type="dxa"/>
            <w:vAlign w:val="bottom"/>
            <w:shd w:val="clear" w:color="auto" w:fill="E5FFFF"/>
          </w:tcPr>
          <w:p>
            <w:pPr>
              <w:ind w:left="540"/>
              <w:spacing w:after="0"/>
              <w:rPr>
                <w:sz w:val="20"/>
                <w:szCs w:val="20"/>
                <w:color w:val="auto"/>
              </w:rPr>
            </w:pPr>
            <w:r>
              <w:rPr>
                <w:rFonts w:ascii="Arial" w:cs="Arial" w:eastAsia="Arial" w:hAnsi="Arial"/>
                <w:sz w:val="16"/>
                <w:szCs w:val="16"/>
                <w:color w:val="auto"/>
              </w:rPr>
              <w:t>Inventories</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(233)</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8400" w:type="dxa"/>
            <w:vAlign w:val="bottom"/>
          </w:tcPr>
          <w:p>
            <w:pPr>
              <w:ind w:left="540"/>
              <w:spacing w:after="0"/>
              <w:rPr>
                <w:sz w:val="20"/>
                <w:szCs w:val="20"/>
                <w:color w:val="auto"/>
              </w:rPr>
            </w:pPr>
            <w:r>
              <w:rPr>
                <w:rFonts w:ascii="Arial" w:cs="Arial" w:eastAsia="Arial" w:hAnsi="Arial"/>
                <w:sz w:val="16"/>
                <w:szCs w:val="16"/>
                <w:color w:val="auto"/>
              </w:rPr>
              <w:t>Other current assets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189"/>
        </w:trPr>
        <w:tc>
          <w:tcPr>
            <w:tcW w:w="8400" w:type="dxa"/>
            <w:vAlign w:val="bottom"/>
            <w:shd w:val="clear" w:color="auto" w:fill="E5FFFF"/>
          </w:tcPr>
          <w:p>
            <w:pPr>
              <w:ind w:left="540"/>
              <w:spacing w:after="0"/>
              <w:rPr>
                <w:sz w:val="20"/>
                <w:szCs w:val="20"/>
                <w:color w:val="auto"/>
              </w:rPr>
            </w:pPr>
            <w:r>
              <w:rPr>
                <w:rFonts w:ascii="Arial" w:cs="Arial" w:eastAsia="Arial" w:hAnsi="Arial"/>
                <w:sz w:val="16"/>
                <w:szCs w:val="16"/>
                <w:color w:val="auto"/>
              </w:rPr>
              <w:t>Accounts payable</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w:t>
            </w:r>
          </w:p>
        </w:tc>
      </w:tr>
      <w:tr>
        <w:trPr>
          <w:trHeight w:val="203"/>
        </w:trPr>
        <w:tc>
          <w:tcPr>
            <w:tcW w:w="8400" w:type="dxa"/>
            <w:vAlign w:val="bottom"/>
            <w:tcBorders>
              <w:bottom w:val="single" w:sz="8" w:color="E5FFFF"/>
            </w:tcBorders>
          </w:tcPr>
          <w:p>
            <w:pPr>
              <w:ind w:left="540"/>
              <w:spacing w:after="0"/>
              <w:rPr>
                <w:sz w:val="20"/>
                <w:szCs w:val="20"/>
                <w:color w:val="auto"/>
              </w:rPr>
            </w:pPr>
            <w:r>
              <w:rPr>
                <w:rFonts w:ascii="Arial" w:cs="Arial" w:eastAsia="Arial" w:hAnsi="Arial"/>
                <w:sz w:val="16"/>
                <w:szCs w:val="16"/>
                <w:color w:val="auto"/>
              </w:rPr>
              <w:t>Accrued liabilities</w:t>
            </w:r>
          </w:p>
        </w:tc>
        <w:tc>
          <w:tcPr>
            <w:tcW w:w="64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E5FFFF"/>
            </w:tcBorders>
          </w:tcPr>
          <w:p>
            <w:pPr>
              <w:spacing w:after="0"/>
              <w:rPr>
                <w:sz w:val="17"/>
                <w:szCs w:val="17"/>
                <w:color w:val="auto"/>
              </w:rPr>
            </w:pPr>
          </w:p>
        </w:tc>
        <w:tc>
          <w:tcPr>
            <w:tcW w:w="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w:t>
            </w:r>
          </w:p>
        </w:tc>
      </w:tr>
      <w:tr>
        <w:trPr>
          <w:trHeight w:val="183"/>
        </w:trPr>
        <w:tc>
          <w:tcPr>
            <w:tcW w:w="8400" w:type="dxa"/>
            <w:vAlign w:val="bottom"/>
            <w:shd w:val="clear" w:color="auto" w:fill="E5FFFF"/>
          </w:tcPr>
          <w:p>
            <w:pPr>
              <w:spacing w:after="0" w:line="177" w:lineRule="exact"/>
              <w:rPr>
                <w:sz w:val="20"/>
                <w:szCs w:val="20"/>
                <w:color w:val="auto"/>
              </w:rPr>
            </w:pPr>
            <w:r>
              <w:rPr>
                <w:rFonts w:ascii="Arial" w:cs="Arial" w:eastAsia="Arial" w:hAnsi="Arial"/>
                <w:sz w:val="16"/>
                <w:szCs w:val="16"/>
                <w:color w:val="auto"/>
              </w:rPr>
              <w:t>Net cash provided by operating activities</w:t>
            </w:r>
          </w:p>
        </w:tc>
        <w:tc>
          <w:tcPr>
            <w:tcW w:w="640" w:type="dxa"/>
            <w:vAlign w:val="bottom"/>
            <w:shd w:val="clear" w:color="auto" w:fill="E5FFFF"/>
          </w:tcPr>
          <w:p>
            <w:pPr>
              <w:spacing w:after="0"/>
              <w:rPr>
                <w:sz w:val="15"/>
                <w:szCs w:val="15"/>
                <w:color w:val="auto"/>
              </w:rPr>
            </w:pPr>
          </w:p>
        </w:tc>
        <w:tc>
          <w:tcPr>
            <w:tcW w:w="220" w:type="dxa"/>
            <w:vAlign w:val="bottom"/>
            <w:tcBorders>
              <w:bottom w:val="single" w:sz="8" w:color="auto"/>
            </w:tcBorders>
            <w:shd w:val="clear" w:color="auto" w:fill="E5FFFF"/>
          </w:tcPr>
          <w:p>
            <w:pPr>
              <w:spacing w:after="0"/>
              <w:rPr>
                <w:sz w:val="15"/>
                <w:szCs w:val="15"/>
                <w:color w:val="auto"/>
              </w:rPr>
            </w:pPr>
          </w:p>
        </w:tc>
        <w:tc>
          <w:tcPr>
            <w:tcW w:w="800" w:type="dxa"/>
            <w:vAlign w:val="bottom"/>
            <w:tcBorders>
              <w:bottom w:val="single" w:sz="8" w:color="auto"/>
            </w:tcBorders>
            <w:shd w:val="clear" w:color="auto" w:fill="E5FFFF"/>
          </w:tcPr>
          <w:p>
            <w:pPr>
              <w:jc w:val="right"/>
              <w:ind w:right="20"/>
              <w:spacing w:after="0" w:line="183" w:lineRule="exact"/>
              <w:rPr>
                <w:sz w:val="20"/>
                <w:szCs w:val="20"/>
                <w:color w:val="auto"/>
              </w:rPr>
            </w:pPr>
            <w:r>
              <w:rPr>
                <w:rFonts w:ascii="Arial" w:cs="Arial" w:eastAsia="Arial" w:hAnsi="Arial"/>
                <w:sz w:val="16"/>
                <w:szCs w:val="16"/>
                <w:color w:val="auto"/>
              </w:rPr>
              <w:t>3,456</w:t>
            </w:r>
          </w:p>
        </w:tc>
        <w:tc>
          <w:tcPr>
            <w:tcW w:w="34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320" w:type="dxa"/>
            <w:vAlign w:val="bottom"/>
            <w:tcBorders>
              <w:bottom w:val="single" w:sz="8" w:color="auto"/>
            </w:tcBorders>
            <w:shd w:val="clear" w:color="auto" w:fill="E5FFFF"/>
          </w:tcPr>
          <w:p>
            <w:pPr>
              <w:spacing w:after="0"/>
              <w:rPr>
                <w:sz w:val="15"/>
                <w:szCs w:val="15"/>
                <w:color w:val="auto"/>
              </w:rPr>
            </w:pPr>
          </w:p>
        </w:tc>
        <w:tc>
          <w:tcPr>
            <w:tcW w:w="680" w:type="dxa"/>
            <w:vAlign w:val="bottom"/>
            <w:tcBorders>
              <w:bottom w:val="single" w:sz="8" w:color="auto"/>
            </w:tcBorders>
            <w:shd w:val="clear" w:color="auto" w:fill="E5FFFF"/>
          </w:tcPr>
          <w:p>
            <w:pPr>
              <w:jc w:val="right"/>
              <w:ind w:right="19"/>
              <w:spacing w:after="0" w:line="183" w:lineRule="exact"/>
              <w:rPr>
                <w:sz w:val="20"/>
                <w:szCs w:val="20"/>
                <w:color w:val="auto"/>
              </w:rPr>
            </w:pPr>
            <w:r>
              <w:rPr>
                <w:rFonts w:ascii="Arial" w:cs="Arial" w:eastAsia="Arial" w:hAnsi="Arial"/>
                <w:sz w:val="16"/>
                <w:szCs w:val="16"/>
                <w:color w:val="auto"/>
              </w:rPr>
              <w:t>3,556</w:t>
            </w:r>
          </w:p>
        </w:tc>
      </w:tr>
      <w:tr>
        <w:trPr>
          <w:trHeight w:val="196"/>
        </w:trPr>
        <w:tc>
          <w:tcPr>
            <w:tcW w:w="84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9"/>
        </w:trPr>
        <w:tc>
          <w:tcPr>
            <w:tcW w:w="8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(749)</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(685)</w:t>
            </w:r>
          </w:p>
        </w:tc>
      </w:tr>
      <w:tr>
        <w:trPr>
          <w:trHeight w:val="189"/>
        </w:trPr>
        <w:tc>
          <w:tcPr>
            <w:tcW w:w="8400" w:type="dxa"/>
            <w:vAlign w:val="bottom"/>
          </w:tcPr>
          <w:p>
            <w:pPr>
              <w:ind w:left="180"/>
              <w:spacing w:after="0"/>
              <w:rPr>
                <w:sz w:val="20"/>
                <w:szCs w:val="20"/>
                <w:color w:val="auto"/>
              </w:rPr>
            </w:pPr>
            <w:r>
              <w:rPr>
                <w:rFonts w:ascii="Arial" w:cs="Arial" w:eastAsia="Arial" w:hAnsi="Arial"/>
                <w:sz w:val="16"/>
                <w:szCs w:val="16"/>
                <w:color w:val="auto"/>
              </w:rPr>
              <w:t>Proceeds from disposals of property, plant and equipment</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189"/>
        </w:trPr>
        <w:tc>
          <w:tcPr>
            <w:tcW w:w="8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Increase in investments</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(3,083)</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(5,701)</w:t>
            </w:r>
          </w:p>
        </w:tc>
      </w:tr>
      <w:tr>
        <w:trPr>
          <w:trHeight w:val="189"/>
        </w:trPr>
        <w:tc>
          <w:tcPr>
            <w:tcW w:w="8400" w:type="dxa"/>
            <w:vAlign w:val="bottom"/>
          </w:tcPr>
          <w:p>
            <w:pPr>
              <w:ind w:left="180"/>
              <w:spacing w:after="0"/>
              <w:rPr>
                <w:sz w:val="20"/>
                <w:szCs w:val="20"/>
                <w:color w:val="auto"/>
              </w:rPr>
            </w:pPr>
            <w:r>
              <w:rPr>
                <w:rFonts w:ascii="Arial" w:cs="Arial" w:eastAsia="Arial" w:hAnsi="Arial"/>
                <w:sz w:val="16"/>
                <w:szCs w:val="16"/>
                <w:color w:val="auto"/>
              </w:rPr>
              <w:t>Decrease in investments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2,658</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4,050</w:t>
            </w:r>
          </w:p>
        </w:tc>
      </w:tr>
      <w:tr>
        <w:trPr>
          <w:trHeight w:val="189"/>
        </w:trPr>
        <w:tc>
          <w:tcPr>
            <w:tcW w:w="8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(2,568)</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(185)</w:t>
            </w:r>
          </w:p>
        </w:tc>
      </w:tr>
      <w:tr>
        <w:trPr>
          <w:trHeight w:val="189"/>
        </w:trPr>
        <w:tc>
          <w:tcPr>
            <w:tcW w:w="8400" w:type="dxa"/>
            <w:vAlign w:val="bottom"/>
          </w:tcPr>
          <w:p>
            <w:pPr>
              <w:ind w:left="180"/>
              <w:spacing w:after="0"/>
              <w:rPr>
                <w:sz w:val="20"/>
                <w:szCs w:val="20"/>
                <w:color w:val="auto"/>
              </w:rPr>
            </w:pPr>
            <w:r>
              <w:rPr>
                <w:rFonts w:ascii="Arial" w:cs="Arial" w:eastAsia="Arial" w:hAnsi="Arial"/>
                <w:sz w:val="16"/>
                <w:szCs w:val="16"/>
                <w:color w:val="auto"/>
              </w:rPr>
              <w:t>Proceeds from sales of businesses, net of fees paid</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304</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03"/>
        </w:trPr>
        <w:tc>
          <w:tcPr>
            <w:tcW w:w="8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Other</w:t>
            </w:r>
          </w:p>
        </w:tc>
        <w:tc>
          <w:tcPr>
            <w:tcW w:w="6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ind w:right="20"/>
              <w:spacing w:after="0"/>
              <w:rPr>
                <w:sz w:val="20"/>
                <w:szCs w:val="20"/>
                <w:color w:val="auto"/>
              </w:rPr>
            </w:pPr>
            <w:r>
              <w:rPr>
                <w:rFonts w:ascii="Arial" w:cs="Arial" w:eastAsia="Arial" w:hAnsi="Arial"/>
                <w:sz w:val="16"/>
                <w:szCs w:val="16"/>
                <w:color w:val="auto"/>
              </w:rPr>
              <w:t>158</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(69)</w:t>
            </w:r>
          </w:p>
        </w:tc>
      </w:tr>
      <w:tr>
        <w:trPr>
          <w:trHeight w:val="183"/>
        </w:trPr>
        <w:tc>
          <w:tcPr>
            <w:tcW w:w="8400" w:type="dxa"/>
            <w:vAlign w:val="bottom"/>
            <w:tcBorders>
              <w:bottom w:val="single" w:sz="8" w:color="E5FFFF"/>
            </w:tcBorders>
          </w:tcPr>
          <w:p>
            <w:pPr>
              <w:spacing w:after="0" w:line="177" w:lineRule="exact"/>
              <w:rPr>
                <w:sz w:val="20"/>
                <w:szCs w:val="20"/>
                <w:color w:val="auto"/>
              </w:rPr>
            </w:pPr>
            <w:r>
              <w:rPr>
                <w:rFonts w:ascii="Arial" w:cs="Arial" w:eastAsia="Arial" w:hAnsi="Arial"/>
                <w:sz w:val="16"/>
                <w:szCs w:val="16"/>
                <w:color w:val="auto"/>
              </w:rPr>
              <w:t>Net cash used for investing activities</w:t>
            </w:r>
          </w:p>
        </w:tc>
        <w:tc>
          <w:tcPr>
            <w:tcW w:w="64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(3,276)</w:t>
            </w:r>
          </w:p>
        </w:tc>
        <w:tc>
          <w:tcPr>
            <w:tcW w:w="34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(2,584)</w:t>
            </w:r>
          </w:p>
        </w:tc>
      </w:tr>
      <w:tr>
        <w:trPr>
          <w:trHeight w:val="196"/>
        </w:trPr>
        <w:tc>
          <w:tcPr>
            <w:tcW w:w="84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6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r>
      <w:tr>
        <w:trPr>
          <w:trHeight w:val="189"/>
        </w:trPr>
        <w:tc>
          <w:tcPr>
            <w:tcW w:w="8400" w:type="dxa"/>
            <w:vAlign w:val="bottom"/>
          </w:tcPr>
          <w:p>
            <w:pPr>
              <w:ind w:left="180"/>
              <w:spacing w:after="0"/>
              <w:rPr>
                <w:sz w:val="20"/>
                <w:szCs w:val="20"/>
                <w:color w:val="auto"/>
              </w:rPr>
            </w:pPr>
            <w:r>
              <w:rPr>
                <w:rFonts w:ascii="Arial" w:cs="Arial" w:eastAsia="Arial" w:hAnsi="Arial"/>
                <w:sz w:val="16"/>
                <w:szCs w:val="16"/>
                <w:color w:val="auto"/>
              </w:rPr>
              <w:t>Net (decrease) increase in commercial paper and other short-term borrowings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(425)</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2,011</w:t>
            </w:r>
          </w:p>
        </w:tc>
      </w:tr>
      <w:tr>
        <w:trPr>
          <w:trHeight w:val="189"/>
        </w:trPr>
        <w:tc>
          <w:tcPr>
            <w:tcW w:w="8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ind w:right="20"/>
              <w:spacing w:after="0"/>
              <w:rPr>
                <w:sz w:val="20"/>
                <w:szCs w:val="20"/>
                <w:color w:val="auto"/>
              </w:rPr>
            </w:pPr>
            <w:r>
              <w:rPr>
                <w:rFonts w:ascii="Arial" w:cs="Arial" w:eastAsia="Arial" w:hAnsi="Arial"/>
                <w:sz w:val="16"/>
                <w:szCs w:val="16"/>
                <w:color w:val="auto"/>
              </w:rPr>
              <w:t>386</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150</w:t>
            </w:r>
          </w:p>
        </w:tc>
      </w:tr>
      <w:tr>
        <w:trPr>
          <w:trHeight w:val="189"/>
        </w:trPr>
        <w:tc>
          <w:tcPr>
            <w:tcW w:w="840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4,510</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189"/>
        </w:trPr>
        <w:tc>
          <w:tcPr>
            <w:tcW w:w="8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Payments of long-term debt</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(478)</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(148)</w:t>
            </w:r>
          </w:p>
        </w:tc>
      </w:tr>
      <w:tr>
        <w:trPr>
          <w:trHeight w:val="189"/>
        </w:trPr>
        <w:tc>
          <w:tcPr>
            <w:tcW w:w="8400" w:type="dxa"/>
            <w:vAlign w:val="bottom"/>
          </w:tcPr>
          <w:p>
            <w:pPr>
              <w:ind w:left="180"/>
              <w:spacing w:after="0"/>
              <w:rPr>
                <w:sz w:val="20"/>
                <w:szCs w:val="20"/>
                <w:color w:val="auto"/>
              </w:rPr>
            </w:pPr>
            <w:r>
              <w:rPr>
                <w:rFonts w:ascii="Arial" w:cs="Arial" w:eastAsia="Arial" w:hAnsi="Arial"/>
                <w:sz w:val="16"/>
                <w:szCs w:val="16"/>
                <w:color w:val="auto"/>
              </w:rPr>
              <w:t>Excess tax benefits from share based payment arrangements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189"/>
        </w:trPr>
        <w:tc>
          <w:tcPr>
            <w:tcW w:w="8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Repurchases of common stock</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(1,866)</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(1,721)</w:t>
            </w:r>
          </w:p>
        </w:tc>
      </w:tr>
      <w:tr>
        <w:trPr>
          <w:trHeight w:val="189"/>
        </w:trPr>
        <w:tc>
          <w:tcPr>
            <w:tcW w:w="8400" w:type="dxa"/>
            <w:vAlign w:val="bottom"/>
          </w:tcPr>
          <w:p>
            <w:pPr>
              <w:ind w:left="180"/>
              <w:spacing w:after="0"/>
              <w:rPr>
                <w:sz w:val="20"/>
                <w:szCs w:val="20"/>
                <w:color w:val="auto"/>
              </w:rPr>
            </w:pPr>
            <w:r>
              <w:rPr>
                <w:rFonts w:ascii="Arial" w:cs="Arial" w:eastAsia="Arial" w:hAnsi="Arial"/>
                <w:sz w:val="16"/>
                <w:szCs w:val="16"/>
                <w:color w:val="auto"/>
              </w:rPr>
              <w:t>Cash dividends paid</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(1,410)</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(1,261)</w:t>
            </w:r>
          </w:p>
        </w:tc>
      </w:tr>
      <w:tr>
        <w:trPr>
          <w:trHeight w:val="189"/>
        </w:trPr>
        <w:tc>
          <w:tcPr>
            <w:tcW w:w="8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Payments to purchase the noncontrolling interest</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(238)</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8400" w:type="dxa"/>
            <w:vAlign w:val="bottom"/>
          </w:tcPr>
          <w:p>
            <w:pPr>
              <w:ind w:left="180"/>
              <w:spacing w:after="0"/>
              <w:rPr>
                <w:sz w:val="20"/>
                <w:szCs w:val="20"/>
                <w:color w:val="auto"/>
              </w:rPr>
            </w:pPr>
            <w:r>
              <w:rPr>
                <w:rFonts w:ascii="Arial" w:cs="Arial" w:eastAsia="Arial" w:hAnsi="Arial"/>
                <w:sz w:val="16"/>
                <w:szCs w:val="16"/>
                <w:color w:val="auto"/>
              </w:rPr>
              <w:t>AdvanSix pre-separation funding</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269</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8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AdvanSix pre-spin borrowing</w:t>
            </w:r>
          </w:p>
        </w:tc>
        <w:tc>
          <w:tcPr>
            <w:tcW w:w="6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800" w:type="dxa"/>
            <w:vAlign w:val="bottom"/>
            <w:shd w:val="clear" w:color="auto" w:fill="E5FFFF"/>
          </w:tcPr>
          <w:p>
            <w:pPr>
              <w:jc w:val="right"/>
              <w:ind w:right="20"/>
              <w:spacing w:after="0"/>
              <w:rPr>
                <w:sz w:val="20"/>
                <w:szCs w:val="20"/>
                <w:color w:val="auto"/>
              </w:rPr>
            </w:pPr>
            <w:r>
              <w:rPr>
                <w:rFonts w:ascii="Arial" w:cs="Arial" w:eastAsia="Arial" w:hAnsi="Arial"/>
                <w:sz w:val="16"/>
                <w:szCs w:val="16"/>
                <w:color w:val="auto"/>
              </w:rPr>
              <w:t>38</w:t>
            </w:r>
          </w:p>
        </w:tc>
        <w:tc>
          <w:tcPr>
            <w:tcW w:w="340" w:type="dxa"/>
            <w:vAlign w:val="bottom"/>
            <w:shd w:val="clear" w:color="auto" w:fill="E5FFFF"/>
          </w:tcPr>
          <w:p>
            <w:pPr>
              <w:spacing w:after="0"/>
              <w:rPr>
                <w:sz w:val="16"/>
                <w:szCs w:val="16"/>
                <w:color w:val="auto"/>
              </w:rPr>
            </w:pPr>
          </w:p>
        </w:tc>
        <w:tc>
          <w:tcPr>
            <w:tcW w:w="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680" w:type="dxa"/>
            <w:vAlign w:val="bottom"/>
            <w:shd w:val="clear" w:color="auto" w:fill="E5FFFF"/>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8400" w:type="dxa"/>
            <w:vAlign w:val="bottom"/>
          </w:tcPr>
          <w:p>
            <w:pPr>
              <w:ind w:left="180"/>
              <w:spacing w:after="0"/>
              <w:rPr>
                <w:sz w:val="20"/>
                <w:szCs w:val="20"/>
                <w:color w:val="auto"/>
              </w:rPr>
            </w:pPr>
            <w:r>
              <w:rPr>
                <w:rFonts w:ascii="Arial" w:cs="Arial" w:eastAsia="Arial" w:hAnsi="Arial"/>
                <w:sz w:val="16"/>
                <w:szCs w:val="16"/>
                <w:color w:val="auto"/>
              </w:rPr>
              <w:t>AdvanSix cash at spin-off</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8400" w:type="dxa"/>
            <w:vAlign w:val="bottom"/>
            <w:shd w:val="clear" w:color="auto" w:fill="E5FFFF"/>
          </w:tcPr>
          <w:p>
            <w:pPr>
              <w:ind w:left="180"/>
              <w:spacing w:after="0"/>
              <w:rPr>
                <w:sz w:val="20"/>
                <w:szCs w:val="20"/>
                <w:color w:val="auto"/>
              </w:rPr>
            </w:pPr>
            <w:r>
              <w:rPr>
                <w:rFonts w:ascii="Arial" w:cs="Arial" w:eastAsia="Arial" w:hAnsi="Arial"/>
                <w:sz w:val="16"/>
                <w:szCs w:val="16"/>
                <w:color w:val="auto"/>
              </w:rPr>
              <w:t>Other</w:t>
            </w:r>
          </w:p>
        </w:tc>
        <w:tc>
          <w:tcPr>
            <w:tcW w:w="6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(40)</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(61)</w:t>
            </w:r>
          </w:p>
        </w:tc>
      </w:tr>
      <w:tr>
        <w:trPr>
          <w:trHeight w:val="183"/>
        </w:trPr>
        <w:tc>
          <w:tcPr>
            <w:tcW w:w="8400" w:type="dxa"/>
            <w:vAlign w:val="bottom"/>
            <w:tcBorders>
              <w:bottom w:val="single" w:sz="8" w:color="E5FFFF"/>
            </w:tcBorders>
          </w:tcPr>
          <w:p>
            <w:pPr>
              <w:spacing w:after="0" w:line="177" w:lineRule="exact"/>
              <w:rPr>
                <w:sz w:val="20"/>
                <w:szCs w:val="20"/>
                <w:color w:val="auto"/>
              </w:rPr>
            </w:pPr>
            <w:r>
              <w:rPr>
                <w:rFonts w:ascii="Arial" w:cs="Arial" w:eastAsia="Arial" w:hAnsi="Arial"/>
                <w:sz w:val="16"/>
                <w:szCs w:val="16"/>
                <w:color w:val="auto"/>
              </w:rPr>
              <w:t>Net cash provided by (used for) financing activities</w:t>
            </w:r>
          </w:p>
        </w:tc>
        <w:tc>
          <w:tcPr>
            <w:tcW w:w="640" w:type="dxa"/>
            <w:vAlign w:val="bottom"/>
            <w:tcBorders>
              <w:bottom w:val="single" w:sz="8" w:color="E5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708</w:t>
            </w:r>
          </w:p>
        </w:tc>
        <w:tc>
          <w:tcPr>
            <w:tcW w:w="340" w:type="dxa"/>
            <w:vAlign w:val="bottom"/>
            <w:tcBorders>
              <w:bottom w:val="single" w:sz="8" w:color="E5FFFF"/>
            </w:tcBorders>
          </w:tcPr>
          <w:p>
            <w:pPr>
              <w:spacing w:after="0"/>
              <w:rPr>
                <w:sz w:val="15"/>
                <w:szCs w:val="15"/>
                <w:color w:val="auto"/>
              </w:rPr>
            </w:pPr>
          </w:p>
        </w:tc>
        <w:tc>
          <w:tcPr>
            <w:tcW w:w="20" w:type="dxa"/>
            <w:vAlign w:val="bottom"/>
            <w:tcBorders>
              <w:bottom w:val="single" w:sz="8" w:color="E5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(913)</w:t>
            </w:r>
          </w:p>
        </w:tc>
      </w:tr>
      <w:tr>
        <w:trPr>
          <w:trHeight w:val="183"/>
        </w:trPr>
        <w:tc>
          <w:tcPr>
            <w:tcW w:w="8400" w:type="dxa"/>
            <w:vAlign w:val="bottom"/>
            <w:shd w:val="clear" w:color="auto" w:fill="E5FFFF"/>
          </w:tcPr>
          <w:p>
            <w:pPr>
              <w:spacing w:after="0" w:line="177" w:lineRule="exact"/>
              <w:rPr>
                <w:sz w:val="20"/>
                <w:szCs w:val="20"/>
                <w:color w:val="auto"/>
              </w:rPr>
            </w:pPr>
            <w:r>
              <w:rPr>
                <w:rFonts w:ascii="Arial" w:cs="Arial" w:eastAsia="Arial" w:hAnsi="Arial"/>
                <w:sz w:val="16"/>
                <w:szCs w:val="16"/>
                <w:color w:val="auto"/>
              </w:rPr>
              <w:t>Effect of foreign exchange rate changes on cash and cash equivalents</w:t>
            </w:r>
          </w:p>
        </w:tc>
        <w:tc>
          <w:tcPr>
            <w:tcW w:w="640" w:type="dxa"/>
            <w:vAlign w:val="bottom"/>
            <w:shd w:val="clear" w:color="auto" w:fill="E5FFFF"/>
          </w:tcPr>
          <w:p>
            <w:pPr>
              <w:spacing w:after="0"/>
              <w:rPr>
                <w:sz w:val="15"/>
                <w:szCs w:val="15"/>
                <w:color w:val="auto"/>
              </w:rPr>
            </w:pPr>
          </w:p>
        </w:tc>
        <w:tc>
          <w:tcPr>
            <w:tcW w:w="220" w:type="dxa"/>
            <w:vAlign w:val="bottom"/>
            <w:tcBorders>
              <w:bottom w:val="single" w:sz="8" w:color="auto"/>
            </w:tcBorders>
            <w:shd w:val="clear" w:color="auto" w:fill="E5FFFF"/>
          </w:tcPr>
          <w:p>
            <w:pPr>
              <w:spacing w:after="0"/>
              <w:rPr>
                <w:sz w:val="15"/>
                <w:szCs w:val="15"/>
                <w:color w:val="auto"/>
              </w:rPr>
            </w:pPr>
          </w:p>
        </w:tc>
        <w:tc>
          <w:tcPr>
            <w:tcW w:w="800" w:type="dxa"/>
            <w:vAlign w:val="bottom"/>
            <w:tcBorders>
              <w:bottom w:val="single" w:sz="8" w:color="auto"/>
            </w:tcBorders>
            <w:shd w:val="clear" w:color="auto" w:fill="E5FFFF"/>
          </w:tcPr>
          <w:p>
            <w:pPr>
              <w:jc w:val="right"/>
              <w:ind w:right="20"/>
              <w:spacing w:after="0" w:line="183" w:lineRule="exact"/>
              <w:rPr>
                <w:sz w:val="20"/>
                <w:szCs w:val="20"/>
                <w:color w:val="auto"/>
              </w:rPr>
            </w:pPr>
            <w:r>
              <w:rPr>
                <w:rFonts w:ascii="Arial" w:cs="Arial" w:eastAsia="Arial" w:hAnsi="Arial"/>
                <w:sz w:val="16"/>
                <w:szCs w:val="16"/>
                <w:color w:val="auto"/>
              </w:rPr>
              <w:t>88</w:t>
            </w:r>
          </w:p>
        </w:tc>
        <w:tc>
          <w:tcPr>
            <w:tcW w:w="34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320" w:type="dxa"/>
            <w:vAlign w:val="bottom"/>
            <w:tcBorders>
              <w:bottom w:val="single" w:sz="8" w:color="auto"/>
            </w:tcBorders>
            <w:shd w:val="clear" w:color="auto" w:fill="E5FFFF"/>
          </w:tcPr>
          <w:p>
            <w:pPr>
              <w:spacing w:after="0"/>
              <w:rPr>
                <w:sz w:val="15"/>
                <w:szCs w:val="15"/>
                <w:color w:val="auto"/>
              </w:rPr>
            </w:pPr>
          </w:p>
        </w:tc>
        <w:tc>
          <w:tcPr>
            <w:tcW w:w="680" w:type="dxa"/>
            <w:vAlign w:val="bottom"/>
            <w:tcBorders>
              <w:bottom w:val="single" w:sz="8" w:color="auto"/>
            </w:tcBorders>
            <w:shd w:val="clear" w:color="auto" w:fill="E5FFFF"/>
          </w:tcPr>
          <w:p>
            <w:pPr>
              <w:jc w:val="right"/>
              <w:spacing w:after="0" w:line="183" w:lineRule="exact"/>
              <w:rPr>
                <w:sz w:val="20"/>
                <w:szCs w:val="20"/>
                <w:color w:val="auto"/>
              </w:rPr>
            </w:pPr>
            <w:r>
              <w:rPr>
                <w:rFonts w:ascii="Arial" w:cs="Arial" w:eastAsia="Arial" w:hAnsi="Arial"/>
                <w:sz w:val="16"/>
                <w:szCs w:val="16"/>
                <w:color w:val="auto"/>
              </w:rPr>
              <w:t>(455)</w:t>
            </w:r>
          </w:p>
        </w:tc>
      </w:tr>
      <w:tr>
        <w:trPr>
          <w:trHeight w:val="183"/>
        </w:trPr>
        <w:tc>
          <w:tcPr>
            <w:tcW w:w="8400" w:type="dxa"/>
            <w:vAlign w:val="bottom"/>
          </w:tcPr>
          <w:p>
            <w:pPr>
              <w:spacing w:after="0" w:line="183" w:lineRule="exact"/>
              <w:rPr>
                <w:sz w:val="20"/>
                <w:szCs w:val="20"/>
                <w:color w:val="auto"/>
              </w:rPr>
            </w:pPr>
            <w:r>
              <w:rPr>
                <w:rFonts w:ascii="Arial" w:cs="Arial" w:eastAsia="Arial" w:hAnsi="Arial"/>
                <w:sz w:val="16"/>
                <w:szCs w:val="16"/>
                <w:color w:val="auto"/>
              </w:rPr>
              <w:t>Net increase (decrease) in cash and cash equivalents</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0"/>
              <w:spacing w:after="0" w:line="183" w:lineRule="exact"/>
              <w:rPr>
                <w:sz w:val="20"/>
                <w:szCs w:val="20"/>
                <w:color w:val="auto"/>
              </w:rPr>
            </w:pPr>
            <w:r>
              <w:rPr>
                <w:rFonts w:ascii="Arial" w:cs="Arial" w:eastAsia="Arial" w:hAnsi="Arial"/>
                <w:sz w:val="16"/>
                <w:szCs w:val="16"/>
                <w:color w:val="auto"/>
              </w:rPr>
              <w:t>976</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(396)</w:t>
            </w:r>
          </w:p>
        </w:tc>
      </w:tr>
      <w:tr>
        <w:trPr>
          <w:trHeight w:val="203"/>
        </w:trPr>
        <w:tc>
          <w:tcPr>
            <w:tcW w:w="840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 at beginning of period</w:t>
            </w:r>
          </w:p>
        </w:tc>
        <w:tc>
          <w:tcPr>
            <w:tcW w:w="6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800" w:type="dxa"/>
            <w:vAlign w:val="bottom"/>
            <w:tcBorders>
              <w:bottom w:val="single" w:sz="8" w:color="auto"/>
            </w:tcBorders>
            <w:shd w:val="clear" w:color="auto" w:fill="E5FFFF"/>
          </w:tcPr>
          <w:p>
            <w:pPr>
              <w:jc w:val="right"/>
              <w:ind w:right="20"/>
              <w:spacing w:after="0"/>
              <w:rPr>
                <w:sz w:val="20"/>
                <w:szCs w:val="20"/>
                <w:color w:val="auto"/>
              </w:rPr>
            </w:pPr>
            <w:r>
              <w:rPr>
                <w:rFonts w:ascii="Arial" w:cs="Arial" w:eastAsia="Arial" w:hAnsi="Arial"/>
                <w:sz w:val="16"/>
                <w:szCs w:val="16"/>
                <w:color w:val="auto"/>
              </w:rPr>
              <w:t>5,455</w:t>
            </w:r>
          </w:p>
        </w:tc>
        <w:tc>
          <w:tcPr>
            <w:tcW w:w="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68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6"/>
                <w:szCs w:val="16"/>
                <w:color w:val="auto"/>
              </w:rPr>
              <w:t>6,959</w:t>
            </w:r>
          </w:p>
        </w:tc>
      </w:tr>
      <w:tr>
        <w:trPr>
          <w:trHeight w:val="196"/>
        </w:trPr>
        <w:tc>
          <w:tcPr>
            <w:tcW w:w="8400" w:type="dxa"/>
            <w:vAlign w:val="bottom"/>
          </w:tcPr>
          <w:p>
            <w:pPr>
              <w:spacing w:after="0" w:line="177" w:lineRule="exact"/>
              <w:rPr>
                <w:sz w:val="20"/>
                <w:szCs w:val="20"/>
                <w:color w:val="auto"/>
              </w:rPr>
            </w:pPr>
            <w:r>
              <w:rPr>
                <w:rFonts w:ascii="Arial" w:cs="Arial" w:eastAsia="Arial" w:hAnsi="Arial"/>
                <w:sz w:val="16"/>
                <w:szCs w:val="16"/>
                <w:color w:val="auto"/>
              </w:rPr>
              <w:t>Cash and cash equivalents at end of period</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6,431</w:t>
            </w:r>
          </w:p>
        </w:tc>
        <w:tc>
          <w:tcPr>
            <w:tcW w:w="340" w:type="dxa"/>
            <w:vAlign w:val="bottom"/>
          </w:tcPr>
          <w:p>
            <w:pPr>
              <w:spacing w:after="0"/>
              <w:rPr>
                <w:sz w:val="17"/>
                <w:szCs w:val="17"/>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6,563</w:t>
            </w:r>
          </w:p>
        </w:tc>
      </w:tr>
      <w:tr>
        <w:trPr>
          <w:trHeight w:val="20"/>
        </w:trPr>
        <w:tc>
          <w:tcPr>
            <w:tcW w:w="8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Financial Statements are an integral part of this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September 30, 2016, the results of operations for the quarter and nine months ended September 30, 2016 and 2015 and the cash flows for the nine months ended September 30, 2016 and 2015. The results of operations for the three and nine months ended September 30, 2016 should not necessarily be taken as indicative of the results of operations expected for the entire year.</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report our quarterly financial information using a calendar convention; the first, second and third quarters are consistently reported as ending on March 31, June 30 and September 30. It has been our practice to establish actual quarterly closing dates using a predetermined fiscal calendar, which requires our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we will provide appropriate disclosures. Our actual closing dates for the three and nine months ended September 30, 2016 and 2015 were October 1, 2016 and September 26, 2015.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 Accounting Pronouncements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Accounting pronouncements not listed below were assessed and determined to be either not applicable or are expected to have minimal impact on our consolidated financial position or results of operations.</w:t>
      </w:r>
    </w:p>
    <w:p>
      <w:pPr>
        <w:spacing w:after="0" w:line="18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May 2014, and in subsequent related updates and amendments, the Financial Accounting Standards Board (FASB) issued guidance on revenue from contracts with customers that will supersede most current revenue recognition guidance, including industry-specific guidance. The underlying principle is that an entity will recognize revenue to depict the transfer of goods or services to customers at an amount that the entity expects to be entitled to in exchange for those goods or services. The guidance provides a five-step analysis of transactions to determine when and how revenue is recognized. Other major provisions include capitalization of certain contract costs, consideration of the time value of money in the transaction price, and allowing estimates of variable consideration to be recognized before contingencies are resolved in certain circumstances. The guidance also requires enhanced disclosures regarding the nature, amount, timing and uncertainty of revenue and cash flows arising from an entity’s contracts with customers. The effective date was deferred for one year to the interim and annual periods beginning on or after December 15, 2017. Early adoption is permitted as of the original effective date – interim and annual periods beginning on or after December 15, 2016. The guidance permits the use of either a retrospective or cumulative effect transition method. We have not yet selected a transition method and are currently evaluating the impact of the amended guidance on our consolidated financial position, results of operations and related disclosures.</w:t>
      </w:r>
    </w:p>
    <w:p>
      <w:pPr>
        <w:spacing w:after="0" w:line="19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February 2016, the FASB issued guidance on accounting for leases which requires lessees to recognize most leases on their balance sheets for the rights and obligations created by those leases. The guidance requires enhanced disclosures regarding the amount, timing, and uncertainty of cash flows arising from leases and will be effective for interim and annual periods beginning after December 15, 2018. Early adoption is permitted. The guidance requires the use of a modified retrospective approach. We are evaluating the impact of the guidance on our consolidated financial position, results of operations and related disclosures.</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March 2016, the FASB issued amended guidance related to employee share-based payment accounting. The guidance requires all income tax effects of awards to be recognized in the income statement, which were previously presented as a component of Shareowners’ Equity, on a prospective basis. The guidance also requires presentation of excess tax benefits as an operating activity on the statement of cash flows rather than as a financing activity. We have elected to early adopt the standard in the quarter ended September 30,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2016, which requires adoption effective as of the beginning of the fiscal year. The primary impact of adoption was the recognition of excess tax benefits as a reduction in the provision for income taxes and related diluted earnings per share impacts of $30 million ($0.03 diluted earnings per share) for the quarter ended March 31, 2016, $38 million ($0.04 diluted earnings per share) for the quarter ended June 30, 2016 and $57 million ($ 0.07 diluted earnings per share) for the quarter ended September 30, 2016. These excess tax benefits previously reported in financing activities in the Consolidated Statement of Cash Flows are now reported as operating activities. Cash paid by the Company when directly withholding shares for tax-withholding purposes are classified as a financing activity on a retrospective basis.</w:t>
      </w:r>
    </w:p>
    <w:p>
      <w:pPr>
        <w:spacing w:after="0" w:line="1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guidance allows for an accounting policy election to estimate the number of awards that are expected to vest or account for forfeitures when they occur. We elected to maintain the current forfeitures policy and will continue to include an estimate of those forfeitures when recognizing stock compensation expense. Classification of the excess tax benefits in the Consolidated Statement of Cash Flows are presented on a prospective basis starting January 1, 2016.</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August 2016, the FASB issued new guidance intended to reduce diversity in practice in how certain cash receipts and payments are classified in the statement of cash flows, including debt prepayment or extinguishment costs, the settlement of contingent liabilities arising from a business combination, proceeds from insurance settlements, and distributions from certain equity method investees. The guidance is effective for interim and annual periods beginning after December 15, 2017, and early adoption is permitted. The guidance requires application using a retrospective transition method. The Company is currently evaluating the impact of adopting this guidance.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During the quarter and nine months we acquired businesses for an aggregate cost (net of cash acquired and debt assumed) of $1,483 million and $2,532 million.</w:t>
      </w:r>
    </w:p>
    <w:p>
      <w:pPr>
        <w:spacing w:after="0" w:line="18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On August 29, 2016, the Company acquired Intelligrated, a leading provider of supply chain and warehouse automation technologies, for an aggregate value, net of cash acquired, of approximately $1,483 million. Intelligrated is part of Safety and Productivity Solutions. The preliminary determination of the assets and liabilities acquired with Intelligrated have been included in the Consolidated Balance Sheet as of September 30, 2016, including $1,124 million allocated to goodwill, which is non-deductible for tax purposes.</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December 2015, the Company acquired the Elster Division of Melrose Industries plc (Elster) for an aggregate value, net of cash acquired, of approximately $4,899 million. Elster is part of Home and Building Technologies and Performance Materials and Technologies. The following table summarizes the updated fair value estimates of the Elster assets and liabilities acquired as of the acquisition date:</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7500" w:type="dxa"/>
            <w:vAlign w:val="bottom"/>
            <w:shd w:val="clear" w:color="auto" w:fill="E5FF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E5FF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522</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2,160</w:t>
            </w:r>
          </w:p>
        </w:tc>
      </w:tr>
      <w:tr>
        <w:trPr>
          <w:trHeight w:val="203"/>
        </w:trPr>
        <w:tc>
          <w:tcPr>
            <w:tcW w:w="75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194</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(456)</w:t>
            </w:r>
          </w:p>
        </w:tc>
      </w:tr>
      <w:tr>
        <w:trPr>
          <w:trHeight w:val="216"/>
        </w:trPr>
        <w:tc>
          <w:tcPr>
            <w:tcW w:w="7500" w:type="dxa"/>
            <w:vAlign w:val="bottom"/>
            <w:shd w:val="clear" w:color="auto" w:fill="E5FFFF"/>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(919)</w:t>
            </w:r>
          </w:p>
        </w:tc>
      </w:tr>
      <w:tr>
        <w:trPr>
          <w:trHeight w:val="196"/>
        </w:trPr>
        <w:tc>
          <w:tcPr>
            <w:tcW w:w="7500" w:type="dxa"/>
            <w:vAlign w:val="bottom"/>
          </w:tcPr>
          <w:p>
            <w:pPr>
              <w:ind w:left="180"/>
              <w:spacing w:after="0" w:line="196" w:lineRule="exact"/>
              <w:rPr>
                <w:sz w:val="20"/>
                <w:szCs w:val="20"/>
                <w:color w:val="auto"/>
              </w:rPr>
            </w:pPr>
            <w:r>
              <w:rPr>
                <w:rFonts w:ascii="Arial" w:cs="Arial" w:eastAsia="Arial" w:hAnsi="Arial"/>
                <w:sz w:val="18"/>
                <w:szCs w:val="18"/>
                <w:color w:val="auto"/>
              </w:rPr>
              <w:t>Net assets acquired</w:t>
            </w:r>
          </w:p>
        </w:tc>
        <w:tc>
          <w:tcPr>
            <w:tcW w:w="3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1,501</w:t>
            </w:r>
          </w:p>
        </w:tc>
      </w:tr>
      <w:tr>
        <w:trPr>
          <w:trHeight w:val="203"/>
        </w:trPr>
        <w:tc>
          <w:tcPr>
            <w:tcW w:w="75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Noncontrolling interest</w:t>
            </w:r>
          </w:p>
        </w:tc>
        <w:tc>
          <w:tcPr>
            <w:tcW w:w="320" w:type="dxa"/>
            <w:vAlign w:val="bottom"/>
            <w:shd w:val="clear" w:color="auto" w:fill="E5FFFF"/>
          </w:tcPr>
          <w:p>
            <w:pPr>
              <w:spacing w:after="0"/>
              <w:rPr>
                <w:sz w:val="17"/>
                <w:szCs w:val="17"/>
                <w:color w:val="auto"/>
              </w:rPr>
            </w:pPr>
          </w:p>
        </w:tc>
        <w:tc>
          <w:tcPr>
            <w:tcW w:w="7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w:t>
            </w:r>
          </w:p>
        </w:tc>
      </w:tr>
      <w:tr>
        <w:trPr>
          <w:trHeight w:val="216"/>
        </w:trPr>
        <w:tc>
          <w:tcPr>
            <w:tcW w:w="75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w:t>
            </w:r>
          </w:p>
        </w:tc>
      </w:tr>
      <w:tr>
        <w:trPr>
          <w:trHeight w:val="237"/>
        </w:trPr>
        <w:tc>
          <w:tcPr>
            <w:tcW w:w="7500" w:type="dxa"/>
            <w:vAlign w:val="bottom"/>
            <w:tcBorders>
              <w:bottom w:val="single" w:sz="8" w:color="E5FFFF"/>
            </w:tcBorders>
            <w:shd w:val="clear" w:color="auto" w:fill="E5FFFF"/>
          </w:tcPr>
          <w:p>
            <w:pPr>
              <w:ind w:left="180"/>
              <w:spacing w:after="0"/>
              <w:rPr>
                <w:sz w:val="20"/>
                <w:szCs w:val="20"/>
                <w:color w:val="auto"/>
              </w:rPr>
            </w:pPr>
            <w:r>
              <w:rPr>
                <w:rFonts w:ascii="Arial" w:cs="Arial" w:eastAsia="Arial" w:hAnsi="Arial"/>
                <w:sz w:val="18"/>
                <w:szCs w:val="18"/>
                <w:color w:val="auto"/>
              </w:rPr>
              <w:t>Purchase Price</w:t>
            </w:r>
          </w:p>
        </w:tc>
        <w:tc>
          <w:tcPr>
            <w:tcW w:w="320" w:type="dxa"/>
            <w:vAlign w:val="bottom"/>
            <w:tcBorders>
              <w:bottom w:val="single" w:sz="8" w:color="auto"/>
            </w:tcBorders>
            <w:shd w:val="clear" w:color="auto" w:fill="E5FFFF"/>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4,899</w:t>
            </w:r>
          </w:p>
        </w:tc>
      </w:tr>
      <w:tr>
        <w:trPr>
          <w:trHeight w:val="20"/>
        </w:trPr>
        <w:tc>
          <w:tcPr>
            <w:tcW w:w="7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The purchase accounting for Elster and Intelligrated is subject to final adjustment, primarily for the valuation of intangible assets, amounts allocated to goodwill, tax balances and certain pre-acquisition contingencies.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 October 1, 2016 the Company completed the tax-free spin-off of its Resins and Chemicals business, part of Performance Materials and Technologies, into a standalone, publicly-traded company (named AdvanSix) to Honeywell shareowners. Since the effective date of the spin-off falls within the fiscal third quarter, the assets and liabilities associated with AdvanSix have been removed from the Company’s third quarter Consolidated Balance Sheet. The results of operations for AdvanSix are included in the Consolidated Statement of Operations through the effective date of the spin-off. See Note 1 Basis of Presentation of Notes to Financial Statements for further discussion of the Company’s actual quarterly closing date convention.</w:t>
      </w:r>
    </w:p>
    <w:p>
      <w:pPr>
        <w:spacing w:after="0" w:line="1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Honeywell shareowners of record as of the close of business on September 16, 2016 received one share of AdvanSix common stock for every 25 shares of Honeywell common stock. Immediately prior to the effective date of the spin-off, AdvanSix incurred debt to make a cash distribution of $269 million to the Company. At the same time, AdvanSix also incurred $38 million of borrowings in order to fund its post spin-off working capital.</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Company entered into certain agreements with AdvanSix to effect our legal and structural separation including a transition services agreement with AdvanSix to provide certain administrative and other services for a limited time.</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September 16, 2016 the Company completed the sale of Honeywell Technology Solutions Inc. for a sale price of $300 million. The Company recognized a pre-tax gain of $176 million. The Honeywell Technology Solutions business was part of Aerospace.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Repositioning and Other Charges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repositioning and other charges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80" w:type="dxa"/>
            <w:vAlign w:val="bottom"/>
          </w:tcPr>
          <w:p>
            <w:pPr>
              <w:spacing w:after="0"/>
              <w:rPr>
                <w:sz w:val="15"/>
                <w:szCs w:val="15"/>
                <w:color w:val="auto"/>
              </w:rPr>
            </w:pPr>
          </w:p>
        </w:tc>
        <w:tc>
          <w:tcPr>
            <w:tcW w:w="21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r>
      <w:tr>
        <w:trPr>
          <w:trHeight w:val="169"/>
        </w:trPr>
        <w:tc>
          <w:tcPr>
            <w:tcW w:w="6180" w:type="dxa"/>
            <w:vAlign w:val="bottom"/>
            <w:tcBorders>
              <w:bottom w:val="single" w:sz="8" w:color="E5FF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E5FF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E5FF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2015</w:t>
            </w:r>
          </w:p>
        </w:tc>
      </w:tr>
      <w:tr>
        <w:trPr>
          <w:trHeight w:val="196"/>
        </w:trPr>
        <w:tc>
          <w:tcPr>
            <w:tcW w:w="61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Severance</w:t>
            </w:r>
          </w:p>
        </w:tc>
        <w:tc>
          <w:tcPr>
            <w:tcW w:w="740" w:type="dxa"/>
            <w:vAlign w:val="bottom"/>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w w:val="93"/>
              </w:rPr>
              <w:t>155</w:t>
            </w:r>
          </w:p>
        </w:tc>
        <w:tc>
          <w:tcPr>
            <w:tcW w:w="24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55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63</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253</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138</w:t>
            </w: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Asset impairments</w:t>
            </w:r>
          </w:p>
        </w:tc>
        <w:tc>
          <w:tcPr>
            <w:tcW w:w="740" w:type="dxa"/>
            <w:vAlign w:val="bottom"/>
          </w:tcPr>
          <w:p>
            <w:pPr>
              <w:spacing w:after="0"/>
              <w:rPr>
                <w:sz w:val="17"/>
                <w:szCs w:val="17"/>
                <w:color w:val="auto"/>
              </w:rPr>
            </w:pPr>
          </w:p>
        </w:tc>
        <w:tc>
          <w:tcPr>
            <w:tcW w:w="4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w:t>
            </w:r>
          </w:p>
        </w:tc>
      </w:tr>
      <w:tr>
        <w:trPr>
          <w:trHeight w:val="203"/>
        </w:trPr>
        <w:tc>
          <w:tcPr>
            <w:tcW w:w="61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Exit costs</w:t>
            </w:r>
          </w:p>
        </w:tc>
        <w:tc>
          <w:tcPr>
            <w:tcW w:w="740" w:type="dxa"/>
            <w:vAlign w:val="bottom"/>
            <w:shd w:val="clear" w:color="auto" w:fill="E5FFFF"/>
          </w:tcPr>
          <w:p>
            <w:pPr>
              <w:spacing w:after="0"/>
              <w:rPr>
                <w:sz w:val="17"/>
                <w:szCs w:val="17"/>
                <w:color w:val="auto"/>
              </w:rPr>
            </w:pPr>
          </w:p>
        </w:tc>
        <w:tc>
          <w:tcPr>
            <w:tcW w:w="4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36</w:t>
            </w:r>
          </w:p>
        </w:tc>
        <w:tc>
          <w:tcPr>
            <w:tcW w:w="24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41</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w:t>
            </w:r>
          </w:p>
        </w:tc>
      </w:tr>
      <w:tr>
        <w:trPr>
          <w:trHeight w:val="216"/>
        </w:trPr>
        <w:tc>
          <w:tcPr>
            <w:tcW w:w="61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Reserve adjustments</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E5FF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61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Total net repositioning charge</w:t>
            </w:r>
          </w:p>
        </w:tc>
        <w:tc>
          <w:tcPr>
            <w:tcW w:w="740" w:type="dxa"/>
            <w:vAlign w:val="bottom"/>
            <w:tcBorders>
              <w:bottom w:val="single" w:sz="8" w:color="auto"/>
            </w:tcBorders>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color w:val="auto"/>
                <w:w w:val="93"/>
              </w:rPr>
              <w:t>171</w:t>
            </w:r>
          </w:p>
        </w:tc>
        <w:tc>
          <w:tcPr>
            <w:tcW w:w="24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107</w:t>
            </w:r>
          </w:p>
        </w:tc>
      </w:tr>
      <w:tr>
        <w:trPr>
          <w:trHeight w:val="399"/>
        </w:trPr>
        <w:tc>
          <w:tcPr>
            <w:tcW w:w="6180" w:type="dxa"/>
            <w:vAlign w:val="bottom"/>
          </w:tcPr>
          <w:p>
            <w:pPr>
              <w:spacing w:after="0"/>
              <w:rPr>
                <w:sz w:val="20"/>
                <w:szCs w:val="20"/>
                <w:color w:val="auto"/>
              </w:rPr>
            </w:pPr>
            <w:r>
              <w:rPr>
                <w:rFonts w:ascii="Arial" w:cs="Arial" w:eastAsia="Arial" w:hAnsi="Arial"/>
                <w:sz w:val="18"/>
                <w:szCs w:val="18"/>
                <w:color w:val="auto"/>
              </w:rPr>
              <w:t>Asbestos related litigation charges, net of insurance</w:t>
            </w:r>
          </w:p>
        </w:tc>
        <w:tc>
          <w:tcPr>
            <w:tcW w:w="740" w:type="dxa"/>
            <w:vAlign w:val="bottom"/>
          </w:tcPr>
          <w:p>
            <w:pPr>
              <w:spacing w:after="0"/>
              <w:rPr>
                <w:sz w:val="24"/>
                <w:szCs w:val="24"/>
                <w:color w:val="auto"/>
              </w:rPr>
            </w:pP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142</w:t>
            </w:r>
          </w:p>
        </w:tc>
      </w:tr>
      <w:tr>
        <w:trPr>
          <w:trHeight w:val="203"/>
        </w:trPr>
        <w:tc>
          <w:tcPr>
            <w:tcW w:w="61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Probable and reasonably estimable environmental liabilities</w:t>
            </w:r>
          </w:p>
        </w:tc>
        <w:tc>
          <w:tcPr>
            <w:tcW w:w="740" w:type="dxa"/>
            <w:vAlign w:val="bottom"/>
            <w:shd w:val="clear" w:color="auto" w:fill="E5FFFF"/>
          </w:tcPr>
          <w:p>
            <w:pPr>
              <w:spacing w:after="0"/>
              <w:rPr>
                <w:sz w:val="17"/>
                <w:szCs w:val="17"/>
                <w:color w:val="auto"/>
              </w:rPr>
            </w:pPr>
          </w:p>
        </w:tc>
        <w:tc>
          <w:tcPr>
            <w:tcW w:w="4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49</w:t>
            </w:r>
          </w:p>
        </w:tc>
        <w:tc>
          <w:tcPr>
            <w:tcW w:w="24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49</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132</w:t>
            </w: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144</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196"/>
        </w:trPr>
        <w:tc>
          <w:tcPr>
            <w:tcW w:w="6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43"/>
        </w:trPr>
        <w:tc>
          <w:tcPr>
            <w:tcW w:w="6180" w:type="dxa"/>
            <w:vAlign w:val="bottom"/>
            <w:shd w:val="clear" w:color="auto" w:fill="E5FFFF"/>
          </w:tcPr>
          <w:p>
            <w:pPr>
              <w:ind w:left="180"/>
              <w:spacing w:after="0"/>
              <w:rPr>
                <w:sz w:val="20"/>
                <w:szCs w:val="20"/>
                <w:color w:val="auto"/>
              </w:rPr>
            </w:pPr>
            <w:r>
              <w:rPr>
                <w:rFonts w:ascii="Arial" w:cs="Arial" w:eastAsia="Arial" w:hAnsi="Arial"/>
                <w:sz w:val="18"/>
                <w:szCs w:val="18"/>
                <w:color w:val="auto"/>
              </w:rPr>
              <w:t>Total net repositioning and other charges</w:t>
            </w:r>
          </w:p>
        </w:tc>
        <w:tc>
          <w:tcPr>
            <w:tcW w:w="740" w:type="dxa"/>
            <w:vAlign w:val="bottom"/>
            <w:shd w:val="clear" w:color="auto" w:fill="E5FF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w w:val="93"/>
              </w:rPr>
              <w:t>302</w:t>
            </w:r>
          </w:p>
        </w:tc>
        <w:tc>
          <w:tcPr>
            <w:tcW w:w="240" w:type="dxa"/>
            <w:vAlign w:val="bottom"/>
            <w:shd w:val="clear" w:color="auto" w:fill="E5FFFF"/>
          </w:tcPr>
          <w:p>
            <w:pPr>
              <w:spacing w:after="0"/>
              <w:rPr>
                <w:sz w:val="21"/>
                <w:szCs w:val="21"/>
                <w:color w:val="auto"/>
              </w:rPr>
            </w:pPr>
          </w:p>
        </w:tc>
        <w:tc>
          <w:tcPr>
            <w:tcW w:w="740" w:type="dxa"/>
            <w:vAlign w:val="bottom"/>
            <w:shd w:val="clear" w:color="auto" w:fill="E5FFFF"/>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93"/>
              </w:rPr>
              <w:t>133</w:t>
            </w:r>
          </w:p>
        </w:tc>
        <w:tc>
          <w:tcPr>
            <w:tcW w:w="480" w:type="dxa"/>
            <w:vAlign w:val="bottom"/>
            <w:gridSpan w:val="2"/>
            <w:shd w:val="clear" w:color="auto" w:fill="E5FF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567</w:t>
            </w:r>
          </w:p>
        </w:tc>
        <w:tc>
          <w:tcPr>
            <w:tcW w:w="620" w:type="dxa"/>
            <w:vAlign w:val="bottom"/>
            <w:gridSpan w:val="2"/>
            <w:shd w:val="clear" w:color="auto" w:fill="E5FF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2"/>
              <w:spacing w:after="0"/>
              <w:rPr>
                <w:sz w:val="20"/>
                <w:szCs w:val="20"/>
                <w:color w:val="auto"/>
              </w:rPr>
            </w:pPr>
            <w:r>
              <w:rPr>
                <w:rFonts w:ascii="Arial" w:cs="Arial" w:eastAsia="Arial" w:hAnsi="Arial"/>
                <w:sz w:val="18"/>
                <w:szCs w:val="18"/>
                <w:color w:val="auto"/>
              </w:rPr>
              <w:t>393</w:t>
            </w:r>
          </w:p>
        </w:tc>
      </w:tr>
      <w:tr>
        <w:trPr>
          <w:trHeight w:val="20"/>
        </w:trPr>
        <w:tc>
          <w:tcPr>
            <w:tcW w:w="618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distribution of total net repositioning and other charges by income statement classification: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2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196"/>
        </w:trPr>
        <w:tc>
          <w:tcPr>
            <w:tcW w:w="46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Cost of products and services sold</w:t>
            </w:r>
          </w:p>
        </w:tc>
        <w:tc>
          <w:tcPr>
            <w:tcW w:w="156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w w:val="93"/>
              </w:rPr>
              <w:t>226</w:t>
            </w:r>
          </w:p>
        </w:tc>
        <w:tc>
          <w:tcPr>
            <w:tcW w:w="240" w:type="dxa"/>
            <w:vAlign w:val="bottom"/>
            <w:tcBorders>
              <w:top w:val="single" w:sz="8" w:color="E5FFFF"/>
            </w:tcBorders>
            <w:shd w:val="clear" w:color="auto" w:fill="E5FFFF"/>
          </w:tcPr>
          <w:p>
            <w:pPr>
              <w:spacing w:after="0"/>
              <w:rPr>
                <w:sz w:val="17"/>
                <w:szCs w:val="17"/>
                <w:color w:val="auto"/>
              </w:rPr>
            </w:pPr>
          </w:p>
        </w:tc>
        <w:tc>
          <w:tcPr>
            <w:tcW w:w="740" w:type="dxa"/>
            <w:vAlign w:val="bottom"/>
            <w:tcBorders>
              <w:top w:val="single" w:sz="8" w:color="auto"/>
            </w:tcBorders>
            <w:shd w:val="clear" w:color="auto" w:fill="E5FFFF"/>
          </w:tcPr>
          <w:p>
            <w:pPr>
              <w:jc w:val="right"/>
              <w:ind w:right="55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93"/>
              </w:rPr>
              <w:t>129</w:t>
            </w:r>
          </w:p>
        </w:tc>
        <w:tc>
          <w:tcPr>
            <w:tcW w:w="220" w:type="dxa"/>
            <w:vAlign w:val="bottom"/>
            <w:tcBorders>
              <w:top w:val="single" w:sz="8" w:color="E5FFFF"/>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8"/>
              <w:spacing w:after="0" w:line="196" w:lineRule="exact"/>
              <w:rPr>
                <w:sz w:val="20"/>
                <w:szCs w:val="20"/>
                <w:color w:val="auto"/>
              </w:rPr>
            </w:pPr>
            <w:r>
              <w:rPr>
                <w:rFonts w:ascii="Arial" w:cs="Arial" w:eastAsia="Arial" w:hAnsi="Arial"/>
                <w:sz w:val="18"/>
                <w:szCs w:val="18"/>
                <w:color w:val="auto"/>
              </w:rPr>
              <w:t>410</w:t>
            </w:r>
          </w:p>
        </w:tc>
        <w:tc>
          <w:tcPr>
            <w:tcW w:w="220" w:type="dxa"/>
            <w:vAlign w:val="bottom"/>
            <w:tcBorders>
              <w:top w:val="single" w:sz="8" w:color="E5FFFF"/>
            </w:tcBorders>
            <w:shd w:val="clear" w:color="auto" w:fill="E5FFFF"/>
          </w:tcPr>
          <w:p>
            <w:pPr>
              <w:spacing w:after="0"/>
              <w:rPr>
                <w:sz w:val="17"/>
                <w:szCs w:val="17"/>
                <w:color w:val="auto"/>
              </w:rPr>
            </w:pPr>
          </w:p>
        </w:tc>
        <w:tc>
          <w:tcPr>
            <w:tcW w:w="400" w:type="dxa"/>
            <w:vAlign w:val="bottom"/>
            <w:tcBorders>
              <w:top w:val="single" w:sz="8" w:color="auto"/>
            </w:tcBorders>
            <w:shd w:val="clear" w:color="auto" w:fill="E5FF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3"/>
        </w:trPr>
        <w:tc>
          <w:tcPr>
            <w:tcW w:w="46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53</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110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20" w:type="dxa"/>
            <w:vAlign w:val="bottom"/>
            <w:shd w:val="clear" w:color="auto" w:fill="E5FFFF"/>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23</w:t>
            </w:r>
          </w:p>
        </w:tc>
        <w:tc>
          <w:tcPr>
            <w:tcW w:w="24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8"/>
              <w:spacing w:after="0"/>
              <w:rPr>
                <w:sz w:val="20"/>
                <w:szCs w:val="20"/>
                <w:color w:val="auto"/>
              </w:rPr>
            </w:pPr>
            <w:r>
              <w:rPr>
                <w:rFonts w:ascii="Arial" w:cs="Arial" w:eastAsia="Arial" w:hAnsi="Arial"/>
                <w:sz w:val="18"/>
                <w:szCs w:val="18"/>
                <w:color w:val="auto"/>
              </w:rPr>
              <w:t>47</w:t>
            </w:r>
          </w:p>
        </w:tc>
        <w:tc>
          <w:tcPr>
            <w:tcW w:w="220" w:type="dxa"/>
            <w:vAlign w:val="bottom"/>
            <w:shd w:val="clear" w:color="auto" w:fill="E5FFFF"/>
          </w:tcPr>
          <w:p>
            <w:pPr>
              <w:spacing w:after="0"/>
              <w:rPr>
                <w:sz w:val="18"/>
                <w:szCs w:val="18"/>
                <w:color w:val="auto"/>
              </w:rPr>
            </w:pPr>
          </w:p>
        </w:tc>
        <w:tc>
          <w:tcPr>
            <w:tcW w:w="40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2300" w:type="dxa"/>
            <w:vAlign w:val="bottom"/>
            <w:gridSpan w:val="2"/>
          </w:tcPr>
          <w:p>
            <w:pPr>
              <w:jc w:val="right"/>
              <w:ind w:right="559"/>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4"/>
              <w:spacing w:after="0"/>
              <w:rPr>
                <w:sz w:val="20"/>
                <w:szCs w:val="20"/>
                <w:color w:val="auto"/>
              </w:rPr>
            </w:pPr>
            <w:r>
              <w:rPr>
                <w:rFonts w:ascii="Arial" w:cs="Arial" w:eastAsia="Arial" w:hAnsi="Arial"/>
                <w:sz w:val="18"/>
                <w:szCs w:val="18"/>
                <w:color w:val="auto"/>
                <w:w w:val="93"/>
              </w:rPr>
              <w:t>302</w:t>
            </w:r>
          </w:p>
        </w:tc>
        <w:tc>
          <w:tcPr>
            <w:tcW w:w="240" w:type="dxa"/>
            <w:vAlign w:val="bottom"/>
          </w:tcPr>
          <w:p>
            <w:pPr>
              <w:spacing w:after="0"/>
              <w:rPr>
                <w:sz w:val="20"/>
                <w:szCs w:val="20"/>
                <w:color w:val="auto"/>
              </w:rPr>
            </w:pP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133</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567</w:t>
            </w:r>
          </w:p>
        </w:tc>
        <w:tc>
          <w:tcPr>
            <w:tcW w:w="6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560" w:type="dxa"/>
            <w:vAlign w:val="bottom"/>
            <w:vMerge w:val="restart"/>
          </w:tcPr>
          <w:p>
            <w:pPr>
              <w:jc w:val="right"/>
              <w:ind w:right="336"/>
              <w:spacing w:after="0"/>
              <w:rPr>
                <w:sz w:val="20"/>
                <w:szCs w:val="20"/>
                <w:color w:val="auto"/>
              </w:rPr>
            </w:pPr>
            <w:r>
              <w:rPr>
                <w:rFonts w:ascii="Arial" w:cs="Arial" w:eastAsia="Arial" w:hAnsi="Arial"/>
                <w:sz w:val="18"/>
                <w:szCs w:val="18"/>
                <w:color w:val="auto"/>
              </w:rPr>
              <w:t>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0C0C0"/>
            </w:tcBorders>
          </w:tcPr>
          <w:p>
            <w:pPr>
              <w:spacing w:after="0"/>
              <w:rPr>
                <w:sz w:val="20"/>
                <w:szCs w:val="20"/>
                <w:color w:val="auto"/>
              </w:rPr>
            </w:pPr>
          </w:p>
        </w:tc>
        <w:tc>
          <w:tcPr>
            <w:tcW w:w="156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8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pretax impact of total net repositioning and other charges by segment: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80" w:type="dxa"/>
            <w:vAlign w:val="bottom"/>
          </w:tcPr>
          <w:p>
            <w:pPr>
              <w:spacing w:after="0"/>
              <w:rPr>
                <w:sz w:val="15"/>
                <w:szCs w:val="15"/>
                <w:color w:val="auto"/>
              </w:rPr>
            </w:pPr>
          </w:p>
        </w:tc>
        <w:tc>
          <w:tcPr>
            <w:tcW w:w="21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5"/>
          </w:tcPr>
          <w:p>
            <w:pPr>
              <w:jc w:val="right"/>
              <w:ind w:right="473"/>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6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r>
      <w:tr>
        <w:trPr>
          <w:trHeight w:val="169"/>
        </w:trPr>
        <w:tc>
          <w:tcPr>
            <w:tcW w:w="6180" w:type="dxa"/>
            <w:vAlign w:val="bottom"/>
            <w:tcBorders>
              <w:bottom w:val="single" w:sz="8" w:color="E5FF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E5FF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E5FF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E5FFFF"/>
            </w:tcBorders>
          </w:tcPr>
          <w:p>
            <w:pPr>
              <w:spacing w:after="0"/>
              <w:rPr>
                <w:sz w:val="14"/>
                <w:szCs w:val="14"/>
                <w:color w:val="auto"/>
              </w:rPr>
            </w:pPr>
          </w:p>
        </w:tc>
        <w:tc>
          <w:tcPr>
            <w:tcW w:w="20" w:type="dxa"/>
            <w:vAlign w:val="bottom"/>
            <w:tcBorders>
              <w:bottom w:val="single" w:sz="8" w:color="E5FF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6"/>
              </w:rPr>
              <w:t>2015</w:t>
            </w:r>
          </w:p>
        </w:tc>
      </w:tr>
      <w:tr>
        <w:trPr>
          <w:trHeight w:val="196"/>
        </w:trPr>
        <w:tc>
          <w:tcPr>
            <w:tcW w:w="6180" w:type="dxa"/>
            <w:vAlign w:val="bottom"/>
            <w:shd w:val="clear" w:color="auto" w:fill="E5FFFF"/>
          </w:tcPr>
          <w:p>
            <w:pPr>
              <w:ind w:left="20"/>
              <w:spacing w:after="0" w:line="196" w:lineRule="exact"/>
              <w:rPr>
                <w:sz w:val="20"/>
                <w:szCs w:val="20"/>
                <w:color w:val="auto"/>
              </w:rPr>
            </w:pPr>
            <w:r>
              <w:rPr>
                <w:rFonts w:ascii="Arial" w:cs="Arial" w:eastAsia="Arial" w:hAnsi="Arial"/>
                <w:sz w:val="18"/>
                <w:szCs w:val="18"/>
                <w:color w:val="auto"/>
              </w:rPr>
              <w:t>Aerospace</w:t>
            </w:r>
          </w:p>
        </w:tc>
        <w:tc>
          <w:tcPr>
            <w:tcW w:w="740" w:type="dxa"/>
            <w:vAlign w:val="bottom"/>
            <w:shd w:val="clear" w:color="auto" w:fill="E5FFFF"/>
          </w:tcPr>
          <w:p>
            <w:pPr>
              <w:jc w:val="right"/>
              <w:ind w:right="5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w w:val="93"/>
              </w:rPr>
              <w:t>144</w:t>
            </w:r>
          </w:p>
        </w:tc>
        <w:tc>
          <w:tcPr>
            <w:tcW w:w="240" w:type="dxa"/>
            <w:vAlign w:val="bottom"/>
            <w:shd w:val="clear" w:color="auto" w:fill="E5FFFF"/>
          </w:tcPr>
          <w:p>
            <w:pPr>
              <w:spacing w:after="0"/>
              <w:rPr>
                <w:sz w:val="17"/>
                <w:szCs w:val="17"/>
                <w:color w:val="auto"/>
              </w:rPr>
            </w:pPr>
          </w:p>
        </w:tc>
        <w:tc>
          <w:tcPr>
            <w:tcW w:w="740" w:type="dxa"/>
            <w:vAlign w:val="bottom"/>
            <w:shd w:val="clear" w:color="auto" w:fill="E5FFFF"/>
          </w:tcPr>
          <w:p>
            <w:pPr>
              <w:jc w:val="right"/>
              <w:ind w:right="556"/>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rPr>
              <w:t>38</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265</w:t>
            </w:r>
          </w:p>
        </w:tc>
        <w:tc>
          <w:tcPr>
            <w:tcW w:w="2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80" w:type="dxa"/>
            <w:vAlign w:val="bottom"/>
            <w:shd w:val="clear" w:color="auto" w:fill="E5FFFF"/>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134</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Home and Building Technologies</w:t>
            </w:r>
          </w:p>
        </w:tc>
        <w:tc>
          <w:tcPr>
            <w:tcW w:w="740" w:type="dxa"/>
            <w:vAlign w:val="bottom"/>
          </w:tcPr>
          <w:p>
            <w:pPr>
              <w:spacing w:after="0"/>
              <w:rPr>
                <w:sz w:val="17"/>
                <w:szCs w:val="17"/>
                <w:color w:val="auto"/>
              </w:rPr>
            </w:pPr>
          </w:p>
        </w:tc>
        <w:tc>
          <w:tcPr>
            <w:tcW w:w="4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24</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38</w:t>
            </w:r>
          </w:p>
        </w:tc>
      </w:tr>
      <w:tr>
        <w:trPr>
          <w:trHeight w:val="203"/>
        </w:trPr>
        <w:tc>
          <w:tcPr>
            <w:tcW w:w="6180" w:type="dxa"/>
            <w:vAlign w:val="bottom"/>
            <w:shd w:val="clear" w:color="auto" w:fill="E5FFFF"/>
          </w:tcPr>
          <w:p>
            <w:pPr>
              <w:ind w:left="20"/>
              <w:spacing w:after="0" w:line="202" w:lineRule="exact"/>
              <w:rPr>
                <w:sz w:val="20"/>
                <w:szCs w:val="20"/>
                <w:color w:val="auto"/>
              </w:rPr>
            </w:pPr>
            <w:r>
              <w:rPr>
                <w:rFonts w:ascii="Arial" w:cs="Arial" w:eastAsia="Arial" w:hAnsi="Arial"/>
                <w:sz w:val="18"/>
                <w:szCs w:val="18"/>
                <w:color w:val="auto"/>
              </w:rPr>
              <w:t>Performance Materials and Technologies</w:t>
            </w:r>
          </w:p>
        </w:tc>
        <w:tc>
          <w:tcPr>
            <w:tcW w:w="740" w:type="dxa"/>
            <w:vAlign w:val="bottom"/>
            <w:shd w:val="clear" w:color="auto" w:fill="E5FFFF"/>
          </w:tcPr>
          <w:p>
            <w:pPr>
              <w:spacing w:after="0"/>
              <w:rPr>
                <w:sz w:val="17"/>
                <w:szCs w:val="17"/>
                <w:color w:val="auto"/>
              </w:rPr>
            </w:pPr>
          </w:p>
        </w:tc>
        <w:tc>
          <w:tcPr>
            <w:tcW w:w="420" w:type="dxa"/>
            <w:vAlign w:val="bottom"/>
            <w:shd w:val="clear" w:color="auto" w:fill="E5FFFF"/>
          </w:tcPr>
          <w:p>
            <w:pPr>
              <w:jc w:val="right"/>
              <w:ind w:right="33"/>
              <w:spacing w:after="0" w:line="202" w:lineRule="exact"/>
              <w:rPr>
                <w:sz w:val="20"/>
                <w:szCs w:val="20"/>
                <w:color w:val="auto"/>
              </w:rPr>
            </w:pPr>
            <w:r>
              <w:rPr>
                <w:rFonts w:ascii="Arial" w:cs="Arial" w:eastAsia="Arial" w:hAnsi="Arial"/>
                <w:sz w:val="18"/>
                <w:szCs w:val="18"/>
                <w:color w:val="auto"/>
              </w:rPr>
              <w:t>35</w:t>
            </w:r>
          </w:p>
        </w:tc>
        <w:tc>
          <w:tcPr>
            <w:tcW w:w="24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4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rPr>
              <w:t>9</w:t>
            </w:r>
          </w:p>
        </w:tc>
        <w:tc>
          <w:tcPr>
            <w:tcW w:w="2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71</w:t>
            </w:r>
          </w:p>
        </w:tc>
        <w:tc>
          <w:tcPr>
            <w:tcW w:w="2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30</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Safety and Productivity Solutions</w:t>
            </w:r>
          </w:p>
        </w:tc>
        <w:tc>
          <w:tcPr>
            <w:tcW w:w="740" w:type="dxa"/>
            <w:vAlign w:val="bottom"/>
          </w:tcPr>
          <w:p>
            <w:pPr>
              <w:spacing w:after="0"/>
              <w:rPr>
                <w:sz w:val="17"/>
                <w:szCs w:val="17"/>
                <w:color w:val="auto"/>
              </w:rPr>
            </w:pPr>
          </w:p>
        </w:tc>
        <w:tc>
          <w:tcPr>
            <w:tcW w:w="4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29</w:t>
            </w:r>
          </w:p>
        </w:tc>
      </w:tr>
      <w:tr>
        <w:trPr>
          <w:trHeight w:val="216"/>
        </w:trPr>
        <w:tc>
          <w:tcPr>
            <w:tcW w:w="6180" w:type="dxa"/>
            <w:vAlign w:val="bottom"/>
            <w:shd w:val="clear" w:color="auto" w:fill="E5FFFF"/>
          </w:tcPr>
          <w:p>
            <w:pPr>
              <w:ind w:left="20"/>
              <w:spacing w:after="0"/>
              <w:rPr>
                <w:sz w:val="20"/>
                <w:szCs w:val="20"/>
                <w:color w:val="auto"/>
              </w:rPr>
            </w:pPr>
            <w:r>
              <w:rPr>
                <w:rFonts w:ascii="Arial" w:cs="Arial" w:eastAsia="Arial" w:hAnsi="Arial"/>
                <w:sz w:val="18"/>
                <w:szCs w:val="18"/>
                <w:color w:val="auto"/>
              </w:rPr>
              <w:t>Corporate</w:t>
            </w:r>
          </w:p>
        </w:tc>
        <w:tc>
          <w:tcPr>
            <w:tcW w:w="740" w:type="dxa"/>
            <w:vAlign w:val="bottom"/>
            <w:tcBorders>
              <w:bottom w:val="single" w:sz="8" w:color="auto"/>
            </w:tcBorders>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jc w:val="right"/>
              <w:ind w:right="33"/>
              <w:spacing w:after="0"/>
              <w:rPr>
                <w:sz w:val="20"/>
                <w:szCs w:val="20"/>
                <w:color w:val="auto"/>
              </w:rPr>
            </w:pPr>
            <w:r>
              <w:rPr>
                <w:rFonts w:ascii="Arial" w:cs="Arial" w:eastAsia="Arial" w:hAnsi="Arial"/>
                <w:sz w:val="18"/>
                <w:szCs w:val="18"/>
                <w:color w:val="auto"/>
              </w:rPr>
              <w:t>89</w:t>
            </w:r>
          </w:p>
        </w:tc>
        <w:tc>
          <w:tcPr>
            <w:tcW w:w="24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spacing w:after="0"/>
              <w:rPr>
                <w:sz w:val="18"/>
                <w:szCs w:val="18"/>
                <w:color w:val="auto"/>
              </w:rPr>
            </w:pPr>
          </w:p>
        </w:tc>
        <w:tc>
          <w:tcPr>
            <w:tcW w:w="420" w:type="dxa"/>
            <w:vAlign w:val="bottom"/>
            <w:tcBorders>
              <w:bottom w:val="single" w:sz="8" w:color="auto"/>
            </w:tcBorders>
            <w:shd w:val="clear" w:color="auto" w:fill="E5FFFF"/>
          </w:tcPr>
          <w:p>
            <w:pPr>
              <w:jc w:val="right"/>
              <w:ind w:right="3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spacing w:after="0"/>
              <w:rPr>
                <w:sz w:val="18"/>
                <w:szCs w:val="18"/>
                <w:color w:val="auto"/>
              </w:rPr>
            </w:pPr>
          </w:p>
        </w:tc>
        <w:tc>
          <w:tcPr>
            <w:tcW w:w="86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8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color w:val="auto"/>
              </w:rPr>
              <w:t>162</w:t>
            </w:r>
          </w:p>
        </w:tc>
      </w:tr>
      <w:tr>
        <w:trPr>
          <w:trHeight w:val="237"/>
        </w:trPr>
        <w:tc>
          <w:tcPr>
            <w:tcW w:w="6180" w:type="dxa"/>
            <w:vAlign w:val="bottom"/>
          </w:tcPr>
          <w:p>
            <w:pPr>
              <w:spacing w:after="0"/>
              <w:rPr>
                <w:sz w:val="20"/>
                <w:szCs w:val="20"/>
                <w:color w:val="auto"/>
              </w:rPr>
            </w:pPr>
          </w:p>
        </w:tc>
        <w:tc>
          <w:tcPr>
            <w:tcW w:w="740" w:type="dxa"/>
            <w:vAlign w:val="bottom"/>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33"/>
              <w:spacing w:after="0"/>
              <w:rPr>
                <w:sz w:val="20"/>
                <w:szCs w:val="20"/>
                <w:color w:val="auto"/>
              </w:rPr>
            </w:pPr>
            <w:r>
              <w:rPr>
                <w:rFonts w:ascii="Arial" w:cs="Arial" w:eastAsia="Arial" w:hAnsi="Arial"/>
                <w:sz w:val="18"/>
                <w:szCs w:val="18"/>
                <w:color w:val="auto"/>
                <w:w w:val="93"/>
              </w:rPr>
              <w:t>302</w:t>
            </w:r>
          </w:p>
        </w:tc>
        <w:tc>
          <w:tcPr>
            <w:tcW w:w="240" w:type="dxa"/>
            <w:vAlign w:val="bottom"/>
          </w:tcPr>
          <w:p>
            <w:pPr>
              <w:spacing w:after="0"/>
              <w:rPr>
                <w:sz w:val="20"/>
                <w:szCs w:val="20"/>
                <w:color w:val="auto"/>
              </w:rPr>
            </w:pPr>
          </w:p>
        </w:tc>
        <w:tc>
          <w:tcPr>
            <w:tcW w:w="740" w:type="dxa"/>
            <w:vAlign w:val="bottom"/>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133</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20"/>
                <w:szCs w:val="20"/>
                <w:color w:val="auto"/>
              </w:rPr>
            </w:pP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393</w:t>
            </w:r>
          </w:p>
        </w:tc>
      </w:tr>
      <w:tr>
        <w:trPr>
          <w:trHeight w:val="20"/>
        </w:trPr>
        <w:tc>
          <w:tcPr>
            <w:tcW w:w="6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quarter ended September 30, 2016, we recognized a repositioning charge totaling $202 million including severance costs of $155 million related to workforce reductions of 3,017 manufacturing and administrative positions across our segments. The workforce reductions were primarily related to the separation of the former Automation and Control Solutions reporting segment into two new reporting segments (Home and Building Technologies and Safety and Productivity Solutions); factory transitions in Aerospace, Home and Building Technologies, Safety and Productivity Solutions and Performance Materials and Technologies to more cost-effective locations; and cost savings actions taken in connection with our productivity and ongoing functional transformation initiatives. The repositioning charge included exit costs of $36 million principally for expenses related to the spin-off of our AdvanSix business and closure obligations associated with factory transitions. Also, $ 31 million of previously established accruals for severance were returned to income as a result of higher attrition than anticipated in prior severance programs resulting in lower required severance payments, and changes in the scope of previously announced repositioning actions.</w:t>
      </w:r>
    </w:p>
    <w:p>
      <w:pPr>
        <w:spacing w:after="0" w:line="19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the quarter ended September 30, 2015, we recognized a repositioning charge totaling $65 million primarily for severance costs related to workforce reductions of 902 manufacturing and administrative positions across our segments. The workforce reductions were primarily related to cost savings actions taken in connection with our productivity and ongoing functional transformation initiatives. Also, $31 million of previously established accruals for severance were returned to income as a result of higher attrition than anticipated in prior severance programs resulting in lower required severance payments, and changes in the scope of previously announced repositioning actions.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the nine months ended September 30, 2016, we recognized a repositioning charge totaling $ 336 million including severance costs of $253 million related to workforce reductions of 5,888 manufacturing and administrative positions across our segments. The workforce reductions were primarily related to cost savings actions taken in connection with our productivity and ongoing functional transformation initiatives; the separation of the former Automation and Control Solutions reporting segment into two new reporting segments; factory transitions in Aerospace, Home and Building Technologies, Safety and Productivity Solutions and Performance Materials and Technologies to more cost-effective locations; and achieving acquisition-related synergies. The repositioning charge included asset impairments of $ 42 million principally related to the write-off of certain intangible assets in connection with the sale of a Performance Materials and Technologies business. The repositioning charge included exit costs of $41 million principally for expenses related to the spin-off of our AdvanSix business and closure obligations associated with factory transitions. Also, $92 million of previously established accruals, primarily for severance, were returned to income as a result of higher attrition than anticipated in prior severance programs resulting in lower required severance payments, lower than expected severance costs in certain repositioning actions, and changes in the scope of previously announced repositioning actions.</w:t>
      </w:r>
    </w:p>
    <w:p>
      <w:pPr>
        <w:spacing w:after="0" w:line="1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In the nine months ended September 30, 2015, we recognized a repositioning charge totaling $150 million primarily for severance costs related to workforce reductions of 4,882 manufacturing and administrative positions across our segments. The workforce reductions were primarily related to cost savings actions taken in connection with our productivity and ongoing functional transformation initiatives and outsourcing of certain component manufacturing in Home and Building Technologies. Also, $43 million of previously established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accruals, primarily for severance, were returned to income as a result of higher attrition than anticipated in prior severance programs resulting in lower required severance payments, and changes in the scope of previously announced repositioning actions.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status of our total repositioning reserves:</w:t>
      </w:r>
    </w:p>
    <w:p>
      <w:pPr>
        <w:spacing w:after="0" w:line="226" w:lineRule="exact"/>
        <w:rPr>
          <w:sz w:val="20"/>
          <w:szCs w:val="20"/>
          <w:color w:val="auto"/>
        </w:rPr>
      </w:pPr>
    </w:p>
    <w:tbl>
      <w:tblPr>
        <w:tblLayout w:type="fixed"/>
        <w:tblInd w:w="24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5"/>
                <w:szCs w:val="15"/>
                <w:color w:val="auto"/>
              </w:rPr>
            </w:pP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Asset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Exit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5"/>
        </w:trPr>
        <w:tc>
          <w:tcPr>
            <w:tcW w:w="4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5"/>
                <w:szCs w:val="15"/>
                <w:color w:val="auto"/>
              </w:rPr>
            </w:pPr>
          </w:p>
        </w:tc>
        <w:tc>
          <w:tcPr>
            <w:tcW w:w="980" w:type="dxa"/>
            <w:vAlign w:val="bottom"/>
          </w:tcPr>
          <w:p>
            <w:pPr>
              <w:jc w:val="right"/>
              <w:ind w:right="34"/>
              <w:spacing w:after="0"/>
              <w:rPr>
                <w:sz w:val="20"/>
                <w:szCs w:val="20"/>
                <w:color w:val="auto"/>
              </w:rPr>
            </w:pPr>
            <w:r>
              <w:rPr>
                <w:rFonts w:ascii="Arial" w:cs="Arial" w:eastAsia="Arial" w:hAnsi="Arial"/>
                <w:sz w:val="14"/>
                <w:szCs w:val="14"/>
                <w:b w:val="1"/>
                <w:bCs w:val="1"/>
                <w:color w:val="auto"/>
              </w:rPr>
              <w:t>Impairments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5"/>
                <w:szCs w:val="15"/>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r>
      <w:tr>
        <w:trPr>
          <w:trHeight w:val="196"/>
        </w:trPr>
        <w:tc>
          <w:tcPr>
            <w:tcW w:w="4160" w:type="dxa"/>
            <w:vAlign w:val="bottom"/>
            <w:tcBorders>
              <w:top w:val="single" w:sz="8" w:color="E5FFFF"/>
            </w:tcBorders>
            <w:shd w:val="clear" w:color="auto" w:fill="E5FFFF"/>
          </w:tcPr>
          <w:p>
            <w:pPr>
              <w:ind w:left="20"/>
              <w:spacing w:after="0" w:line="196" w:lineRule="exact"/>
              <w:rPr>
                <w:sz w:val="20"/>
                <w:szCs w:val="20"/>
                <w:color w:val="auto"/>
              </w:rPr>
            </w:pPr>
            <w:r>
              <w:rPr>
                <w:rFonts w:ascii="Arial" w:cs="Arial" w:eastAsia="Arial" w:hAnsi="Arial"/>
                <w:sz w:val="18"/>
                <w:szCs w:val="18"/>
                <w:color w:val="auto"/>
              </w:rPr>
              <w:t>December 31, 2015</w:t>
            </w:r>
          </w:p>
        </w:tc>
        <w:tc>
          <w:tcPr>
            <w:tcW w:w="176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329</w:t>
            </w:r>
          </w:p>
        </w:tc>
        <w:tc>
          <w:tcPr>
            <w:tcW w:w="2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34"/>
              <w:spacing w:after="0" w:line="196" w:lineRule="exact"/>
              <w:rPr>
                <w:sz w:val="20"/>
                <w:szCs w:val="20"/>
                <w:color w:val="auto"/>
              </w:rPr>
            </w:pPr>
            <w:r>
              <w:rPr>
                <w:rFonts w:ascii="Arial" w:cs="Arial" w:eastAsia="Arial" w:hAnsi="Arial"/>
                <w:sz w:val="18"/>
                <w:szCs w:val="18"/>
                <w:color w:val="auto"/>
              </w:rPr>
              <w:t>21</w:t>
            </w:r>
          </w:p>
        </w:tc>
        <w:tc>
          <w:tcPr>
            <w:tcW w:w="20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350</w:t>
            </w: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Charges</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253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336</w:t>
            </w:r>
          </w:p>
        </w:tc>
      </w:tr>
      <w:tr>
        <w:trPr>
          <w:trHeight w:val="203"/>
        </w:trPr>
        <w:tc>
          <w:tcPr>
            <w:tcW w:w="41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Usage - cash</w:t>
            </w:r>
          </w:p>
        </w:tc>
        <w:tc>
          <w:tcPr>
            <w:tcW w:w="17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(135)</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w:t>
            </w:r>
          </w:p>
        </w:tc>
        <w:tc>
          <w:tcPr>
            <w:tcW w:w="2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(143)</w:t>
            </w:r>
          </w:p>
        </w:tc>
      </w:tr>
      <w:tr>
        <w:trPr>
          <w:trHeight w:val="203"/>
        </w:trPr>
        <w:tc>
          <w:tcPr>
            <w:tcW w:w="4160" w:type="dxa"/>
            <w:vAlign w:val="bottom"/>
          </w:tcPr>
          <w:p>
            <w:pPr>
              <w:ind w:left="180"/>
              <w:spacing w:after="0" w:line="202" w:lineRule="exact"/>
              <w:rPr>
                <w:sz w:val="20"/>
                <w:szCs w:val="20"/>
                <w:color w:val="auto"/>
              </w:rPr>
            </w:pPr>
            <w:r>
              <w:rPr>
                <w:rFonts w:ascii="Arial" w:cs="Arial" w:eastAsia="Arial" w:hAnsi="Arial"/>
                <w:sz w:val="18"/>
                <w:szCs w:val="18"/>
                <w:color w:val="auto"/>
              </w:rPr>
              <w:t>Usage - noncash</w:t>
            </w: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r>
      <w:tr>
        <w:trPr>
          <w:trHeight w:val="203"/>
        </w:trPr>
        <w:tc>
          <w:tcPr>
            <w:tcW w:w="41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7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7</w:t>
            </w:r>
          </w:p>
        </w:tc>
      </w:tr>
      <w:tr>
        <w:trPr>
          <w:trHeight w:val="216"/>
        </w:trPr>
        <w:tc>
          <w:tcPr>
            <w:tcW w:w="416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Adjustments</w:t>
            </w:r>
          </w:p>
        </w:tc>
        <w:tc>
          <w:tcPr>
            <w:tcW w:w="176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4160" w:type="dxa"/>
            <w:vAlign w:val="bottom"/>
            <w:shd w:val="clear" w:color="auto" w:fill="E5FFFF"/>
          </w:tcPr>
          <w:p>
            <w:pPr>
              <w:ind w:left="20"/>
              <w:spacing w:after="0"/>
              <w:rPr>
                <w:sz w:val="20"/>
                <w:szCs w:val="20"/>
                <w:color w:val="auto"/>
              </w:rPr>
            </w:pPr>
            <w:r>
              <w:rPr>
                <w:rFonts w:ascii="Arial" w:cs="Arial" w:eastAsia="Arial" w:hAnsi="Arial"/>
                <w:sz w:val="18"/>
                <w:szCs w:val="18"/>
                <w:color w:val="auto"/>
              </w:rPr>
              <w:t>September 30, 2016</w:t>
            </w:r>
          </w:p>
        </w:tc>
        <w:tc>
          <w:tcPr>
            <w:tcW w:w="19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E5FFFF"/>
          </w:tcPr>
          <w:p>
            <w:pPr>
              <w:spacing w:after="0"/>
              <w:rPr>
                <w:sz w:val="20"/>
                <w:szCs w:val="20"/>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5FF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34"/>
              <w:spacing w:after="0"/>
              <w:rPr>
                <w:sz w:val="20"/>
                <w:szCs w:val="20"/>
                <w:color w:val="auto"/>
              </w:rPr>
            </w:pPr>
            <w:r>
              <w:rPr>
                <w:rFonts w:ascii="Arial" w:cs="Arial" w:eastAsia="Arial" w:hAnsi="Arial"/>
                <w:sz w:val="18"/>
                <w:szCs w:val="18"/>
                <w:color w:val="auto"/>
              </w:rPr>
              <w:t>53</w:t>
            </w:r>
          </w:p>
        </w:tc>
        <w:tc>
          <w:tcPr>
            <w:tcW w:w="200" w:type="dxa"/>
            <w:vAlign w:val="bottom"/>
            <w:shd w:val="clear" w:color="auto" w:fill="E5FFFF"/>
          </w:tcPr>
          <w:p>
            <w:pPr>
              <w:spacing w:after="0"/>
              <w:rPr>
                <w:sz w:val="20"/>
                <w:szCs w:val="20"/>
                <w:color w:val="auto"/>
              </w:rPr>
            </w:pPr>
          </w:p>
        </w:tc>
        <w:tc>
          <w:tcPr>
            <w:tcW w:w="240" w:type="dxa"/>
            <w:vAlign w:val="bottom"/>
            <w:shd w:val="clear" w:color="auto" w:fill="E5FF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410</w:t>
            </w:r>
          </w:p>
        </w:tc>
      </w:tr>
      <w:tr>
        <w:trPr>
          <w:trHeight w:val="20"/>
        </w:trPr>
        <w:tc>
          <w:tcPr>
            <w:tcW w:w="4160" w:type="dxa"/>
            <w:vAlign w:val="bottom"/>
            <w:tcBorders>
              <w:top w:val="single" w:sz="8" w:color="E5FFFF"/>
            </w:tcBorders>
          </w:tcPr>
          <w:p>
            <w:pPr>
              <w:spacing w:after="0" w:line="20" w:lineRule="exact"/>
              <w:rPr>
                <w:sz w:val="1"/>
                <w:szCs w:val="1"/>
                <w:color w:val="auto"/>
              </w:rPr>
            </w:pPr>
          </w:p>
        </w:tc>
        <w:tc>
          <w:tcPr>
            <w:tcW w:w="17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Certain repositioning projects in 2016 and 2015 included exit or disposal activities, the costs related to which will be recognized in future periods when the actual liability is incurred. Such exit and disposal costs are not expected to be significant.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4"/>
          </w:tcPr>
          <w:p>
            <w:pPr>
              <w:jc w:val="center"/>
              <w:ind w:right="19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6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Basic</w:t>
            </w: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18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3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0"/>
        </w:trPr>
        <w:tc>
          <w:tcPr>
            <w:tcW w:w="380" w:type="dxa"/>
            <w:vAlign w:val="bottom"/>
            <w:tcBorders>
              <w:bottom w:val="single" w:sz="8" w:color="E5FFFF"/>
            </w:tcBorders>
            <w:shd w:val="clear" w:color="auto" w:fill="000000"/>
          </w:tcPr>
          <w:p>
            <w:pPr>
              <w:spacing w:after="0" w:line="20" w:lineRule="exact"/>
              <w:rPr>
                <w:sz w:val="1"/>
                <w:szCs w:val="1"/>
                <w:color w:val="auto"/>
              </w:rPr>
            </w:pPr>
          </w:p>
        </w:tc>
        <w:tc>
          <w:tcPr>
            <w:tcW w:w="700" w:type="dxa"/>
            <w:vAlign w:val="bottom"/>
            <w:tcBorders>
              <w:bottom w:val="single" w:sz="8" w:color="E5FFFF"/>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490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5FF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80" w:type="dxa"/>
            <w:vAlign w:val="bottom"/>
            <w:gridSpan w:val="4"/>
            <w:shd w:val="clear" w:color="auto" w:fill="E5FFFF"/>
          </w:tcPr>
          <w:p>
            <w:pPr>
              <w:ind w:left="40"/>
              <w:spacing w:after="0" w:line="189" w:lineRule="exact"/>
              <w:rPr>
                <w:sz w:val="20"/>
                <w:szCs w:val="20"/>
                <w:color w:val="auto"/>
              </w:rPr>
            </w:pPr>
            <w:r>
              <w:rPr>
                <w:rFonts w:ascii="Arial" w:cs="Arial" w:eastAsia="Arial" w:hAnsi="Arial"/>
                <w:sz w:val="18"/>
                <w:szCs w:val="18"/>
                <w:color w:val="auto"/>
              </w:rPr>
              <w:t>Net income attributable to Honeywell</w:t>
            </w:r>
          </w:p>
        </w:tc>
        <w:tc>
          <w:tcPr>
            <w:tcW w:w="260" w:type="dxa"/>
            <w:vAlign w:val="bottom"/>
            <w:shd w:val="clear" w:color="auto" w:fill="E5FF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8"/>
              <w:spacing w:after="0" w:line="189" w:lineRule="exact"/>
              <w:rPr>
                <w:sz w:val="20"/>
                <w:szCs w:val="20"/>
                <w:color w:val="auto"/>
              </w:rPr>
            </w:pPr>
            <w:r>
              <w:rPr>
                <w:rFonts w:ascii="Arial" w:cs="Arial" w:eastAsia="Arial" w:hAnsi="Arial"/>
                <w:sz w:val="18"/>
                <w:szCs w:val="18"/>
                <w:color w:val="auto"/>
              </w:rPr>
              <w:t>1,240</w:t>
            </w:r>
          </w:p>
        </w:tc>
        <w:tc>
          <w:tcPr>
            <w:tcW w:w="240" w:type="dxa"/>
            <w:vAlign w:val="bottom"/>
            <w:shd w:val="clear" w:color="auto" w:fill="E5FFFF"/>
          </w:tcPr>
          <w:p>
            <w:pPr>
              <w:spacing w:after="0"/>
              <w:rPr>
                <w:sz w:val="16"/>
                <w:szCs w:val="16"/>
                <w:color w:val="auto"/>
              </w:rPr>
            </w:pPr>
          </w:p>
        </w:tc>
        <w:tc>
          <w:tcPr>
            <w:tcW w:w="380" w:type="dxa"/>
            <w:vAlign w:val="bottom"/>
            <w:shd w:val="clear" w:color="auto" w:fill="E5FFFF"/>
          </w:tcPr>
          <w:p>
            <w:pPr>
              <w:jc w:val="right"/>
              <w:ind w:right="19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34"/>
              <w:spacing w:after="0" w:line="189" w:lineRule="exact"/>
              <w:rPr>
                <w:sz w:val="20"/>
                <w:szCs w:val="20"/>
                <w:color w:val="auto"/>
              </w:rPr>
            </w:pPr>
            <w:r>
              <w:rPr>
                <w:rFonts w:ascii="Arial" w:cs="Arial" w:eastAsia="Arial" w:hAnsi="Arial"/>
                <w:sz w:val="18"/>
                <w:szCs w:val="18"/>
                <w:color w:val="auto"/>
              </w:rPr>
              <w:t>1,264</w:t>
            </w:r>
          </w:p>
        </w:tc>
        <w:tc>
          <w:tcPr>
            <w:tcW w:w="220" w:type="dxa"/>
            <w:vAlign w:val="bottom"/>
            <w:shd w:val="clear" w:color="auto" w:fill="E5FFFF"/>
          </w:tcPr>
          <w:p>
            <w:pPr>
              <w:spacing w:after="0"/>
              <w:rPr>
                <w:sz w:val="16"/>
                <w:szCs w:val="16"/>
                <w:color w:val="auto"/>
              </w:rPr>
            </w:pPr>
          </w:p>
        </w:tc>
        <w:tc>
          <w:tcPr>
            <w:tcW w:w="260" w:type="dxa"/>
            <w:vAlign w:val="bottom"/>
            <w:shd w:val="clear" w:color="auto" w:fill="E5FF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E5FFFF"/>
          </w:tcPr>
          <w:p>
            <w:pPr>
              <w:jc w:val="right"/>
              <w:ind w:right="18"/>
              <w:spacing w:after="0" w:line="189" w:lineRule="exact"/>
              <w:rPr>
                <w:sz w:val="20"/>
                <w:szCs w:val="20"/>
                <w:color w:val="auto"/>
              </w:rPr>
            </w:pPr>
            <w:r>
              <w:rPr>
                <w:rFonts w:ascii="Arial" w:cs="Arial" w:eastAsia="Arial" w:hAnsi="Arial"/>
                <w:sz w:val="18"/>
                <w:szCs w:val="18"/>
                <w:color w:val="auto"/>
              </w:rPr>
              <w:t>3,775</w:t>
            </w:r>
          </w:p>
        </w:tc>
        <w:tc>
          <w:tcPr>
            <w:tcW w:w="220" w:type="dxa"/>
            <w:vAlign w:val="bottom"/>
            <w:shd w:val="clear" w:color="auto" w:fill="E5FFFF"/>
          </w:tcPr>
          <w:p>
            <w:pPr>
              <w:spacing w:after="0"/>
              <w:rPr>
                <w:sz w:val="16"/>
                <w:szCs w:val="16"/>
                <w:color w:val="auto"/>
              </w:rPr>
            </w:pPr>
          </w:p>
        </w:tc>
        <w:tc>
          <w:tcPr>
            <w:tcW w:w="400" w:type="dxa"/>
            <w:vAlign w:val="bottom"/>
            <w:shd w:val="clear" w:color="auto" w:fill="E5FFFF"/>
          </w:tcPr>
          <w:p>
            <w:pPr>
              <w:jc w:val="right"/>
              <w:ind w:right="210"/>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419"/>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4"/>
                <w:szCs w:val="24"/>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763.7</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780.4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765.0</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782.5</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80" w:type="dxa"/>
            <w:vAlign w:val="bottom"/>
            <w:gridSpan w:val="4"/>
            <w:shd w:val="clear" w:color="auto" w:fill="E5FFFF"/>
          </w:tcPr>
          <w:p>
            <w:pPr>
              <w:ind w:left="40"/>
              <w:spacing w:after="0" w:line="202" w:lineRule="exact"/>
              <w:rPr>
                <w:sz w:val="20"/>
                <w:szCs w:val="20"/>
                <w:color w:val="auto"/>
              </w:rPr>
            </w:pPr>
            <w:r>
              <w:rPr>
                <w:rFonts w:ascii="Arial" w:cs="Arial" w:eastAsia="Arial" w:hAnsi="Arial"/>
                <w:sz w:val="18"/>
                <w:szCs w:val="18"/>
                <w:color w:val="auto"/>
              </w:rPr>
              <w:t>Earnings per share of common stock</w:t>
            </w:r>
          </w:p>
        </w:tc>
        <w:tc>
          <w:tcPr>
            <w:tcW w:w="260" w:type="dxa"/>
            <w:vAlign w:val="bottom"/>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1.62</w:t>
            </w:r>
          </w:p>
        </w:tc>
        <w:tc>
          <w:tcPr>
            <w:tcW w:w="240" w:type="dxa"/>
            <w:vAlign w:val="bottom"/>
            <w:shd w:val="clear" w:color="auto" w:fill="E5FFFF"/>
          </w:tcPr>
          <w:p>
            <w:pPr>
              <w:spacing w:after="0"/>
              <w:rPr>
                <w:sz w:val="17"/>
                <w:szCs w:val="17"/>
                <w:color w:val="auto"/>
              </w:rPr>
            </w:pPr>
          </w:p>
        </w:tc>
        <w:tc>
          <w:tcPr>
            <w:tcW w:w="380" w:type="dxa"/>
            <w:vAlign w:val="bottom"/>
            <w:shd w:val="clear" w:color="auto" w:fill="E5FF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1.62</w:t>
            </w:r>
          </w:p>
        </w:tc>
        <w:tc>
          <w:tcPr>
            <w:tcW w:w="480" w:type="dxa"/>
            <w:vAlign w:val="bottom"/>
            <w:gridSpan w:val="2"/>
            <w:shd w:val="clear" w:color="auto" w:fill="E5FF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5FFFF"/>
          </w:tcPr>
          <w:p>
            <w:pPr>
              <w:jc w:val="right"/>
              <w:ind w:right="18"/>
              <w:spacing w:after="0" w:line="202" w:lineRule="exact"/>
              <w:rPr>
                <w:sz w:val="20"/>
                <w:szCs w:val="20"/>
                <w:color w:val="auto"/>
              </w:rPr>
            </w:pPr>
            <w:r>
              <w:rPr>
                <w:rFonts w:ascii="Arial" w:cs="Arial" w:eastAsia="Arial" w:hAnsi="Arial"/>
                <w:sz w:val="18"/>
                <w:szCs w:val="18"/>
                <w:color w:val="auto"/>
              </w:rPr>
              <w:t>4.93</w:t>
            </w:r>
          </w:p>
        </w:tc>
        <w:tc>
          <w:tcPr>
            <w:tcW w:w="620" w:type="dxa"/>
            <w:vAlign w:val="bottom"/>
            <w:gridSpan w:val="2"/>
            <w:shd w:val="clear" w:color="auto" w:fill="E5FF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434"/>
        </w:trPr>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4"/>
          </w:tcPr>
          <w:p>
            <w:pPr>
              <w:jc w:val="center"/>
              <w:ind w:right="19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Assuming Dilution</w:t>
            </w:r>
          </w:p>
        </w:tc>
        <w:tc>
          <w:tcPr>
            <w:tcW w:w="4900" w:type="dxa"/>
            <w:vAlign w:val="bottom"/>
            <w:vMerge w:val="restart"/>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tcBorders>
              <w:bottom w:val="single" w:sz="8" w:color="auto"/>
            </w:tcBorders>
            <w:gridSpan w:val="3"/>
            <w:vMerge w:val="continue"/>
          </w:tcPr>
          <w:p>
            <w:pPr>
              <w:spacing w:after="0"/>
              <w:rPr>
                <w:sz w:val="15"/>
                <w:szCs w:val="15"/>
                <w:color w:val="auto"/>
              </w:rPr>
            </w:pPr>
          </w:p>
        </w:tc>
        <w:tc>
          <w:tcPr>
            <w:tcW w:w="49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3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1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190"/>
        </w:trPr>
        <w:tc>
          <w:tcPr>
            <w:tcW w:w="6180" w:type="dxa"/>
            <w:vAlign w:val="bottom"/>
            <w:tcBorders>
              <w:top w:val="single" w:sz="8" w:color="E5FFFF"/>
            </w:tcBorders>
            <w:gridSpan w:val="4"/>
            <w:shd w:val="clear" w:color="auto" w:fill="E5FFFF"/>
          </w:tcPr>
          <w:p>
            <w:pPr>
              <w:spacing w:after="0" w:line="189" w:lineRule="exact"/>
              <w:rPr>
                <w:sz w:val="20"/>
                <w:szCs w:val="20"/>
                <w:color w:val="auto"/>
              </w:rPr>
            </w:pPr>
            <w:r>
              <w:rPr>
                <w:rFonts w:ascii="Arial" w:cs="Arial" w:eastAsia="Arial" w:hAnsi="Arial"/>
                <w:sz w:val="18"/>
                <w:szCs w:val="18"/>
                <w:color w:val="auto"/>
              </w:rPr>
              <w:t>Net income attributable to Honeywell</w:t>
            </w:r>
          </w:p>
        </w:tc>
        <w:tc>
          <w:tcPr>
            <w:tcW w:w="260" w:type="dxa"/>
            <w:vAlign w:val="bottom"/>
            <w:tcBorders>
              <w:top w:val="single" w:sz="8" w:color="auto"/>
            </w:tcBorders>
            <w:shd w:val="clear" w:color="auto" w:fill="E5FF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E5FFFF"/>
          </w:tcPr>
          <w:p>
            <w:pPr>
              <w:jc w:val="right"/>
              <w:ind w:right="38"/>
              <w:spacing w:after="0" w:line="189" w:lineRule="exact"/>
              <w:rPr>
                <w:sz w:val="20"/>
                <w:szCs w:val="20"/>
                <w:color w:val="auto"/>
              </w:rPr>
            </w:pPr>
            <w:r>
              <w:rPr>
                <w:rFonts w:ascii="Arial" w:cs="Arial" w:eastAsia="Arial" w:hAnsi="Arial"/>
                <w:sz w:val="18"/>
                <w:szCs w:val="18"/>
                <w:color w:val="auto"/>
              </w:rPr>
              <w:t>1,240</w:t>
            </w:r>
          </w:p>
        </w:tc>
        <w:tc>
          <w:tcPr>
            <w:tcW w:w="240" w:type="dxa"/>
            <w:vAlign w:val="bottom"/>
            <w:tcBorders>
              <w:top w:val="single" w:sz="8" w:color="E5FFFF"/>
            </w:tcBorders>
            <w:shd w:val="clear" w:color="auto" w:fill="E5FFFF"/>
          </w:tcPr>
          <w:p>
            <w:pPr>
              <w:spacing w:after="0"/>
              <w:rPr>
                <w:sz w:val="16"/>
                <w:szCs w:val="16"/>
                <w:color w:val="auto"/>
              </w:rPr>
            </w:pPr>
          </w:p>
        </w:tc>
        <w:tc>
          <w:tcPr>
            <w:tcW w:w="380" w:type="dxa"/>
            <w:vAlign w:val="bottom"/>
            <w:tcBorders>
              <w:top w:val="single" w:sz="8" w:color="auto"/>
            </w:tcBorders>
            <w:shd w:val="clear" w:color="auto" w:fill="E5FFFF"/>
          </w:tcPr>
          <w:p>
            <w:pPr>
              <w:jc w:val="right"/>
              <w:ind w:right="19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5FFFF"/>
          </w:tcPr>
          <w:p>
            <w:pPr>
              <w:jc w:val="right"/>
              <w:ind w:right="34"/>
              <w:spacing w:after="0" w:line="189" w:lineRule="exact"/>
              <w:rPr>
                <w:sz w:val="20"/>
                <w:szCs w:val="20"/>
                <w:color w:val="auto"/>
              </w:rPr>
            </w:pPr>
            <w:r>
              <w:rPr>
                <w:rFonts w:ascii="Arial" w:cs="Arial" w:eastAsia="Arial" w:hAnsi="Arial"/>
                <w:sz w:val="18"/>
                <w:szCs w:val="18"/>
                <w:color w:val="auto"/>
              </w:rPr>
              <w:t>1,264</w:t>
            </w:r>
          </w:p>
        </w:tc>
        <w:tc>
          <w:tcPr>
            <w:tcW w:w="220" w:type="dxa"/>
            <w:vAlign w:val="bottom"/>
            <w:tcBorders>
              <w:top w:val="single" w:sz="8" w:color="E5FFFF"/>
            </w:tcBorders>
            <w:shd w:val="clear" w:color="auto" w:fill="E5FFFF"/>
          </w:tcPr>
          <w:p>
            <w:pPr>
              <w:spacing w:after="0"/>
              <w:rPr>
                <w:sz w:val="16"/>
                <w:szCs w:val="16"/>
                <w:color w:val="auto"/>
              </w:rPr>
            </w:pPr>
          </w:p>
        </w:tc>
        <w:tc>
          <w:tcPr>
            <w:tcW w:w="260" w:type="dxa"/>
            <w:vAlign w:val="bottom"/>
            <w:tcBorders>
              <w:top w:val="single" w:sz="8" w:color="auto"/>
            </w:tcBorders>
            <w:shd w:val="clear" w:color="auto" w:fill="E5FF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E5FFFF"/>
          </w:tcPr>
          <w:p>
            <w:pPr>
              <w:jc w:val="right"/>
              <w:ind w:right="18"/>
              <w:spacing w:after="0" w:line="189" w:lineRule="exact"/>
              <w:rPr>
                <w:sz w:val="20"/>
                <w:szCs w:val="20"/>
                <w:color w:val="auto"/>
              </w:rPr>
            </w:pPr>
            <w:r>
              <w:rPr>
                <w:rFonts w:ascii="Arial" w:cs="Arial" w:eastAsia="Arial" w:hAnsi="Arial"/>
                <w:sz w:val="18"/>
                <w:szCs w:val="18"/>
                <w:color w:val="auto"/>
              </w:rPr>
              <w:t>3,775</w:t>
            </w:r>
          </w:p>
        </w:tc>
        <w:tc>
          <w:tcPr>
            <w:tcW w:w="220" w:type="dxa"/>
            <w:vAlign w:val="bottom"/>
            <w:tcBorders>
              <w:top w:val="single" w:sz="8" w:color="E5FFFF"/>
            </w:tcBorders>
            <w:shd w:val="clear" w:color="auto" w:fill="E5FFFF"/>
          </w:tcPr>
          <w:p>
            <w:pPr>
              <w:spacing w:after="0"/>
              <w:rPr>
                <w:sz w:val="16"/>
                <w:szCs w:val="16"/>
                <w:color w:val="auto"/>
              </w:rPr>
            </w:pPr>
          </w:p>
        </w:tc>
        <w:tc>
          <w:tcPr>
            <w:tcW w:w="400" w:type="dxa"/>
            <w:vAlign w:val="bottom"/>
            <w:tcBorders>
              <w:top w:val="single" w:sz="8" w:color="auto"/>
            </w:tcBorders>
            <w:shd w:val="clear" w:color="auto" w:fill="E5FFFF"/>
          </w:tcPr>
          <w:p>
            <w:pPr>
              <w:jc w:val="right"/>
              <w:ind w:right="210"/>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5FFFF"/>
          </w:tcPr>
          <w:p>
            <w:pPr>
              <w:jc w:val="right"/>
              <w:ind w:right="14"/>
              <w:spacing w:after="0" w:line="189" w:lineRule="exact"/>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432"/>
        </w:trPr>
        <w:tc>
          <w:tcPr>
            <w:tcW w:w="6180" w:type="dxa"/>
            <w:vAlign w:val="bottom"/>
            <w:gridSpan w:val="4"/>
          </w:tcPr>
          <w:p>
            <w:pPr>
              <w:spacing w:after="0"/>
              <w:rPr>
                <w:sz w:val="20"/>
                <w:szCs w:val="20"/>
                <w:color w:val="auto"/>
              </w:rPr>
            </w:pPr>
            <w:r>
              <w:rPr>
                <w:rFonts w:ascii="Arial" w:cs="Arial" w:eastAsia="Arial" w:hAnsi="Arial"/>
                <w:sz w:val="14"/>
                <w:szCs w:val="14"/>
                <w:b w:val="1"/>
                <w:bCs w:val="1"/>
                <w:color w:val="auto"/>
              </w:rPr>
              <w:t>Average Shares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5100" w:type="dxa"/>
            <w:vAlign w:val="bottom"/>
            <w:gridSpan w:val="2"/>
            <w:shd w:val="clear" w:color="auto" w:fill="E5FFFF"/>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900" w:type="dxa"/>
            <w:vAlign w:val="bottom"/>
            <w:vMerge w:val="restart"/>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763.7</w:t>
            </w:r>
          </w:p>
        </w:tc>
        <w:tc>
          <w:tcPr>
            <w:tcW w:w="240" w:type="dxa"/>
            <w:vAlign w:val="bottom"/>
            <w:shd w:val="clear" w:color="auto" w:fill="E5FFFF"/>
          </w:tcPr>
          <w:p>
            <w:pPr>
              <w:spacing w:after="0" w:line="20" w:lineRule="exact"/>
              <w:rPr>
                <w:sz w:val="1"/>
                <w:szCs w:val="1"/>
                <w:color w:val="auto"/>
              </w:rPr>
            </w:pPr>
          </w:p>
        </w:tc>
        <w:tc>
          <w:tcPr>
            <w:tcW w:w="380" w:type="dxa"/>
            <w:vAlign w:val="bottom"/>
            <w:shd w:val="clear" w:color="auto" w:fill="E5FFFF"/>
          </w:tcPr>
          <w:p>
            <w:pPr>
              <w:spacing w:after="0" w:line="20" w:lineRule="exact"/>
              <w:rPr>
                <w:sz w:val="1"/>
                <w:szCs w:val="1"/>
                <w:color w:val="auto"/>
              </w:rPr>
            </w:pPr>
          </w:p>
        </w:tc>
        <w:tc>
          <w:tcPr>
            <w:tcW w:w="780" w:type="dxa"/>
            <w:vAlign w:val="bottom"/>
            <w:vMerge w:val="restart"/>
            <w:shd w:val="clear" w:color="auto" w:fill="E5FFFF"/>
          </w:tcPr>
          <w:p>
            <w:pPr>
              <w:jc w:val="right"/>
              <w:ind w:right="34"/>
              <w:spacing w:after="0" w:line="202" w:lineRule="exact"/>
              <w:rPr>
                <w:sz w:val="20"/>
                <w:szCs w:val="20"/>
                <w:color w:val="auto"/>
              </w:rPr>
            </w:pPr>
            <w:r>
              <w:rPr>
                <w:rFonts w:ascii="Arial" w:cs="Arial" w:eastAsia="Arial" w:hAnsi="Arial"/>
                <w:sz w:val="18"/>
                <w:szCs w:val="18"/>
                <w:color w:val="auto"/>
              </w:rPr>
              <w:t>780.4</w:t>
            </w:r>
          </w:p>
        </w:tc>
        <w:tc>
          <w:tcPr>
            <w:tcW w:w="220" w:type="dxa"/>
            <w:vAlign w:val="bottom"/>
            <w:shd w:val="clear" w:color="auto" w:fill="E5FFFF"/>
          </w:tcPr>
          <w:p>
            <w:pPr>
              <w:spacing w:after="0" w:line="20" w:lineRule="exact"/>
              <w:rPr>
                <w:sz w:val="1"/>
                <w:szCs w:val="1"/>
                <w:color w:val="auto"/>
              </w:rPr>
            </w:pPr>
          </w:p>
        </w:tc>
        <w:tc>
          <w:tcPr>
            <w:tcW w:w="260" w:type="dxa"/>
            <w:vAlign w:val="bottom"/>
            <w:shd w:val="clear" w:color="auto" w:fill="E5FFFF"/>
          </w:tcPr>
          <w:p>
            <w:pPr>
              <w:spacing w:after="0" w:line="20" w:lineRule="exact"/>
              <w:rPr>
                <w:sz w:val="1"/>
                <w:szCs w:val="1"/>
                <w:color w:val="auto"/>
              </w:rPr>
            </w:pPr>
          </w:p>
        </w:tc>
        <w:tc>
          <w:tcPr>
            <w:tcW w:w="860" w:type="dxa"/>
            <w:vAlign w:val="bottom"/>
            <w:vMerge w:val="restart"/>
            <w:shd w:val="clear" w:color="auto" w:fill="E5FFFF"/>
          </w:tcPr>
          <w:p>
            <w:pPr>
              <w:jc w:val="right"/>
              <w:ind w:right="18"/>
              <w:spacing w:after="0" w:line="202" w:lineRule="exact"/>
              <w:rPr>
                <w:sz w:val="20"/>
                <w:szCs w:val="20"/>
                <w:color w:val="auto"/>
              </w:rPr>
            </w:pPr>
            <w:r>
              <w:rPr>
                <w:rFonts w:ascii="Arial" w:cs="Arial" w:eastAsia="Arial" w:hAnsi="Arial"/>
                <w:sz w:val="18"/>
                <w:szCs w:val="18"/>
                <w:color w:val="auto"/>
              </w:rPr>
              <w:t>765.0</w:t>
            </w:r>
          </w:p>
        </w:tc>
        <w:tc>
          <w:tcPr>
            <w:tcW w:w="220" w:type="dxa"/>
            <w:vAlign w:val="bottom"/>
            <w:shd w:val="clear" w:color="auto" w:fill="E5FFFF"/>
          </w:tcPr>
          <w:p>
            <w:pPr>
              <w:spacing w:after="0" w:line="20" w:lineRule="exact"/>
              <w:rPr>
                <w:sz w:val="1"/>
                <w:szCs w:val="1"/>
                <w:color w:val="auto"/>
              </w:rPr>
            </w:pPr>
          </w:p>
        </w:tc>
        <w:tc>
          <w:tcPr>
            <w:tcW w:w="400" w:type="dxa"/>
            <w:vAlign w:val="bottom"/>
            <w:shd w:val="clear" w:color="auto" w:fill="E5FFFF"/>
          </w:tcPr>
          <w:p>
            <w:pPr>
              <w:spacing w:after="0" w:line="20" w:lineRule="exact"/>
              <w:rPr>
                <w:sz w:val="1"/>
                <w:szCs w:val="1"/>
                <w:color w:val="auto"/>
              </w:rPr>
            </w:pPr>
          </w:p>
        </w:tc>
        <w:tc>
          <w:tcPr>
            <w:tcW w:w="720" w:type="dxa"/>
            <w:vAlign w:val="bottom"/>
            <w:vMerge w:val="restart"/>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782.5</w:t>
            </w:r>
          </w:p>
        </w:tc>
        <w:tc>
          <w:tcPr>
            <w:tcW w:w="0" w:type="dxa"/>
            <w:vAlign w:val="bottom"/>
          </w:tcPr>
          <w:p>
            <w:pPr>
              <w:spacing w:after="0" w:line="20" w:lineRule="exact"/>
              <w:rPr>
                <w:sz w:val="1"/>
                <w:szCs w:val="1"/>
                <w:color w:val="auto"/>
              </w:rPr>
            </w:pPr>
          </w:p>
        </w:tc>
      </w:tr>
      <w:tr>
        <w:trPr>
          <w:trHeight w:val="183"/>
        </w:trPr>
        <w:tc>
          <w:tcPr>
            <w:tcW w:w="6180" w:type="dxa"/>
            <w:vAlign w:val="bottom"/>
            <w:gridSpan w:val="4"/>
            <w:shd w:val="clear" w:color="auto" w:fill="E5FFFF"/>
          </w:tcPr>
          <w:p>
            <w:pPr>
              <w:spacing w:after="0" w:line="182" w:lineRule="exact"/>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E5FFFF"/>
          </w:tcPr>
          <w:p>
            <w:pPr>
              <w:spacing w:after="0"/>
              <w:rPr>
                <w:sz w:val="15"/>
                <w:szCs w:val="15"/>
                <w:color w:val="auto"/>
              </w:rPr>
            </w:pPr>
          </w:p>
        </w:tc>
        <w:tc>
          <w:tcPr>
            <w:tcW w:w="900" w:type="dxa"/>
            <w:vAlign w:val="bottom"/>
            <w:vMerge w:val="continue"/>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380" w:type="dxa"/>
            <w:vAlign w:val="bottom"/>
            <w:shd w:val="clear" w:color="auto" w:fill="E5FFFF"/>
          </w:tcPr>
          <w:p>
            <w:pPr>
              <w:spacing w:after="0"/>
              <w:rPr>
                <w:sz w:val="15"/>
                <w:szCs w:val="15"/>
                <w:color w:val="auto"/>
              </w:rPr>
            </w:pPr>
          </w:p>
        </w:tc>
        <w:tc>
          <w:tcPr>
            <w:tcW w:w="780" w:type="dxa"/>
            <w:vAlign w:val="bottom"/>
            <w:vMerge w:val="continue"/>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860" w:type="dxa"/>
            <w:vAlign w:val="bottom"/>
            <w:vMerge w:val="continue"/>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400" w:type="dxa"/>
            <w:vAlign w:val="bottom"/>
            <w:shd w:val="clear" w:color="auto" w:fill="E5FFFF"/>
          </w:tcPr>
          <w:p>
            <w:pPr>
              <w:spacing w:after="0"/>
              <w:rPr>
                <w:sz w:val="15"/>
                <w:szCs w:val="15"/>
                <w:color w:val="auto"/>
              </w:rPr>
            </w:pPr>
          </w:p>
        </w:tc>
        <w:tc>
          <w:tcPr>
            <w:tcW w:w="720" w:type="dxa"/>
            <w:vAlign w:val="bottom"/>
            <w:vMerge w:val="continue"/>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E5FFFF"/>
            </w:tcBorders>
            <w:gridSpan w:val="4"/>
          </w:tcPr>
          <w:p>
            <w:pPr>
              <w:spacing w:after="0"/>
              <w:rPr>
                <w:sz w:val="20"/>
                <w:szCs w:val="20"/>
                <w:color w:val="auto"/>
              </w:rPr>
            </w:pPr>
            <w:r>
              <w:rPr>
                <w:rFonts w:ascii="Arial" w:cs="Arial" w:eastAsia="Arial" w:hAnsi="Arial"/>
                <w:sz w:val="18"/>
                <w:szCs w:val="18"/>
                <w:color w:val="auto"/>
              </w:rPr>
              <w:t>Dilutive securities issuable - stock plans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10.7</w:t>
            </w:r>
          </w:p>
        </w:tc>
        <w:tc>
          <w:tcPr>
            <w:tcW w:w="240" w:type="dxa"/>
            <w:vAlign w:val="bottom"/>
            <w:tcBorders>
              <w:bottom w:val="single" w:sz="8" w:color="E5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E5FF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E5FF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6180" w:type="dxa"/>
            <w:vAlign w:val="bottom"/>
            <w:tcBorders>
              <w:bottom w:val="single" w:sz="8" w:color="E5FFFF"/>
            </w:tcBorders>
            <w:gridSpan w:val="4"/>
            <w:shd w:val="clear" w:color="auto" w:fill="E5FFFF"/>
          </w:tcPr>
          <w:p>
            <w:pPr>
              <w:spacing w:after="0"/>
              <w:rPr>
                <w:sz w:val="20"/>
                <w:szCs w:val="20"/>
                <w:color w:val="auto"/>
              </w:rPr>
            </w:pPr>
            <w:r>
              <w:rPr>
                <w:rFonts w:ascii="Arial" w:cs="Arial" w:eastAsia="Arial" w:hAnsi="Arial"/>
                <w:sz w:val="18"/>
                <w:szCs w:val="18"/>
                <w:color w:val="auto"/>
              </w:rPr>
              <w:t>Total weighted average shares outstanding</w:t>
            </w:r>
          </w:p>
        </w:tc>
        <w:tc>
          <w:tcPr>
            <w:tcW w:w="260" w:type="dxa"/>
            <w:vAlign w:val="bottom"/>
            <w:tcBorders>
              <w:bottom w:val="single" w:sz="8" w:color="auto"/>
            </w:tcBorders>
            <w:shd w:val="clear" w:color="auto" w:fill="E5FFFF"/>
          </w:tcPr>
          <w:p>
            <w:pPr>
              <w:spacing w:after="0"/>
              <w:rPr>
                <w:sz w:val="20"/>
                <w:szCs w:val="20"/>
                <w:color w:val="auto"/>
              </w:rPr>
            </w:pPr>
          </w:p>
        </w:tc>
        <w:tc>
          <w:tcPr>
            <w:tcW w:w="90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8"/>
                <w:szCs w:val="18"/>
                <w:color w:val="auto"/>
              </w:rPr>
              <w:t>774.4</w:t>
            </w:r>
          </w:p>
        </w:tc>
        <w:tc>
          <w:tcPr>
            <w:tcW w:w="240" w:type="dxa"/>
            <w:vAlign w:val="bottom"/>
            <w:tcBorders>
              <w:bottom w:val="single" w:sz="8" w:color="E5FFFF"/>
            </w:tcBorders>
            <w:shd w:val="clear" w:color="auto" w:fill="E5FFFF"/>
          </w:tcPr>
          <w:p>
            <w:pPr>
              <w:spacing w:after="0"/>
              <w:rPr>
                <w:sz w:val="20"/>
                <w:szCs w:val="20"/>
                <w:color w:val="auto"/>
              </w:rPr>
            </w:pPr>
          </w:p>
        </w:tc>
        <w:tc>
          <w:tcPr>
            <w:tcW w:w="380" w:type="dxa"/>
            <w:vAlign w:val="bottom"/>
            <w:tcBorders>
              <w:bottom w:val="single" w:sz="8" w:color="auto"/>
            </w:tcBorders>
            <w:shd w:val="clear" w:color="auto" w:fill="E5FFFF"/>
          </w:tcPr>
          <w:p>
            <w:pPr>
              <w:spacing w:after="0"/>
              <w:rPr>
                <w:sz w:val="20"/>
                <w:szCs w:val="20"/>
                <w:color w:val="auto"/>
              </w:rPr>
            </w:pPr>
          </w:p>
        </w:tc>
        <w:tc>
          <w:tcPr>
            <w:tcW w:w="780" w:type="dxa"/>
            <w:vAlign w:val="bottom"/>
            <w:tcBorders>
              <w:bottom w:val="single" w:sz="8" w:color="auto"/>
            </w:tcBorders>
            <w:shd w:val="clear" w:color="auto" w:fill="E5FFFF"/>
          </w:tcPr>
          <w:p>
            <w:pPr>
              <w:jc w:val="right"/>
              <w:ind w:right="34"/>
              <w:spacing w:after="0"/>
              <w:rPr>
                <w:sz w:val="20"/>
                <w:szCs w:val="20"/>
                <w:color w:val="auto"/>
              </w:rPr>
            </w:pPr>
            <w:r>
              <w:rPr>
                <w:rFonts w:ascii="Arial" w:cs="Arial" w:eastAsia="Arial" w:hAnsi="Arial"/>
                <w:sz w:val="18"/>
                <w:szCs w:val="18"/>
                <w:color w:val="auto"/>
              </w:rPr>
              <w:t>789.5</w:t>
            </w:r>
          </w:p>
        </w:tc>
        <w:tc>
          <w:tcPr>
            <w:tcW w:w="220" w:type="dxa"/>
            <w:vAlign w:val="bottom"/>
            <w:tcBorders>
              <w:bottom w:val="single" w:sz="8" w:color="E5FFFF"/>
            </w:tcBorders>
            <w:shd w:val="clear" w:color="auto" w:fill="E5FFFF"/>
          </w:tcPr>
          <w:p>
            <w:pPr>
              <w:spacing w:after="0"/>
              <w:rPr>
                <w:sz w:val="20"/>
                <w:szCs w:val="20"/>
                <w:color w:val="auto"/>
              </w:rPr>
            </w:pPr>
          </w:p>
        </w:tc>
        <w:tc>
          <w:tcPr>
            <w:tcW w:w="260" w:type="dxa"/>
            <w:vAlign w:val="bottom"/>
            <w:tcBorders>
              <w:bottom w:val="single" w:sz="8" w:color="auto"/>
            </w:tcBorders>
            <w:shd w:val="clear" w:color="auto" w:fill="E5FFFF"/>
          </w:tcPr>
          <w:p>
            <w:pPr>
              <w:spacing w:after="0"/>
              <w:rPr>
                <w:sz w:val="20"/>
                <w:szCs w:val="20"/>
                <w:color w:val="auto"/>
              </w:rPr>
            </w:pPr>
          </w:p>
        </w:tc>
        <w:tc>
          <w:tcPr>
            <w:tcW w:w="860" w:type="dxa"/>
            <w:vAlign w:val="bottom"/>
            <w:tcBorders>
              <w:bottom w:val="single" w:sz="8" w:color="auto"/>
            </w:tcBorders>
            <w:shd w:val="clear" w:color="auto" w:fill="E5FFFF"/>
          </w:tcPr>
          <w:p>
            <w:pPr>
              <w:jc w:val="right"/>
              <w:ind w:right="18"/>
              <w:spacing w:after="0"/>
              <w:rPr>
                <w:sz w:val="20"/>
                <w:szCs w:val="20"/>
                <w:color w:val="auto"/>
              </w:rPr>
            </w:pPr>
            <w:r>
              <w:rPr>
                <w:rFonts w:ascii="Arial" w:cs="Arial" w:eastAsia="Arial" w:hAnsi="Arial"/>
                <w:sz w:val="18"/>
                <w:szCs w:val="18"/>
                <w:color w:val="auto"/>
              </w:rPr>
              <w:t>776.3</w:t>
            </w:r>
          </w:p>
        </w:tc>
        <w:tc>
          <w:tcPr>
            <w:tcW w:w="220" w:type="dxa"/>
            <w:vAlign w:val="bottom"/>
            <w:tcBorders>
              <w:bottom w:val="single" w:sz="8" w:color="E5FFFF"/>
            </w:tcBorders>
            <w:shd w:val="clear" w:color="auto" w:fill="E5FFFF"/>
          </w:tcPr>
          <w:p>
            <w:pPr>
              <w:spacing w:after="0"/>
              <w:rPr>
                <w:sz w:val="20"/>
                <w:szCs w:val="20"/>
                <w:color w:val="auto"/>
              </w:rPr>
            </w:pPr>
          </w:p>
        </w:tc>
        <w:tc>
          <w:tcPr>
            <w:tcW w:w="400" w:type="dxa"/>
            <w:vAlign w:val="bottom"/>
            <w:tcBorders>
              <w:bottom w:val="single" w:sz="8" w:color="auto"/>
            </w:tcBorders>
            <w:shd w:val="clear" w:color="auto" w:fill="E5FFFF"/>
          </w:tcPr>
          <w:p>
            <w:pPr>
              <w:spacing w:after="0"/>
              <w:rPr>
                <w:sz w:val="20"/>
                <w:szCs w:val="20"/>
                <w:color w:val="auto"/>
              </w:rPr>
            </w:pPr>
          </w:p>
        </w:tc>
        <w:tc>
          <w:tcPr>
            <w:tcW w:w="7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792.1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4"/>
          </w:tcPr>
          <w:p>
            <w:pPr>
              <w:spacing w:after="0"/>
              <w:rPr>
                <w:sz w:val="20"/>
                <w:szCs w:val="20"/>
                <w:color w:val="auto"/>
              </w:rPr>
            </w:pPr>
            <w:r>
              <w:rPr>
                <w:rFonts w:ascii="Arial" w:cs="Arial" w:eastAsia="Arial" w:hAnsi="Arial"/>
                <w:sz w:val="18"/>
                <w:szCs w:val="18"/>
                <w:color w:val="auto"/>
              </w:rPr>
              <w:t>Earnings per share of common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1.60</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4.86</w:t>
            </w:r>
          </w:p>
        </w:tc>
        <w:tc>
          <w:tcPr>
            <w:tcW w:w="6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diluted earnings per share calculations exclude the effect of stock options when the options’ assumed proceeds exceed the average market price of the common shares during the period. For the three and nine months ended September 30, 2016, the weighted average number of stock options excluded from the computations were 5.5 million and 6.9 million. For the three and nine months ended September 30, 2015, the weighted average number of stock options excluded from the computations were 7.0 million and 7.3 million. These stock options were outstanding at the end of each period.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8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9"/>
              </w:rPr>
              <w:t>Honeywell International Inc.</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800" w:type="dxa"/>
            <w:vAlign w:val="bottom"/>
            <w:gridSpan w:val="3"/>
          </w:tcPr>
          <w:p>
            <w:pPr>
              <w:jc w:val="center"/>
              <w:ind w:left="330"/>
              <w:spacing w:after="0" w:line="202" w:lineRule="exact"/>
              <w:rPr>
                <w:sz w:val="20"/>
                <w:szCs w:val="20"/>
                <w:color w:val="auto"/>
              </w:rPr>
            </w:pPr>
            <w:r>
              <w:rPr>
                <w:rFonts w:ascii="Arial" w:cs="Arial" w:eastAsia="Arial" w:hAnsi="Arial"/>
                <w:sz w:val="18"/>
                <w:szCs w:val="18"/>
                <w:b w:val="1"/>
                <w:bCs w:val="1"/>
                <w:color w:val="auto"/>
              </w:rPr>
              <w:t>Notes to Financial Statements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620" w:type="dxa"/>
            <w:vAlign w:val="bottom"/>
            <w:gridSpan w:val="2"/>
          </w:tcPr>
          <w:p>
            <w:pPr>
              <w:jc w:val="center"/>
              <w:ind w:left="1530"/>
              <w:spacing w:after="0" w:line="202" w:lineRule="exact"/>
              <w:rPr>
                <w:sz w:val="20"/>
                <w:szCs w:val="20"/>
                <w:color w:val="auto"/>
              </w:rPr>
            </w:pPr>
            <w:r>
              <w:rPr>
                <w:rFonts w:ascii="Arial" w:cs="Arial" w:eastAsia="Arial" w:hAnsi="Arial"/>
                <w:sz w:val="18"/>
                <w:szCs w:val="18"/>
                <w:b w:val="1"/>
                <w:bCs w:val="1"/>
                <w:color w:val="auto"/>
                <w:w w:val="99"/>
              </w:rPr>
              <w:t>(Unaudited)</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2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220" w:type="dxa"/>
            <w:vAlign w:val="bottom"/>
            <w:gridSpan w:val="4"/>
          </w:tcPr>
          <w:p>
            <w:pPr>
              <w:jc w:val="right"/>
              <w:ind w:right="2160"/>
              <w:spacing w:after="0"/>
              <w:rPr>
                <w:sz w:val="20"/>
                <w:szCs w:val="20"/>
                <w:color w:val="auto"/>
              </w:rPr>
            </w:pPr>
            <w:r>
              <w:rPr>
                <w:rFonts w:ascii="Arial" w:cs="Arial" w:eastAsia="Arial" w:hAnsi="Arial"/>
                <w:sz w:val="18"/>
                <w:szCs w:val="18"/>
                <w:b w:val="1"/>
                <w:bCs w:val="1"/>
                <w:color w:val="auto"/>
                <w:w w:val="99"/>
              </w:rPr>
              <w:t>Note 6. Accounts, Notes and Other Receivables</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115"/>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1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4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 w:type="dxa"/>
            <w:vAlign w:val="bottom"/>
            <w:vMerge w:val="continue"/>
          </w:tcPr>
          <w:p>
            <w:pPr>
              <w:spacing w:after="0"/>
              <w:rPr>
                <w:sz w:val="17"/>
                <w:szCs w:val="17"/>
                <w:color w:val="auto"/>
              </w:rPr>
            </w:pPr>
          </w:p>
        </w:tc>
        <w:tc>
          <w:tcPr>
            <w:tcW w:w="314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Trade</w:t>
            </w:r>
          </w:p>
        </w:tc>
        <w:tc>
          <w:tcPr>
            <w:tcW w:w="262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8,333</w:t>
            </w:r>
          </w:p>
        </w:tc>
        <w:tc>
          <w:tcPr>
            <w:tcW w:w="400" w:type="dxa"/>
            <w:vAlign w:val="bottom"/>
            <w:gridSpan w:val="2"/>
            <w:shd w:val="clear" w:color="auto" w:fill="E5FF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w:t>
            </w:r>
          </w:p>
        </w:tc>
        <w:tc>
          <w:tcPr>
            <w:tcW w:w="24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4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140" w:type="dxa"/>
            <w:vAlign w:val="bottom"/>
            <w:shd w:val="clear" w:color="auto" w:fill="E5FFFF"/>
          </w:tcPr>
          <w:p>
            <w:pPr>
              <w:spacing w:after="0"/>
              <w:rPr>
                <w:sz w:val="17"/>
                <w:szCs w:val="17"/>
                <w:color w:val="auto"/>
              </w:rPr>
            </w:pPr>
          </w:p>
        </w:tc>
        <w:tc>
          <w:tcPr>
            <w:tcW w:w="242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8,916</w:t>
            </w: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14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Less: Allowance for doubtful accounts</w:t>
            </w:r>
          </w:p>
        </w:tc>
        <w:tc>
          <w:tcPr>
            <w:tcW w:w="242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4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3140" w:type="dxa"/>
            <w:vAlign w:val="bottom"/>
            <w:shd w:val="clear" w:color="auto" w:fill="E5FFFF"/>
          </w:tcPr>
          <w:p>
            <w:pPr>
              <w:spacing w:after="0"/>
              <w:rPr>
                <w:sz w:val="20"/>
                <w:szCs w:val="20"/>
                <w:color w:val="auto"/>
              </w:rPr>
            </w:pPr>
          </w:p>
        </w:tc>
        <w:tc>
          <w:tcPr>
            <w:tcW w:w="262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8,627</w:t>
            </w:r>
          </w:p>
        </w:tc>
        <w:tc>
          <w:tcPr>
            <w:tcW w:w="40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8,075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140" w:type="dxa"/>
            <w:vAlign w:val="bottom"/>
            <w:tcBorders>
              <w:top w:val="single" w:sz="8" w:color="E5FFFF"/>
            </w:tcBorders>
          </w:tcPr>
          <w:p>
            <w:pPr>
              <w:spacing w:after="0" w:line="20" w:lineRule="exact"/>
              <w:rPr>
                <w:sz w:val="1"/>
                <w:szCs w:val="1"/>
                <w:color w:val="auto"/>
              </w:rPr>
            </w:pPr>
          </w:p>
        </w:tc>
        <w:tc>
          <w:tcPr>
            <w:tcW w:w="242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Trade receivables include $1,642 and $ 1,590 million of unbilled balances under long-term contracts as of September 30, 2016 and December 31, 2015. These amounts are billed in accordance with the terms of customer contracts to which they relate.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54"/>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74"/>
              <w:spacing w:after="0"/>
              <w:rPr>
                <w:sz w:val="20"/>
                <w:szCs w:val="20"/>
                <w:color w:val="auto"/>
              </w:rPr>
            </w:pPr>
            <w:r>
              <w:rPr>
                <w:rFonts w:ascii="Arial" w:cs="Arial" w:eastAsia="Arial" w:hAnsi="Arial"/>
                <w:sz w:val="14"/>
                <w:szCs w:val="14"/>
                <w:b w:val="1"/>
                <w:bCs w:val="1"/>
                <w:color w:val="auto"/>
              </w:rPr>
              <w:t>December 31,</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2015</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20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Raw materials</w:t>
            </w:r>
          </w:p>
        </w:tc>
        <w:tc>
          <w:tcPr>
            <w:tcW w:w="15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1,160</w:t>
            </w:r>
          </w:p>
        </w:tc>
        <w:tc>
          <w:tcPr>
            <w:tcW w:w="40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1,120</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200" w:type="dxa"/>
            <w:vAlign w:val="bottom"/>
          </w:tcPr>
          <w:p>
            <w:pPr>
              <w:ind w:left="40"/>
              <w:spacing w:after="0" w:line="202" w:lineRule="exact"/>
              <w:rPr>
                <w:sz w:val="20"/>
                <w:szCs w:val="20"/>
                <w:color w:val="auto"/>
              </w:rPr>
            </w:pPr>
            <w:r>
              <w:rPr>
                <w:rFonts w:ascii="Arial" w:cs="Arial" w:eastAsia="Arial" w:hAnsi="Arial"/>
                <w:sz w:val="18"/>
                <w:szCs w:val="18"/>
                <w:color w:val="auto"/>
              </w:rPr>
              <w:t>Work in process</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799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826</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shd w:val="clear" w:color="auto" w:fill="E5FFFF"/>
          </w:tcPr>
          <w:p>
            <w:pPr>
              <w:ind w:left="40"/>
              <w:spacing w:after="0"/>
              <w:rPr>
                <w:sz w:val="20"/>
                <w:szCs w:val="20"/>
                <w:color w:val="auto"/>
              </w:rPr>
            </w:pPr>
            <w:r>
              <w:rPr>
                <w:rFonts w:ascii="Arial" w:cs="Arial" w:eastAsia="Arial" w:hAnsi="Arial"/>
                <w:sz w:val="18"/>
                <w:szCs w:val="18"/>
                <w:color w:val="auto"/>
              </w:rPr>
              <w:t>Finished products</w:t>
            </w:r>
          </w:p>
        </w:tc>
        <w:tc>
          <w:tcPr>
            <w:tcW w:w="13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2,693</w:t>
            </w:r>
          </w:p>
        </w:tc>
        <w:tc>
          <w:tcPr>
            <w:tcW w:w="24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2,590</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4,652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4,536</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shd w:val="clear" w:color="auto" w:fill="E5FFFF"/>
          </w:tcPr>
          <w:p>
            <w:pPr>
              <w:ind w:left="40"/>
              <w:spacing w:after="0"/>
              <w:rPr>
                <w:sz w:val="20"/>
                <w:szCs w:val="20"/>
                <w:color w:val="auto"/>
              </w:rPr>
            </w:pPr>
            <w:r>
              <w:rPr>
                <w:rFonts w:ascii="Arial" w:cs="Arial" w:eastAsia="Arial" w:hAnsi="Arial"/>
                <w:sz w:val="18"/>
                <w:szCs w:val="18"/>
                <w:color w:val="auto"/>
              </w:rPr>
              <w:t>Reduction to LIFO cost basis</w:t>
            </w:r>
          </w:p>
        </w:tc>
        <w:tc>
          <w:tcPr>
            <w:tcW w:w="13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(116)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4,587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4,420</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Property, Plant and Equipment - Net</w:t>
            </w:r>
          </w:p>
        </w:tc>
        <w:tc>
          <w:tcPr>
            <w:tcW w:w="1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4"/>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center"/>
              <w:ind w:right="74"/>
              <w:spacing w:after="0"/>
              <w:rPr>
                <w:sz w:val="20"/>
                <w:szCs w:val="20"/>
                <w:color w:val="auto"/>
              </w:rPr>
            </w:pPr>
            <w:r>
              <w:rPr>
                <w:rFonts w:ascii="Arial" w:cs="Arial" w:eastAsia="Arial" w:hAnsi="Arial"/>
                <w:sz w:val="14"/>
                <w:szCs w:val="14"/>
                <w:b w:val="1"/>
                <w:bCs w:val="1"/>
                <w:color w:val="auto"/>
              </w:rPr>
              <w:t>December 31,</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60" w:type="dxa"/>
            <w:vAlign w:val="bottom"/>
          </w:tcPr>
          <w:p>
            <w:pPr>
              <w:spacing w:after="0"/>
              <w:rPr>
                <w:sz w:val="17"/>
                <w:szCs w:val="17"/>
                <w:color w:val="auto"/>
              </w:rPr>
            </w:pPr>
          </w:p>
        </w:tc>
        <w:tc>
          <w:tcPr>
            <w:tcW w:w="4200" w:type="dxa"/>
            <w:vAlign w:val="bottom"/>
            <w:tcBorders>
              <w:bottom w:val="single" w:sz="8" w:color="E5FFFF"/>
            </w:tcBorders>
          </w:tcPr>
          <w:p>
            <w:pPr>
              <w:spacing w:after="0"/>
              <w:rPr>
                <w:sz w:val="17"/>
                <w:szCs w:val="17"/>
                <w:color w:val="auto"/>
              </w:rPr>
            </w:pPr>
          </w:p>
        </w:tc>
        <w:tc>
          <w:tcPr>
            <w:tcW w:w="1360" w:type="dxa"/>
            <w:vAlign w:val="bottom"/>
            <w:tcBorders>
              <w:bottom w:val="single" w:sz="8" w:color="E5FF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2015</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Land and improvements</w:t>
            </w:r>
          </w:p>
        </w:tc>
        <w:tc>
          <w:tcPr>
            <w:tcW w:w="1360" w:type="dxa"/>
            <w:vAlign w:val="bottom"/>
            <w:shd w:val="clear" w:color="auto" w:fill="E5FFFF"/>
          </w:tcPr>
          <w:p>
            <w:pPr>
              <w:spacing w:after="0"/>
              <w:rPr>
                <w:sz w:val="17"/>
                <w:szCs w:val="17"/>
                <w:color w:val="auto"/>
              </w:rPr>
            </w:pPr>
          </w:p>
        </w:tc>
        <w:tc>
          <w:tcPr>
            <w:tcW w:w="1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380</w:t>
            </w: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367</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Machinery and equipment</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9,872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10,505</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2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Buildings and improvements</w:t>
            </w:r>
          </w:p>
        </w:tc>
        <w:tc>
          <w:tcPr>
            <w:tcW w:w="1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3,391</w:t>
            </w: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3,188</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Construction in progress</w:t>
            </w:r>
          </w:p>
        </w:tc>
        <w:tc>
          <w:tcPr>
            <w:tcW w:w="136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24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0" w:type="dxa"/>
            <w:vAlign w:val="bottom"/>
            <w:shd w:val="clear" w:color="auto" w:fill="E5FFFF"/>
          </w:tcPr>
          <w:p>
            <w:pPr>
              <w:spacing w:after="0"/>
              <w:rPr>
                <w:sz w:val="17"/>
                <w:szCs w:val="17"/>
                <w:color w:val="auto"/>
              </w:rPr>
            </w:pPr>
          </w:p>
        </w:tc>
        <w:tc>
          <w:tcPr>
            <w:tcW w:w="13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14,608</w:t>
            </w:r>
          </w:p>
        </w:tc>
        <w:tc>
          <w:tcPr>
            <w:tcW w:w="2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14,908</w:t>
            </w: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2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Less—Accumulated depreciation</w:t>
            </w:r>
          </w:p>
        </w:tc>
        <w:tc>
          <w:tcPr>
            <w:tcW w:w="1360" w:type="dxa"/>
            <w:vAlign w:val="bottom"/>
            <w:tcBorders>
              <w:bottom w:val="single" w:sz="8" w:color="E5FF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(8,883)</w:t>
            </w:r>
          </w:p>
        </w:tc>
        <w:tc>
          <w:tcPr>
            <w:tcW w:w="24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(9,119)</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200" w:type="dxa"/>
            <w:vAlign w:val="bottom"/>
            <w:shd w:val="clear" w:color="auto" w:fill="E5FFFF"/>
          </w:tcPr>
          <w:p>
            <w:pPr>
              <w:spacing w:after="0"/>
              <w:rPr>
                <w:sz w:val="20"/>
                <w:szCs w:val="20"/>
                <w:color w:val="auto"/>
              </w:rPr>
            </w:pPr>
          </w:p>
        </w:tc>
        <w:tc>
          <w:tcPr>
            <w:tcW w:w="15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5,725</w:t>
            </w:r>
          </w:p>
        </w:tc>
        <w:tc>
          <w:tcPr>
            <w:tcW w:w="4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5,789</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0" w:type="dxa"/>
            <w:vAlign w:val="bottom"/>
            <w:tcBorders>
              <w:top w:val="single" w:sz="8" w:color="E5FFFF"/>
            </w:tcBorders>
          </w:tcPr>
          <w:p>
            <w:pPr>
              <w:spacing w:after="0" w:line="20" w:lineRule="exact"/>
              <w:rPr>
                <w:sz w:val="1"/>
                <w:szCs w:val="1"/>
                <w:color w:val="auto"/>
              </w:rPr>
            </w:pPr>
          </w:p>
        </w:tc>
        <w:tc>
          <w:tcPr>
            <w:tcW w:w="1360" w:type="dxa"/>
            <w:vAlign w:val="bottom"/>
            <w:tcBorders>
              <w:top w:val="single" w:sz="8" w:color="E5FFFF"/>
              <w:bottom w:val="single" w:sz="8" w:color="E5FFFF"/>
            </w:tcBorders>
            <w:vMerge w:val="restart"/>
          </w:tcPr>
          <w:p>
            <w:pPr>
              <w:jc w:val="right"/>
              <w:ind w:right="11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 w:type="dxa"/>
            <w:vAlign w:val="bottom"/>
            <w:tcBorders>
              <w:bottom w:val="single" w:sz="8" w:color="C0C0C0"/>
            </w:tcBorders>
          </w:tcPr>
          <w:p>
            <w:pPr>
              <w:spacing w:after="0"/>
              <w:rPr>
                <w:sz w:val="20"/>
                <w:szCs w:val="20"/>
                <w:color w:val="auto"/>
              </w:rPr>
            </w:pPr>
          </w:p>
        </w:tc>
        <w:tc>
          <w:tcPr>
            <w:tcW w:w="4200" w:type="dxa"/>
            <w:vAlign w:val="bottom"/>
            <w:tcBorders>
              <w:bottom w:val="single" w:sz="8" w:color="C0C0C0"/>
            </w:tcBorders>
          </w:tcPr>
          <w:p>
            <w:pPr>
              <w:spacing w:after="0"/>
              <w:rPr>
                <w:sz w:val="20"/>
                <w:szCs w:val="20"/>
                <w:color w:val="auto"/>
              </w:rPr>
            </w:pPr>
          </w:p>
        </w:tc>
        <w:tc>
          <w:tcPr>
            <w:tcW w:w="136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2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220" w:type="dxa"/>
            <w:vAlign w:val="bottom"/>
            <w:tcBorders>
              <w:bottom w:val="single" w:sz="8" w:color="C0C0C0"/>
            </w:tcBorders>
          </w:tcPr>
          <w:p>
            <w:pPr>
              <w:spacing w:after="0"/>
              <w:rPr>
                <w:sz w:val="20"/>
                <w:szCs w:val="20"/>
                <w:color w:val="auto"/>
              </w:rPr>
            </w:pPr>
          </w:p>
        </w:tc>
        <w:tc>
          <w:tcPr>
            <w:tcW w:w="24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carrying amount of goodwill for the nine months ended September 30, 2016 by segment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37"/>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8"/>
                <w:szCs w:val="18"/>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Acquisitions/</w:t>
            </w:r>
          </w:p>
        </w:tc>
        <w:tc>
          <w:tcPr>
            <w:tcW w:w="120" w:type="dxa"/>
            <w:vAlign w:val="bottom"/>
          </w:tcPr>
          <w:p>
            <w:pPr>
              <w:spacing w:after="0"/>
              <w:rPr>
                <w:sz w:val="18"/>
                <w:szCs w:val="18"/>
                <w:color w:val="auto"/>
              </w:rPr>
            </w:pPr>
          </w:p>
        </w:tc>
        <w:tc>
          <w:tcPr>
            <w:tcW w:w="960" w:type="dxa"/>
            <w:vAlign w:val="bottom"/>
          </w:tcPr>
          <w:p>
            <w:pPr>
              <w:jc w:val="center"/>
              <w:ind w:right="37"/>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95"/>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Divestitures</w:t>
            </w:r>
          </w:p>
        </w:tc>
        <w:tc>
          <w:tcPr>
            <w:tcW w:w="120" w:type="dxa"/>
            <w:vAlign w:val="bottom"/>
          </w:tcPr>
          <w:p>
            <w:pPr>
              <w:spacing w:after="0"/>
              <w:rPr>
                <w:sz w:val="17"/>
                <w:szCs w:val="17"/>
                <w:color w:val="auto"/>
              </w:rPr>
            </w:pPr>
          </w:p>
        </w:tc>
        <w:tc>
          <w:tcPr>
            <w:tcW w:w="960" w:type="dxa"/>
            <w:vAlign w:val="bottom"/>
          </w:tcPr>
          <w:p>
            <w:pPr>
              <w:jc w:val="center"/>
              <w:ind w:right="37"/>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Aerospace</w:t>
            </w:r>
          </w:p>
        </w:tc>
        <w:tc>
          <w:tcPr>
            <w:tcW w:w="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2,296</w:t>
            </w:r>
          </w:p>
        </w:tc>
        <w:tc>
          <w:tcPr>
            <w:tcW w:w="340" w:type="dxa"/>
            <w:vAlign w:val="bottom"/>
            <w:gridSpan w:val="2"/>
            <w:shd w:val="clear" w:color="auto" w:fill="E5FF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184</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(19)</w:t>
            </w:r>
          </w:p>
        </w:tc>
        <w:tc>
          <w:tcPr>
            <w:tcW w:w="400" w:type="dxa"/>
            <w:vAlign w:val="bottom"/>
            <w:gridSpan w:val="2"/>
            <w:shd w:val="clear" w:color="auto" w:fill="E5FF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2,461</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160" w:type="dxa"/>
            <w:vAlign w:val="bottom"/>
          </w:tcPr>
          <w:p>
            <w:pPr>
              <w:spacing w:after="0"/>
              <w:rPr>
                <w:sz w:val="17"/>
                <w:szCs w:val="17"/>
                <w:color w:val="auto"/>
              </w:rPr>
            </w:pPr>
          </w:p>
        </w:tc>
        <w:tc>
          <w:tcPr>
            <w:tcW w:w="11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6,438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673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7,131</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60" w:type="dxa"/>
            <w:vAlign w:val="bottom"/>
            <w:shd w:val="clear" w:color="auto" w:fill="E5FFFF"/>
          </w:tcPr>
          <w:p>
            <w:pPr>
              <w:spacing w:after="0"/>
              <w:rPr>
                <w:sz w:val="17"/>
                <w:szCs w:val="17"/>
                <w:color w:val="auto"/>
              </w:rPr>
            </w:pPr>
          </w:p>
        </w:tc>
        <w:tc>
          <w:tcPr>
            <w:tcW w:w="1180" w:type="dxa"/>
            <w:vAlign w:val="bottom"/>
            <w:shd w:val="clear" w:color="auto" w:fill="E5FFFF"/>
          </w:tcPr>
          <w:p>
            <w:pPr>
              <w:jc w:val="right"/>
              <w:ind w:right="14"/>
              <w:spacing w:after="0" w:line="202" w:lineRule="exact"/>
              <w:rPr>
                <w:sz w:val="20"/>
                <w:szCs w:val="20"/>
                <w:color w:val="auto"/>
              </w:rPr>
            </w:pPr>
            <w:r>
              <w:rPr>
                <w:rFonts w:ascii="Arial" w:cs="Arial" w:eastAsia="Arial" w:hAnsi="Arial"/>
                <w:sz w:val="18"/>
                <w:szCs w:val="18"/>
                <w:color w:val="auto"/>
              </w:rPr>
              <w:t>3,771</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(136)</w:t>
            </w: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960" w:type="dxa"/>
            <w:vAlign w:val="bottom"/>
            <w:shd w:val="clear" w:color="auto" w:fill="E5FFFF"/>
          </w:tcPr>
          <w:p>
            <w:pPr>
              <w:jc w:val="right"/>
              <w:ind w:right="17"/>
              <w:spacing w:after="0" w:line="202" w:lineRule="exact"/>
              <w:rPr>
                <w:sz w:val="20"/>
                <w:szCs w:val="20"/>
                <w:color w:val="auto"/>
              </w:rPr>
            </w:pPr>
            <w:r>
              <w:rPr>
                <w:rFonts w:ascii="Arial" w:cs="Arial" w:eastAsia="Arial" w:hAnsi="Arial"/>
                <w:sz w:val="18"/>
                <w:szCs w:val="18"/>
                <w:color w:val="auto"/>
              </w:rPr>
              <w:t>41</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340" w:type="dxa"/>
            <w:vAlign w:val="bottom"/>
            <w:shd w:val="clear" w:color="auto" w:fill="E5FFFF"/>
          </w:tcPr>
          <w:p>
            <w:pPr>
              <w:jc w:val="right"/>
              <w:ind w:right="15"/>
              <w:spacing w:after="0" w:line="202" w:lineRule="exact"/>
              <w:rPr>
                <w:sz w:val="20"/>
                <w:szCs w:val="20"/>
                <w:color w:val="auto"/>
              </w:rPr>
            </w:pPr>
            <w:r>
              <w:rPr>
                <w:rFonts w:ascii="Arial" w:cs="Arial" w:eastAsia="Arial" w:hAnsi="Arial"/>
                <w:sz w:val="18"/>
                <w:szCs w:val="18"/>
                <w:color w:val="auto"/>
              </w:rPr>
              <w:t>3,676</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Safety and Productivity Solutions</w:t>
            </w:r>
          </w:p>
        </w:tc>
        <w:tc>
          <w:tcPr>
            <w:tcW w:w="160" w:type="dxa"/>
            <w:vAlign w:val="bottom"/>
          </w:tcPr>
          <w:p>
            <w:pPr>
              <w:spacing w:after="0"/>
              <w:rPr>
                <w:sz w:val="18"/>
                <w:szCs w:val="18"/>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3,390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4,578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E5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shd w:val="clear" w:color="auto" w:fill="E5FFFF"/>
          </w:tcPr>
          <w:p>
            <w:pPr>
              <w:spacing w:after="0"/>
              <w:rPr>
                <w:sz w:val="20"/>
                <w:szCs w:val="20"/>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E5FFFF"/>
          </w:tcPr>
          <w:p>
            <w:pPr>
              <w:jc w:val="right"/>
              <w:ind w:right="14"/>
              <w:spacing w:after="0"/>
              <w:rPr>
                <w:sz w:val="20"/>
                <w:szCs w:val="20"/>
                <w:color w:val="auto"/>
              </w:rPr>
            </w:pPr>
            <w:r>
              <w:rPr>
                <w:rFonts w:ascii="Arial" w:cs="Arial" w:eastAsia="Arial" w:hAnsi="Arial"/>
                <w:sz w:val="18"/>
                <w:szCs w:val="18"/>
                <w:color w:val="auto"/>
              </w:rPr>
              <w:t>15,895</w:t>
            </w:r>
          </w:p>
        </w:tc>
        <w:tc>
          <w:tcPr>
            <w:tcW w:w="220" w:type="dxa"/>
            <w:vAlign w:val="bottom"/>
            <w:shd w:val="clear" w:color="auto" w:fill="E5FFFF"/>
          </w:tcPr>
          <w:p>
            <w:pPr>
              <w:spacing w:after="0"/>
              <w:rPr>
                <w:sz w:val="20"/>
                <w:szCs w:val="20"/>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1,899</w:t>
            </w:r>
          </w:p>
        </w:tc>
        <w:tc>
          <w:tcPr>
            <w:tcW w:w="220" w:type="dxa"/>
            <w:vAlign w:val="bottom"/>
            <w:shd w:val="clear" w:color="auto" w:fill="E5FFFF"/>
          </w:tcPr>
          <w:p>
            <w:pPr>
              <w:spacing w:after="0"/>
              <w:rPr>
                <w:sz w:val="20"/>
                <w:szCs w:val="20"/>
                <w:color w:val="auto"/>
              </w:rPr>
            </w:pPr>
          </w:p>
        </w:tc>
        <w:tc>
          <w:tcPr>
            <w:tcW w:w="1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17"/>
              <w:spacing w:after="0"/>
              <w:rPr>
                <w:sz w:val="20"/>
                <w:szCs w:val="20"/>
                <w:color w:val="auto"/>
              </w:rPr>
            </w:pPr>
            <w:r>
              <w:rPr>
                <w:rFonts w:ascii="Arial" w:cs="Arial" w:eastAsia="Arial" w:hAnsi="Arial"/>
                <w:sz w:val="18"/>
                <w:szCs w:val="18"/>
                <w:color w:val="auto"/>
              </w:rPr>
              <w:t>52</w:t>
            </w:r>
          </w:p>
        </w:tc>
        <w:tc>
          <w:tcPr>
            <w:tcW w:w="40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17,846</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714"/>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34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 and Credit Agreements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0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5.40% notes due 2016</w:t>
            </w:r>
          </w:p>
        </w:tc>
        <w:tc>
          <w:tcPr>
            <w:tcW w:w="40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5.30% notes due 2017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Floating rate Euro notes due 2018</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1,116</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5.30% notes due 2018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5.00% notes due 2019</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900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0.65% Euro notes due 2020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1,116</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4.25% notes due 2021</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800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1.30% Euro notes due 2023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1,395</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3.35% notes due 2023</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300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2.25% Euro notes due 2028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837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5.70% notes due 2036</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550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5.70% notes due 2037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600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5.375% notes due 2041</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600</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Industrial development bond obligations, floating rate maturing at various dates through 2037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6.625% debentures due 2028</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216</w:t>
            </w: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jc w:val="right"/>
              <w:ind w:right="12"/>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tcPr>
          <w:p>
            <w:pPr>
              <w:spacing w:after="0" w:line="202" w:lineRule="exact"/>
              <w:rPr>
                <w:sz w:val="20"/>
                <w:szCs w:val="20"/>
                <w:color w:val="auto"/>
              </w:rPr>
            </w:pPr>
            <w:r>
              <w:rPr>
                <w:rFonts w:ascii="Arial" w:cs="Arial" w:eastAsia="Arial" w:hAnsi="Arial"/>
                <w:sz w:val="18"/>
                <w:szCs w:val="18"/>
                <w:color w:val="auto"/>
              </w:rPr>
              <w:t>9.065% debentures due 2033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E5FFFF"/>
          </w:tcPr>
          <w:p>
            <w:pPr>
              <w:spacing w:after="0" w:line="201" w:lineRule="exact"/>
              <w:rPr>
                <w:sz w:val="20"/>
                <w:szCs w:val="20"/>
                <w:color w:val="auto"/>
              </w:rPr>
            </w:pPr>
            <w:r>
              <w:rPr>
                <w:rFonts w:ascii="Arial" w:cs="Arial" w:eastAsia="Arial" w:hAnsi="Arial"/>
                <w:sz w:val="18"/>
                <w:szCs w:val="18"/>
                <w:color w:val="auto"/>
              </w:rPr>
              <w:t>Other (including capitalized leases and debt issuance costs), 0.6%-9.5% maturing at various dates</w:t>
            </w:r>
          </w:p>
        </w:tc>
        <w:tc>
          <w:tcPr>
            <w:tcW w:w="2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80" w:type="dxa"/>
            <w:vAlign w:val="bottom"/>
            <w:shd w:val="clear" w:color="auto" w:fill="E5FFFF"/>
          </w:tcPr>
          <w:p>
            <w:pPr>
              <w:ind w:left="160"/>
              <w:spacing w:after="0" w:line="203" w:lineRule="exact"/>
              <w:rPr>
                <w:sz w:val="20"/>
                <w:szCs w:val="20"/>
                <w:color w:val="auto"/>
              </w:rPr>
            </w:pPr>
            <w:r>
              <w:rPr>
                <w:rFonts w:ascii="Arial" w:cs="Arial" w:eastAsia="Arial" w:hAnsi="Arial"/>
                <w:sz w:val="18"/>
                <w:szCs w:val="18"/>
                <w:color w:val="auto"/>
              </w:rPr>
              <w:t>through 2023</w:t>
            </w:r>
          </w:p>
        </w:tc>
        <w:tc>
          <w:tcPr>
            <w:tcW w:w="260" w:type="dxa"/>
            <w:vAlign w:val="bottom"/>
            <w:shd w:val="clear" w:color="auto" w:fill="E5FFFF"/>
          </w:tcPr>
          <w:p>
            <w:pPr>
              <w:spacing w:after="0"/>
              <w:rPr>
                <w:sz w:val="17"/>
                <w:szCs w:val="17"/>
                <w:color w:val="auto"/>
              </w:rPr>
            </w:pPr>
          </w:p>
        </w:tc>
        <w:tc>
          <w:tcPr>
            <w:tcW w:w="140" w:type="dxa"/>
            <w:vAlign w:val="bottom"/>
            <w:tcBorders>
              <w:bottom w:val="single" w:sz="8" w:color="auto"/>
            </w:tcBorders>
            <w:shd w:val="clear" w:color="auto" w:fill="E5FFFF"/>
          </w:tcPr>
          <w:p>
            <w:pPr>
              <w:spacing w:after="0"/>
              <w:rPr>
                <w:sz w:val="17"/>
                <w:szCs w:val="17"/>
                <w:color w:val="auto"/>
              </w:rPr>
            </w:pPr>
          </w:p>
        </w:tc>
        <w:tc>
          <w:tcPr>
            <w:tcW w:w="1240" w:type="dxa"/>
            <w:vAlign w:val="bottom"/>
            <w:tcBorders>
              <w:bottom w:val="single" w:sz="8" w:color="auto"/>
            </w:tcBorders>
            <w:shd w:val="clear" w:color="auto" w:fill="E5FFFF"/>
          </w:tcPr>
          <w:p>
            <w:pPr>
              <w:jc w:val="right"/>
              <w:ind w:right="32"/>
              <w:spacing w:after="0" w:line="203" w:lineRule="exact"/>
              <w:rPr>
                <w:sz w:val="20"/>
                <w:szCs w:val="20"/>
                <w:color w:val="auto"/>
              </w:rPr>
            </w:pPr>
            <w:r>
              <w:rPr>
                <w:rFonts w:ascii="Arial" w:cs="Arial" w:eastAsia="Arial" w:hAnsi="Arial"/>
                <w:sz w:val="18"/>
                <w:szCs w:val="18"/>
                <w:color w:val="auto"/>
              </w:rPr>
              <w:t>446</w:t>
            </w:r>
          </w:p>
        </w:tc>
        <w:tc>
          <w:tcPr>
            <w:tcW w:w="320" w:type="dxa"/>
            <w:vAlign w:val="bottom"/>
            <w:shd w:val="clear" w:color="auto" w:fill="E5FFFF"/>
          </w:tcPr>
          <w:p>
            <w:pPr>
              <w:spacing w:after="0"/>
              <w:rPr>
                <w:sz w:val="17"/>
                <w:szCs w:val="17"/>
                <w:color w:val="auto"/>
              </w:rPr>
            </w:pPr>
          </w:p>
        </w:tc>
        <w:tc>
          <w:tcPr>
            <w:tcW w:w="160" w:type="dxa"/>
            <w:vAlign w:val="bottom"/>
            <w:tcBorders>
              <w:bottom w:val="single" w:sz="8" w:color="auto"/>
            </w:tcBorders>
            <w:shd w:val="clear" w:color="auto" w:fill="E5FFFF"/>
          </w:tcPr>
          <w:p>
            <w:pPr>
              <w:spacing w:after="0"/>
              <w:rPr>
                <w:sz w:val="17"/>
                <w:szCs w:val="17"/>
                <w:color w:val="auto"/>
              </w:rPr>
            </w:pPr>
          </w:p>
        </w:tc>
        <w:tc>
          <w:tcPr>
            <w:tcW w:w="1200" w:type="dxa"/>
            <w:vAlign w:val="bottom"/>
            <w:tcBorders>
              <w:bottom w:val="single" w:sz="8" w:color="auto"/>
            </w:tcBorders>
            <w:shd w:val="clear" w:color="auto" w:fill="E5FFFF"/>
          </w:tcPr>
          <w:p>
            <w:pPr>
              <w:jc w:val="right"/>
              <w:ind w:right="12"/>
              <w:spacing w:after="0" w:line="203"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10,257</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6,131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E5FFFF"/>
          </w:tcPr>
          <w:p>
            <w:pPr>
              <w:spacing w:after="0"/>
              <w:rPr>
                <w:sz w:val="20"/>
                <w:szCs w:val="20"/>
                <w:color w:val="auto"/>
              </w:rPr>
            </w:pPr>
            <w:r>
              <w:rPr>
                <w:rFonts w:ascii="Arial" w:cs="Arial" w:eastAsia="Arial" w:hAnsi="Arial"/>
                <w:sz w:val="18"/>
                <w:szCs w:val="18"/>
                <w:color w:val="auto"/>
              </w:rPr>
              <w:t>Less: current portion</w:t>
            </w:r>
          </w:p>
        </w:tc>
        <w:tc>
          <w:tcPr>
            <w:tcW w:w="260" w:type="dxa"/>
            <w:vAlign w:val="bottom"/>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(649)</w:t>
            </w:r>
          </w:p>
        </w:tc>
        <w:tc>
          <w:tcPr>
            <w:tcW w:w="32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9,608</w:t>
            </w:r>
          </w:p>
        </w:tc>
        <w:tc>
          <w:tcPr>
            <w:tcW w:w="3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February 2016, the Company issued €1,000 million Floating Rate Senior Notes due 2018, €1,000 million 0.65% Senior Notes due 2020, €1,250 million 1.30% Senior Notes due 2023 and €750 million 2.25% Senior Notes due 2028 (collectively, the “Euro Notes”). The Euro Notes are senior unsecured and unsubordinated obligations of Honeywell and rank equally with all of Honeywell’s existing and future senior unsecured debt and senior to all of Honeywell’s subordinated debt. The offering resulted in gross proceeds of $4,438 million, offset by $17 million in discount and closing costs related to the offering.</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April 29, 2016, the Company entered into Amendment No. 2 (Amendment) to the Amended and Restated $4 billion Credit Agreement dated as of July 10, 2015, as amended by the certain Amendment No. 1 dated as of September 30, 2015 (as so amended, the “Credit Agreement”), with a syndicate of banks. The Credit Agreement is maintained for general corporate purposes. Commitments under the Credit Agreement can be increased pursuant to the terms of the Credit Agreement to an aggregate amount not to exceed $4.5 billion. The Amendment, among other things, extends the Credit Agreement’s termination date from July 10, 2020 to July 10, 2021.</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April 29, 2016, the Company entered into a $1.5 billion 364-Day Credit Agreement (364-Day Credit Agreement) with a syndicate of banks. The 364-Day Credit Agreement is maintained for general corporate purposes.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April 29, 2016, the Company terminated all commitments under the $3 billion credit agreement dated as of September 30, 2015, among the Company, the lenders party thereto and Citibank, N.A., as administrative agent.</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 full description of the Credit Agreement and the 364-Day Credit Agreement can be found in the Company’s Current Report on Form 8-K, dated April 29,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On August 5, 2016, the Company entered into a $ 1.5 billion 364-Day Credit Agreement (Second 364-Day Credit Agreement) with a syndicate of banks. The Second 364-Day Credit Agreement is maintained for general corporate purposes.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 full description of the Second 364-day Credit Agreement can be found in the Company’s Current Report on Form 8-K, dated August 5, 2016.</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borrowings under any of the credit agreements previously described.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 and Fair Value Measures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Our credit, market, foreign currency and interest rate risk management policies are described in Note 14, Financial Instruments and Fair Value Measures, of Notes to Financial Statements in our 2015 Annual Report on Form 10-K.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22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r>
      <w:tr>
        <w:trPr>
          <w:trHeight w:val="196"/>
        </w:trPr>
        <w:tc>
          <w:tcPr>
            <w:tcW w:w="6220" w:type="dxa"/>
            <w:vAlign w:val="bottom"/>
            <w:shd w:val="clear" w:color="auto" w:fill="E5FF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r>
      <w:tr>
        <w:trPr>
          <w:trHeight w:val="203"/>
        </w:trPr>
        <w:tc>
          <w:tcPr>
            <w:tcW w:w="6220" w:type="dxa"/>
            <w:vAlign w:val="bottom"/>
          </w:tcPr>
          <w:p>
            <w:pPr>
              <w:ind w:left="180"/>
              <w:spacing w:after="0" w:line="202" w:lineRule="exact"/>
              <w:rPr>
                <w:sz w:val="20"/>
                <w:szCs w:val="20"/>
                <w:color w:val="auto"/>
              </w:rPr>
            </w:pPr>
            <w:r>
              <w:rPr>
                <w:rFonts w:ascii="Arial" w:cs="Arial" w:eastAsia="Arial" w:hAnsi="Arial"/>
                <w:sz w:val="18"/>
                <w:szCs w:val="18"/>
                <w:color w:val="auto"/>
              </w:rPr>
              <w:t>Foreign currency exchange contracts</w:t>
            </w:r>
          </w:p>
        </w:tc>
        <w:tc>
          <w:tcPr>
            <w:tcW w:w="240" w:type="dxa"/>
            <w:vAlign w:val="bottom"/>
          </w:tcPr>
          <w:p>
            <w:pPr>
              <w:jc w:val="right"/>
              <w:ind w:right="56"/>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240" w:type="dxa"/>
            <w:vAlign w:val="bottom"/>
          </w:tcPr>
          <w:p>
            <w:pPr>
              <w:jc w:val="right"/>
              <w:ind w:right="56"/>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622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Available for sale investments</w:t>
            </w: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1,823</w:t>
            </w: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1,501</w:t>
            </w:r>
          </w:p>
        </w:tc>
      </w:tr>
      <w:tr>
        <w:trPr>
          <w:trHeight w:val="217"/>
        </w:trPr>
        <w:tc>
          <w:tcPr>
            <w:tcW w:w="6220" w:type="dxa"/>
            <w:vAlign w:val="bottom"/>
          </w:tcPr>
          <w:p>
            <w:pPr>
              <w:ind w:left="180"/>
              <w:spacing w:after="0"/>
              <w:rPr>
                <w:sz w:val="20"/>
                <w:szCs w:val="20"/>
                <w:color w:val="auto"/>
              </w:rPr>
            </w:pPr>
            <w:r>
              <w:rPr>
                <w:rFonts w:ascii="Arial" w:cs="Arial" w:eastAsia="Arial" w:hAnsi="Arial"/>
                <w:sz w:val="18"/>
                <w:szCs w:val="18"/>
                <w:color w:val="auto"/>
              </w:rPr>
              <w:t>Interest rate swap agreements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188"/>
        </w:trPr>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6220" w:type="dxa"/>
            <w:vAlign w:val="bottom"/>
            <w:shd w:val="clear" w:color="auto" w:fill="E5FF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r>
      <w:tr>
        <w:trPr>
          <w:trHeight w:val="217"/>
        </w:trPr>
        <w:tc>
          <w:tcPr>
            <w:tcW w:w="6220" w:type="dxa"/>
            <w:vAlign w:val="bottom"/>
          </w:tcPr>
          <w:p>
            <w:pPr>
              <w:ind w:left="180"/>
              <w:spacing w:after="0"/>
              <w:rPr>
                <w:sz w:val="20"/>
                <w:szCs w:val="20"/>
                <w:color w:val="auto"/>
              </w:rPr>
            </w:pPr>
            <w:r>
              <w:rPr>
                <w:rFonts w:ascii="Arial" w:cs="Arial" w:eastAsia="Arial" w:hAnsi="Arial"/>
                <w:sz w:val="18"/>
                <w:szCs w:val="18"/>
                <w:color w:val="auto"/>
              </w:rPr>
              <w:t>Foreign currency exchange contracts</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8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foreign currency exchange contracts and interest rate swap agreements are valued using broker quotations or market transactions in either the listed or over-the-counter markets. These derivative instruments are classified within level 2. The Company holds investments in certificates of deposits, time deposits and commercial paper that are designated as available for sale and are valued using published prices based on observable market data.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carrying value of cash and cash equivalents, trade accounts and notes receivables, payables, commercial paper and short-term borrowings contained in the Consolidated Balance Sheet approximates fair value. The following table sets forth the Company’s financial assets and liabilities that were not carried at fair value: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2016</w:t>
            </w:r>
          </w:p>
        </w:tc>
        <w:tc>
          <w:tcPr>
            <w:tcW w:w="8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 2015</w:t>
            </w:r>
          </w:p>
        </w:tc>
        <w:tc>
          <w:tcPr>
            <w:tcW w:w="860" w:type="dxa"/>
            <w:vAlign w:val="bottom"/>
            <w:tcBorders>
              <w:bottom w:val="single" w:sz="8" w:color="auto"/>
            </w:tcBorders>
          </w:tcPr>
          <w:p>
            <w:pPr>
              <w:spacing w:after="0"/>
              <w:rPr>
                <w:sz w:val="15"/>
                <w:szCs w:val="15"/>
                <w:color w:val="auto"/>
              </w:rPr>
            </w:pPr>
          </w:p>
        </w:tc>
      </w:tr>
      <w:tr>
        <w:trPr>
          <w:trHeight w:val="142"/>
        </w:trPr>
        <w:tc>
          <w:tcPr>
            <w:tcW w:w="4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321"/>
              <w:spacing w:after="0" w:line="143" w:lineRule="exact"/>
              <w:rPr>
                <w:sz w:val="20"/>
                <w:szCs w:val="20"/>
                <w:color w:val="auto"/>
              </w:rPr>
            </w:pPr>
            <w:r>
              <w:rPr>
                <w:rFonts w:ascii="Arial" w:cs="Arial" w:eastAsia="Arial" w:hAnsi="Arial"/>
                <w:sz w:val="14"/>
                <w:szCs w:val="14"/>
                <w:b w:val="1"/>
                <w:bCs w:val="1"/>
                <w:color w:val="auto"/>
              </w:rPr>
              <w:t>Carrying</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right"/>
              <w:ind w:right="459"/>
              <w:spacing w:after="0" w:line="143" w:lineRule="exact"/>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301"/>
              <w:spacing w:after="0" w:line="14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9"/>
              <w:spacing w:after="0" w:line="143" w:lineRule="exact"/>
              <w:rPr>
                <w:sz w:val="20"/>
                <w:szCs w:val="20"/>
                <w:color w:val="auto"/>
              </w:rPr>
            </w:pPr>
            <w:r>
              <w:rPr>
                <w:rFonts w:ascii="Arial" w:cs="Arial" w:eastAsia="Arial" w:hAnsi="Arial"/>
                <w:sz w:val="14"/>
                <w:szCs w:val="14"/>
                <w:b w:val="1"/>
                <w:bCs w:val="1"/>
                <w:color w:val="auto"/>
              </w:rPr>
              <w:t>Fair</w:t>
            </w:r>
          </w:p>
        </w:tc>
      </w:tr>
      <w:tr>
        <w:trPr>
          <w:trHeight w:val="175"/>
        </w:trPr>
        <w:tc>
          <w:tcPr>
            <w:tcW w:w="4360" w:type="dxa"/>
            <w:vAlign w:val="bottom"/>
            <w:tcBorders>
              <w:bottom w:val="single" w:sz="8" w:color="E5FFFF"/>
            </w:tcBorders>
          </w:tcPr>
          <w:p>
            <w:pPr>
              <w:spacing w:after="0"/>
              <w:rPr>
                <w:sz w:val="15"/>
                <w:szCs w:val="15"/>
                <w:color w:val="auto"/>
              </w:rPr>
            </w:pPr>
          </w:p>
        </w:tc>
        <w:tc>
          <w:tcPr>
            <w:tcW w:w="58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Value</w:t>
            </w:r>
          </w:p>
        </w:tc>
        <w:tc>
          <w:tcPr>
            <w:tcW w:w="360" w:type="dxa"/>
            <w:vAlign w:val="bottom"/>
            <w:tcBorders>
              <w:bottom w:val="single" w:sz="8" w:color="E5FF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w w:val="96"/>
              </w:rPr>
              <w:t>Value</w:t>
            </w:r>
          </w:p>
        </w:tc>
        <w:tc>
          <w:tcPr>
            <w:tcW w:w="340" w:type="dxa"/>
            <w:vAlign w:val="bottom"/>
            <w:tcBorders>
              <w:bottom w:val="single" w:sz="8" w:color="E5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E5FF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436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03"/>
        </w:trPr>
        <w:tc>
          <w:tcPr>
            <w:tcW w:w="4360" w:type="dxa"/>
            <w:vAlign w:val="bottom"/>
          </w:tcPr>
          <w:p>
            <w:pPr>
              <w:ind w:left="180"/>
              <w:spacing w:after="0" w:line="202" w:lineRule="exact"/>
              <w:rPr>
                <w:sz w:val="20"/>
                <w:szCs w:val="20"/>
                <w:color w:val="auto"/>
              </w:rPr>
            </w:pPr>
            <w:r>
              <w:rPr>
                <w:rFonts w:ascii="Arial" w:cs="Arial" w:eastAsia="Arial" w:hAnsi="Arial"/>
                <w:sz w:val="18"/>
                <w:szCs w:val="18"/>
                <w:color w:val="auto"/>
              </w:rPr>
              <w:t>Long-term receivables</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281</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272</w:t>
            </w:r>
          </w:p>
        </w:tc>
        <w:tc>
          <w:tcPr>
            <w:tcW w:w="5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1"/>
              <w:spacing w:after="0" w:line="202" w:lineRule="exact"/>
              <w:rPr>
                <w:sz w:val="20"/>
                <w:szCs w:val="20"/>
                <w:color w:val="auto"/>
              </w:rPr>
            </w:pPr>
            <w:r>
              <w:rPr>
                <w:rFonts w:ascii="Arial" w:cs="Arial" w:eastAsia="Arial" w:hAnsi="Arial"/>
                <w:sz w:val="18"/>
                <w:szCs w:val="18"/>
                <w:color w:val="auto"/>
              </w:rPr>
              <w:t>292</w:t>
            </w:r>
          </w:p>
        </w:tc>
        <w:tc>
          <w:tcPr>
            <w:tcW w:w="8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line="202" w:lineRule="exact"/>
              <w:rPr>
                <w:sz w:val="20"/>
                <w:szCs w:val="20"/>
                <w:color w:val="auto"/>
              </w:rPr>
            </w:pPr>
            <w:r>
              <w:rPr>
                <w:rFonts w:ascii="Arial" w:cs="Arial" w:eastAsia="Arial" w:hAnsi="Arial"/>
                <w:sz w:val="18"/>
                <w:szCs w:val="18"/>
                <w:color w:val="auto"/>
              </w:rPr>
              <w:t>283</w:t>
            </w:r>
          </w:p>
        </w:tc>
      </w:tr>
      <w:tr>
        <w:trPr>
          <w:trHeight w:val="203"/>
        </w:trPr>
        <w:tc>
          <w:tcPr>
            <w:tcW w:w="436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5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4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480" w:type="dxa"/>
            <w:vAlign w:val="bottom"/>
            <w:shd w:val="clear" w:color="auto" w:fill="E5FFFF"/>
          </w:tcPr>
          <w:p>
            <w:pPr>
              <w:spacing w:after="0"/>
              <w:rPr>
                <w:sz w:val="17"/>
                <w:szCs w:val="17"/>
                <w:color w:val="auto"/>
              </w:rPr>
            </w:pPr>
          </w:p>
        </w:tc>
        <w:tc>
          <w:tcPr>
            <w:tcW w:w="8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5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r>
      <w:tr>
        <w:trPr>
          <w:trHeight w:val="217"/>
        </w:trPr>
        <w:tc>
          <w:tcPr>
            <w:tcW w:w="4360" w:type="dxa"/>
            <w:vAlign w:val="bottom"/>
          </w:tcPr>
          <w:p>
            <w:pPr>
              <w:ind w:left="180"/>
              <w:spacing w:after="0"/>
              <w:rPr>
                <w:sz w:val="20"/>
                <w:szCs w:val="20"/>
                <w:color w:val="auto"/>
              </w:rPr>
            </w:pPr>
            <w:r>
              <w:rPr>
                <w:rFonts w:ascii="Arial" w:cs="Arial" w:eastAsia="Arial" w:hAnsi="Arial"/>
                <w:sz w:val="18"/>
                <w:szCs w:val="18"/>
                <w:color w:val="auto"/>
              </w:rPr>
              <w:t>Long-term debt and related current maturities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10,257</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11,357</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6,131</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6,721</w:t>
            </w:r>
          </w:p>
        </w:tc>
      </w:tr>
    </w:tbl>
    <w:p>
      <w:pPr>
        <w:spacing w:after="0" w:line="18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determined the fair value of the long-term receivables by discounting based upon the terms of the receivable and counterparty details including credit quality. The fair value of these receivables is considered level 2. The Company determined the fair value of the long-term debt and related current maturities utilizing transactions in the listed markets for identical or similar liabilities. The fair value of the long-term debt and related current maturities is also considered level 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8"/>
          <w:szCs w:val="18"/>
          <w:color w:val="auto"/>
        </w:rPr>
        <w:t>Interest rate swap agreements are designated as hedge relationships with gains or losses on the derivative recognized in Interest and other financial charges offsetting the gains and losses on the underlying debt being hedged. For the three and nine months ended September 30, 2016, we recognized $14 million of losses and $23 million of gains in earnings on interest rate swap agreements. For the three and nine months ended September 30, 2015, we recognized $24 million and $11 million of gains in earnings on interest rate swap agreements. Gains and losses are fully offset by losses and gains on the underlying debt being hedged.</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also economically hedge our exposure to changes in foreign exchange rates principally with forward contracts. These contracts are marked-to-market with the resulting gains and losses recognized in earnings offsetting the gains and losses on the non-functional currency denominated monetary assets and liabilities being hedged. We recognized $24 million and $114 million of income in Other (Income) Expense for the three and nine months ended September 30, 2016. We recognized $72 million of income and $66 million of expense in Other (Income) Expense for the three and nine months ended September 30,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by Component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4"/>
                <w:szCs w:val="14"/>
                <w:color w:val="auto"/>
              </w:rPr>
            </w:pPr>
          </w:p>
        </w:tc>
        <w:tc>
          <w:tcPr>
            <w:tcW w:w="1060" w:type="dxa"/>
            <w:vAlign w:val="bottom"/>
          </w:tcPr>
          <w:p>
            <w:pPr>
              <w:jc w:val="center"/>
              <w:ind w:right="119"/>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Foreign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Exchange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1060" w:type="dxa"/>
            <w:vAlign w:val="bottom"/>
          </w:tcPr>
          <w:p>
            <w:pPr>
              <w:jc w:val="center"/>
              <w:ind w:right="79"/>
              <w:spacing w:after="0"/>
              <w:rPr>
                <w:sz w:val="20"/>
                <w:szCs w:val="20"/>
                <w:color w:val="auto"/>
              </w:rPr>
            </w:pPr>
            <w:r>
              <w:rPr>
                <w:rFonts w:ascii="Arial" w:cs="Arial" w:eastAsia="Arial" w:hAnsi="Arial"/>
                <w:sz w:val="14"/>
                <w:szCs w:val="14"/>
                <w:b w:val="1"/>
                <w:bCs w:val="1"/>
                <w:color w:val="auto"/>
              </w:rPr>
              <w:t>of Effective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4"/>
                <w:szCs w:val="14"/>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rPr>
              <w:t>Cash Flow</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5"/>
                <w:szCs w:val="15"/>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rPr>
              <w:t>Hedges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spacing w:after="0"/>
              <w:rPr>
                <w:sz w:val="15"/>
                <w:szCs w:val="15"/>
                <w:color w:val="auto"/>
              </w:rPr>
            </w:pPr>
          </w:p>
        </w:tc>
      </w:tr>
      <w:tr>
        <w:trPr>
          <w:trHeight w:val="196"/>
        </w:trPr>
        <w:tc>
          <w:tcPr>
            <w:tcW w:w="44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2015</w:t>
            </w: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(1,892)</w:t>
            </w:r>
          </w:p>
        </w:tc>
        <w:tc>
          <w:tcPr>
            <w:tcW w:w="20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(644)</w:t>
            </w:r>
          </w:p>
        </w:tc>
        <w:tc>
          <w:tcPr>
            <w:tcW w:w="30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w:t>
            </w:r>
          </w:p>
        </w:tc>
        <w:tc>
          <w:tcPr>
            <w:tcW w:w="3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(2,535)</w:t>
            </w:r>
          </w:p>
        </w:tc>
        <w:tc>
          <w:tcPr>
            <w:tcW w:w="1140" w:type="dxa"/>
            <w:vAlign w:val="bottom"/>
          </w:tcPr>
          <w:p>
            <w:pPr>
              <w:spacing w:after="0"/>
              <w:rPr>
                <w:sz w:val="17"/>
                <w:szCs w:val="17"/>
                <w:color w:val="auto"/>
              </w:rPr>
            </w:pPr>
          </w:p>
        </w:tc>
      </w:tr>
      <w:tr>
        <w:trPr>
          <w:trHeight w:val="202"/>
        </w:trPr>
        <w:tc>
          <w:tcPr>
            <w:tcW w:w="444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440" w:type="dxa"/>
            <w:vAlign w:val="bottom"/>
          </w:tcPr>
          <w:p>
            <w:pPr>
              <w:ind w:left="360"/>
              <w:spacing w:after="0" w:line="203" w:lineRule="exact"/>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7"/>
                <w:szCs w:val="17"/>
                <w:color w:val="auto"/>
              </w:rPr>
            </w:pPr>
          </w:p>
        </w:tc>
        <w:tc>
          <w:tcPr>
            <w:tcW w:w="1100" w:type="dxa"/>
            <w:vAlign w:val="bottom"/>
          </w:tcPr>
          <w:p>
            <w:pPr>
              <w:jc w:val="right"/>
              <w:ind w:right="18"/>
              <w:spacing w:after="0" w:line="203"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3"/>
              <w:spacing w:after="0" w:line="203" w:lineRule="exact"/>
              <w:rPr>
                <w:sz w:val="20"/>
                <w:szCs w:val="20"/>
                <w:color w:val="auto"/>
              </w:rPr>
            </w:pPr>
            <w:r>
              <w:rPr>
                <w:rFonts w:ascii="Arial" w:cs="Arial" w:eastAsia="Arial" w:hAnsi="Arial"/>
                <w:sz w:val="18"/>
                <w:szCs w:val="18"/>
                <w:color w:val="auto"/>
              </w:rPr>
              <w:t>82</w:t>
            </w:r>
          </w:p>
        </w:tc>
        <w:tc>
          <w:tcPr>
            <w:tcW w:w="1140" w:type="dxa"/>
            <w:vAlign w:val="bottom"/>
          </w:tcPr>
          <w:p>
            <w:pPr>
              <w:spacing w:after="0"/>
              <w:rPr>
                <w:sz w:val="17"/>
                <w:szCs w:val="17"/>
                <w:color w:val="auto"/>
              </w:rPr>
            </w:pPr>
          </w:p>
        </w:tc>
      </w:tr>
      <w:tr>
        <w:trPr>
          <w:trHeight w:val="202"/>
        </w:trPr>
        <w:tc>
          <w:tcPr>
            <w:tcW w:w="444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E5FFFF"/>
          </w:tcPr>
          <w:p>
            <w:pPr>
              <w:spacing w:after="0"/>
              <w:rPr>
                <w:sz w:val="17"/>
                <w:szCs w:val="17"/>
                <w:color w:val="auto"/>
              </w:rPr>
            </w:pPr>
          </w:p>
        </w:tc>
        <w:tc>
          <w:tcPr>
            <w:tcW w:w="11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140" w:type="dxa"/>
            <w:vAlign w:val="bottom"/>
          </w:tcPr>
          <w:p>
            <w:pPr>
              <w:spacing w:after="0"/>
              <w:rPr>
                <w:sz w:val="17"/>
                <w:szCs w:val="17"/>
                <w:color w:val="auto"/>
              </w:rPr>
            </w:pPr>
          </w:p>
        </w:tc>
      </w:tr>
      <w:tr>
        <w:trPr>
          <w:trHeight w:val="217"/>
        </w:trPr>
        <w:tc>
          <w:tcPr>
            <w:tcW w:w="4440" w:type="dxa"/>
            <w:vAlign w:val="bottom"/>
            <w:shd w:val="clear" w:color="auto" w:fill="E5FFFF"/>
          </w:tcPr>
          <w:p>
            <w:pPr>
              <w:ind w:left="36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shd w:val="clear" w:color="auto" w:fill="E5FF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18"/>
                <w:szCs w:val="18"/>
                <w:color w:val="auto"/>
              </w:rPr>
            </w:pPr>
          </w:p>
        </w:tc>
      </w:tr>
      <w:tr>
        <w:trPr>
          <w:trHeight w:val="182"/>
        </w:trPr>
        <w:tc>
          <w:tcPr>
            <w:tcW w:w="4440" w:type="dxa"/>
            <w:vAlign w:val="bottom"/>
          </w:tcPr>
          <w:p>
            <w:pPr>
              <w:ind w:left="180"/>
              <w:spacing w:after="0" w:line="182" w:lineRule="exact"/>
              <w:rPr>
                <w:sz w:val="20"/>
                <w:szCs w:val="20"/>
                <w:color w:val="auto"/>
              </w:rPr>
            </w:pPr>
            <w:r>
              <w:rPr>
                <w:rFonts w:ascii="Arial" w:cs="Arial" w:eastAsia="Arial" w:hAnsi="Arial"/>
                <w:sz w:val="18"/>
                <w:szCs w:val="18"/>
                <w:color w:val="auto"/>
              </w:rPr>
              <w:t>Net current period other comprehensive income</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7"/>
        </w:trPr>
        <w:tc>
          <w:tcPr>
            <w:tcW w:w="444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w:t>
            </w:r>
          </w:p>
        </w:tc>
        <w:tc>
          <w:tcPr>
            <w:tcW w:w="1140" w:type="dxa"/>
            <w:vAlign w:val="bottom"/>
          </w:tcPr>
          <w:p>
            <w:pPr>
              <w:spacing w:after="0"/>
              <w:rPr>
                <w:sz w:val="18"/>
                <w:szCs w:val="18"/>
                <w:color w:val="auto"/>
              </w:rPr>
            </w:pPr>
          </w:p>
        </w:tc>
      </w:tr>
      <w:tr>
        <w:trPr>
          <w:trHeight w:val="210"/>
        </w:trPr>
        <w:tc>
          <w:tcPr>
            <w:tcW w:w="444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September 30, 2016</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(1,809)</w:t>
            </w:r>
          </w:p>
        </w:tc>
        <w:tc>
          <w:tcPr>
            <w:tcW w:w="200" w:type="dxa"/>
            <w:vAlign w:val="bottom"/>
            <w:shd w:val="clear" w:color="auto" w:fill="E5FFFF"/>
          </w:tcPr>
          <w:p>
            <w:pPr>
              <w:spacing w:after="0"/>
              <w:rPr>
                <w:sz w:val="18"/>
                <w:szCs w:val="18"/>
                <w:color w:val="auto"/>
              </w:rPr>
            </w:pPr>
          </w:p>
        </w:tc>
        <w:tc>
          <w:tcPr>
            <w:tcW w:w="2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(691)</w:t>
            </w: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18</w:t>
            </w:r>
          </w:p>
        </w:tc>
        <w:tc>
          <w:tcPr>
            <w:tcW w:w="58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(2,482)</w:t>
            </w:r>
          </w:p>
        </w:tc>
        <w:tc>
          <w:tcPr>
            <w:tcW w:w="1140" w:type="dxa"/>
            <w:vAlign w:val="bottom"/>
          </w:tcPr>
          <w:p>
            <w:pPr>
              <w:spacing w:after="0"/>
              <w:rPr>
                <w:sz w:val="18"/>
                <w:szCs w:val="18"/>
                <w:color w:val="auto"/>
              </w:rPr>
            </w:pPr>
          </w:p>
        </w:tc>
      </w:tr>
      <w:tr>
        <w:trPr>
          <w:trHeight w:val="20"/>
        </w:trPr>
        <w:tc>
          <w:tcPr>
            <w:tcW w:w="44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32"/>
        </w:trPr>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24"/>
                <w:szCs w:val="24"/>
                <w:color w:val="auto"/>
              </w:rPr>
            </w:pPr>
          </w:p>
        </w:tc>
        <w:tc>
          <w:tcPr>
            <w:tcW w:w="1060" w:type="dxa"/>
            <w:vAlign w:val="bottom"/>
          </w:tcPr>
          <w:p>
            <w:pPr>
              <w:jc w:val="center"/>
              <w:ind w:right="119"/>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Foreign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4"/>
                <w:szCs w:val="14"/>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Exchange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Postretiremen</w:t>
            </w:r>
            <w:r>
              <w:rPr>
                <w:rFonts w:ascii="Arial" w:cs="Arial" w:eastAsia="Arial" w:hAnsi="Arial"/>
                <w:sz w:val="14"/>
                <w:szCs w:val="14"/>
                <w:color w:val="auto"/>
              </w:rPr>
              <w:t>t</w:t>
            </w:r>
          </w:p>
        </w:tc>
        <w:tc>
          <w:tcPr>
            <w:tcW w:w="160" w:type="dxa"/>
            <w:vAlign w:val="bottom"/>
          </w:tcPr>
          <w:p>
            <w:pPr>
              <w:spacing w:after="0"/>
              <w:rPr>
                <w:sz w:val="14"/>
                <w:szCs w:val="14"/>
                <w:color w:val="auto"/>
              </w:rPr>
            </w:pPr>
          </w:p>
        </w:tc>
        <w:tc>
          <w:tcPr>
            <w:tcW w:w="1060" w:type="dxa"/>
            <w:vAlign w:val="bottom"/>
          </w:tcPr>
          <w:p>
            <w:pPr>
              <w:jc w:val="center"/>
              <w:ind w:right="79"/>
              <w:spacing w:after="0"/>
              <w:rPr>
                <w:sz w:val="20"/>
                <w:szCs w:val="20"/>
                <w:color w:val="auto"/>
              </w:rPr>
            </w:pPr>
            <w:r>
              <w:rPr>
                <w:rFonts w:ascii="Arial" w:cs="Arial" w:eastAsia="Arial" w:hAnsi="Arial"/>
                <w:sz w:val="14"/>
                <w:szCs w:val="14"/>
                <w:b w:val="1"/>
                <w:bCs w:val="1"/>
                <w:color w:val="auto"/>
              </w:rPr>
              <w:t>of Effective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Benefits</w:t>
            </w:r>
          </w:p>
        </w:tc>
        <w:tc>
          <w:tcPr>
            <w:tcW w:w="160" w:type="dxa"/>
            <w:vAlign w:val="bottom"/>
          </w:tcPr>
          <w:p>
            <w:pPr>
              <w:spacing w:after="0"/>
              <w:rPr>
                <w:sz w:val="14"/>
                <w:szCs w:val="14"/>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rPr>
              <w:t>Cash Flow</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5"/>
                <w:szCs w:val="15"/>
                <w:color w:val="auto"/>
              </w:rPr>
            </w:pPr>
          </w:p>
        </w:tc>
        <w:tc>
          <w:tcPr>
            <w:tcW w:w="1060" w:type="dxa"/>
            <w:vAlign w:val="bottom"/>
          </w:tcPr>
          <w:p>
            <w:pPr>
              <w:jc w:val="center"/>
              <w:ind w:right="59"/>
              <w:spacing w:after="0"/>
              <w:rPr>
                <w:sz w:val="20"/>
                <w:szCs w:val="20"/>
                <w:color w:val="auto"/>
              </w:rPr>
            </w:pPr>
            <w:r>
              <w:rPr>
                <w:rFonts w:ascii="Arial" w:cs="Arial" w:eastAsia="Arial" w:hAnsi="Arial"/>
                <w:sz w:val="14"/>
                <w:szCs w:val="14"/>
                <w:b w:val="1"/>
                <w:bCs w:val="1"/>
                <w:color w:val="auto"/>
              </w:rPr>
              <w:t>Hedges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spacing w:after="0"/>
              <w:rPr>
                <w:sz w:val="15"/>
                <w:szCs w:val="15"/>
                <w:color w:val="auto"/>
              </w:rPr>
            </w:pPr>
          </w:p>
        </w:tc>
      </w:tr>
      <w:tr>
        <w:trPr>
          <w:trHeight w:val="196"/>
        </w:trPr>
        <w:tc>
          <w:tcPr>
            <w:tcW w:w="444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Balance at December 31, 2014</w:t>
            </w: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(740)</w:t>
            </w:r>
          </w:p>
        </w:tc>
        <w:tc>
          <w:tcPr>
            <w:tcW w:w="20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(728)</w:t>
            </w:r>
          </w:p>
        </w:tc>
        <w:tc>
          <w:tcPr>
            <w:tcW w:w="30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9</w:t>
            </w:r>
          </w:p>
        </w:tc>
        <w:tc>
          <w:tcPr>
            <w:tcW w:w="30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(1,459)</w:t>
            </w:r>
          </w:p>
        </w:tc>
        <w:tc>
          <w:tcPr>
            <w:tcW w:w="1140" w:type="dxa"/>
            <w:vAlign w:val="bottom"/>
          </w:tcPr>
          <w:p>
            <w:pPr>
              <w:spacing w:after="0"/>
              <w:rPr>
                <w:sz w:val="17"/>
                <w:szCs w:val="17"/>
                <w:color w:val="auto"/>
              </w:rPr>
            </w:pPr>
          </w:p>
        </w:tc>
      </w:tr>
      <w:tr>
        <w:trPr>
          <w:trHeight w:val="202"/>
        </w:trPr>
        <w:tc>
          <w:tcPr>
            <w:tcW w:w="444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440" w:type="dxa"/>
            <w:vAlign w:val="bottom"/>
          </w:tcPr>
          <w:p>
            <w:pPr>
              <w:ind w:left="360"/>
              <w:spacing w:after="0" w:line="203" w:lineRule="exact"/>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(893)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(17)</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(850)</w:t>
            </w:r>
          </w:p>
        </w:tc>
        <w:tc>
          <w:tcPr>
            <w:tcW w:w="1140" w:type="dxa"/>
            <w:vAlign w:val="bottom"/>
          </w:tcPr>
          <w:p>
            <w:pPr>
              <w:spacing w:after="0"/>
              <w:rPr>
                <w:sz w:val="17"/>
                <w:szCs w:val="17"/>
                <w:color w:val="auto"/>
              </w:rPr>
            </w:pPr>
          </w:p>
        </w:tc>
      </w:tr>
      <w:tr>
        <w:trPr>
          <w:trHeight w:val="202"/>
        </w:trPr>
        <w:tc>
          <w:tcPr>
            <w:tcW w:w="4440" w:type="dxa"/>
            <w:vAlign w:val="bottom"/>
            <w:shd w:val="clear" w:color="auto" w:fill="E5FFFF"/>
          </w:tcPr>
          <w:p>
            <w:pPr>
              <w:ind w:left="180"/>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E5FFFF"/>
          </w:tcPr>
          <w:p>
            <w:pPr>
              <w:spacing w:after="0"/>
              <w:rPr>
                <w:sz w:val="17"/>
                <w:szCs w:val="17"/>
                <w:color w:val="auto"/>
              </w:rPr>
            </w:pPr>
          </w:p>
        </w:tc>
        <w:tc>
          <w:tcPr>
            <w:tcW w:w="11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0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140" w:type="dxa"/>
            <w:vAlign w:val="bottom"/>
          </w:tcPr>
          <w:p>
            <w:pPr>
              <w:spacing w:after="0"/>
              <w:rPr>
                <w:sz w:val="17"/>
                <w:szCs w:val="17"/>
                <w:color w:val="auto"/>
              </w:rPr>
            </w:pPr>
          </w:p>
        </w:tc>
      </w:tr>
      <w:tr>
        <w:trPr>
          <w:trHeight w:val="217"/>
        </w:trPr>
        <w:tc>
          <w:tcPr>
            <w:tcW w:w="4440" w:type="dxa"/>
            <w:vAlign w:val="bottom"/>
            <w:shd w:val="clear" w:color="auto" w:fill="E5FFFF"/>
          </w:tcPr>
          <w:p>
            <w:pPr>
              <w:ind w:left="36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bottom w:val="single" w:sz="8" w:color="auto"/>
            </w:tcBorders>
            <w:shd w:val="clear" w:color="auto" w:fill="E5FFFF"/>
          </w:tcPr>
          <w:p>
            <w:pPr>
              <w:spacing w:after="0"/>
              <w:rPr>
                <w:sz w:val="18"/>
                <w:szCs w:val="18"/>
                <w:color w:val="auto"/>
              </w:rPr>
            </w:pPr>
          </w:p>
        </w:tc>
        <w:tc>
          <w:tcPr>
            <w:tcW w:w="1100" w:type="dxa"/>
            <w:vAlign w:val="bottom"/>
            <w:tcBorders>
              <w:bottom w:val="single" w:sz="8" w:color="auto"/>
            </w:tcBorders>
            <w:shd w:val="clear" w:color="auto" w:fill="E5FF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19"/>
              <w:spacing w:after="0"/>
              <w:rPr>
                <w:sz w:val="20"/>
                <w:szCs w:val="20"/>
                <w:color w:val="auto"/>
              </w:rPr>
            </w:pPr>
            <w:r>
              <w:rPr>
                <w:rFonts w:ascii="Arial" w:cs="Arial" w:eastAsia="Arial" w:hAnsi="Arial"/>
                <w:sz w:val="18"/>
                <w:szCs w:val="18"/>
                <w:color w:val="auto"/>
              </w:rPr>
              <w:t>13</w:t>
            </w:r>
          </w:p>
        </w:tc>
        <w:tc>
          <w:tcPr>
            <w:tcW w:w="300" w:type="dxa"/>
            <w:vAlign w:val="bottom"/>
            <w:shd w:val="clear" w:color="auto" w:fill="E5FFFF"/>
          </w:tcPr>
          <w:p>
            <w:pPr>
              <w:spacing w:after="0"/>
              <w:rPr>
                <w:sz w:val="18"/>
                <w:szCs w:val="18"/>
                <w:color w:val="auto"/>
              </w:rPr>
            </w:pPr>
          </w:p>
        </w:tc>
        <w:tc>
          <w:tcPr>
            <w:tcW w:w="16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(64)</w:t>
            </w:r>
          </w:p>
        </w:tc>
        <w:tc>
          <w:tcPr>
            <w:tcW w:w="1140" w:type="dxa"/>
            <w:vAlign w:val="bottom"/>
          </w:tcPr>
          <w:p>
            <w:pPr>
              <w:spacing w:after="0"/>
              <w:rPr>
                <w:sz w:val="18"/>
                <w:szCs w:val="18"/>
                <w:color w:val="auto"/>
              </w:rPr>
            </w:pPr>
          </w:p>
        </w:tc>
      </w:tr>
      <w:tr>
        <w:trPr>
          <w:trHeight w:val="182"/>
        </w:trPr>
        <w:tc>
          <w:tcPr>
            <w:tcW w:w="4440" w:type="dxa"/>
            <w:vAlign w:val="bottom"/>
          </w:tcPr>
          <w:p>
            <w:pPr>
              <w:ind w:left="180"/>
              <w:spacing w:after="0" w:line="182" w:lineRule="exact"/>
              <w:rPr>
                <w:sz w:val="20"/>
                <w:szCs w:val="20"/>
                <w:color w:val="auto"/>
              </w:rPr>
            </w:pPr>
            <w:r>
              <w:rPr>
                <w:rFonts w:ascii="Arial" w:cs="Arial" w:eastAsia="Arial" w:hAnsi="Arial"/>
                <w:sz w:val="18"/>
                <w:szCs w:val="18"/>
                <w:color w:val="auto"/>
              </w:rPr>
              <w:t>Net current period other comprehensive income</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7"/>
        </w:trPr>
        <w:tc>
          <w:tcPr>
            <w:tcW w:w="444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(loss)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c>
          <w:tcPr>
            <w:tcW w:w="20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E5FF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140" w:type="dxa"/>
            <w:vAlign w:val="bottom"/>
          </w:tcPr>
          <w:p>
            <w:pPr>
              <w:spacing w:after="0"/>
              <w:rPr>
                <w:sz w:val="18"/>
                <w:szCs w:val="18"/>
                <w:color w:val="auto"/>
              </w:rPr>
            </w:pPr>
          </w:p>
        </w:tc>
      </w:tr>
      <w:tr>
        <w:trPr>
          <w:trHeight w:val="210"/>
        </w:trPr>
        <w:tc>
          <w:tcPr>
            <w:tcW w:w="444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Balance at September 30, 2015</w:t>
            </w: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(1,633)</w:t>
            </w:r>
          </w:p>
        </w:tc>
        <w:tc>
          <w:tcPr>
            <w:tcW w:w="200" w:type="dxa"/>
            <w:vAlign w:val="bottom"/>
            <w:shd w:val="clear" w:color="auto" w:fill="E5FFFF"/>
          </w:tcPr>
          <w:p>
            <w:pPr>
              <w:spacing w:after="0"/>
              <w:rPr>
                <w:sz w:val="18"/>
                <w:szCs w:val="18"/>
                <w:color w:val="auto"/>
              </w:rPr>
            </w:pPr>
          </w:p>
        </w:tc>
        <w:tc>
          <w:tcPr>
            <w:tcW w:w="2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(732)</w:t>
            </w:r>
          </w:p>
        </w:tc>
        <w:tc>
          <w:tcPr>
            <w:tcW w:w="300" w:type="dxa"/>
            <w:vAlign w:val="bottom"/>
            <w:shd w:val="clear" w:color="auto" w:fill="E5FFFF"/>
          </w:tcPr>
          <w:p>
            <w:pPr>
              <w:spacing w:after="0"/>
              <w:rPr>
                <w:sz w:val="18"/>
                <w:szCs w:val="18"/>
                <w:color w:val="auto"/>
              </w:rPr>
            </w:pPr>
          </w:p>
        </w:tc>
        <w:tc>
          <w:tcPr>
            <w:tcW w:w="1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580" w:type="dxa"/>
            <w:vAlign w:val="bottom"/>
            <w:gridSpan w:val="2"/>
            <w:shd w:val="clear" w:color="auto" w:fill="E5FF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(2,373)</w:t>
            </w:r>
          </w:p>
        </w:tc>
        <w:tc>
          <w:tcPr>
            <w:tcW w:w="1140" w:type="dxa"/>
            <w:vAlign w:val="bottom"/>
          </w:tcPr>
          <w:p>
            <w:pPr>
              <w:spacing w:after="0"/>
              <w:rPr>
                <w:sz w:val="18"/>
                <w:szCs w:val="18"/>
                <w:color w:val="auto"/>
              </w:rPr>
            </w:pPr>
          </w:p>
        </w:tc>
      </w:tr>
      <w:tr>
        <w:trPr>
          <w:trHeight w:val="20"/>
        </w:trPr>
        <w:tc>
          <w:tcPr>
            <w:tcW w:w="44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6"/>
        </w:trPr>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7"/>
        </w:trPr>
        <w:tc>
          <w:tcPr>
            <w:tcW w:w="444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10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112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60" w:type="dxa"/>
            <w:vAlign w:val="bottom"/>
            <w:tcBorders>
              <w:bottom w:val="single" w:sz="8" w:color="C0C0C0"/>
            </w:tcBorders>
          </w:tcPr>
          <w:p>
            <w:pPr>
              <w:spacing w:after="0"/>
              <w:rPr>
                <w:sz w:val="20"/>
                <w:szCs w:val="20"/>
                <w:color w:val="auto"/>
              </w:rPr>
            </w:pPr>
          </w:p>
        </w:tc>
        <w:tc>
          <w:tcPr>
            <w:tcW w:w="106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Financial Data</w:t>
      </w:r>
    </w:p>
    <w:p>
      <w:pPr>
        <w:spacing w:after="0" w:line="220" w:lineRule="exact"/>
        <w:rPr>
          <w:sz w:val="20"/>
          <w:szCs w:val="20"/>
          <w:color w:val="auto"/>
        </w:rPr>
      </w:pPr>
    </w:p>
    <w:p>
      <w:pPr>
        <w:jc w:val="both"/>
        <w:ind w:right="260" w:firstLine="648"/>
        <w:spacing w:after="0" w:line="246" w:lineRule="auto"/>
        <w:rPr>
          <w:sz w:val="20"/>
          <w:szCs w:val="20"/>
          <w:color w:val="auto"/>
        </w:rPr>
      </w:pPr>
      <w:r>
        <w:rPr>
          <w:rFonts w:ascii="Arial" w:cs="Arial" w:eastAsia="Arial" w:hAnsi="Arial"/>
          <w:sz w:val="18"/>
          <w:szCs w:val="18"/>
          <w:color w:val="auto"/>
        </w:rPr>
        <w:t>We globally manage our business operations through four reportable operating segments. Segment information is consistent with how management reviews the businesses, makes investing and resource allocation decisions and assesses operating performance.</w:t>
      </w:r>
    </w:p>
    <w:p>
      <w:pPr>
        <w:spacing w:after="0" w:line="183" w:lineRule="exact"/>
        <w:rPr>
          <w:sz w:val="20"/>
          <w:szCs w:val="20"/>
          <w:color w:val="auto"/>
        </w:rPr>
      </w:pPr>
    </w:p>
    <w:p>
      <w:pPr>
        <w:jc w:val="both"/>
        <w:ind w:right="260" w:firstLine="648"/>
        <w:spacing w:after="0"/>
        <w:rPr>
          <w:sz w:val="20"/>
          <w:szCs w:val="20"/>
          <w:color w:val="auto"/>
        </w:rPr>
      </w:pPr>
      <w:r>
        <w:rPr>
          <w:rFonts w:ascii="Arial" w:cs="Arial" w:eastAsia="Arial" w:hAnsi="Arial"/>
          <w:sz w:val="18"/>
          <w:szCs w:val="18"/>
          <w:color w:val="auto"/>
        </w:rPr>
        <w:t>Honeywell’s senior management evaluates segment performance based on segment profit. Segment profit is measured as business unit income (loss) before taxes excluding general corporate unallocated expense, other income (expense), interest and other financial charges, pension and other postretirement income (expense), stock compensation expense, repositioning and other charges.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July 2016, the Company announced that it is realigning the business units comprising its Automation and Control Solutions reporting segment by forming two new reportable operating segments: Home and Building Technologies and Safety and Productivity Solutions. Home and Building Technologies includes Environmental &amp; Energy Solutions, Security and Fire, and Building Solutions and Distribution. Additionally, the Industrial Combustion/Thermal business, previously part of Environmental &amp; Energy Solutions in Automation and Control Solutions, became part of Performance Materials and Technologies. Safety and Productivity Solutions includes Sensing &amp; Productivity Solutions and Industrial Safety, as well as the Intelligrated business. Under the realigned segment reporting structure, the Company has four reportable operating segments: Aerospace, Home and Building Technologies, Performance Materials and Technologies and Safety and Productivity Solutions. Effective with the quarter ended September 30, 2016 the Company has reported its financial performance based on this realignment.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realignments have no impact on the Company’s historical consolidated financial position, results of operations or cash flows.</w:t>
      </w:r>
    </w:p>
    <w:p>
      <w:pPr>
        <w:spacing w:after="0"/>
        <w:rPr>
          <w:sz w:val="20"/>
          <w:szCs w:val="20"/>
          <w:color w:val="auto"/>
        </w:rPr>
      </w:pPr>
      <w:r>
        <w:rPr>
          <w:rFonts w:ascii="Arial" w:cs="Arial" w:eastAsia="Arial" w:hAnsi="Arial"/>
          <w:sz w:val="18"/>
          <w:szCs w:val="18"/>
          <w:color w:val="auto"/>
        </w:rPr>
        <w:t>Prior period amounts have been reclassified to conform to current period segment presentation.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140" w:type="dxa"/>
            <w:vAlign w:val="bottom"/>
            <w:gridSpan w:val="5"/>
          </w:tcPr>
          <w:p>
            <w:pPr>
              <w:jc w:val="right"/>
              <w:ind w:right="4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Borders>
              <w:bottom w:val="single" w:sz="8" w:color="E5FFFF"/>
            </w:tcBorders>
          </w:tcPr>
          <w:p>
            <w:pPr>
              <w:spacing w:after="0"/>
              <w:rPr>
                <w:sz w:val="17"/>
                <w:szCs w:val="17"/>
                <w:color w:val="auto"/>
              </w:rPr>
            </w:pPr>
          </w:p>
        </w:tc>
        <w:tc>
          <w:tcPr>
            <w:tcW w:w="420" w:type="dxa"/>
            <w:vAlign w:val="bottom"/>
            <w:tcBorders>
              <w:bottom w:val="single" w:sz="8" w:color="E5FFFF"/>
            </w:tcBorders>
          </w:tcPr>
          <w:p>
            <w:pPr>
              <w:spacing w:after="0"/>
              <w:rPr>
                <w:sz w:val="17"/>
                <w:szCs w:val="17"/>
                <w:color w:val="auto"/>
              </w:rPr>
            </w:pPr>
          </w:p>
        </w:tc>
        <w:tc>
          <w:tcPr>
            <w:tcW w:w="3620" w:type="dxa"/>
            <w:vAlign w:val="bottom"/>
            <w:tcBorders>
              <w:bottom w:val="single" w:sz="8" w:color="E5FFFF"/>
            </w:tcBorders>
          </w:tcPr>
          <w:p>
            <w:pPr>
              <w:spacing w:after="0"/>
              <w:rPr>
                <w:sz w:val="17"/>
                <w:szCs w:val="17"/>
                <w:color w:val="auto"/>
              </w:rPr>
            </w:pPr>
          </w:p>
        </w:tc>
        <w:tc>
          <w:tcPr>
            <w:tcW w:w="148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E5FF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0" w:type="dxa"/>
            <w:vAlign w:val="bottom"/>
            <w:gridSpan w:val="3"/>
            <w:shd w:val="clear" w:color="auto" w:fill="E5FFFF"/>
          </w:tcPr>
          <w:p>
            <w:pPr>
              <w:spacing w:after="0" w:line="170" w:lineRule="exact"/>
              <w:rPr>
                <w:sz w:val="20"/>
                <w:szCs w:val="20"/>
                <w:color w:val="auto"/>
              </w:rPr>
            </w:pPr>
            <w:r>
              <w:rPr>
                <w:rFonts w:ascii="Arial" w:cs="Arial" w:eastAsia="Arial" w:hAnsi="Arial"/>
                <w:sz w:val="18"/>
                <w:szCs w:val="18"/>
                <w:color w:val="auto"/>
              </w:rPr>
              <w:t>Net Sales</w:t>
            </w:r>
          </w:p>
        </w:tc>
        <w:tc>
          <w:tcPr>
            <w:tcW w:w="148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82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70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340" w:type="dxa"/>
            <w:vAlign w:val="bottom"/>
            <w:shd w:val="clear" w:color="auto" w:fill="E5FFFF"/>
          </w:tcPr>
          <w:p>
            <w:pPr>
              <w:spacing w:after="0"/>
              <w:rPr>
                <w:sz w:val="14"/>
                <w:szCs w:val="14"/>
                <w:color w:val="auto"/>
              </w:rPr>
            </w:pPr>
          </w:p>
        </w:tc>
        <w:tc>
          <w:tcPr>
            <w:tcW w:w="68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shd w:val="clear" w:color="auto" w:fill="E5FFFF"/>
          </w:tcPr>
          <w:p>
            <w:pPr>
              <w:spacing w:after="0"/>
              <w:rPr>
                <w:sz w:val="2"/>
                <w:szCs w:val="2"/>
                <w:color w:val="auto"/>
              </w:rPr>
            </w:pPr>
          </w:p>
        </w:tc>
        <w:tc>
          <w:tcPr>
            <w:tcW w:w="3620" w:type="dxa"/>
            <w:vAlign w:val="bottom"/>
            <w:shd w:val="clear" w:color="auto" w:fill="E5FFFF"/>
          </w:tcPr>
          <w:p>
            <w:pPr>
              <w:spacing w:after="0"/>
              <w:rPr>
                <w:sz w:val="2"/>
                <w:szCs w:val="2"/>
                <w:color w:val="auto"/>
              </w:rPr>
            </w:pPr>
          </w:p>
        </w:tc>
        <w:tc>
          <w:tcPr>
            <w:tcW w:w="1480" w:type="dxa"/>
            <w:vAlign w:val="bottom"/>
            <w:shd w:val="clear" w:color="auto" w:fill="E5FFFF"/>
          </w:tcPr>
          <w:p>
            <w:pPr>
              <w:spacing w:after="0"/>
              <w:rPr>
                <w:sz w:val="2"/>
                <w:szCs w:val="2"/>
                <w:color w:val="auto"/>
              </w:rPr>
            </w:pPr>
          </w:p>
        </w:tc>
        <w:tc>
          <w:tcPr>
            <w:tcW w:w="240" w:type="dxa"/>
            <w:vAlign w:val="bottom"/>
            <w:shd w:val="clear" w:color="auto" w:fill="E5FFFF"/>
          </w:tcPr>
          <w:p>
            <w:pPr>
              <w:spacing w:after="0"/>
              <w:rPr>
                <w:sz w:val="2"/>
                <w:szCs w:val="2"/>
                <w:color w:val="auto"/>
              </w:rPr>
            </w:pPr>
          </w:p>
        </w:tc>
        <w:tc>
          <w:tcPr>
            <w:tcW w:w="82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320" w:type="dxa"/>
            <w:vAlign w:val="bottom"/>
            <w:shd w:val="clear" w:color="auto" w:fill="E5FFFF"/>
          </w:tcPr>
          <w:p>
            <w:pPr>
              <w:spacing w:after="0"/>
              <w:rPr>
                <w:sz w:val="2"/>
                <w:szCs w:val="2"/>
                <w:color w:val="auto"/>
              </w:rPr>
            </w:pPr>
          </w:p>
        </w:tc>
        <w:tc>
          <w:tcPr>
            <w:tcW w:w="70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220" w:type="dxa"/>
            <w:vAlign w:val="bottom"/>
            <w:shd w:val="clear" w:color="auto" w:fill="E5FFFF"/>
          </w:tcPr>
          <w:p>
            <w:pPr>
              <w:spacing w:after="0"/>
              <w:rPr>
                <w:sz w:val="2"/>
                <w:szCs w:val="2"/>
                <w:color w:val="auto"/>
              </w:rPr>
            </w:pPr>
          </w:p>
        </w:tc>
        <w:tc>
          <w:tcPr>
            <w:tcW w:w="680" w:type="dxa"/>
            <w:vAlign w:val="bottom"/>
            <w:shd w:val="clear" w:color="auto" w:fill="E5FFFF"/>
          </w:tcPr>
          <w:p>
            <w:pPr>
              <w:spacing w:after="0"/>
              <w:rPr>
                <w:sz w:val="2"/>
                <w:szCs w:val="2"/>
                <w:color w:val="auto"/>
              </w:rPr>
            </w:pPr>
          </w:p>
        </w:tc>
        <w:tc>
          <w:tcPr>
            <w:tcW w:w="10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340" w:type="dxa"/>
            <w:vAlign w:val="bottom"/>
            <w:shd w:val="clear" w:color="auto" w:fill="E5FFFF"/>
          </w:tcPr>
          <w:p>
            <w:pPr>
              <w:spacing w:after="0"/>
              <w:rPr>
                <w:sz w:val="2"/>
                <w:szCs w:val="2"/>
                <w:color w:val="auto"/>
              </w:rPr>
            </w:pPr>
          </w:p>
        </w:tc>
        <w:tc>
          <w:tcPr>
            <w:tcW w:w="680" w:type="dxa"/>
            <w:vAlign w:val="bottom"/>
            <w:shd w:val="clear" w:color="auto" w:fill="E5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shd w:val="clear" w:color="auto" w:fill="E5FFFF"/>
          </w:tcPr>
          <w:p>
            <w:pPr>
              <w:jc w:val="center"/>
              <w:ind w:right="3760"/>
              <w:spacing w:after="0" w:line="202" w:lineRule="exact"/>
              <w:rPr>
                <w:sz w:val="20"/>
                <w:szCs w:val="20"/>
                <w:color w:val="auto"/>
              </w:rPr>
            </w:pPr>
            <w:r>
              <w:rPr>
                <w:rFonts w:ascii="Arial" w:cs="Arial" w:eastAsia="Arial" w:hAnsi="Arial"/>
                <w:sz w:val="18"/>
                <w:szCs w:val="18"/>
                <w:color w:val="auto"/>
              </w:rPr>
              <w:t>Products</w:t>
            </w:r>
          </w:p>
        </w:tc>
        <w:tc>
          <w:tcPr>
            <w:tcW w:w="1720" w:type="dxa"/>
            <w:vAlign w:val="bottom"/>
            <w:gridSpan w:val="2"/>
            <w:shd w:val="clear" w:color="auto" w:fill="E5FF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2,358</w:t>
            </w:r>
          </w:p>
        </w:tc>
        <w:tc>
          <w:tcPr>
            <w:tcW w:w="660" w:type="dxa"/>
            <w:vAlign w:val="bottom"/>
            <w:gridSpan w:val="2"/>
            <w:shd w:val="clear" w:color="auto" w:fill="E5FF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2,557</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7,404</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E5FFFF"/>
            </w:tcBorders>
            <w:gridSpan w:val="3"/>
          </w:tcPr>
          <w:p>
            <w:pPr>
              <w:jc w:val="center"/>
              <w:ind w:right="3780"/>
              <w:spacing w:after="0"/>
              <w:rPr>
                <w:sz w:val="20"/>
                <w:szCs w:val="20"/>
                <w:color w:val="auto"/>
              </w:rPr>
            </w:pPr>
            <w:r>
              <w:rPr>
                <w:rFonts w:ascii="Arial" w:cs="Arial" w:eastAsia="Arial" w:hAnsi="Arial"/>
                <w:sz w:val="18"/>
                <w:szCs w:val="18"/>
                <w:color w:val="auto"/>
              </w:rPr>
              <w:t>Services</w:t>
            </w:r>
          </w:p>
        </w:tc>
        <w:tc>
          <w:tcPr>
            <w:tcW w:w="148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1,243</w:t>
            </w: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1,263</w:t>
            </w: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3,681</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3"/>
            <w:shd w:val="clear" w:color="auto" w:fill="E5FFFF"/>
          </w:tcPr>
          <w:p>
            <w:pPr>
              <w:jc w:val="center"/>
              <w:ind w:right="3740"/>
              <w:spacing w:after="0" w:line="196" w:lineRule="exact"/>
              <w:rPr>
                <w:sz w:val="20"/>
                <w:szCs w:val="20"/>
                <w:color w:val="auto"/>
              </w:rPr>
            </w:pPr>
            <w:r>
              <w:rPr>
                <w:rFonts w:ascii="Arial" w:cs="Arial" w:eastAsia="Arial" w:hAnsi="Arial"/>
                <w:sz w:val="18"/>
                <w:szCs w:val="18"/>
                <w:color w:val="auto"/>
                <w:w w:val="94"/>
              </w:rPr>
              <w:t>Total</w:t>
            </w:r>
          </w:p>
        </w:tc>
        <w:tc>
          <w:tcPr>
            <w:tcW w:w="1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3,601</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3,820</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11,085</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11,254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shd w:val="clear" w:color="auto" w:fill="E5FFFF"/>
          </w:tcPr>
          <w:p>
            <w:pPr>
              <w:jc w:val="center"/>
              <w:ind w:right="3760"/>
              <w:spacing w:after="0" w:line="202" w:lineRule="exact"/>
              <w:rPr>
                <w:sz w:val="20"/>
                <w:szCs w:val="20"/>
                <w:color w:val="auto"/>
              </w:rPr>
            </w:pPr>
            <w:r>
              <w:rPr>
                <w:rFonts w:ascii="Arial" w:cs="Arial" w:eastAsia="Arial" w:hAnsi="Arial"/>
                <w:sz w:val="18"/>
                <w:szCs w:val="18"/>
                <w:color w:val="auto"/>
              </w:rPr>
              <w:t>Products</w:t>
            </w:r>
          </w:p>
        </w:tc>
        <w:tc>
          <w:tcPr>
            <w:tcW w:w="1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2,360</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2,020</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6,931</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E5FFFF"/>
            </w:tcBorders>
            <w:gridSpan w:val="3"/>
          </w:tcPr>
          <w:p>
            <w:pPr>
              <w:jc w:val="center"/>
              <w:ind w:right="3780"/>
              <w:spacing w:after="0"/>
              <w:rPr>
                <w:sz w:val="20"/>
                <w:szCs w:val="20"/>
                <w:color w:val="auto"/>
              </w:rPr>
            </w:pPr>
            <w:r>
              <w:rPr>
                <w:rFonts w:ascii="Arial" w:cs="Arial" w:eastAsia="Arial" w:hAnsi="Arial"/>
                <w:sz w:val="18"/>
                <w:szCs w:val="18"/>
                <w:color w:val="auto"/>
              </w:rPr>
              <w:t>Services</w:t>
            </w:r>
          </w:p>
        </w:tc>
        <w:tc>
          <w:tcPr>
            <w:tcW w:w="148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341</w:t>
            </w: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293</w:t>
            </w: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923</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3"/>
            <w:shd w:val="clear" w:color="auto" w:fill="E5FFFF"/>
          </w:tcPr>
          <w:p>
            <w:pPr>
              <w:jc w:val="center"/>
              <w:ind w:right="3740"/>
              <w:spacing w:after="0" w:line="196" w:lineRule="exact"/>
              <w:rPr>
                <w:sz w:val="20"/>
                <w:szCs w:val="20"/>
                <w:color w:val="auto"/>
              </w:rPr>
            </w:pPr>
            <w:r>
              <w:rPr>
                <w:rFonts w:ascii="Arial" w:cs="Arial" w:eastAsia="Arial" w:hAnsi="Arial"/>
                <w:sz w:val="18"/>
                <w:szCs w:val="18"/>
                <w:color w:val="auto"/>
                <w:w w:val="94"/>
              </w:rPr>
              <w:t>Total</w:t>
            </w:r>
          </w:p>
        </w:tc>
        <w:tc>
          <w:tcPr>
            <w:tcW w:w="1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2,701</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2,313</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7,854</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6,686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shd w:val="clear" w:color="auto" w:fill="E5FFFF"/>
          </w:tcPr>
          <w:p>
            <w:pPr>
              <w:jc w:val="center"/>
              <w:ind w:right="3760"/>
              <w:spacing w:after="0" w:line="202" w:lineRule="exact"/>
              <w:rPr>
                <w:sz w:val="20"/>
                <w:szCs w:val="20"/>
                <w:color w:val="auto"/>
              </w:rPr>
            </w:pPr>
            <w:r>
              <w:rPr>
                <w:rFonts w:ascii="Arial" w:cs="Arial" w:eastAsia="Arial" w:hAnsi="Arial"/>
                <w:sz w:val="18"/>
                <w:szCs w:val="18"/>
                <w:color w:val="auto"/>
              </w:rPr>
              <w:t>Products</w:t>
            </w:r>
          </w:p>
        </w:tc>
        <w:tc>
          <w:tcPr>
            <w:tcW w:w="1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1,924</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1,810</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5,822</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E5FFFF"/>
            </w:tcBorders>
            <w:gridSpan w:val="3"/>
          </w:tcPr>
          <w:p>
            <w:pPr>
              <w:jc w:val="center"/>
              <w:ind w:right="3780"/>
              <w:spacing w:after="0"/>
              <w:rPr>
                <w:sz w:val="20"/>
                <w:szCs w:val="20"/>
                <w:color w:val="auto"/>
              </w:rPr>
            </w:pPr>
            <w:r>
              <w:rPr>
                <w:rFonts w:ascii="Arial" w:cs="Arial" w:eastAsia="Arial" w:hAnsi="Arial"/>
                <w:sz w:val="18"/>
                <w:szCs w:val="18"/>
                <w:color w:val="auto"/>
              </w:rPr>
              <w:t>Services</w:t>
            </w:r>
          </w:p>
        </w:tc>
        <w:tc>
          <w:tcPr>
            <w:tcW w:w="148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405</w:t>
            </w: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469</w:t>
            </w: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1,222</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3"/>
            <w:shd w:val="clear" w:color="auto" w:fill="E5FFFF"/>
          </w:tcPr>
          <w:p>
            <w:pPr>
              <w:jc w:val="center"/>
              <w:ind w:right="3740"/>
              <w:spacing w:after="0" w:line="196" w:lineRule="exact"/>
              <w:rPr>
                <w:sz w:val="20"/>
                <w:szCs w:val="20"/>
                <w:color w:val="auto"/>
              </w:rPr>
            </w:pPr>
            <w:r>
              <w:rPr>
                <w:rFonts w:ascii="Arial" w:cs="Arial" w:eastAsia="Arial" w:hAnsi="Arial"/>
                <w:sz w:val="18"/>
                <w:szCs w:val="18"/>
                <w:color w:val="auto"/>
                <w:w w:val="94"/>
              </w:rPr>
              <w:t>Total</w:t>
            </w:r>
          </w:p>
        </w:tc>
        <w:tc>
          <w:tcPr>
            <w:tcW w:w="1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2,329</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2,279</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7,044</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shd w:val="clear" w:color="auto" w:fill="E5FFFF"/>
          </w:tcPr>
          <w:p>
            <w:pPr>
              <w:jc w:val="center"/>
              <w:ind w:right="3760"/>
              <w:spacing w:after="0" w:line="202" w:lineRule="exact"/>
              <w:rPr>
                <w:sz w:val="20"/>
                <w:szCs w:val="20"/>
                <w:color w:val="auto"/>
              </w:rPr>
            </w:pPr>
            <w:r>
              <w:rPr>
                <w:rFonts w:ascii="Arial" w:cs="Arial" w:eastAsia="Arial" w:hAnsi="Arial"/>
                <w:sz w:val="18"/>
                <w:szCs w:val="18"/>
                <w:color w:val="auto"/>
              </w:rPr>
              <w:t>Products</w:t>
            </w:r>
          </w:p>
        </w:tc>
        <w:tc>
          <w:tcPr>
            <w:tcW w:w="1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1,102</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1,186</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3,241</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E5FFFF"/>
            </w:tcBorders>
            <w:gridSpan w:val="3"/>
          </w:tcPr>
          <w:p>
            <w:pPr>
              <w:jc w:val="center"/>
              <w:ind w:right="3780"/>
              <w:spacing w:after="0"/>
              <w:rPr>
                <w:sz w:val="20"/>
                <w:szCs w:val="20"/>
                <w:color w:val="auto"/>
              </w:rPr>
            </w:pPr>
            <w:r>
              <w:rPr>
                <w:rFonts w:ascii="Arial" w:cs="Arial" w:eastAsia="Arial" w:hAnsi="Arial"/>
                <w:sz w:val="18"/>
                <w:szCs w:val="18"/>
                <w:color w:val="auto"/>
              </w:rPr>
              <w:t>Services</w:t>
            </w:r>
          </w:p>
        </w:tc>
        <w:tc>
          <w:tcPr>
            <w:tcW w:w="148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E5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93</w:t>
            </w:r>
          </w:p>
        </w:tc>
        <w:tc>
          <w:tcPr>
            <w:tcW w:w="34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3"/>
            <w:shd w:val="clear" w:color="auto" w:fill="E5FFFF"/>
          </w:tcPr>
          <w:p>
            <w:pPr>
              <w:jc w:val="center"/>
              <w:ind w:right="3740"/>
              <w:spacing w:after="0" w:line="196" w:lineRule="exact"/>
              <w:rPr>
                <w:sz w:val="20"/>
                <w:szCs w:val="20"/>
                <w:color w:val="auto"/>
              </w:rPr>
            </w:pPr>
            <w:r>
              <w:rPr>
                <w:rFonts w:ascii="Arial" w:cs="Arial" w:eastAsia="Arial" w:hAnsi="Arial"/>
                <w:sz w:val="18"/>
                <w:szCs w:val="18"/>
                <w:color w:val="auto"/>
                <w:w w:val="94"/>
              </w:rPr>
              <w:t>Total</w:t>
            </w:r>
          </w:p>
        </w:tc>
        <w:tc>
          <w:tcPr>
            <w:tcW w:w="1480" w:type="dxa"/>
            <w:vAlign w:val="bottom"/>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spacing w:after="0"/>
              <w:rPr>
                <w:sz w:val="17"/>
                <w:szCs w:val="17"/>
                <w:color w:val="auto"/>
              </w:rPr>
            </w:pPr>
          </w:p>
        </w:tc>
        <w:tc>
          <w:tcPr>
            <w:tcW w:w="820" w:type="dxa"/>
            <w:vAlign w:val="bottom"/>
            <w:tcBorders>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1,173</w:t>
            </w:r>
          </w:p>
        </w:tc>
        <w:tc>
          <w:tcPr>
            <w:tcW w:w="340" w:type="dxa"/>
            <w:vAlign w:val="bottom"/>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spacing w:after="0"/>
              <w:rPr>
                <w:sz w:val="17"/>
                <w:szCs w:val="17"/>
                <w:color w:val="auto"/>
              </w:rPr>
            </w:pPr>
          </w:p>
        </w:tc>
        <w:tc>
          <w:tcPr>
            <w:tcW w:w="70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1,199</w:t>
            </w:r>
          </w:p>
        </w:tc>
        <w:tc>
          <w:tcPr>
            <w:tcW w:w="340" w:type="dxa"/>
            <w:vAlign w:val="bottom"/>
            <w:shd w:val="clear" w:color="auto" w:fill="E5FFFF"/>
          </w:tcPr>
          <w:p>
            <w:pPr>
              <w:spacing w:after="0"/>
              <w:rPr>
                <w:sz w:val="17"/>
                <w:szCs w:val="17"/>
                <w:color w:val="auto"/>
              </w:rPr>
            </w:pPr>
          </w:p>
        </w:tc>
        <w:tc>
          <w:tcPr>
            <w:tcW w:w="220" w:type="dxa"/>
            <w:vAlign w:val="bottom"/>
            <w:tcBorders>
              <w:bottom w:val="single" w:sz="8" w:color="auto"/>
            </w:tcBorders>
            <w:shd w:val="clear" w:color="auto" w:fill="E5FFFF"/>
          </w:tcPr>
          <w:p>
            <w:pPr>
              <w:spacing w:after="0"/>
              <w:rPr>
                <w:sz w:val="17"/>
                <w:szCs w:val="17"/>
                <w:color w:val="auto"/>
              </w:rPr>
            </w:pPr>
          </w:p>
        </w:tc>
        <w:tc>
          <w:tcPr>
            <w:tcW w:w="780" w:type="dxa"/>
            <w:vAlign w:val="bottom"/>
            <w:tcBorders>
              <w:bottom w:val="single" w:sz="8" w:color="auto"/>
            </w:tcBorders>
            <w:gridSpan w:val="2"/>
            <w:shd w:val="clear" w:color="auto" w:fill="E5FFFF"/>
          </w:tcPr>
          <w:p>
            <w:pPr>
              <w:jc w:val="right"/>
              <w:ind w:right="100"/>
              <w:spacing w:after="0" w:line="196" w:lineRule="exact"/>
              <w:rPr>
                <w:sz w:val="20"/>
                <w:szCs w:val="20"/>
                <w:color w:val="auto"/>
              </w:rPr>
            </w:pPr>
            <w:r>
              <w:rPr>
                <w:rFonts w:ascii="Arial" w:cs="Arial" w:eastAsia="Arial" w:hAnsi="Arial"/>
                <w:sz w:val="18"/>
                <w:szCs w:val="18"/>
                <w:color w:val="auto"/>
              </w:rPr>
              <w:t>3,334</w:t>
            </w:r>
          </w:p>
        </w:tc>
        <w:tc>
          <w:tcPr>
            <w:tcW w:w="340" w:type="dxa"/>
            <w:vAlign w:val="bottom"/>
            <w:shd w:val="clear" w:color="auto" w:fill="E5FFFF"/>
          </w:tcPr>
          <w:p>
            <w:pPr>
              <w:spacing w:after="0"/>
              <w:rPr>
                <w:sz w:val="17"/>
                <w:szCs w:val="17"/>
                <w:color w:val="auto"/>
              </w:rPr>
            </w:pPr>
          </w:p>
        </w:tc>
        <w:tc>
          <w:tcPr>
            <w:tcW w:w="340" w:type="dxa"/>
            <w:vAlign w:val="bottom"/>
            <w:tcBorders>
              <w:bottom w:val="single" w:sz="8" w:color="auto"/>
            </w:tcBorders>
            <w:shd w:val="clear" w:color="auto" w:fill="E5FFFF"/>
          </w:tcPr>
          <w:p>
            <w:pPr>
              <w:spacing w:after="0"/>
              <w:rPr>
                <w:sz w:val="17"/>
                <w:szCs w:val="17"/>
                <w:color w:val="auto"/>
              </w:rPr>
            </w:pPr>
          </w:p>
        </w:tc>
        <w:tc>
          <w:tcPr>
            <w:tcW w:w="680" w:type="dxa"/>
            <w:vAlign w:val="bottom"/>
            <w:tcBorders>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9,804</w:t>
            </w: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9,611</w:t>
            </w:r>
          </w:p>
        </w:tc>
        <w:tc>
          <w:tcPr>
            <w:tcW w:w="3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29,317</w:t>
            </w:r>
          </w:p>
        </w:tc>
        <w:tc>
          <w:tcPr>
            <w:tcW w:w="3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28,599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80" w:type="dxa"/>
            <w:vAlign w:val="bottom"/>
            <w:tcBorders>
              <w:top w:val="single" w:sz="8" w:color="E5FFFF"/>
              <w:bottom w:val="single" w:sz="8" w:color="auto"/>
            </w:tcBorders>
            <w:gridSpan w:val="2"/>
            <w:shd w:val="clear" w:color="auto" w:fill="E5FFFF"/>
          </w:tcPr>
          <w:p>
            <w:pPr>
              <w:spacing w:after="0" w:line="156" w:lineRule="exact"/>
              <w:rPr>
                <w:sz w:val="20"/>
                <w:szCs w:val="20"/>
                <w:color w:val="auto"/>
              </w:rPr>
            </w:pPr>
            <w:r>
              <w:rPr>
                <w:rFonts w:ascii="Arial" w:cs="Arial" w:eastAsia="Arial" w:hAnsi="Arial"/>
                <w:sz w:val="18"/>
                <w:szCs w:val="18"/>
                <w:color w:val="auto"/>
                <w:w w:val="97"/>
              </w:rPr>
              <w:t>Segment Profit</w:t>
            </w:r>
          </w:p>
        </w:tc>
        <w:tc>
          <w:tcPr>
            <w:tcW w:w="3620" w:type="dxa"/>
            <w:vAlign w:val="bottom"/>
            <w:tcBorders>
              <w:top w:val="single" w:sz="8" w:color="E5FFFF"/>
              <w:bottom w:val="single" w:sz="8" w:color="E5FFFF"/>
            </w:tcBorders>
            <w:shd w:val="clear" w:color="auto" w:fill="E5FFFF"/>
          </w:tcPr>
          <w:p>
            <w:pPr>
              <w:spacing w:after="0"/>
              <w:rPr>
                <w:sz w:val="14"/>
                <w:szCs w:val="14"/>
                <w:color w:val="auto"/>
              </w:rPr>
            </w:pPr>
          </w:p>
        </w:tc>
        <w:tc>
          <w:tcPr>
            <w:tcW w:w="1480" w:type="dxa"/>
            <w:vAlign w:val="bottom"/>
            <w:tcBorders>
              <w:top w:val="single" w:sz="8" w:color="E5FFFF"/>
              <w:bottom w:val="single" w:sz="8" w:color="E5FFFF"/>
            </w:tcBorders>
            <w:shd w:val="clear" w:color="auto" w:fill="E5FFFF"/>
          </w:tcPr>
          <w:p>
            <w:pPr>
              <w:spacing w:after="0"/>
              <w:rPr>
                <w:sz w:val="14"/>
                <w:szCs w:val="14"/>
                <w:color w:val="auto"/>
              </w:rPr>
            </w:pPr>
          </w:p>
        </w:tc>
        <w:tc>
          <w:tcPr>
            <w:tcW w:w="240" w:type="dxa"/>
            <w:vAlign w:val="bottom"/>
            <w:tcBorders>
              <w:top w:val="single" w:sz="8" w:color="auto"/>
              <w:bottom w:val="single" w:sz="8" w:color="E5FFFF"/>
            </w:tcBorders>
            <w:shd w:val="clear" w:color="auto" w:fill="E5FFFF"/>
          </w:tcPr>
          <w:p>
            <w:pPr>
              <w:spacing w:after="0"/>
              <w:rPr>
                <w:sz w:val="14"/>
                <w:szCs w:val="14"/>
                <w:color w:val="auto"/>
              </w:rPr>
            </w:pPr>
          </w:p>
        </w:tc>
        <w:tc>
          <w:tcPr>
            <w:tcW w:w="820" w:type="dxa"/>
            <w:vAlign w:val="bottom"/>
            <w:tcBorders>
              <w:top w:val="single" w:sz="8" w:color="auto"/>
              <w:bottom w:val="single" w:sz="8" w:color="E5FFFF"/>
            </w:tcBorders>
            <w:shd w:val="clear" w:color="auto" w:fill="E5FFFF"/>
          </w:tcPr>
          <w:p>
            <w:pPr>
              <w:spacing w:after="0"/>
              <w:rPr>
                <w:sz w:val="14"/>
                <w:szCs w:val="14"/>
                <w:color w:val="auto"/>
              </w:rPr>
            </w:pPr>
          </w:p>
        </w:tc>
        <w:tc>
          <w:tcPr>
            <w:tcW w:w="340" w:type="dxa"/>
            <w:vAlign w:val="bottom"/>
            <w:tcBorders>
              <w:top w:val="single" w:sz="8" w:color="E5FFFF"/>
              <w:bottom w:val="single" w:sz="8" w:color="E5FFFF"/>
            </w:tcBorders>
            <w:shd w:val="clear" w:color="auto" w:fill="E5FFFF"/>
          </w:tcPr>
          <w:p>
            <w:pPr>
              <w:spacing w:after="0"/>
              <w:rPr>
                <w:sz w:val="14"/>
                <w:szCs w:val="14"/>
                <w:color w:val="auto"/>
              </w:rPr>
            </w:pPr>
          </w:p>
        </w:tc>
        <w:tc>
          <w:tcPr>
            <w:tcW w:w="320" w:type="dxa"/>
            <w:vAlign w:val="bottom"/>
            <w:tcBorders>
              <w:top w:val="single" w:sz="8" w:color="auto"/>
              <w:bottom w:val="single" w:sz="8" w:color="E5FFFF"/>
            </w:tcBorders>
            <w:shd w:val="clear" w:color="auto" w:fill="E5FFFF"/>
          </w:tcPr>
          <w:p>
            <w:pPr>
              <w:spacing w:after="0"/>
              <w:rPr>
                <w:sz w:val="14"/>
                <w:szCs w:val="14"/>
                <w:color w:val="auto"/>
              </w:rPr>
            </w:pPr>
          </w:p>
        </w:tc>
        <w:tc>
          <w:tcPr>
            <w:tcW w:w="700" w:type="dxa"/>
            <w:vAlign w:val="bottom"/>
            <w:tcBorders>
              <w:top w:val="single" w:sz="8" w:color="auto"/>
              <w:bottom w:val="single" w:sz="8" w:color="E5FFFF"/>
            </w:tcBorders>
            <w:shd w:val="clear" w:color="auto" w:fill="E5FFFF"/>
          </w:tcPr>
          <w:p>
            <w:pPr>
              <w:spacing w:after="0"/>
              <w:rPr>
                <w:sz w:val="14"/>
                <w:szCs w:val="14"/>
                <w:color w:val="auto"/>
              </w:rPr>
            </w:pPr>
          </w:p>
        </w:tc>
        <w:tc>
          <w:tcPr>
            <w:tcW w:w="340" w:type="dxa"/>
            <w:vAlign w:val="bottom"/>
            <w:tcBorders>
              <w:top w:val="single" w:sz="8" w:color="E5FFFF"/>
              <w:bottom w:val="single" w:sz="8" w:color="E5FFFF"/>
            </w:tcBorders>
            <w:shd w:val="clear" w:color="auto" w:fill="E5FFFF"/>
          </w:tcPr>
          <w:p>
            <w:pPr>
              <w:spacing w:after="0"/>
              <w:rPr>
                <w:sz w:val="14"/>
                <w:szCs w:val="14"/>
                <w:color w:val="auto"/>
              </w:rPr>
            </w:pPr>
          </w:p>
        </w:tc>
        <w:tc>
          <w:tcPr>
            <w:tcW w:w="220" w:type="dxa"/>
            <w:vAlign w:val="bottom"/>
            <w:tcBorders>
              <w:top w:val="single" w:sz="8" w:color="auto"/>
              <w:bottom w:val="single" w:sz="8" w:color="E5FFFF"/>
            </w:tcBorders>
            <w:shd w:val="clear" w:color="auto" w:fill="E5FFFF"/>
          </w:tcPr>
          <w:p>
            <w:pPr>
              <w:spacing w:after="0"/>
              <w:rPr>
                <w:sz w:val="14"/>
                <w:szCs w:val="14"/>
                <w:color w:val="auto"/>
              </w:rPr>
            </w:pPr>
          </w:p>
        </w:tc>
        <w:tc>
          <w:tcPr>
            <w:tcW w:w="680" w:type="dxa"/>
            <w:vAlign w:val="bottom"/>
            <w:tcBorders>
              <w:top w:val="single" w:sz="8" w:color="auto"/>
              <w:bottom w:val="single" w:sz="8" w:color="E5FFFF"/>
            </w:tcBorders>
            <w:shd w:val="clear" w:color="auto" w:fill="E5FFFF"/>
          </w:tcPr>
          <w:p>
            <w:pPr>
              <w:spacing w:after="0"/>
              <w:rPr>
                <w:sz w:val="14"/>
                <w:szCs w:val="14"/>
                <w:color w:val="auto"/>
              </w:rPr>
            </w:pPr>
          </w:p>
        </w:tc>
        <w:tc>
          <w:tcPr>
            <w:tcW w:w="100" w:type="dxa"/>
            <w:vAlign w:val="bottom"/>
            <w:tcBorders>
              <w:top w:val="single" w:sz="8" w:color="auto"/>
              <w:bottom w:val="single" w:sz="8" w:color="E5FFFF"/>
            </w:tcBorders>
            <w:shd w:val="clear" w:color="auto" w:fill="E5FFFF"/>
          </w:tcPr>
          <w:p>
            <w:pPr>
              <w:spacing w:after="0"/>
              <w:rPr>
                <w:sz w:val="14"/>
                <w:szCs w:val="14"/>
                <w:color w:val="auto"/>
              </w:rPr>
            </w:pPr>
          </w:p>
        </w:tc>
        <w:tc>
          <w:tcPr>
            <w:tcW w:w="340" w:type="dxa"/>
            <w:vAlign w:val="bottom"/>
            <w:tcBorders>
              <w:top w:val="single" w:sz="8" w:color="E5FFFF"/>
              <w:bottom w:val="single" w:sz="8" w:color="E5FFFF"/>
            </w:tcBorders>
            <w:shd w:val="clear" w:color="auto" w:fill="E5FFFF"/>
          </w:tcPr>
          <w:p>
            <w:pPr>
              <w:spacing w:after="0"/>
              <w:rPr>
                <w:sz w:val="14"/>
                <w:szCs w:val="14"/>
                <w:color w:val="auto"/>
              </w:rPr>
            </w:pPr>
          </w:p>
        </w:tc>
        <w:tc>
          <w:tcPr>
            <w:tcW w:w="340" w:type="dxa"/>
            <w:vAlign w:val="bottom"/>
            <w:tcBorders>
              <w:top w:val="single" w:sz="8" w:color="auto"/>
              <w:bottom w:val="single" w:sz="8" w:color="E5FFFF"/>
            </w:tcBorders>
            <w:shd w:val="clear" w:color="auto" w:fill="E5FFFF"/>
          </w:tcPr>
          <w:p>
            <w:pPr>
              <w:spacing w:after="0"/>
              <w:rPr>
                <w:sz w:val="14"/>
                <w:szCs w:val="14"/>
                <w:color w:val="auto"/>
              </w:rPr>
            </w:pPr>
          </w:p>
        </w:tc>
        <w:tc>
          <w:tcPr>
            <w:tcW w:w="680" w:type="dxa"/>
            <w:vAlign w:val="bottom"/>
            <w:tcBorders>
              <w:top w:val="single" w:sz="8" w:color="auto"/>
              <w:bottom w:val="single" w:sz="8" w:color="E5FFFF"/>
            </w:tcBorders>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tcPr>
          <w:p>
            <w:pPr>
              <w:spacing w:after="0" w:line="202" w:lineRule="exact"/>
              <w:rPr>
                <w:sz w:val="20"/>
                <w:szCs w:val="20"/>
                <w:color w:val="auto"/>
              </w:rPr>
            </w:pPr>
            <w:r>
              <w:rPr>
                <w:rFonts w:ascii="Arial" w:cs="Arial" w:eastAsia="Arial" w:hAnsi="Arial"/>
                <w:sz w:val="18"/>
                <w:szCs w:val="18"/>
                <w:color w:val="auto"/>
              </w:rPr>
              <w:t>Aerospace</w:t>
            </w:r>
          </w:p>
        </w:tc>
        <w:tc>
          <w:tcPr>
            <w:tcW w:w="17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663</w:t>
            </w:r>
          </w:p>
        </w:tc>
        <w:tc>
          <w:tcPr>
            <w:tcW w:w="6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833</w:t>
            </w:r>
          </w:p>
        </w:tc>
        <w:tc>
          <w:tcPr>
            <w:tcW w:w="3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2,252</w:t>
            </w:r>
          </w:p>
        </w:tc>
        <w:tc>
          <w:tcPr>
            <w:tcW w:w="34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Home and Building Technologies</w:t>
            </w:r>
          </w:p>
        </w:tc>
        <w:tc>
          <w:tcPr>
            <w:tcW w:w="1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441</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408</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1,213</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tcPr>
          <w:p>
            <w:pPr>
              <w:spacing w:after="0" w:line="202" w:lineRule="exact"/>
              <w:rPr>
                <w:sz w:val="20"/>
                <w:szCs w:val="20"/>
                <w:color w:val="auto"/>
              </w:rPr>
            </w:pPr>
            <w:r>
              <w:rPr>
                <w:rFonts w:ascii="Arial" w:cs="Arial" w:eastAsia="Arial" w:hAnsi="Arial"/>
                <w:sz w:val="18"/>
                <w:szCs w:val="18"/>
                <w:color w:val="auto"/>
              </w:rPr>
              <w:t>Performance Materials and Technologies</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474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1,484</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Safety and Productivity Solutions</w:t>
            </w:r>
          </w:p>
        </w:tc>
        <w:tc>
          <w:tcPr>
            <w:tcW w:w="1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32"/>
              <w:spacing w:after="0" w:line="202" w:lineRule="exact"/>
              <w:rPr>
                <w:sz w:val="20"/>
                <w:szCs w:val="20"/>
                <w:color w:val="auto"/>
              </w:rPr>
            </w:pPr>
            <w:r>
              <w:rPr>
                <w:rFonts w:ascii="Arial" w:cs="Arial" w:eastAsia="Arial" w:hAnsi="Arial"/>
                <w:sz w:val="18"/>
                <w:szCs w:val="18"/>
                <w:color w:val="auto"/>
              </w:rPr>
              <w:t>172</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193</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100"/>
              <w:spacing w:after="0" w:line="202" w:lineRule="exact"/>
              <w:rPr>
                <w:sz w:val="20"/>
                <w:szCs w:val="20"/>
                <w:color w:val="auto"/>
              </w:rPr>
            </w:pPr>
            <w:r>
              <w:rPr>
                <w:rFonts w:ascii="Arial" w:cs="Arial" w:eastAsia="Arial" w:hAnsi="Arial"/>
                <w:sz w:val="18"/>
                <w:szCs w:val="18"/>
                <w:color w:val="auto"/>
              </w:rPr>
              <w:t>495</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ind w:right="11"/>
              <w:spacing w:after="0" w:line="202" w:lineRule="exact"/>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Corporate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E5FFFF"/>
            </w:tcBorders>
            <w:gridSpan w:val="3"/>
            <w:shd w:val="clear" w:color="auto" w:fill="E5FFFF"/>
          </w:tcPr>
          <w:p>
            <w:pPr>
              <w:ind w:left="160"/>
              <w:spacing w:after="0" w:line="196" w:lineRule="exact"/>
              <w:rPr>
                <w:sz w:val="20"/>
                <w:szCs w:val="20"/>
                <w:color w:val="auto"/>
              </w:rPr>
            </w:pPr>
            <w:r>
              <w:rPr>
                <w:rFonts w:ascii="Arial" w:cs="Arial" w:eastAsia="Arial" w:hAnsi="Arial"/>
                <w:sz w:val="18"/>
                <w:szCs w:val="18"/>
                <w:color w:val="auto"/>
              </w:rPr>
              <w:t>Total segment profit</w:t>
            </w:r>
          </w:p>
        </w:tc>
        <w:tc>
          <w:tcPr>
            <w:tcW w:w="148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bottom w:val="single" w:sz="8" w:color="auto"/>
            </w:tcBorders>
            <w:shd w:val="clear" w:color="auto" w:fill="E5FFFF"/>
          </w:tcPr>
          <w:p>
            <w:pPr>
              <w:spacing w:after="0"/>
              <w:rPr>
                <w:sz w:val="17"/>
                <w:szCs w:val="17"/>
                <w:color w:val="auto"/>
              </w:rPr>
            </w:pPr>
          </w:p>
        </w:tc>
        <w:tc>
          <w:tcPr>
            <w:tcW w:w="820" w:type="dxa"/>
            <w:vAlign w:val="bottom"/>
            <w:tcBorders>
              <w:top w:val="single" w:sz="8" w:color="auto"/>
              <w:bottom w:val="single" w:sz="8" w:color="auto"/>
            </w:tcBorders>
            <w:shd w:val="clear" w:color="auto" w:fill="E5FFFF"/>
          </w:tcPr>
          <w:p>
            <w:pPr>
              <w:jc w:val="right"/>
              <w:ind w:right="32"/>
              <w:spacing w:after="0" w:line="196" w:lineRule="exact"/>
              <w:rPr>
                <w:sz w:val="20"/>
                <w:szCs w:val="20"/>
                <w:color w:val="auto"/>
              </w:rPr>
            </w:pPr>
            <w:r>
              <w:rPr>
                <w:rFonts w:ascii="Arial" w:cs="Arial" w:eastAsia="Arial" w:hAnsi="Arial"/>
                <w:sz w:val="18"/>
                <w:szCs w:val="18"/>
                <w:color w:val="auto"/>
              </w:rPr>
              <w:t>1,720</w:t>
            </w:r>
          </w:p>
        </w:tc>
        <w:tc>
          <w:tcPr>
            <w:tcW w:w="340" w:type="dxa"/>
            <w:vAlign w:val="bottom"/>
            <w:tcBorders>
              <w:top w:val="single" w:sz="8" w:color="E5FFFF"/>
            </w:tcBorders>
            <w:shd w:val="clear" w:color="auto" w:fill="E5FFFF"/>
          </w:tcPr>
          <w:p>
            <w:pPr>
              <w:spacing w:after="0"/>
              <w:rPr>
                <w:sz w:val="17"/>
                <w:szCs w:val="17"/>
                <w:color w:val="auto"/>
              </w:rPr>
            </w:pPr>
          </w:p>
        </w:tc>
        <w:tc>
          <w:tcPr>
            <w:tcW w:w="320" w:type="dxa"/>
            <w:vAlign w:val="bottom"/>
            <w:tcBorders>
              <w:top w:val="single" w:sz="8" w:color="auto"/>
              <w:bottom w:val="single" w:sz="8" w:color="auto"/>
            </w:tcBorders>
            <w:shd w:val="clear" w:color="auto" w:fill="E5FFFF"/>
          </w:tcPr>
          <w:p>
            <w:pPr>
              <w:spacing w:after="0"/>
              <w:rPr>
                <w:sz w:val="17"/>
                <w:szCs w:val="17"/>
                <w:color w:val="auto"/>
              </w:rPr>
            </w:pPr>
          </w:p>
        </w:tc>
        <w:tc>
          <w:tcPr>
            <w:tcW w:w="700" w:type="dxa"/>
            <w:vAlign w:val="bottom"/>
            <w:tcBorders>
              <w:top w:val="single" w:sz="8" w:color="auto"/>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1,852</w:t>
            </w:r>
          </w:p>
        </w:tc>
        <w:tc>
          <w:tcPr>
            <w:tcW w:w="3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auto"/>
              <w:bottom w:val="single" w:sz="8" w:color="auto"/>
            </w:tcBorders>
            <w:shd w:val="clear" w:color="auto" w:fill="E5FFFF"/>
          </w:tcPr>
          <w:p>
            <w:pPr>
              <w:spacing w:after="0"/>
              <w:rPr>
                <w:sz w:val="17"/>
                <w:szCs w:val="17"/>
                <w:color w:val="auto"/>
              </w:rPr>
            </w:pPr>
          </w:p>
        </w:tc>
        <w:tc>
          <w:tcPr>
            <w:tcW w:w="6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5,287</w:t>
            </w:r>
          </w:p>
        </w:tc>
        <w:tc>
          <w:tcPr>
            <w:tcW w:w="10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auto"/>
              <w:bottom w:val="single" w:sz="8" w:color="auto"/>
            </w:tcBorders>
            <w:shd w:val="clear" w:color="auto" w:fill="E5FFFF"/>
          </w:tcPr>
          <w:p>
            <w:pPr>
              <w:spacing w:after="0"/>
              <w:rPr>
                <w:sz w:val="17"/>
                <w:szCs w:val="17"/>
                <w:color w:val="auto"/>
              </w:rPr>
            </w:pPr>
          </w:p>
        </w:tc>
        <w:tc>
          <w:tcPr>
            <w:tcW w:w="680" w:type="dxa"/>
            <w:vAlign w:val="bottom"/>
            <w:tcBorders>
              <w:top w:val="single" w:sz="8" w:color="auto"/>
              <w:bottom w:val="single" w:sz="8" w:color="auto"/>
            </w:tcBorders>
            <w:shd w:val="clear" w:color="auto" w:fill="E5FFFF"/>
          </w:tcPr>
          <w:p>
            <w:pPr>
              <w:jc w:val="right"/>
              <w:ind w:right="11"/>
              <w:spacing w:after="0" w:line="196" w:lineRule="exact"/>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3"/>
          </w:tcPr>
          <w:p>
            <w:pPr>
              <w:spacing w:after="0" w:line="223" w:lineRule="exact"/>
              <w:rPr>
                <w:sz w:val="20"/>
                <w:szCs w:val="20"/>
                <w:color w:val="auto"/>
              </w:rPr>
            </w:pPr>
            <w:r>
              <w:rPr>
                <w:rFonts w:ascii="Arial" w:cs="Arial" w:eastAsia="Arial" w:hAnsi="Arial"/>
                <w:sz w:val="16"/>
                <w:szCs w:val="16"/>
                <w:color w:val="auto"/>
              </w:rPr>
              <w:t>Other income (expense)</w:t>
            </w:r>
            <w:r>
              <w:rPr>
                <w:rFonts w:ascii="Arial" w:cs="Arial" w:eastAsia="Arial" w:hAnsi="Arial"/>
                <w:sz w:val="25"/>
                <w:szCs w:val="25"/>
                <w:color w:val="auto"/>
                <w:vertAlign w:val="superscript"/>
              </w:rPr>
              <w:t>(a)</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3"/>
            <w:shd w:val="clear" w:color="auto" w:fill="E5FFFF"/>
          </w:tcPr>
          <w:p>
            <w:pPr>
              <w:spacing w:after="0" w:line="202" w:lineRule="exact"/>
              <w:rPr>
                <w:sz w:val="20"/>
                <w:szCs w:val="20"/>
                <w:color w:val="auto"/>
              </w:rPr>
            </w:pPr>
            <w:r>
              <w:rPr>
                <w:rFonts w:ascii="Arial" w:cs="Arial" w:eastAsia="Arial" w:hAnsi="Arial"/>
                <w:sz w:val="18"/>
                <w:szCs w:val="18"/>
                <w:color w:val="auto"/>
              </w:rPr>
              <w:t>Interest and other financial charges</w:t>
            </w:r>
          </w:p>
        </w:tc>
        <w:tc>
          <w:tcPr>
            <w:tcW w:w="14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(82)</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(72)</w:t>
            </w:r>
          </w:p>
        </w:tc>
        <w:tc>
          <w:tcPr>
            <w:tcW w:w="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780" w:type="dxa"/>
            <w:vAlign w:val="bottom"/>
            <w:gridSpan w:val="2"/>
            <w:shd w:val="clear" w:color="auto" w:fill="E5FFFF"/>
          </w:tcPr>
          <w:p>
            <w:pPr>
              <w:jc w:val="right"/>
              <w:ind w:right="40"/>
              <w:spacing w:after="0" w:line="202" w:lineRule="exact"/>
              <w:rPr>
                <w:sz w:val="20"/>
                <w:szCs w:val="20"/>
                <w:color w:val="auto"/>
              </w:rPr>
            </w:pPr>
            <w:r>
              <w:rPr>
                <w:rFonts w:ascii="Arial" w:cs="Arial" w:eastAsia="Arial" w:hAnsi="Arial"/>
                <w:sz w:val="18"/>
                <w:szCs w:val="18"/>
                <w:color w:val="auto"/>
              </w:rPr>
              <w:t>(252)</w:t>
            </w:r>
          </w:p>
        </w:tc>
        <w:tc>
          <w:tcPr>
            <w:tcW w:w="3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(b)</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shd w:val="clear" w:color="auto" w:fill="E5FFFF"/>
          </w:tcPr>
          <w:p>
            <w:pPr>
              <w:spacing w:after="0" w:line="243" w:lineRule="exact"/>
              <w:rPr>
                <w:sz w:val="20"/>
                <w:szCs w:val="20"/>
                <w:color w:val="auto"/>
              </w:rPr>
            </w:pPr>
            <w:r>
              <w:rPr>
                <w:rFonts w:ascii="Arial" w:cs="Arial" w:eastAsia="Arial" w:hAnsi="Arial"/>
                <w:sz w:val="17"/>
                <w:szCs w:val="17"/>
                <w:color w:val="auto"/>
              </w:rPr>
              <w:t>Pension ongoing income</w:t>
            </w:r>
            <w:r>
              <w:rPr>
                <w:rFonts w:ascii="Arial" w:cs="Arial" w:eastAsia="Arial" w:hAnsi="Arial"/>
                <w:sz w:val="28"/>
                <w:szCs w:val="28"/>
                <w:color w:val="auto"/>
                <w:vertAlign w:val="superscript"/>
              </w:rPr>
              <w:t>(b)</w:t>
            </w:r>
          </w:p>
        </w:tc>
        <w:tc>
          <w:tcPr>
            <w:tcW w:w="14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82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96</w:t>
            </w:r>
          </w:p>
        </w:tc>
        <w:tc>
          <w:tcPr>
            <w:tcW w:w="3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100"/>
              <w:spacing w:after="0"/>
              <w:rPr>
                <w:sz w:val="20"/>
                <w:szCs w:val="20"/>
                <w:color w:val="auto"/>
              </w:rPr>
            </w:pPr>
            <w:r>
              <w:rPr>
                <w:rFonts w:ascii="Arial" w:cs="Arial" w:eastAsia="Arial" w:hAnsi="Arial"/>
                <w:sz w:val="18"/>
                <w:szCs w:val="18"/>
                <w:color w:val="auto"/>
              </w:rPr>
              <w:t>447</w:t>
            </w:r>
          </w:p>
        </w:tc>
        <w:tc>
          <w:tcPr>
            <w:tcW w:w="34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680" w:type="dxa"/>
            <w:vAlign w:val="bottom"/>
            <w:shd w:val="clear" w:color="auto" w:fill="E5FFFF"/>
          </w:tcPr>
          <w:p>
            <w:pPr>
              <w:jc w:val="right"/>
              <w:ind w:right="1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gridSpan w:val="3"/>
          </w:tcPr>
          <w:p>
            <w:pPr>
              <w:spacing w:after="0" w:line="243" w:lineRule="exact"/>
              <w:rPr>
                <w:sz w:val="20"/>
                <w:szCs w:val="20"/>
                <w:color w:val="auto"/>
              </w:rPr>
            </w:pPr>
            <w:r>
              <w:rPr>
                <w:rFonts w:ascii="Arial" w:cs="Arial" w:eastAsia="Arial" w:hAnsi="Arial"/>
                <w:sz w:val="17"/>
                <w:szCs w:val="17"/>
                <w:color w:val="auto"/>
              </w:rPr>
              <w:t>Other postretirement income (expense)</w:t>
            </w:r>
            <w:r>
              <w:rPr>
                <w:rFonts w:ascii="Arial" w:cs="Arial" w:eastAsia="Arial" w:hAnsi="Arial"/>
                <w:sz w:val="28"/>
                <w:szCs w:val="28"/>
                <w:color w:val="auto"/>
                <w:vertAlign w:val="superscript"/>
              </w:rPr>
              <w:t>(b)</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00" w:type="dxa"/>
            <w:vAlign w:val="bottom"/>
            <w:gridSpan w:val="3"/>
            <w:shd w:val="clear" w:color="auto" w:fill="E5FFFF"/>
          </w:tcPr>
          <w:p>
            <w:pPr>
              <w:spacing w:after="0" w:line="256" w:lineRule="exact"/>
              <w:rPr>
                <w:sz w:val="20"/>
                <w:szCs w:val="20"/>
                <w:color w:val="auto"/>
              </w:rPr>
            </w:pPr>
            <w:r>
              <w:rPr>
                <w:rFonts w:ascii="Arial" w:cs="Arial" w:eastAsia="Arial" w:hAnsi="Arial"/>
                <w:sz w:val="18"/>
                <w:szCs w:val="18"/>
                <w:color w:val="auto"/>
              </w:rPr>
              <w:t xml:space="preserve">Repositioning and other charges </w:t>
            </w:r>
            <w:r>
              <w:rPr>
                <w:rFonts w:ascii="Arial" w:cs="Arial" w:eastAsia="Arial" w:hAnsi="Arial"/>
                <w:sz w:val="29"/>
                <w:szCs w:val="29"/>
                <w:color w:val="auto"/>
                <w:vertAlign w:val="superscript"/>
              </w:rPr>
              <w:t>(b)</w:t>
            </w:r>
          </w:p>
        </w:tc>
        <w:tc>
          <w:tcPr>
            <w:tcW w:w="148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(279)</w:t>
            </w:r>
          </w:p>
        </w:tc>
        <w:tc>
          <w:tcPr>
            <w:tcW w:w="34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(133)</w:t>
            </w:r>
          </w:p>
        </w:tc>
        <w:tc>
          <w:tcPr>
            <w:tcW w:w="34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78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(520)</w:t>
            </w:r>
          </w:p>
        </w:tc>
        <w:tc>
          <w:tcPr>
            <w:tcW w:w="340" w:type="dxa"/>
            <w:vAlign w:val="bottom"/>
            <w:shd w:val="clear" w:color="auto" w:fill="E5FFFF"/>
          </w:tcPr>
          <w:p>
            <w:pPr>
              <w:spacing w:after="0"/>
              <w:rPr>
                <w:sz w:val="22"/>
                <w:szCs w:val="22"/>
                <w:color w:val="auto"/>
              </w:rPr>
            </w:pPr>
          </w:p>
        </w:tc>
        <w:tc>
          <w:tcPr>
            <w:tcW w:w="340" w:type="dxa"/>
            <w:vAlign w:val="bottom"/>
            <w:shd w:val="clear" w:color="auto" w:fill="E5FFFF"/>
          </w:tcPr>
          <w:p>
            <w:pPr>
              <w:spacing w:after="0"/>
              <w:rPr>
                <w:sz w:val="22"/>
                <w:szCs w:val="22"/>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gridSpan w:val="3"/>
            <w:vMerge w:val="restart"/>
          </w:tcPr>
          <w:p>
            <w:pPr>
              <w:spacing w:after="0"/>
              <w:rPr>
                <w:sz w:val="20"/>
                <w:szCs w:val="20"/>
                <w:color w:val="auto"/>
              </w:rPr>
            </w:pPr>
            <w:r>
              <w:rPr>
                <w:rFonts w:ascii="Arial" w:cs="Arial" w:eastAsia="Arial" w:hAnsi="Arial"/>
                <w:sz w:val="18"/>
                <w:szCs w:val="18"/>
                <w:color w:val="auto"/>
              </w:rPr>
              <w:t>Income before taxes</w:t>
            </w:r>
          </w:p>
        </w:tc>
        <w:tc>
          <w:tcPr>
            <w:tcW w:w="1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3"/>
            <w:vMerge w:val="continue"/>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1,632</w:t>
            </w:r>
          </w:p>
        </w:tc>
        <w:tc>
          <w:tcPr>
            <w:tcW w:w="3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1,707</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5,015</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 income (loss) of affiliated companies is included in segment profit.</w:t>
      </w: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Amounts included in cost of products and services sold and selling, general and administrative expenses.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Pension Benefits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periodic pension benefit income for our significant defined benefit plans include the following components: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U.S. Plans</w:t>
            </w: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4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5"/>
          </w:tcPr>
          <w:p>
            <w:pPr>
              <w:jc w:val="center"/>
              <w:ind w:right="520"/>
              <w:spacing w:after="0" w:line="143"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2"/>
                <w:szCs w:val="12"/>
                <w:color w:val="auto"/>
              </w:rPr>
            </w:pPr>
          </w:p>
        </w:tc>
        <w:tc>
          <w:tcPr>
            <w:tcW w:w="2000" w:type="dxa"/>
            <w:vAlign w:val="bottom"/>
            <w:gridSpan w:val="4"/>
          </w:tcPr>
          <w:p>
            <w:pPr>
              <w:jc w:val="center"/>
              <w:ind w:right="252"/>
              <w:spacing w:after="0" w:line="143" w:lineRule="exact"/>
              <w:rPr>
                <w:sz w:val="20"/>
                <w:szCs w:val="20"/>
                <w:color w:val="auto"/>
              </w:rPr>
            </w:pPr>
            <w:r>
              <w:rPr>
                <w:rFonts w:ascii="Arial" w:cs="Arial" w:eastAsia="Arial" w:hAnsi="Arial"/>
                <w:sz w:val="14"/>
                <w:szCs w:val="14"/>
                <w:b w:val="1"/>
                <w:bCs w:val="1"/>
                <w:color w:val="auto"/>
              </w:rPr>
              <w:t>Nine Months Ended</w:t>
            </w:r>
          </w:p>
        </w:tc>
      </w:tr>
      <w:tr>
        <w:trPr>
          <w:trHeight w:val="175"/>
        </w:trPr>
        <w:tc>
          <w:tcPr>
            <w:tcW w:w="4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r>
      <w:tr>
        <w:trPr>
          <w:trHeight w:val="196"/>
        </w:trPr>
        <w:tc>
          <w:tcPr>
            <w:tcW w:w="4260" w:type="dxa"/>
            <w:vAlign w:val="bottom"/>
            <w:tcBorders>
              <w:bottom w:val="single" w:sz="8" w:color="E5FFFF"/>
            </w:tcBorders>
          </w:tcPr>
          <w:p>
            <w:pPr>
              <w:spacing w:after="0"/>
              <w:rPr>
                <w:sz w:val="17"/>
                <w:szCs w:val="17"/>
                <w:color w:val="auto"/>
              </w:rPr>
            </w:pPr>
          </w:p>
        </w:tc>
        <w:tc>
          <w:tcPr>
            <w:tcW w:w="98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6"/>
              </w:rPr>
              <w:t>2015</w:t>
            </w:r>
          </w:p>
        </w:tc>
      </w:tr>
      <w:tr>
        <w:trPr>
          <w:trHeight w:val="196"/>
        </w:trPr>
        <w:tc>
          <w:tcPr>
            <w:tcW w:w="426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Service cost</w:t>
            </w:r>
          </w:p>
        </w:tc>
        <w:tc>
          <w:tcPr>
            <w:tcW w:w="98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48</w:t>
            </w:r>
          </w:p>
        </w:tc>
        <w:tc>
          <w:tcPr>
            <w:tcW w:w="32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58</w:t>
            </w:r>
          </w:p>
        </w:tc>
        <w:tc>
          <w:tcPr>
            <w:tcW w:w="28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143</w:t>
            </w:r>
          </w:p>
        </w:tc>
        <w:tc>
          <w:tcPr>
            <w:tcW w:w="30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172</w:t>
            </w:r>
          </w:p>
        </w:tc>
      </w:tr>
      <w:tr>
        <w:trPr>
          <w:trHeight w:val="203"/>
        </w:trPr>
        <w:tc>
          <w:tcPr>
            <w:tcW w:w="4260" w:type="dxa"/>
            <w:vAlign w:val="bottom"/>
          </w:tcPr>
          <w:p>
            <w:pPr>
              <w:ind w:left="40"/>
              <w:spacing w:after="0" w:line="202" w:lineRule="exact"/>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150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179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450</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535</w:t>
            </w:r>
          </w:p>
        </w:tc>
      </w:tr>
      <w:tr>
        <w:trPr>
          <w:trHeight w:val="203"/>
        </w:trPr>
        <w:tc>
          <w:tcPr>
            <w:tcW w:w="426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Expected return on plan assets</w:t>
            </w:r>
          </w:p>
        </w:tc>
        <w:tc>
          <w:tcPr>
            <w:tcW w:w="9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(306)</w:t>
            </w:r>
          </w:p>
        </w:tc>
        <w:tc>
          <w:tcPr>
            <w:tcW w:w="3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(321)</w:t>
            </w:r>
          </w:p>
        </w:tc>
        <w:tc>
          <w:tcPr>
            <w:tcW w:w="2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(918)</w:t>
            </w:r>
          </w:p>
        </w:tc>
        <w:tc>
          <w:tcPr>
            <w:tcW w:w="3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(962)</w:t>
            </w:r>
          </w:p>
        </w:tc>
      </w:tr>
      <w:tr>
        <w:trPr>
          <w:trHeight w:val="203"/>
        </w:trPr>
        <w:tc>
          <w:tcPr>
            <w:tcW w:w="4260" w:type="dxa"/>
            <w:vAlign w:val="bottom"/>
          </w:tcPr>
          <w:p>
            <w:pPr>
              <w:ind w:left="40"/>
              <w:spacing w:after="0" w:line="202" w:lineRule="exact"/>
              <w:rPr>
                <w:sz w:val="20"/>
                <w:szCs w:val="20"/>
                <w:color w:val="auto"/>
              </w:rPr>
            </w:pPr>
            <w:r>
              <w:rPr>
                <w:rFonts w:ascii="Arial" w:cs="Arial" w:eastAsia="Arial" w:hAnsi="Arial"/>
                <w:sz w:val="18"/>
                <w:szCs w:val="18"/>
                <w:color w:val="auto"/>
              </w:rPr>
              <w:t>Amortization of prior service (credit) cost</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w:t>
            </w:r>
          </w:p>
        </w:tc>
      </w:tr>
      <w:tr>
        <w:trPr>
          <w:trHeight w:val="216"/>
        </w:trPr>
        <w:tc>
          <w:tcPr>
            <w:tcW w:w="4260" w:type="dxa"/>
            <w:vAlign w:val="bottom"/>
            <w:shd w:val="clear" w:color="auto" w:fill="E5FFFF"/>
          </w:tcPr>
          <w:p>
            <w:pPr>
              <w:ind w:left="40"/>
              <w:spacing w:after="0"/>
              <w:rPr>
                <w:sz w:val="20"/>
                <w:szCs w:val="20"/>
                <w:color w:val="auto"/>
              </w:rPr>
            </w:pPr>
            <w:r>
              <w:rPr>
                <w:rFonts w:ascii="Arial" w:cs="Arial" w:eastAsia="Arial" w:hAnsi="Arial"/>
                <w:sz w:val="18"/>
                <w:szCs w:val="18"/>
                <w:color w:val="auto"/>
              </w:rPr>
              <w:t>Settlements and curtailments</w:t>
            </w:r>
          </w:p>
        </w:tc>
        <w:tc>
          <w:tcPr>
            <w:tcW w:w="980" w:type="dxa"/>
            <w:vAlign w:val="bottom"/>
            <w:shd w:val="clear" w:color="auto" w:fill="E5FFFF"/>
          </w:tcPr>
          <w:p>
            <w:pPr>
              <w:spacing w:after="0"/>
              <w:rPr>
                <w:sz w:val="18"/>
                <w:szCs w:val="18"/>
                <w:color w:val="auto"/>
              </w:rPr>
            </w:pPr>
          </w:p>
        </w:tc>
        <w:tc>
          <w:tcPr>
            <w:tcW w:w="240" w:type="dxa"/>
            <w:vAlign w:val="bottom"/>
            <w:tcBorders>
              <w:bottom w:val="single" w:sz="8" w:color="auto"/>
            </w:tcBorders>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8</w:t>
            </w:r>
          </w:p>
        </w:tc>
        <w:tc>
          <w:tcPr>
            <w:tcW w:w="28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680" w:type="dxa"/>
            <w:vAlign w:val="bottom"/>
            <w:tcBorders>
              <w:bottom w:val="single" w:sz="8" w:color="auto"/>
            </w:tcBorders>
            <w:shd w:val="clear" w:color="auto" w:fill="E5FF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spacing w:after="0"/>
              <w:rPr>
                <w:sz w:val="18"/>
                <w:szCs w:val="18"/>
                <w:color w:val="auto"/>
              </w:rPr>
            </w:pPr>
          </w:p>
        </w:tc>
        <w:tc>
          <w:tcPr>
            <w:tcW w:w="680" w:type="dxa"/>
            <w:vAlign w:val="bottom"/>
            <w:tcBorders>
              <w:bottom w:val="single" w:sz="8" w:color="auto"/>
            </w:tcBorders>
            <w:shd w:val="clear" w:color="auto" w:fill="E5FFFF"/>
          </w:tcPr>
          <w:p>
            <w:pPr>
              <w:jc w:val="right"/>
              <w:ind w:right="12"/>
              <w:spacing w:after="0"/>
              <w:rPr>
                <w:sz w:val="20"/>
                <w:szCs w:val="20"/>
                <w:color w:val="auto"/>
              </w:rPr>
            </w:pPr>
            <w:r>
              <w:rPr>
                <w:rFonts w:ascii="Arial" w:cs="Arial" w:eastAsia="Arial" w:hAnsi="Arial"/>
                <w:sz w:val="18"/>
                <w:szCs w:val="18"/>
                <w:color w:val="auto"/>
              </w:rPr>
              <w:t>8</w:t>
            </w:r>
          </w:p>
        </w:tc>
      </w:tr>
      <w:tr>
        <w:trPr>
          <w:trHeight w:val="210"/>
        </w:trPr>
        <w:tc>
          <w:tcPr>
            <w:tcW w:w="4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0"/>
        </w:trPr>
        <w:tc>
          <w:tcPr>
            <w:tcW w:w="4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393"/>
        </w:trPr>
        <w:tc>
          <w:tcPr>
            <w:tcW w:w="4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48"/>
        </w:trPr>
        <w:tc>
          <w:tcPr>
            <w:tcW w:w="4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5"/>
          </w:tcPr>
          <w:p>
            <w:pPr>
              <w:jc w:val="center"/>
              <w:ind w:right="520"/>
              <w:spacing w:after="0" w:line="149"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2"/>
                <w:szCs w:val="12"/>
                <w:color w:val="auto"/>
              </w:rPr>
            </w:pPr>
          </w:p>
        </w:tc>
        <w:tc>
          <w:tcPr>
            <w:tcW w:w="2000" w:type="dxa"/>
            <w:vAlign w:val="bottom"/>
            <w:gridSpan w:val="4"/>
          </w:tcPr>
          <w:p>
            <w:pPr>
              <w:jc w:val="center"/>
              <w:ind w:right="252"/>
              <w:spacing w:after="0" w:line="149" w:lineRule="exact"/>
              <w:rPr>
                <w:sz w:val="20"/>
                <w:szCs w:val="20"/>
                <w:color w:val="auto"/>
              </w:rPr>
            </w:pPr>
            <w:r>
              <w:rPr>
                <w:rFonts w:ascii="Arial" w:cs="Arial" w:eastAsia="Arial" w:hAnsi="Arial"/>
                <w:sz w:val="14"/>
                <w:szCs w:val="14"/>
                <w:b w:val="1"/>
                <w:bCs w:val="1"/>
                <w:color w:val="auto"/>
              </w:rPr>
              <w:t>Nine Months Ended</w:t>
            </w:r>
          </w:p>
        </w:tc>
      </w:tr>
      <w:tr>
        <w:trPr>
          <w:trHeight w:val="175"/>
        </w:trPr>
        <w:tc>
          <w:tcPr>
            <w:tcW w:w="4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376"/>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256"/>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r>
      <w:tr>
        <w:trPr>
          <w:trHeight w:val="196"/>
        </w:trPr>
        <w:tc>
          <w:tcPr>
            <w:tcW w:w="4260" w:type="dxa"/>
            <w:vAlign w:val="bottom"/>
            <w:tcBorders>
              <w:bottom w:val="single" w:sz="8" w:color="E5FFFF"/>
            </w:tcBorders>
          </w:tcPr>
          <w:p>
            <w:pPr>
              <w:spacing w:after="0"/>
              <w:rPr>
                <w:sz w:val="17"/>
                <w:szCs w:val="17"/>
                <w:color w:val="auto"/>
              </w:rPr>
            </w:pPr>
          </w:p>
        </w:tc>
        <w:tc>
          <w:tcPr>
            <w:tcW w:w="980" w:type="dxa"/>
            <w:vAlign w:val="bottom"/>
            <w:tcBorders>
              <w:bottom w:val="single" w:sz="8" w:color="E5FF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E5FF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6"/>
              </w:rPr>
              <w:t>2015</w:t>
            </w:r>
          </w:p>
        </w:tc>
      </w:tr>
      <w:tr>
        <w:trPr>
          <w:trHeight w:val="196"/>
        </w:trPr>
        <w:tc>
          <w:tcPr>
            <w:tcW w:w="426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Service cost</w:t>
            </w:r>
          </w:p>
        </w:tc>
        <w:tc>
          <w:tcPr>
            <w:tcW w:w="980" w:type="dxa"/>
            <w:vAlign w:val="bottom"/>
            <w:shd w:val="clear" w:color="auto" w:fill="E5FFFF"/>
          </w:tcPr>
          <w:p>
            <w:pPr>
              <w:spacing w:after="0"/>
              <w:rPr>
                <w:sz w:val="17"/>
                <w:szCs w:val="17"/>
                <w:color w:val="auto"/>
              </w:rPr>
            </w:pPr>
          </w:p>
        </w:tc>
        <w:tc>
          <w:tcPr>
            <w:tcW w:w="240" w:type="dxa"/>
            <w:vAlign w:val="bottom"/>
            <w:shd w:val="clear" w:color="auto" w:fill="E5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11</w:t>
            </w:r>
          </w:p>
        </w:tc>
        <w:tc>
          <w:tcPr>
            <w:tcW w:w="32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13</w:t>
            </w:r>
          </w:p>
        </w:tc>
        <w:tc>
          <w:tcPr>
            <w:tcW w:w="28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36</w:t>
            </w:r>
          </w:p>
        </w:tc>
        <w:tc>
          <w:tcPr>
            <w:tcW w:w="300" w:type="dxa"/>
            <w:vAlign w:val="bottom"/>
            <w:shd w:val="clear" w:color="auto" w:fill="E5FFFF"/>
          </w:tcPr>
          <w:p>
            <w:pPr>
              <w:spacing w:after="0"/>
              <w:rPr>
                <w:sz w:val="17"/>
                <w:szCs w:val="17"/>
                <w:color w:val="auto"/>
              </w:rPr>
            </w:pPr>
          </w:p>
        </w:tc>
        <w:tc>
          <w:tcPr>
            <w:tcW w:w="340" w:type="dxa"/>
            <w:vAlign w:val="bottom"/>
            <w:shd w:val="clear" w:color="auto" w:fill="E5FF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ind w:right="12"/>
              <w:spacing w:after="0" w:line="196" w:lineRule="exact"/>
              <w:rPr>
                <w:sz w:val="20"/>
                <w:szCs w:val="20"/>
                <w:color w:val="auto"/>
              </w:rPr>
            </w:pPr>
            <w:r>
              <w:rPr>
                <w:rFonts w:ascii="Arial" w:cs="Arial" w:eastAsia="Arial" w:hAnsi="Arial"/>
                <w:sz w:val="18"/>
                <w:szCs w:val="18"/>
                <w:color w:val="auto"/>
              </w:rPr>
              <w:t>39</w:t>
            </w:r>
          </w:p>
        </w:tc>
      </w:tr>
      <w:tr>
        <w:trPr>
          <w:trHeight w:val="203"/>
        </w:trPr>
        <w:tc>
          <w:tcPr>
            <w:tcW w:w="4260" w:type="dxa"/>
            <w:vAlign w:val="bottom"/>
          </w:tcPr>
          <w:p>
            <w:pPr>
              <w:ind w:left="40"/>
              <w:spacing w:after="0" w:line="202" w:lineRule="exact"/>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43</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44</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137</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133</w:t>
            </w:r>
          </w:p>
        </w:tc>
      </w:tr>
      <w:tr>
        <w:trPr>
          <w:trHeight w:val="203"/>
        </w:trPr>
        <w:tc>
          <w:tcPr>
            <w:tcW w:w="426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Expected return on plan assets</w:t>
            </w:r>
          </w:p>
        </w:tc>
        <w:tc>
          <w:tcPr>
            <w:tcW w:w="9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(92)</w:t>
            </w:r>
          </w:p>
        </w:tc>
        <w:tc>
          <w:tcPr>
            <w:tcW w:w="3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(91)</w:t>
            </w:r>
          </w:p>
        </w:tc>
        <w:tc>
          <w:tcPr>
            <w:tcW w:w="2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(291)</w:t>
            </w:r>
          </w:p>
        </w:tc>
        <w:tc>
          <w:tcPr>
            <w:tcW w:w="3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(270)</w:t>
            </w:r>
          </w:p>
        </w:tc>
      </w:tr>
      <w:tr>
        <w:trPr>
          <w:trHeight w:val="203"/>
        </w:trPr>
        <w:tc>
          <w:tcPr>
            <w:tcW w:w="4260" w:type="dxa"/>
            <w:vAlign w:val="bottom"/>
          </w:tcPr>
          <w:p>
            <w:pPr>
              <w:ind w:left="40"/>
              <w:spacing w:after="0" w:line="202" w:lineRule="exact"/>
              <w:rPr>
                <w:sz w:val="20"/>
                <w:szCs w:val="20"/>
                <w:color w:val="auto"/>
              </w:rPr>
            </w:pPr>
            <w:r>
              <w:rPr>
                <w:rFonts w:ascii="Arial" w:cs="Arial" w:eastAsia="Arial" w:hAnsi="Arial"/>
                <w:sz w:val="18"/>
                <w:szCs w:val="18"/>
                <w:color w:val="auto"/>
              </w:rPr>
              <w:t>Amortization of transition obligation</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w:t>
            </w:r>
          </w:p>
        </w:tc>
      </w:tr>
      <w:tr>
        <w:trPr>
          <w:trHeight w:val="203"/>
        </w:trPr>
        <w:tc>
          <w:tcPr>
            <w:tcW w:w="426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Amortization of prior service (credit)</w:t>
            </w:r>
          </w:p>
        </w:tc>
        <w:tc>
          <w:tcPr>
            <w:tcW w:w="9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7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c>
          <w:tcPr>
            <w:tcW w:w="3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w:t>
            </w:r>
          </w:p>
        </w:tc>
      </w:tr>
      <w:tr>
        <w:trPr>
          <w:trHeight w:val="216"/>
        </w:trPr>
        <w:tc>
          <w:tcPr>
            <w:tcW w:w="4260" w:type="dxa"/>
            <w:vAlign w:val="bottom"/>
            <w:tcBorders>
              <w:bottom w:val="single" w:sz="8" w:color="E5FFFF"/>
            </w:tcBorders>
          </w:tcPr>
          <w:p>
            <w:pPr>
              <w:ind w:left="40"/>
              <w:spacing w:after="0"/>
              <w:rPr>
                <w:sz w:val="20"/>
                <w:szCs w:val="20"/>
                <w:color w:val="auto"/>
              </w:rPr>
            </w:pPr>
            <w:r>
              <w:rPr>
                <w:rFonts w:ascii="Arial" w:cs="Arial" w:eastAsia="Arial" w:hAnsi="Arial"/>
                <w:sz w:val="18"/>
                <w:szCs w:val="18"/>
                <w:color w:val="auto"/>
              </w:rPr>
              <w:t>Settlements and curtailments</w:t>
            </w:r>
          </w:p>
        </w:tc>
        <w:tc>
          <w:tcPr>
            <w:tcW w:w="98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5FF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10"/>
        </w:trPr>
        <w:tc>
          <w:tcPr>
            <w:tcW w:w="426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(38)</w:t>
            </w:r>
          </w:p>
        </w:tc>
        <w:tc>
          <w:tcPr>
            <w:tcW w:w="660" w:type="dxa"/>
            <w:vAlign w:val="bottom"/>
            <w:gridSpan w:val="2"/>
            <w:shd w:val="clear" w:color="auto" w:fill="E5FF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E5FFFF"/>
          </w:tcPr>
          <w:p>
            <w:pPr>
              <w:spacing w:after="0"/>
              <w:rPr>
                <w:sz w:val="18"/>
                <w:szCs w:val="18"/>
                <w:color w:val="auto"/>
              </w:rPr>
            </w:pPr>
          </w:p>
        </w:tc>
        <w:tc>
          <w:tcPr>
            <w:tcW w:w="340" w:type="dxa"/>
            <w:vAlign w:val="bottom"/>
            <w:shd w:val="clear" w:color="auto" w:fill="E5FF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4260" w:type="dxa"/>
            <w:vAlign w:val="bottom"/>
            <w:tcBorders>
              <w:top w:val="single" w:sz="8" w:color="E5FFFF"/>
            </w:tcBorders>
          </w:tcPr>
          <w:p>
            <w:pPr>
              <w:spacing w:after="0" w:line="20" w:lineRule="exact"/>
              <w:rPr>
                <w:sz w:val="1"/>
                <w:szCs w:val="1"/>
                <w:color w:val="auto"/>
              </w:rPr>
            </w:pPr>
          </w:p>
        </w:tc>
        <w:tc>
          <w:tcPr>
            <w:tcW w:w="98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Our environmental matters are described in Note 19 Commitments and Contingencies of Notes to Financial Statements in our 2015 Annual Report on Form 10-K.</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concerning our recorded liabilities for environmental costs: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8"/>
                <w:szCs w:val="18"/>
                <w:color w:val="auto"/>
              </w:rPr>
            </w:pPr>
          </w:p>
        </w:tc>
        <w:tc>
          <w:tcPr>
            <w:tcW w:w="6760" w:type="dxa"/>
            <w:vAlign w:val="bottom"/>
            <w:shd w:val="clear" w:color="auto" w:fill="E5FFFF"/>
          </w:tcPr>
          <w:p>
            <w:pPr>
              <w:spacing w:after="0"/>
              <w:rPr>
                <w:sz w:val="20"/>
                <w:szCs w:val="20"/>
                <w:color w:val="auto"/>
              </w:rPr>
            </w:pPr>
            <w:r>
              <w:rPr>
                <w:rFonts w:ascii="Arial" w:cs="Arial" w:eastAsia="Arial" w:hAnsi="Arial"/>
                <w:sz w:val="18"/>
                <w:szCs w:val="18"/>
                <w:color w:val="auto"/>
              </w:rPr>
              <w:t>December 31, 2015</w:t>
            </w:r>
          </w:p>
        </w:tc>
        <w:tc>
          <w:tcPr>
            <w:tcW w:w="5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760" w:type="dxa"/>
            <w:vAlign w:val="bottom"/>
          </w:tcPr>
          <w:p>
            <w:pPr>
              <w:ind w:left="180"/>
              <w:spacing w:after="0" w:line="202" w:lineRule="exact"/>
              <w:rPr>
                <w:sz w:val="20"/>
                <w:szCs w:val="20"/>
                <w:color w:val="auto"/>
              </w:rPr>
            </w:pPr>
            <w:r>
              <w:rPr>
                <w:rFonts w:ascii="Arial" w:cs="Arial" w:eastAsia="Arial" w:hAnsi="Arial"/>
                <w:sz w:val="18"/>
                <w:szCs w:val="18"/>
                <w:color w:val="auto"/>
              </w:rPr>
              <w:t>Accruals for environmental matters deemed probable and reasonably estimable</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676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Environmental liability payments</w:t>
            </w:r>
          </w:p>
        </w:tc>
        <w:tc>
          <w:tcPr>
            <w:tcW w:w="26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6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(144)</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76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E5FF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760" w:type="dxa"/>
            <w:vAlign w:val="bottom"/>
            <w:shd w:val="clear" w:color="auto" w:fill="E5FFFF"/>
          </w:tcPr>
          <w:p>
            <w:pPr>
              <w:spacing w:after="0" w:line="197" w:lineRule="exact"/>
              <w:rPr>
                <w:sz w:val="20"/>
                <w:szCs w:val="20"/>
                <w:color w:val="auto"/>
              </w:rPr>
            </w:pPr>
            <w:r>
              <w:rPr>
                <w:rFonts w:ascii="Arial" w:cs="Arial" w:eastAsia="Arial" w:hAnsi="Arial"/>
                <w:sz w:val="18"/>
                <w:szCs w:val="18"/>
                <w:color w:val="auto"/>
              </w:rPr>
              <w:t>September 30, 2016</w:t>
            </w:r>
          </w:p>
        </w:tc>
        <w:tc>
          <w:tcPr>
            <w:tcW w:w="580" w:type="dxa"/>
            <w:vAlign w:val="bottom"/>
            <w:gridSpan w:val="2"/>
            <w:shd w:val="clear" w:color="auto" w:fill="E5FF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6760" w:type="dxa"/>
            <w:vAlign w:val="bottom"/>
            <w:tcBorders>
              <w:top w:val="single" w:sz="8" w:color="E5FFFF"/>
              <w:bottom w:val="single" w:sz="8" w:color="E5FFFF"/>
            </w:tcBorders>
            <w:vMerge w:val="restart"/>
          </w:tcPr>
          <w:p>
            <w:pPr>
              <w:ind w:left="3900"/>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720" w:type="dxa"/>
            <w:vAlign w:val="bottom"/>
            <w:vMerge w:val="continue"/>
          </w:tcPr>
          <w:p>
            <w:pPr>
              <w:spacing w:after="0"/>
              <w:rPr>
                <w:sz w:val="24"/>
                <w:szCs w:val="24"/>
                <w:color w:val="auto"/>
              </w:rPr>
            </w:pPr>
          </w:p>
        </w:tc>
        <w:tc>
          <w:tcPr>
            <w:tcW w:w="6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0C0C0"/>
            </w:tcBorders>
          </w:tcPr>
          <w:p>
            <w:pPr>
              <w:spacing w:after="0"/>
              <w:rPr>
                <w:sz w:val="20"/>
                <w:szCs w:val="20"/>
                <w:color w:val="auto"/>
              </w:rPr>
            </w:pPr>
          </w:p>
        </w:tc>
        <w:tc>
          <w:tcPr>
            <w:tcW w:w="676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640" w:type="dxa"/>
            <w:vAlign w:val="bottom"/>
            <w:tcBorders>
              <w:bottom w:val="single" w:sz="8" w:color="C0C0C0"/>
            </w:tcBorders>
          </w:tcPr>
          <w:p>
            <w:pPr>
              <w:spacing w:after="0"/>
              <w:rPr>
                <w:sz w:val="20"/>
                <w:szCs w:val="20"/>
                <w:color w:val="auto"/>
              </w:rPr>
            </w:pPr>
          </w:p>
        </w:tc>
        <w:tc>
          <w:tcPr>
            <w:tcW w:w="17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are included in the following balance sheet accounts:</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17"/>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5900" w:type="dxa"/>
            <w:vAlign w:val="bottom"/>
            <w:tcBorders>
              <w:bottom w:val="single" w:sz="8" w:color="E5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E5FF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2015</w:t>
            </w:r>
          </w:p>
        </w:tc>
      </w:tr>
      <w:tr>
        <w:trPr>
          <w:trHeight w:val="196"/>
        </w:trPr>
        <w:tc>
          <w:tcPr>
            <w:tcW w:w="590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Accrued liabilities</w:t>
            </w:r>
          </w:p>
        </w:tc>
        <w:tc>
          <w:tcPr>
            <w:tcW w:w="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251</w:t>
            </w: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253</w:t>
            </w:r>
          </w:p>
        </w:tc>
      </w:tr>
      <w:tr>
        <w:trPr>
          <w:trHeight w:val="216"/>
        </w:trPr>
        <w:tc>
          <w:tcPr>
            <w:tcW w:w="59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Borders>
              <w:bottom w:val="single" w:sz="8" w:color="E5FF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10"/>
        </w:trPr>
        <w:tc>
          <w:tcPr>
            <w:tcW w:w="5900" w:type="dxa"/>
            <w:vAlign w:val="bottom"/>
            <w:shd w:val="clear" w:color="auto" w:fill="E5FFFF"/>
          </w:tcPr>
          <w:p>
            <w:pPr>
              <w:spacing w:after="0"/>
              <w:rPr>
                <w:sz w:val="18"/>
                <w:szCs w:val="18"/>
                <w:color w:val="auto"/>
              </w:rPr>
            </w:pPr>
          </w:p>
        </w:tc>
        <w:tc>
          <w:tcPr>
            <w:tcW w:w="1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502</w:t>
            </w:r>
          </w:p>
        </w:tc>
        <w:tc>
          <w:tcPr>
            <w:tcW w:w="3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518</w:t>
            </w:r>
          </w:p>
        </w:tc>
      </w:tr>
      <w:tr>
        <w:trPr>
          <w:trHeight w:val="20"/>
        </w:trPr>
        <w:tc>
          <w:tcPr>
            <w:tcW w:w="590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do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we do not expect that environmental matters will have a material adverse effect on our consolidated financial position.</w:t>
      </w:r>
    </w:p>
    <w:p>
      <w:pPr>
        <w:spacing w:after="0" w:line="16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b w:val="1"/>
          <w:bCs w:val="1"/>
          <w:i w:val="1"/>
          <w:iCs w:val="1"/>
          <w:color w:val="auto"/>
        </w:rPr>
        <w:t>Onondaga Lake, Syracuse, NY</w:t>
      </w:r>
      <w:r>
        <w:rPr>
          <w:rFonts w:ascii="Arial" w:cs="Arial" w:eastAsia="Arial" w:hAnsi="Arial"/>
          <w:sz w:val="18"/>
          <w:szCs w:val="18"/>
          <w:color w:val="auto"/>
        </w:rPr>
        <w:t>—We are implementing a combined dredging/capping remedy of Onondaga Lake pursuant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consent decree approved by the United States District Court for the Northern District of New York in January 2007. We have accrued for our estimated cost of remediating Onondaga Lake based on currently available information and analysis performed by our engineering consultants. Honeywell is also conducting remedial investigations and activities at other sites in Syracuse. We have recorded reserves for these investigations and activities where appropriate, consistent with the accounting policy described above.</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Honeywell has entered into a cooperative agreement with potential natural resource trustees to assess alleged natural resource damages relating to this site. It is not possible to predict the outcome or duration of this assessment, or the amounts of, or responsibility for, any damages.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Matters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is a defendant in asbestos related personal injury actions related to two predecessor companies:</w:t>
      </w:r>
    </w:p>
    <w:p>
      <w:pPr>
        <w:spacing w:after="0" w:line="198" w:lineRule="exact"/>
        <w:rPr>
          <w:sz w:val="20"/>
          <w:szCs w:val="20"/>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American Refractories Company (NARCO), which was sold in 1986, produced refractory products (bricks and cement used in high temperature applications). Claimants consist largely of individuals who allege exposure to NARCO asbestos-containing refractory products in an occupational setting.</w:t>
      </w:r>
    </w:p>
    <w:p>
      <w:pPr>
        <w:spacing w:after="0" w:line="202" w:lineRule="exact"/>
        <w:rPr>
          <w:rFonts w:ascii="Arial" w:cs="Arial" w:eastAsia="Arial" w:hAnsi="Arial"/>
          <w:sz w:val="18"/>
          <w:szCs w:val="18"/>
          <w:color w:val="auto"/>
        </w:rPr>
      </w:pPr>
    </w:p>
    <w:p>
      <w:pPr>
        <w:jc w:val="both"/>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Bendix Friction Materials (Bendix) business, which was sold in 2014, manufactured automotive brake parts that contained chrysotile asbestos in an encapsulated form. Claimants consist largely of individuals who allege exposure to asbestos from brakes from either performing or being in the vicinity of individuals who performed brake replacements.</w:t>
      </w:r>
    </w:p>
    <w:p>
      <w:pPr>
        <w:spacing w:after="0" w:line="20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tables summarize information concerning NARCO and Bendix asbestos related balances:</w:t>
      </w:r>
    </w:p>
    <w:p>
      <w:pPr>
        <w:sectPr>
          <w:pgSz w:w="11900" w:h="16838" w:orient="portrait"/>
          <w:cols w:equalWidth="0" w:num="1">
            <w:col w:w="11420"/>
          </w:cols>
          <w:pgMar w:left="240" w:top="400" w:right="239" w:bottom="1440" w:gutter="0" w:footer="0" w:header="0"/>
        </w:sectPr>
      </w:pPr>
    </w:p>
    <w:p>
      <w:pPr>
        <w:spacing w:after="0" w:line="240"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auto"/>
        </w:rPr>
        <w:t>Asbestos Related Liabilities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December 31, 2015</w:t>
      </w:r>
    </w:p>
    <w:p>
      <w:pPr>
        <w:ind w:left="1040"/>
        <w:spacing w:after="0"/>
        <w:rPr>
          <w:sz w:val="20"/>
          <w:szCs w:val="20"/>
          <w:color w:val="auto"/>
        </w:rPr>
      </w:pPr>
      <w:r>
        <w:rPr>
          <w:rFonts w:ascii="Arial" w:cs="Arial" w:eastAsia="Arial" w:hAnsi="Arial"/>
          <w:sz w:val="17"/>
          <w:szCs w:val="17"/>
          <w:color w:val="auto"/>
        </w:rPr>
        <w:t>Accrual for update to estimated liability</w:t>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Asbestos related liability payments</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September 30,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1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Bendix</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NARCO</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r>
      <w:tr>
        <w:trPr>
          <w:trHeight w:val="195"/>
        </w:trPr>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ind w:right="14"/>
              <w:spacing w:after="0" w:line="195" w:lineRule="exact"/>
              <w:rPr>
                <w:sz w:val="20"/>
                <w:szCs w:val="20"/>
                <w:color w:val="auto"/>
              </w:rPr>
            </w:pPr>
            <w:r>
              <w:rPr>
                <w:rFonts w:ascii="Arial" w:cs="Arial" w:eastAsia="Arial" w:hAnsi="Arial"/>
                <w:sz w:val="18"/>
                <w:szCs w:val="18"/>
                <w:color w:val="auto"/>
              </w:rPr>
              <w:t>622</w:t>
            </w:r>
          </w:p>
        </w:tc>
        <w:tc>
          <w:tcPr>
            <w:tcW w:w="28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4"/>
              <w:spacing w:after="0" w:line="195" w:lineRule="exact"/>
              <w:rPr>
                <w:sz w:val="20"/>
                <w:szCs w:val="20"/>
                <w:color w:val="auto"/>
              </w:rPr>
            </w:pPr>
            <w:r>
              <w:rPr>
                <w:rFonts w:ascii="Arial" w:cs="Arial" w:eastAsia="Arial" w:hAnsi="Arial"/>
                <w:sz w:val="18"/>
                <w:szCs w:val="18"/>
                <w:color w:val="auto"/>
              </w:rPr>
              <w:t>921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ind w:right="14"/>
              <w:spacing w:after="0" w:line="195" w:lineRule="exact"/>
              <w:rPr>
                <w:sz w:val="20"/>
                <w:szCs w:val="20"/>
                <w:color w:val="auto"/>
              </w:rPr>
            </w:pPr>
            <w:r>
              <w:rPr>
                <w:rFonts w:ascii="Arial" w:cs="Arial" w:eastAsia="Arial" w:hAnsi="Arial"/>
                <w:sz w:val="18"/>
                <w:szCs w:val="18"/>
                <w:color w:val="auto"/>
              </w:rPr>
              <w:t>1,543</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177</w:t>
            </w:r>
          </w:p>
        </w:tc>
      </w:tr>
      <w:tr>
        <w:trPr>
          <w:trHeight w:val="203"/>
        </w:trPr>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w:t>
            </w:r>
          </w:p>
        </w:tc>
      </w:tr>
      <w:tr>
        <w:trPr>
          <w:trHeight w:val="210"/>
        </w:trPr>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649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921</w:t>
            </w:r>
          </w:p>
        </w:tc>
        <w:tc>
          <w:tcPr>
            <w:tcW w:w="28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1,570</w:t>
            </w: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-574040</wp:posOffset>
            </wp:positionV>
            <wp:extent cx="615759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-307975</wp:posOffset>
            </wp:positionV>
            <wp:extent cx="615759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135255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2">
            <w:col w:w="4900" w:space="720"/>
            <w:col w:w="5800"/>
          </w:cols>
          <w:pgMar w:left="240" w:top="400"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226"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Insurance Recoveries for Asbestos Related Liabilities</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3660" w:type="dxa"/>
            <w:vAlign w:val="bottom"/>
            <w:tcBorders>
              <w:top w:val="single" w:sz="8" w:color="auto"/>
              <w:bottom w:val="single" w:sz="8" w:color="E5FFFF"/>
            </w:tcBorders>
          </w:tcPr>
          <w:p>
            <w:pPr>
              <w:spacing w:after="0"/>
              <w:rPr>
                <w:sz w:val="17"/>
                <w:szCs w:val="17"/>
                <w:color w:val="auto"/>
              </w:rPr>
            </w:pPr>
          </w:p>
        </w:tc>
        <w:tc>
          <w:tcPr>
            <w:tcW w:w="1840" w:type="dxa"/>
            <w:vAlign w:val="bottom"/>
            <w:tcBorders>
              <w:bottom w:val="single" w:sz="8" w:color="E5FFFF"/>
            </w:tcBorders>
          </w:tcPr>
          <w:p>
            <w:pPr>
              <w:spacing w:after="0"/>
              <w:rPr>
                <w:sz w:val="17"/>
                <w:szCs w:val="17"/>
                <w:color w:val="auto"/>
              </w:rPr>
            </w:pPr>
          </w:p>
        </w:tc>
        <w:tc>
          <w:tcPr>
            <w:tcW w:w="70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Bendix</w:t>
            </w:r>
          </w:p>
        </w:tc>
        <w:tc>
          <w:tcPr>
            <w:tcW w:w="280" w:type="dxa"/>
            <w:vAlign w:val="bottom"/>
            <w:tcBorders>
              <w:bottom w:val="single" w:sz="8" w:color="E5FF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NARCO</w:t>
            </w:r>
          </w:p>
        </w:tc>
        <w:tc>
          <w:tcPr>
            <w:tcW w:w="28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5500" w:type="dxa"/>
            <w:vAlign w:val="bottom"/>
            <w:gridSpan w:val="2"/>
            <w:shd w:val="clear" w:color="auto" w:fill="E5FFFF"/>
          </w:tcPr>
          <w:p>
            <w:pPr>
              <w:spacing w:after="0" w:line="196" w:lineRule="exact"/>
              <w:rPr>
                <w:sz w:val="20"/>
                <w:szCs w:val="20"/>
                <w:color w:val="auto"/>
              </w:rPr>
            </w:pPr>
            <w:r>
              <w:rPr>
                <w:rFonts w:ascii="Arial" w:cs="Arial" w:eastAsia="Arial" w:hAnsi="Arial"/>
                <w:sz w:val="18"/>
                <w:szCs w:val="18"/>
                <w:color w:val="auto"/>
              </w:rPr>
              <w:t>December 31, 2015</w:t>
            </w:r>
          </w:p>
        </w:tc>
        <w:tc>
          <w:tcPr>
            <w:tcW w:w="700" w:type="dxa"/>
            <w:vAlign w:val="bottom"/>
            <w:shd w:val="clear" w:color="auto" w:fill="E5FFFF"/>
          </w:tcPr>
          <w:p>
            <w:pPr>
              <w:spacing w:after="0"/>
              <w:rPr>
                <w:sz w:val="17"/>
                <w:szCs w:val="17"/>
                <w:color w:val="auto"/>
              </w:rPr>
            </w:pPr>
          </w:p>
        </w:tc>
        <w:tc>
          <w:tcPr>
            <w:tcW w:w="18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124</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325</w:t>
            </w:r>
          </w:p>
        </w:tc>
        <w:tc>
          <w:tcPr>
            <w:tcW w:w="28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449</w:t>
            </w:r>
          </w:p>
        </w:tc>
      </w:tr>
      <w:tr>
        <w:trPr>
          <w:trHeight w:val="203"/>
        </w:trPr>
        <w:tc>
          <w:tcPr>
            <w:tcW w:w="20" w:type="dxa"/>
            <w:vAlign w:val="bottom"/>
          </w:tcPr>
          <w:p>
            <w:pPr>
              <w:spacing w:after="0"/>
              <w:rPr>
                <w:sz w:val="17"/>
                <w:szCs w:val="17"/>
                <w:color w:val="auto"/>
              </w:rPr>
            </w:pPr>
          </w:p>
        </w:tc>
        <w:tc>
          <w:tcPr>
            <w:tcW w:w="55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Probable insurance recoveries related to estimated liability</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w:t>
            </w:r>
          </w:p>
        </w:tc>
      </w:tr>
      <w:tr>
        <w:trPr>
          <w:trHeight w:val="203"/>
        </w:trPr>
        <w:tc>
          <w:tcPr>
            <w:tcW w:w="20" w:type="dxa"/>
            <w:vAlign w:val="bottom"/>
          </w:tcPr>
          <w:p>
            <w:pPr>
              <w:spacing w:after="0"/>
              <w:rPr>
                <w:sz w:val="17"/>
                <w:szCs w:val="17"/>
                <w:color w:val="auto"/>
              </w:rPr>
            </w:pPr>
          </w:p>
        </w:tc>
        <w:tc>
          <w:tcPr>
            <w:tcW w:w="5500" w:type="dxa"/>
            <w:vAlign w:val="bottom"/>
            <w:gridSpan w:val="2"/>
            <w:shd w:val="clear" w:color="auto" w:fill="E5FFFF"/>
          </w:tcPr>
          <w:p>
            <w:pPr>
              <w:ind w:left="160"/>
              <w:spacing w:after="0" w:line="202" w:lineRule="exact"/>
              <w:rPr>
                <w:sz w:val="20"/>
                <w:szCs w:val="20"/>
                <w:color w:val="auto"/>
              </w:rPr>
            </w:pPr>
            <w:r>
              <w:rPr>
                <w:rFonts w:ascii="Arial" w:cs="Arial" w:eastAsia="Arial" w:hAnsi="Arial"/>
                <w:sz w:val="18"/>
                <w:szCs w:val="18"/>
                <w:color w:val="auto"/>
              </w:rPr>
              <w:t>Insurance receivables settlements</w:t>
            </w:r>
          </w:p>
        </w:tc>
        <w:tc>
          <w:tcPr>
            <w:tcW w:w="7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0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3"/>
              <w:spacing w:after="0" w:line="202" w:lineRule="exact"/>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E5FFFF"/>
            </w:tcBorders>
            <w:gridSpan w:val="2"/>
          </w:tcPr>
          <w:p>
            <w:pPr>
              <w:ind w:left="160"/>
              <w:spacing w:after="0"/>
              <w:rPr>
                <w:sz w:val="20"/>
                <w:szCs w:val="20"/>
                <w:color w:val="auto"/>
              </w:rPr>
            </w:pPr>
            <w:r>
              <w:rPr>
                <w:rFonts w:ascii="Arial" w:cs="Arial" w:eastAsia="Arial" w:hAnsi="Arial"/>
                <w:sz w:val="18"/>
                <w:szCs w:val="18"/>
                <w:color w:val="auto"/>
              </w:rPr>
              <w:t>Insurance receipts for asbestos related liabilities</w:t>
            </w:r>
          </w:p>
        </w:tc>
        <w:tc>
          <w:tcPr>
            <w:tcW w:w="700" w:type="dxa"/>
            <w:vAlign w:val="bottom"/>
            <w:tcBorders>
              <w:bottom w:val="single" w:sz="8" w:color="E5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E5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20" w:type="dxa"/>
            <w:vAlign w:val="bottom"/>
          </w:tcPr>
          <w:p>
            <w:pPr>
              <w:spacing w:after="0"/>
              <w:rPr>
                <w:sz w:val="18"/>
                <w:szCs w:val="18"/>
                <w:color w:val="auto"/>
              </w:rPr>
            </w:pPr>
          </w:p>
        </w:tc>
        <w:tc>
          <w:tcPr>
            <w:tcW w:w="5500" w:type="dxa"/>
            <w:vAlign w:val="bottom"/>
            <w:gridSpan w:val="2"/>
            <w:shd w:val="clear" w:color="auto" w:fill="E5FFFF"/>
          </w:tcPr>
          <w:p>
            <w:pPr>
              <w:spacing w:after="0" w:line="197" w:lineRule="exact"/>
              <w:rPr>
                <w:sz w:val="20"/>
                <w:szCs w:val="20"/>
                <w:color w:val="auto"/>
              </w:rPr>
            </w:pPr>
            <w:r>
              <w:rPr>
                <w:rFonts w:ascii="Arial" w:cs="Arial" w:eastAsia="Arial" w:hAnsi="Arial"/>
                <w:sz w:val="18"/>
                <w:szCs w:val="18"/>
                <w:color w:val="auto"/>
              </w:rPr>
              <w:t>September 30, 2016</w:t>
            </w:r>
          </w:p>
        </w:tc>
        <w:tc>
          <w:tcPr>
            <w:tcW w:w="8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134</w:t>
            </w:r>
          </w:p>
        </w:tc>
        <w:tc>
          <w:tcPr>
            <w:tcW w:w="4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322</w:t>
            </w:r>
          </w:p>
        </w:tc>
        <w:tc>
          <w:tcPr>
            <w:tcW w:w="480" w:type="dxa"/>
            <w:vAlign w:val="bottom"/>
            <w:gridSpan w:val="2"/>
            <w:shd w:val="clear" w:color="auto" w:fill="E5FF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456</w:t>
            </w: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E5FFFF"/>
            </w:tcBorders>
          </w:tcPr>
          <w:p>
            <w:pPr>
              <w:spacing w:after="0" w:line="20" w:lineRule="exact"/>
              <w:rPr>
                <w:sz w:val="1"/>
                <w:szCs w:val="1"/>
                <w:color w:val="auto"/>
              </w:rPr>
            </w:pPr>
          </w:p>
        </w:tc>
        <w:tc>
          <w:tcPr>
            <w:tcW w:w="184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NARCO and Bendix asbestos related balances are included in the following balance sheet accounts:</w:t>
      </w:r>
    </w:p>
    <w:p>
      <w:pPr>
        <w:spacing w:after="0" w:line="18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60" w:type="dxa"/>
            <w:vAlign w:val="bottom"/>
          </w:tcPr>
          <w:p>
            <w:pPr>
              <w:jc w:val="right"/>
              <w:ind w:right="34"/>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080" w:type="dxa"/>
            <w:vAlign w:val="bottom"/>
            <w:tcBorders>
              <w:bottom w:val="single" w:sz="8" w:color="E5FF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E5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196"/>
        </w:trPr>
        <w:tc>
          <w:tcPr>
            <w:tcW w:w="708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E5FFFF"/>
          </w:tcPr>
          <w:p>
            <w:pPr>
              <w:jc w:val="right"/>
              <w:ind w:right="74"/>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23</w:t>
            </w:r>
          </w:p>
        </w:tc>
        <w:tc>
          <w:tcPr>
            <w:tcW w:w="300" w:type="dxa"/>
            <w:vAlign w:val="bottom"/>
            <w:shd w:val="clear" w:color="auto" w:fill="E5FFFF"/>
          </w:tcPr>
          <w:p>
            <w:pPr>
              <w:spacing w:after="0"/>
              <w:rPr>
                <w:sz w:val="17"/>
                <w:szCs w:val="17"/>
                <w:color w:val="auto"/>
              </w:rPr>
            </w:pPr>
          </w:p>
        </w:tc>
        <w:tc>
          <w:tcPr>
            <w:tcW w:w="10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14"/>
              <w:spacing w:after="0" w:line="196" w:lineRule="exact"/>
              <w:rPr>
                <w:sz w:val="20"/>
                <w:szCs w:val="20"/>
                <w:color w:val="auto"/>
              </w:rPr>
            </w:pPr>
            <w:r>
              <w:rPr>
                <w:rFonts w:ascii="Arial" w:cs="Arial" w:eastAsia="Arial" w:hAnsi="Arial"/>
                <w:sz w:val="18"/>
                <w:szCs w:val="18"/>
                <w:color w:val="auto"/>
              </w:rPr>
              <w:t>23</w:t>
            </w:r>
          </w:p>
        </w:tc>
      </w:tr>
      <w:tr>
        <w:trPr>
          <w:trHeight w:val="216"/>
        </w:trPr>
        <w:tc>
          <w:tcPr>
            <w:tcW w:w="708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Insurance recoveries for asbestos related liabilities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300" w:type="dxa"/>
            <w:vAlign w:val="bottom"/>
            <w:tcBorders>
              <w:bottom w:val="single" w:sz="8" w:color="E5FF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426</w:t>
            </w:r>
          </w:p>
        </w:tc>
      </w:tr>
      <w:tr>
        <w:trPr>
          <w:trHeight w:val="210"/>
        </w:trPr>
        <w:tc>
          <w:tcPr>
            <w:tcW w:w="7080" w:type="dxa"/>
            <w:vAlign w:val="bottom"/>
            <w:tcBorders>
              <w:bottom w:val="single" w:sz="8" w:color="E5FFFF"/>
            </w:tcBorders>
            <w:shd w:val="clear" w:color="auto" w:fill="E5FFFF"/>
          </w:tcPr>
          <w:p>
            <w:pPr>
              <w:spacing w:after="0"/>
              <w:rPr>
                <w:sz w:val="18"/>
                <w:szCs w:val="18"/>
                <w:color w:val="auto"/>
              </w:rPr>
            </w:pPr>
          </w:p>
        </w:tc>
        <w:tc>
          <w:tcPr>
            <w:tcW w:w="260" w:type="dxa"/>
            <w:vAlign w:val="bottom"/>
            <w:tcBorders>
              <w:bottom w:val="single" w:sz="8" w:color="auto"/>
            </w:tcBorders>
            <w:shd w:val="clear" w:color="auto" w:fill="E5FFFF"/>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456</w:t>
            </w:r>
          </w:p>
        </w:tc>
        <w:tc>
          <w:tcPr>
            <w:tcW w:w="300" w:type="dxa"/>
            <w:vAlign w:val="bottom"/>
            <w:tcBorders>
              <w:bottom w:val="single" w:sz="8" w:color="E5FFFF"/>
            </w:tcBorders>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449</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86"/>
        </w:trPr>
        <w:tc>
          <w:tcPr>
            <w:tcW w:w="7080" w:type="dxa"/>
            <w:vAlign w:val="bottom"/>
          </w:tcPr>
          <w:p>
            <w:pPr>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292</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292</w:t>
            </w:r>
          </w:p>
        </w:tc>
      </w:tr>
      <w:tr>
        <w:trPr>
          <w:trHeight w:val="216"/>
        </w:trPr>
        <w:tc>
          <w:tcPr>
            <w:tcW w:w="7080" w:type="dxa"/>
            <w:vAlign w:val="bottom"/>
            <w:shd w:val="clear" w:color="auto" w:fill="E5FFFF"/>
          </w:tcPr>
          <w:p>
            <w:pPr>
              <w:spacing w:after="0"/>
              <w:rPr>
                <w:sz w:val="20"/>
                <w:szCs w:val="20"/>
                <w:color w:val="auto"/>
              </w:rPr>
            </w:pPr>
            <w:r>
              <w:rPr>
                <w:rFonts w:ascii="Arial" w:cs="Arial" w:eastAsia="Arial" w:hAnsi="Arial"/>
                <w:sz w:val="18"/>
                <w:szCs w:val="18"/>
                <w:color w:val="auto"/>
              </w:rPr>
              <w:t>Asbestos related liabilities</w:t>
            </w:r>
          </w:p>
        </w:tc>
        <w:tc>
          <w:tcPr>
            <w:tcW w:w="26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1,278</w:t>
            </w:r>
          </w:p>
        </w:tc>
        <w:tc>
          <w:tcPr>
            <w:tcW w:w="300" w:type="dxa"/>
            <w:vAlign w:val="bottom"/>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10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8"/>
                <w:szCs w:val="18"/>
                <w:color w:val="auto"/>
              </w:rPr>
              <w:t>1,251</w:t>
            </w:r>
          </w:p>
        </w:tc>
      </w:tr>
      <w:tr>
        <w:trPr>
          <w:trHeight w:val="210"/>
        </w:trPr>
        <w:tc>
          <w:tcPr>
            <w:tcW w:w="70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1,543</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b w:val="1"/>
          <w:bCs w:val="1"/>
          <w:i w:val="1"/>
          <w:iCs w:val="1"/>
          <w:color w:val="auto"/>
        </w:rPr>
        <w:t xml:space="preserve">NARCO Products </w:t>
      </w:r>
      <w:r>
        <w:rPr>
          <w:rFonts w:ascii="Arial" w:cs="Arial" w:eastAsia="Arial" w:hAnsi="Arial"/>
          <w:sz w:val="18"/>
          <w:szCs w:val="18"/>
          <w:color w:val="auto"/>
        </w:rPr>
        <w:t>–In connection with NARCO’s emergence from bankruptcy on April 30, 2013, a federally authorized 524(g) trust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(NARCO Trust) was established for the evaluation and resolution of all existing and future NARCO asbestos claims. Both Honeywell and NARCO are protected by a permanent channeling injunction barring all present and future individual actions in state or federal courts and requiring all asbestos related claims based on exposure to NARCO asbestos-containing products to be made against the NARCO Trust. The NARCO Trust reviews submitted claims and determines award amounts in accordance with established Trust Distribution Procedures approved by the Bankruptcy Court which set forth the criteria claimants must meet to qualify for compensation including, among other things, exposure and medical criteria that determine the award amount. In addition, Honeywell provided, and continues to provide, input to the design of control procedures for processing NARCO claims, and has on-going audit rights to review and monitor the claims processors’ adherence to the established requirements of the Trust Distribution Procedures.</w:t>
      </w:r>
    </w:p>
    <w:p>
      <w:pPr>
        <w:spacing w:after="0" w:line="19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Honeywell is obligated to fund NARCO asbestos claims submitted to the NARCO Trust which qualify for payment under the Trust Distribution Procedures (Annual Contribution Claims), subject to annual caps of $140 million in the years 2016 through 2018 and $145 million for each year thereafter. However, the initial $100 million of claims processed through the NARCO Trust (the Initial Claims Amount) will not count against the annual cap and any unused portion of the Initial Claims Amount will roll over to subsequent years until fully utilized. In 2015, Honeywell filed suit against the NARCO Trust in Bankruptcy Court alleging breach of certain provisions of the Trust Agreement and Trust Distribution Procedures. The parties agreed to dismiss the proceeding without prejudice pursuant to an 18 month Standstill Agreement. Claims processing will continue during this period subject to a defined dispute resolution process. As of September 30, 2016, Honeywell has not made any payments to the NARCO Trust for Annual Contribution Claims.</w:t>
      </w:r>
    </w:p>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Honeywell is also responsible for payments due to claimants pursuant to settlement agreements reached during the pendency of the NARCO bankruptcy proceedings that provide for the right to submit claims to the NARCO Trust subject to qualification under the terms of the settlement agreements and Trust Distribution Procedures criteria (Pre-established Unliquidated Claims), which amounts are estimated at $ 150 million and are expected to be paid during the initial years of trust operations ($5 million of which has been paid since the effective date of the NARCO Trust). Such payments are not subject to the annual cap described above.</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consolidated financial statements reflect an estimated liability for pre-established unliquidated claims ($145 million), unsettled claims pending as of the time NARCO filed for bankruptcy protection ($33 million) and for the estimated value of future NARCO asbestos claims expected to be asserted against the NARCO Trust through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2018 ($743 million). In the absence of actual trust experience on which to base the estimate, Honeywell projected the probable value of asbestos related future liabilities, including trust claim handling costs, based on a commonly accepted methodology used by numerous bankruptcy courts addressing 524(g) trusts. Some critical assumptions underlying this methodology include claims filing rates, disease criteria and payment values contained in the Trust Distribution Procedures, estimated approval rates of claims submitted to the NARCO Trust and epidemiological studies estimating disease instances. This projection resulted in a range of estimated liability of $743 million to $961 million. We believe that no amount within this range is a better estimate than any other amount and accordingly, we have recorded the minimum amount in the range. In light of the uncertainties inherent in making long-term projections and in connection with the recent implementation of the Trust Distribution Procedures by the NARCO Trust, as well as the stay of all NARCO asbestos claims which remained in place throughout NARCO’s Chapter 11 case, we do not believe that we have a reasonable basis for estimating NARCO asbestos claims beyond 2018.</w:t>
      </w:r>
    </w:p>
    <w:p>
      <w:pPr>
        <w:spacing w:after="0" w:line="19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Our insurance receivable corresponding to the estimated liability for pending and future NARCO asbestos claims reflects coverage which reimburses Honeywell for portions of NARCO-related indemnity and defense costs and is provided by a large number of insurance policies written by dozens of insurance companies in both the domestic insurance market and the London excess market. We conduct analyses to estimate the probable amount of insurance that is recoverable for asbestos claims. While the substantial majority of our insurance carriers are solvent, some of our individual carriers are insolvent, which has been considered in our analysis of probable recoveries. We made judgments concerning insurance coverage that we believe are reasonable and consistent with our historical dealings and our knowledge of any pertinent solvency issues surrounding insurers.</w:t>
      </w:r>
    </w:p>
    <w:p>
      <w:pPr>
        <w:spacing w:after="0" w:line="19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Projecting future events is subject to many uncertainties that could cause the NARCO-related asbestos liabilities or assets to be higher or lower than those projected and recorded. Given the uncertainties, we review our estimates periodically, and update them based on our experience and other relevant factors. Similarly, we will reevaluate our projections concerning our probable insurance recoveries in light of any changes to the projected liability or other developments that may impact insurance recoveries.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Friction Products</w:t>
      </w:r>
      <w:r>
        <w:rPr>
          <w:rFonts w:ascii="Arial" w:cs="Arial" w:eastAsia="Arial" w:hAnsi="Arial"/>
          <w:sz w:val="18"/>
          <w:szCs w:val="18"/>
          <w:color w:val="auto"/>
        </w:rPr>
        <w:t>—The following tables present information regarding Bendix related asbestos claims activity:</w:t>
      </w: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Claims Activity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beginning of period</w:t>
      </w:r>
    </w:p>
    <w:p>
      <w:pPr>
        <w:spacing w:after="0"/>
        <w:rPr>
          <w:sz w:val="20"/>
          <w:szCs w:val="20"/>
          <w:color w:val="auto"/>
        </w:rPr>
      </w:pPr>
      <w:r>
        <w:rPr>
          <w:rFonts w:ascii="Arial" w:cs="Arial" w:eastAsia="Arial" w:hAnsi="Arial"/>
          <w:sz w:val="18"/>
          <w:szCs w:val="18"/>
          <w:color w:val="auto"/>
        </w:rPr>
        <w:t>Claims Filed</w:t>
      </w:r>
    </w:p>
    <w:p>
      <w:pPr>
        <w:spacing w:after="0" w:line="181" w:lineRule="auto"/>
        <w:rPr>
          <w:sz w:val="20"/>
          <w:szCs w:val="20"/>
          <w:color w:val="auto"/>
        </w:rPr>
      </w:pPr>
      <w:r>
        <w:rPr>
          <w:rFonts w:ascii="Arial" w:cs="Arial" w:eastAsia="Arial" w:hAnsi="Arial"/>
          <w:sz w:val="18"/>
          <w:szCs w:val="18"/>
          <w:color w:val="auto"/>
        </w:rPr>
        <w:t xml:space="preserve">Claims Resolved </w:t>
      </w:r>
      <w:r>
        <w:rPr>
          <w:rFonts w:ascii="Arial" w:cs="Arial" w:eastAsia="Arial" w:hAnsi="Arial"/>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Claims Unresolved at the end of period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1900" w:type="dxa"/>
            <w:vAlign w:val="bottom"/>
            <w:gridSpan w:val="3"/>
          </w:tcPr>
          <w:p>
            <w:pPr>
              <w:jc w:val="center"/>
              <w:ind w:left="738"/>
              <w:spacing w:after="0"/>
              <w:rPr>
                <w:sz w:val="20"/>
                <w:szCs w:val="20"/>
                <w:color w:val="auto"/>
              </w:rPr>
            </w:pPr>
            <w:r>
              <w:rPr>
                <w:rFonts w:ascii="Arial" w:cs="Arial" w:eastAsia="Arial" w:hAnsi="Arial"/>
                <w:sz w:val="14"/>
                <w:szCs w:val="14"/>
                <w:b w:val="1"/>
                <w:bCs w:val="1"/>
                <w:color w:val="auto"/>
              </w:rPr>
              <w:t>Years Ended</w:t>
            </w:r>
          </w:p>
        </w:tc>
        <w:tc>
          <w:tcPr>
            <w:tcW w:w="840" w:type="dxa"/>
            <w:vAlign w:val="bottom"/>
          </w:tcPr>
          <w:p>
            <w:pPr>
              <w:spacing w:after="0"/>
              <w:rPr>
                <w:sz w:val="14"/>
                <w:szCs w:val="14"/>
                <w:color w:val="auto"/>
              </w:rPr>
            </w:pPr>
          </w:p>
        </w:tc>
      </w:tr>
      <w:tr>
        <w:trPr>
          <w:trHeight w:val="189"/>
        </w:trPr>
        <w:tc>
          <w:tcPr>
            <w:tcW w:w="1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900" w:type="dxa"/>
            <w:vAlign w:val="bottom"/>
            <w:tcBorders>
              <w:bottom w:val="single" w:sz="8" w:color="auto"/>
            </w:tcBorders>
            <w:gridSpan w:val="3"/>
          </w:tcPr>
          <w:p>
            <w:pPr>
              <w:jc w:val="center"/>
              <w:ind w:left="738"/>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96"/>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7"/>
                <w:szCs w:val="17"/>
                <w:color w:val="auto"/>
              </w:rPr>
            </w:pPr>
          </w:p>
        </w:tc>
        <w:tc>
          <w:tcPr>
            <w:tcW w:w="12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r>
      <w:tr>
        <w:trPr>
          <w:trHeight w:val="195"/>
        </w:trPr>
        <w:tc>
          <w:tcPr>
            <w:tcW w:w="1660" w:type="dxa"/>
            <w:vAlign w:val="bottom"/>
          </w:tcPr>
          <w:p>
            <w:pPr>
              <w:jc w:val="right"/>
              <w:ind w:right="18"/>
              <w:spacing w:after="0" w:line="195" w:lineRule="exact"/>
              <w:rPr>
                <w:sz w:val="20"/>
                <w:szCs w:val="20"/>
                <w:color w:val="auto"/>
              </w:rPr>
            </w:pPr>
            <w:r>
              <w:rPr>
                <w:rFonts w:ascii="Arial" w:cs="Arial" w:eastAsia="Arial" w:hAnsi="Arial"/>
                <w:sz w:val="18"/>
                <w:szCs w:val="18"/>
                <w:color w:val="auto"/>
              </w:rPr>
              <w:t>7,779</w:t>
            </w:r>
          </w:p>
        </w:tc>
        <w:tc>
          <w:tcPr>
            <w:tcW w:w="320" w:type="dxa"/>
            <w:vAlign w:val="bottom"/>
          </w:tcPr>
          <w:p>
            <w:pPr>
              <w:spacing w:after="0"/>
              <w:rPr>
                <w:sz w:val="16"/>
                <w:szCs w:val="16"/>
                <w:color w:val="auto"/>
              </w:rPr>
            </w:pPr>
          </w:p>
        </w:tc>
        <w:tc>
          <w:tcPr>
            <w:tcW w:w="1220" w:type="dxa"/>
            <w:vAlign w:val="bottom"/>
          </w:tcPr>
          <w:p>
            <w:pPr>
              <w:jc w:val="right"/>
              <w:ind w:right="18"/>
              <w:spacing w:after="0" w:line="195" w:lineRule="exact"/>
              <w:rPr>
                <w:sz w:val="20"/>
                <w:szCs w:val="20"/>
                <w:color w:val="auto"/>
              </w:rPr>
            </w:pPr>
            <w:r>
              <w:rPr>
                <w:rFonts w:ascii="Arial" w:cs="Arial" w:eastAsia="Arial" w:hAnsi="Arial"/>
                <w:sz w:val="18"/>
                <w:szCs w:val="18"/>
                <w:color w:val="auto"/>
              </w:rPr>
              <w:t>9,267</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14"/>
              <w:spacing w:after="0" w:line="195" w:lineRule="exact"/>
              <w:rPr>
                <w:sz w:val="20"/>
                <w:szCs w:val="20"/>
                <w:color w:val="auto"/>
              </w:rPr>
            </w:pPr>
            <w:r>
              <w:rPr>
                <w:rFonts w:ascii="Arial" w:cs="Arial" w:eastAsia="Arial" w:hAnsi="Arial"/>
                <w:sz w:val="18"/>
                <w:szCs w:val="18"/>
                <w:color w:val="auto"/>
              </w:rPr>
              <w:t>12,302</w:t>
            </w:r>
          </w:p>
        </w:tc>
      </w:tr>
      <w:tr>
        <w:trPr>
          <w:trHeight w:val="217"/>
        </w:trPr>
        <w:tc>
          <w:tcPr>
            <w:tcW w:w="1660" w:type="dxa"/>
            <w:vAlign w:val="bottom"/>
          </w:tcPr>
          <w:p>
            <w:pPr>
              <w:jc w:val="right"/>
              <w:ind w:right="18"/>
              <w:spacing w:after="0"/>
              <w:rPr>
                <w:sz w:val="20"/>
                <w:szCs w:val="20"/>
                <w:color w:val="auto"/>
              </w:rPr>
            </w:pPr>
            <w:r>
              <w:rPr>
                <w:rFonts w:ascii="Arial" w:cs="Arial" w:eastAsia="Arial" w:hAnsi="Arial"/>
                <w:sz w:val="18"/>
                <w:szCs w:val="18"/>
                <w:color w:val="auto"/>
              </w:rPr>
              <w:t>2,081</w:t>
            </w:r>
          </w:p>
        </w:tc>
        <w:tc>
          <w:tcPr>
            <w:tcW w:w="320" w:type="dxa"/>
            <w:vAlign w:val="bottom"/>
          </w:tcPr>
          <w:p>
            <w:pPr>
              <w:spacing w:after="0"/>
              <w:rPr>
                <w:sz w:val="18"/>
                <w:szCs w:val="18"/>
                <w:color w:val="auto"/>
              </w:rPr>
            </w:pP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2,862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3,694</w:t>
            </w:r>
          </w:p>
        </w:tc>
      </w:tr>
      <w:tr>
        <w:trPr>
          <w:trHeight w:val="243"/>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3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(6,729)</w:t>
            </w:r>
          </w:p>
        </w:tc>
      </w:tr>
      <w:tr>
        <w:trPr>
          <w:trHeight w:val="210"/>
        </w:trPr>
        <w:tc>
          <w:tcPr>
            <w:tcW w:w="16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7,794</w:t>
            </w:r>
          </w:p>
        </w:tc>
        <w:tc>
          <w:tcPr>
            <w:tcW w:w="320" w:type="dxa"/>
            <w:vAlign w:val="bottom"/>
          </w:tcPr>
          <w:p>
            <w:pPr>
              <w:spacing w:after="0"/>
              <w:rPr>
                <w:sz w:val="18"/>
                <w:szCs w:val="18"/>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7,779</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9,267</w:t>
            </w: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-599440</wp:posOffset>
            </wp:positionV>
            <wp:extent cx="65176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-334010</wp:posOffset>
            </wp:positionV>
            <wp:extent cx="651764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860"/>
          </w:cols>
          <w:pgMar w:left="240" w:top="400" w:right="239" w:bottom="1440" w:gutter="0" w:footer="0" w:header="0"/>
          <w:type w:val="continuous"/>
        </w:sectPr>
      </w:pPr>
    </w:p>
    <w:p>
      <w:pPr>
        <w:spacing w:after="0" w:line="2" w:lineRule="exact"/>
        <w:rPr>
          <w:sz w:val="20"/>
          <w:szCs w:val="20"/>
          <w:color w:val="auto"/>
        </w:rPr>
      </w:pPr>
    </w:p>
    <w:p>
      <w:pPr>
        <w:ind w:right="440" w:firstLine="8"/>
        <w:spacing w:after="0" w:line="246"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Claims resolved in 2014 include 2,110 cancer claims which were determined to have no value. Also, claims resolved in 2015 and 2014 include significantly aged (i.e., pending for more than six years) claims totaling 153 and 1,266.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w w:val="99"/>
              </w:rPr>
              <w:t>Disease Distribution of Unresolved Claims</w:t>
            </w: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18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620" w:type="dxa"/>
            <w:vAlign w:val="bottom"/>
            <w:tcBorders>
              <w:bottom w:val="single" w:sz="8" w:color="auto"/>
            </w:tcBorders>
            <w:vMerge w:val="continue"/>
          </w:tcPr>
          <w:p>
            <w:pPr>
              <w:spacing w:after="0"/>
              <w:rPr>
                <w:sz w:val="13"/>
                <w:szCs w:val="13"/>
                <w:color w:val="auto"/>
              </w:rPr>
            </w:pPr>
          </w:p>
        </w:tc>
        <w:tc>
          <w:tcPr>
            <w:tcW w:w="980" w:type="dxa"/>
            <w:vAlign w:val="bottom"/>
          </w:tcPr>
          <w:p>
            <w:pPr>
              <w:spacing w:after="0"/>
              <w:rPr>
                <w:sz w:val="13"/>
                <w:szCs w:val="13"/>
                <w:color w:val="auto"/>
              </w:rPr>
            </w:pPr>
          </w:p>
        </w:tc>
        <w:tc>
          <w:tcPr>
            <w:tcW w:w="2200" w:type="dxa"/>
            <w:vAlign w:val="bottom"/>
            <w:gridSpan w:val="2"/>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1160" w:type="dxa"/>
            <w:vAlign w:val="bottom"/>
          </w:tcPr>
          <w:p>
            <w:pPr>
              <w:jc w:val="right"/>
              <w:ind w:right="337"/>
              <w:spacing w:after="0" w:line="155"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2014</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6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E5FFFF"/>
            </w:tcBorders>
            <w:gridSpan w:val="2"/>
            <w:shd w:val="clear" w:color="auto" w:fill="E5FFFF"/>
          </w:tcPr>
          <w:p>
            <w:pPr>
              <w:spacing w:after="0" w:line="196" w:lineRule="exact"/>
              <w:rPr>
                <w:sz w:val="20"/>
                <w:szCs w:val="20"/>
                <w:color w:val="auto"/>
              </w:rPr>
            </w:pPr>
            <w:r>
              <w:rPr>
                <w:rFonts w:ascii="Arial" w:cs="Arial" w:eastAsia="Arial" w:hAnsi="Arial"/>
                <w:sz w:val="18"/>
                <w:szCs w:val="18"/>
                <w:color w:val="auto"/>
              </w:rPr>
              <w:t>Mesothelioma and Other Cancer Claims</w:t>
            </w:r>
          </w:p>
        </w:tc>
        <w:tc>
          <w:tcPr>
            <w:tcW w:w="1020" w:type="dxa"/>
            <w:vAlign w:val="bottom"/>
            <w:tcBorders>
              <w:top w:val="single" w:sz="8" w:color="E5FFFF"/>
            </w:tcBorders>
            <w:shd w:val="clear" w:color="auto" w:fill="E5FFFF"/>
          </w:tcPr>
          <w:p>
            <w:pPr>
              <w:spacing w:after="0"/>
              <w:rPr>
                <w:sz w:val="17"/>
                <w:szCs w:val="17"/>
                <w:color w:val="auto"/>
              </w:rPr>
            </w:pPr>
          </w:p>
        </w:tc>
        <w:tc>
          <w:tcPr>
            <w:tcW w:w="1180" w:type="dxa"/>
            <w:vAlign w:val="bottom"/>
            <w:tcBorders>
              <w:top w:val="single" w:sz="8" w:color="auto"/>
            </w:tcBorders>
            <w:shd w:val="clear" w:color="auto" w:fill="E5FFFF"/>
          </w:tcPr>
          <w:p>
            <w:pPr>
              <w:jc w:val="right"/>
              <w:ind w:right="16"/>
              <w:spacing w:after="0" w:line="196" w:lineRule="exact"/>
              <w:rPr>
                <w:sz w:val="20"/>
                <w:szCs w:val="20"/>
                <w:color w:val="auto"/>
              </w:rPr>
            </w:pPr>
            <w:r>
              <w:rPr>
                <w:rFonts w:ascii="Arial" w:cs="Arial" w:eastAsia="Arial" w:hAnsi="Arial"/>
                <w:sz w:val="18"/>
                <w:szCs w:val="18"/>
                <w:color w:val="auto"/>
              </w:rPr>
              <w:t>3,559</w:t>
            </w:r>
          </w:p>
        </w:tc>
        <w:tc>
          <w:tcPr>
            <w:tcW w:w="30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jc w:val="right"/>
              <w:ind w:right="17"/>
              <w:spacing w:after="0" w:line="196" w:lineRule="exact"/>
              <w:rPr>
                <w:sz w:val="20"/>
                <w:szCs w:val="20"/>
                <w:color w:val="auto"/>
              </w:rPr>
            </w:pPr>
            <w:r>
              <w:rPr>
                <w:rFonts w:ascii="Arial" w:cs="Arial" w:eastAsia="Arial" w:hAnsi="Arial"/>
                <w:sz w:val="18"/>
                <w:szCs w:val="18"/>
                <w:color w:val="auto"/>
              </w:rPr>
              <w:t>3,772</w:t>
            </w:r>
          </w:p>
        </w:tc>
        <w:tc>
          <w:tcPr>
            <w:tcW w:w="280" w:type="dxa"/>
            <w:vAlign w:val="bottom"/>
            <w:tcBorders>
              <w:top w:val="single" w:sz="8" w:color="E5FFFF"/>
            </w:tcBorders>
            <w:shd w:val="clear" w:color="auto" w:fill="E5FFFF"/>
          </w:tcPr>
          <w:p>
            <w:pPr>
              <w:spacing w:after="0"/>
              <w:rPr>
                <w:sz w:val="17"/>
                <w:szCs w:val="17"/>
                <w:color w:val="auto"/>
              </w:rPr>
            </w:pPr>
          </w:p>
        </w:tc>
        <w:tc>
          <w:tcPr>
            <w:tcW w:w="360" w:type="dxa"/>
            <w:vAlign w:val="bottom"/>
            <w:tcBorders>
              <w:top w:val="single" w:sz="8" w:color="auto"/>
            </w:tcBorders>
            <w:shd w:val="clear" w:color="auto" w:fill="E5FFFF"/>
          </w:tcPr>
          <w:p>
            <w:pPr>
              <w:spacing w:after="0"/>
              <w:rPr>
                <w:sz w:val="17"/>
                <w:szCs w:val="17"/>
                <w:color w:val="auto"/>
              </w:rPr>
            </w:pPr>
          </w:p>
        </w:tc>
        <w:tc>
          <w:tcPr>
            <w:tcW w:w="78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3,933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E5FFFF"/>
            </w:tcBorders>
            <w:gridSpan w:val="2"/>
          </w:tcPr>
          <w:p>
            <w:pPr>
              <w:spacing w:after="0"/>
              <w:rPr>
                <w:sz w:val="20"/>
                <w:szCs w:val="20"/>
                <w:color w:val="auto"/>
              </w:rPr>
            </w:pPr>
            <w:r>
              <w:rPr>
                <w:rFonts w:ascii="Arial" w:cs="Arial" w:eastAsia="Arial" w:hAnsi="Arial"/>
                <w:sz w:val="18"/>
                <w:szCs w:val="18"/>
                <w:color w:val="auto"/>
              </w:rPr>
              <w:t>Nonmalignant Claims</w:t>
            </w:r>
          </w:p>
        </w:tc>
        <w:tc>
          <w:tcPr>
            <w:tcW w:w="1020" w:type="dxa"/>
            <w:vAlign w:val="bottom"/>
            <w:tcBorders>
              <w:bottom w:val="single" w:sz="8" w:color="E5FFFF"/>
            </w:tcBorders>
          </w:tcPr>
          <w:p>
            <w:pPr>
              <w:spacing w:after="0"/>
              <w:rPr>
                <w:sz w:val="18"/>
                <w:szCs w:val="18"/>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4,235</w:t>
            </w:r>
          </w:p>
        </w:tc>
        <w:tc>
          <w:tcPr>
            <w:tcW w:w="300" w:type="dxa"/>
            <w:vAlign w:val="bottom"/>
            <w:tcBorders>
              <w:bottom w:val="single" w:sz="8" w:color="E5FFFF"/>
            </w:tcBorders>
          </w:tcPr>
          <w:p>
            <w:pPr>
              <w:spacing w:after="0"/>
              <w:rPr>
                <w:sz w:val="18"/>
                <w:szCs w:val="18"/>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4,007</w:t>
            </w:r>
          </w:p>
        </w:tc>
        <w:tc>
          <w:tcPr>
            <w:tcW w:w="28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shd w:val="clear" w:color="auto" w:fill="E5FFFF"/>
          </w:tcPr>
          <w:p>
            <w:pPr>
              <w:ind w:left="160"/>
              <w:spacing w:after="0" w:line="197" w:lineRule="exact"/>
              <w:rPr>
                <w:sz w:val="20"/>
                <w:szCs w:val="20"/>
                <w:color w:val="auto"/>
              </w:rPr>
            </w:pPr>
            <w:r>
              <w:rPr>
                <w:rFonts w:ascii="Arial" w:cs="Arial" w:eastAsia="Arial" w:hAnsi="Arial"/>
                <w:sz w:val="18"/>
                <w:szCs w:val="18"/>
                <w:color w:val="auto"/>
              </w:rPr>
              <w:t>Total Claims</w:t>
            </w:r>
          </w:p>
        </w:tc>
        <w:tc>
          <w:tcPr>
            <w:tcW w:w="2200" w:type="dxa"/>
            <w:vAlign w:val="bottom"/>
            <w:gridSpan w:val="2"/>
            <w:shd w:val="clear" w:color="auto" w:fill="E5FFFF"/>
          </w:tcPr>
          <w:p>
            <w:pPr>
              <w:jc w:val="right"/>
              <w:ind w:right="16"/>
              <w:spacing w:after="0"/>
              <w:rPr>
                <w:sz w:val="20"/>
                <w:szCs w:val="20"/>
                <w:color w:val="auto"/>
              </w:rPr>
            </w:pPr>
            <w:r>
              <w:rPr>
                <w:rFonts w:ascii="Arial" w:cs="Arial" w:eastAsia="Arial" w:hAnsi="Arial"/>
                <w:sz w:val="18"/>
                <w:szCs w:val="18"/>
                <w:color w:val="auto"/>
              </w:rPr>
              <w:t>7,794</w:t>
            </w:r>
          </w:p>
        </w:tc>
        <w:tc>
          <w:tcPr>
            <w:tcW w:w="300" w:type="dxa"/>
            <w:vAlign w:val="bottom"/>
            <w:shd w:val="clear" w:color="auto" w:fill="E5FFFF"/>
          </w:tcPr>
          <w:p>
            <w:pPr>
              <w:spacing w:after="0"/>
              <w:rPr>
                <w:sz w:val="18"/>
                <w:szCs w:val="18"/>
                <w:color w:val="auto"/>
              </w:rPr>
            </w:pPr>
          </w:p>
        </w:tc>
        <w:tc>
          <w:tcPr>
            <w:tcW w:w="1160" w:type="dxa"/>
            <w:vAlign w:val="bottom"/>
            <w:shd w:val="clear" w:color="auto" w:fill="E5FFFF"/>
          </w:tcPr>
          <w:p>
            <w:pPr>
              <w:jc w:val="right"/>
              <w:ind w:right="17"/>
              <w:spacing w:after="0"/>
              <w:rPr>
                <w:sz w:val="20"/>
                <w:szCs w:val="20"/>
                <w:color w:val="auto"/>
              </w:rPr>
            </w:pPr>
            <w:r>
              <w:rPr>
                <w:rFonts w:ascii="Arial" w:cs="Arial" w:eastAsia="Arial" w:hAnsi="Arial"/>
                <w:sz w:val="18"/>
                <w:szCs w:val="18"/>
                <w:color w:val="auto"/>
              </w:rPr>
              <w:t>7,779</w:t>
            </w:r>
          </w:p>
        </w:tc>
        <w:tc>
          <w:tcPr>
            <w:tcW w:w="2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7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9,267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E5FFFF"/>
            </w:tcBorders>
          </w:tcPr>
          <w:p>
            <w:pPr>
              <w:spacing w:after="0" w:line="20" w:lineRule="exact"/>
              <w:rPr>
                <w:sz w:val="1"/>
                <w:szCs w:val="1"/>
                <w:color w:val="auto"/>
              </w:rPr>
            </w:pPr>
          </w:p>
        </w:tc>
        <w:tc>
          <w:tcPr>
            <w:tcW w:w="98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E5FF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0" w:type="dxa"/>
            <w:vAlign w:val="bottom"/>
            <w:gridSpan w:val="2"/>
          </w:tcPr>
          <w:p>
            <w:pPr>
              <w:jc w:val="right"/>
              <w:ind w:right="916"/>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tcBorders>
              <w:bottom w:val="single" w:sz="8" w:color="C0C0C0"/>
            </w:tcBorders>
          </w:tcPr>
          <w:p>
            <w:pPr>
              <w:spacing w:after="0"/>
              <w:rPr>
                <w:sz w:val="20"/>
                <w:szCs w:val="20"/>
                <w:color w:val="auto"/>
              </w:rPr>
            </w:pPr>
          </w:p>
        </w:tc>
        <w:tc>
          <w:tcPr>
            <w:tcW w:w="980" w:type="dxa"/>
            <w:vAlign w:val="bottom"/>
            <w:tcBorders>
              <w:bottom w:val="single" w:sz="8" w:color="C0C0C0"/>
            </w:tcBorders>
          </w:tcPr>
          <w:p>
            <w:pPr>
              <w:spacing w:after="0"/>
              <w:rPr>
                <w:sz w:val="20"/>
                <w:szCs w:val="20"/>
                <w:color w:val="auto"/>
              </w:rPr>
            </w:pPr>
          </w:p>
        </w:tc>
        <w:tc>
          <w:tcPr>
            <w:tcW w:w="102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16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172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Honeywell has experienced average resolution values per claim excluding legal costs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96"/>
        </w:trPr>
        <w:tc>
          <w:tcPr>
            <w:tcW w:w="4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2011</w:t>
            </w:r>
          </w:p>
        </w:tc>
      </w:tr>
      <w:tr>
        <w:trPr>
          <w:trHeight w:val="182"/>
        </w:trPr>
        <w:tc>
          <w:tcPr>
            <w:tcW w:w="4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(in whole dollars)</w:t>
            </w: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Malignant claims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6"/>
              <w:spacing w:after="0" w:line="202" w:lineRule="exact"/>
              <w:rPr>
                <w:sz w:val="20"/>
                <w:szCs w:val="20"/>
                <w:color w:val="auto"/>
              </w:rPr>
            </w:pPr>
            <w:r>
              <w:rPr>
                <w:rFonts w:ascii="Arial" w:cs="Arial" w:eastAsia="Arial" w:hAnsi="Arial"/>
                <w:sz w:val="18"/>
                <w:szCs w:val="18"/>
                <w:color w:val="auto"/>
              </w:rPr>
              <w:t>44,000</w:t>
            </w:r>
          </w:p>
        </w:tc>
        <w:tc>
          <w:tcPr>
            <w:tcW w:w="4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53,500</w:t>
            </w:r>
          </w:p>
        </w:tc>
        <w:tc>
          <w:tcPr>
            <w:tcW w:w="64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51,000</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49,000</w:t>
            </w:r>
          </w:p>
        </w:tc>
        <w:tc>
          <w:tcPr>
            <w:tcW w:w="4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48,000</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Nonmalignant claims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100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850</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1,400</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1,000</w:t>
            </w: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possible to predict whether resolution values for Bendix-related asbestos claims will increase, decrease or stabilize in the</w:t>
      </w:r>
    </w:p>
    <w:p>
      <w:pPr>
        <w:spacing w:after="0"/>
        <w:rPr>
          <w:sz w:val="20"/>
          <w:szCs w:val="20"/>
          <w:color w:val="auto"/>
        </w:rPr>
      </w:pPr>
      <w:r>
        <w:rPr>
          <w:rFonts w:ascii="Arial" w:cs="Arial" w:eastAsia="Arial" w:hAnsi="Arial"/>
          <w:sz w:val="18"/>
          <w:szCs w:val="18"/>
          <w:color w:val="auto"/>
        </w:rPr>
        <w:t>future.</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consolidated financial statements reflect an estimated liability for resolution of pending (claims actually filed as of the financial statement date) and future Bendix-related asbestos claims. We have valued Bendix pending and future claims using average resolution values for the previous five years. We update the resolution values used to estimate the cost of Bendix pending and future claims during the fourth quarter each year.</w:t>
      </w:r>
    </w:p>
    <w:p>
      <w:pPr>
        <w:spacing w:after="0" w:line="188"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The liability for future claims represents the estimated value of future asbestos related bodily injury claims expected to be asserted against Bendix over the next five years. Such estimated cost of future Bendix-related asbestos claims is based on historic claims filing experience and dismissal rates, disease classifications, and resolution values in the tort system for the previous five years. In light of the uncertainties inherent in making long-term projections, as well as certain factors unique to friction product asbestos claims, we do not believe that we have a reasonable basis for estimating asbestos claims beyond the next five years. The methodology used to estimate the liability for future claims is similar to that used to estimate the liability for future NARCO-related asbestos claims.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insurance receivable corresponding to the liability for settlement of pending and future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37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Honeywell believes it has sufficient insurance coverage and reserves to cover all pending Bendix-related asbestos claims and Bendix-related asbestos claims estimated to be filed within the next five years. Although it is impossible to predict the outcome of either pending or future Bendix-related asbestos claims, we do not believe that such claims would have a material adverse effect on our consolidated financial position in light of our insurance coverage and our prior experience in resolving such claims. If the rate and types of claims filed, the average resolution value of such claims and the period of time over which claim settlements are paid (collectively, the Variable Claims Factors) do not substantially change, Honeywell would not expect future Bendix-related asbestos claims to have a material adverse effect on our results of operations or operating cash flows in any fiscal year. No assurances can be given, however, that the Variable Claims Factors will not change.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We are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of outcomes in these matters, as well as potential ranges of possible losses (taking into consideration any insurance recoveries), based on a careful analysis of each matter with the assistance of outside legal counsel and, if applicable, other experts. Included in these other matters are the following: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17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i w:val="1"/>
          <w:iCs w:val="1"/>
          <w:color w:val="auto"/>
        </w:rPr>
        <w:t>Honeywell v. United Auto Workers (UAW) et. al</w:t>
      </w:r>
      <w:r>
        <w:rPr>
          <w:rFonts w:ascii="Arial" w:cs="Arial" w:eastAsia="Arial" w:hAnsi="Arial"/>
          <w:sz w:val="18"/>
          <w:szCs w:val="18"/>
          <w:color w:val="auto"/>
        </w:rPr>
        <w:t>—In July 2011, Honeywell filed an action in federal court (District of New Jersey)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against the UAW and all former employees who retired under a series of Master Collective Bargaining Agreements (MCBAs) between Honeywell and the UAW seeking a declaratory judgment that certain express limitations on its obligation to contribute toward the healthcare coverage of such retirees (the CAPS) set forth in the MCBAs may be implemented, effective January 1, 2012. The UAW and certain retiree defendants filed a mirror suit in the Eastern District of Michigan alleging that the MCBAs do not provide for CAPS on the Company’s liability for healthcare coverage. The New Jersey action was dismissed and Honeywell subsequently answered the UAW’s complaint in Michigan and asserted counterclaims for fraudulent inducement, negligent misrepresentation and breach of implied warranty. The UAW filed a motion to dismiss these counterclaims. The court dismissed Honeywell’s fraudulent inducement and negligent misrepresentation claims, but let stand the claim for breach of implied warranty. In the second quarter of 2014, the parties agreed to stay the proceedings with respect to those retirees who retired before the initial inclusions of the CAPS in the 2003 MCBA until the Supreme Court decided the </w:t>
      </w:r>
      <w:r>
        <w:rPr>
          <w:rFonts w:ascii="Arial" w:cs="Arial" w:eastAsia="Arial" w:hAnsi="Arial"/>
          <w:sz w:val="18"/>
          <w:szCs w:val="18"/>
          <w:i w:val="1"/>
          <w:iCs w:val="1"/>
          <w:color w:val="auto"/>
        </w:rPr>
        <w:t>M&amp;G Polymers USA, LLC v.</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Tackett </w:t>
      </w:r>
      <w:r>
        <w:rPr>
          <w:rFonts w:ascii="Arial" w:cs="Arial" w:eastAsia="Arial" w:hAnsi="Arial"/>
          <w:sz w:val="18"/>
          <w:szCs w:val="18"/>
          <w:color w:val="auto"/>
        </w:rPr>
        <w:t>case</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a ruling on January 26, 2015, the Supreme Court held that retiree health insurance benefits provided in collective bargaining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do not carry an inference that they are vested or guaranteed to continue for life and that the “vesting” issue must be decided pursuant to ordinary principles of contract law. The stay of the proceedings has been lifted and the case is again proceeding. Based on the Supreme Court’s ruling, Honeywell is confident that the CAPS will be upheld and that its liability for healthcare coverage premiums with respect to the putative class will be limited as negotiated and expressly set forth in the applicable MCBAs. In the event of an adverse ruling, however, Honeywell’s other postretirement benefits for pre-2003 retirees would increase by approximately $176 million, reflecting the estimated value of these CAPS.</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December 2013, the UAW and certain of the plaintiffs filed a motion for partial summary judgment with respect to those retirees who retired after the initial inclusion of the CAPS in the 2003 MCBA. The UAW sought a ruling that the 2003 MCBA did not limit Honeywell’s obligation to contribute to healthcare coverage for the post-2003 retirees. That motion remains pending. Honeywell is confident that the Court will find that the 2003 MCBA does, in fact, limit Honeywell’s retiree healthcare obligation for post-2003 retirees. In the event of an adverse ruling, however, Honeywell’s other postretirement benefits for post-2003 retirees would increase by approximately $110 million, reflecting the estimated value of these CAPS.</w:t>
      </w:r>
    </w:p>
    <w:p>
      <w:pPr>
        <w:spacing w:after="0" w:line="17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b w:val="1"/>
          <w:bCs w:val="1"/>
          <w:i w:val="1"/>
          <w:iCs w:val="1"/>
          <w:color w:val="auto"/>
        </w:rPr>
        <w:t xml:space="preserve">Joint Strike Fighter Investigation - </w:t>
      </w:r>
      <w:r>
        <w:rPr>
          <w:rFonts w:ascii="Arial" w:cs="Arial" w:eastAsia="Arial" w:hAnsi="Arial"/>
          <w:sz w:val="18"/>
          <w:szCs w:val="18"/>
          <w:color w:val="auto"/>
        </w:rPr>
        <w:t>In 2013 the Company received subpoenas from the Department of Justice requesting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primarily to parts manufactured in the United Kingdom and China used in the F-35 fighter jet. The Company is cooperating fully with the investigation. While we believe that Honeywell has complied with all relevant U.S. laws and regulations regarding the manufacture of these sensors, it is not possible to predict the outcome of the investigation or what action, if any, may result from it.</w:t>
      </w:r>
    </w:p>
    <w:p>
      <w:pPr>
        <w:spacing w:after="0" w:line="18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Given the uncertainty inherent in litigation and investigations (including the specific matters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results of operations or operating cash flows in the periods recognized or paid.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9"/>
              </w:rPr>
              <w:t>MANAGEMENT’S DISCUSSION AND ANALYSIS OF</w:t>
            </w:r>
          </w:p>
        </w:tc>
      </w:tr>
      <w:tr>
        <w:trPr>
          <w:trHeight w:val="198"/>
        </w:trPr>
        <w:tc>
          <w:tcPr>
            <w:tcW w:w="3500" w:type="dxa"/>
            <w:vAlign w:val="bottom"/>
          </w:tcPr>
          <w:p>
            <w:pPr>
              <w:spacing w:after="0"/>
              <w:rPr>
                <w:sz w:val="17"/>
                <w:szCs w:val="17"/>
                <w:color w:val="auto"/>
              </w:rPr>
            </w:pPr>
          </w:p>
        </w:tc>
        <w:tc>
          <w:tcPr>
            <w:tcW w:w="5580" w:type="dxa"/>
            <w:vAlign w:val="bottom"/>
            <w:tcBorders>
              <w:bottom w:val="single" w:sz="8" w:color="auto"/>
            </w:tcBorders>
          </w:tcPr>
          <w:p>
            <w:pPr>
              <w:jc w:val="center"/>
              <w:spacing w:after="0" w:line="199" w:lineRule="exact"/>
              <w:rPr>
                <w:sz w:val="20"/>
                <w:szCs w:val="20"/>
                <w:color w:val="auto"/>
              </w:rPr>
            </w:pPr>
            <w:r>
              <w:rPr>
                <w:rFonts w:ascii="Arial" w:cs="Arial" w:eastAsia="Arial" w:hAnsi="Arial"/>
                <w:sz w:val="18"/>
                <w:szCs w:val="18"/>
                <w:b w:val="1"/>
                <w:bCs w:val="1"/>
                <w:color w:val="auto"/>
                <w:w w:val="99"/>
              </w:rPr>
              <w:t>FINANCIAL CONDITION AND RESULTS OF OPERATIONS (MD&amp;A)</w:t>
            </w:r>
          </w:p>
        </w:tc>
      </w:tr>
      <w:tr>
        <w:trPr>
          <w:trHeight w:val="237"/>
        </w:trPr>
        <w:tc>
          <w:tcPr>
            <w:tcW w:w="350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Arial" w:cs="Arial" w:eastAsia="Arial" w:hAnsi="Arial"/>
                <w:sz w:val="18"/>
                <w:szCs w:val="18"/>
                <w:b w:val="1"/>
                <w:bCs w:val="1"/>
                <w:color w:val="auto"/>
                <w:w w:val="99"/>
              </w:rPr>
              <w:t>(Dollars in millions, except per share amounts)</w:t>
            </w:r>
          </w:p>
        </w:tc>
      </w:tr>
    </w:tbl>
    <w:p>
      <w:pPr>
        <w:spacing w:after="0" w:line="202"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following MD&amp;A is intended to help the reader understand the results of operations and financial condition of Honeywell International Inc. and its consolidated subsidiaries (Honeywell or the Company) for the three and nine months ended September 30, 2016. The financial information as of September 30, 2016 should be read in conjunction with the financial statements for the year ended December 31, 2015 contained in our 2015 Annual Report on Form 10-K.</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July 2016, the Company announced that it is realigning the business units comprising its Automation and Control Solutions reporting segment by forming two new reportable operating segments: Home and Building Technologies and Safety and Productivity Solutions. Home and Building Technologies includes Environmental &amp; Energy Solutions, Security and Fire, and Building Solutions and Distribution. Additionally, the Industrial Combustion/Thermal business, previously part of Environmental &amp; Energy Solutions in Automation and Control Solutions, became part of Performance Materials and Technologies. Safety and Productivity Solutions includes Sensing &amp; Productivity Solutions and Industrial Safety, as well as the Intelligrated business. Under the realigned segment reporting structure, the Company has four reportable operating segments: Aerospace, Home and Building Technologies, Performance Materials and Technologies and Safety and Productivity Solutions. Effective with the quarter ended September 30, 2016 the Company has reported its financial performance based on this realignment.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realignments have no impact on the Company’s historical consolidated financial position, results of operations or cash flows.</w:t>
      </w:r>
    </w:p>
    <w:p>
      <w:pPr>
        <w:spacing w:after="0"/>
        <w:rPr>
          <w:sz w:val="20"/>
          <w:szCs w:val="20"/>
          <w:color w:val="auto"/>
        </w:rPr>
      </w:pPr>
      <w:r>
        <w:rPr>
          <w:rFonts w:ascii="Arial" w:cs="Arial" w:eastAsia="Arial" w:hAnsi="Arial"/>
          <w:sz w:val="18"/>
          <w:szCs w:val="18"/>
          <w:color w:val="auto"/>
        </w:rPr>
        <w:t>Prior period amounts have been reclassified to conform to current period segment presentation.</w:t>
      </w:r>
    </w:p>
    <w:p>
      <w:pPr>
        <w:spacing w:after="0" w:line="176" w:lineRule="exact"/>
        <w:rPr>
          <w:sz w:val="20"/>
          <w:szCs w:val="20"/>
          <w:color w:val="auto"/>
        </w:rPr>
      </w:pPr>
    </w:p>
    <w:p>
      <w:pPr>
        <w:ind w:left="580" w:right="540" w:hanging="572"/>
        <w:spacing w:after="0" w:line="271" w:lineRule="auto"/>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Results of Operations – quarter and nine months ended September 30, 2016 compared with the quarter and nine months ended September 30, 2015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4"/>
          </w:tcPr>
          <w:p>
            <w:pPr>
              <w:jc w:val="center"/>
              <w:ind w:left="44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ind w:left="441"/>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5"/>
        </w:trPr>
        <w:tc>
          <w:tcPr>
            <w:tcW w:w="4900" w:type="dxa"/>
            <w:vAlign w:val="bottom"/>
            <w:gridSpan w:val="2"/>
            <w:vMerge w:val="continue"/>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81"/>
              <w:spacing w:after="0" w:line="195" w:lineRule="exact"/>
              <w:rPr>
                <w:sz w:val="20"/>
                <w:szCs w:val="20"/>
                <w:color w:val="auto"/>
              </w:rPr>
            </w:pPr>
            <w:r>
              <w:rPr>
                <w:rFonts w:ascii="Arial" w:cs="Arial" w:eastAsia="Arial" w:hAnsi="Arial"/>
                <w:sz w:val="18"/>
                <w:szCs w:val="18"/>
                <w:color w:val="auto"/>
              </w:rPr>
              <w:t>9,804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9,611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8"/>
              <w:spacing w:after="0" w:line="195" w:lineRule="exact"/>
              <w:rPr>
                <w:sz w:val="20"/>
                <w:szCs w:val="20"/>
                <w:color w:val="auto"/>
              </w:rPr>
            </w:pPr>
            <w:r>
              <w:rPr>
                <w:rFonts w:ascii="Arial" w:cs="Arial" w:eastAsia="Arial" w:hAnsi="Arial"/>
                <w:sz w:val="18"/>
                <w:szCs w:val="18"/>
                <w:color w:val="auto"/>
              </w:rPr>
              <w:t>29,317</w:t>
            </w:r>
          </w:p>
        </w:tc>
        <w:tc>
          <w:tcPr>
            <w:tcW w:w="320" w:type="dxa"/>
            <w:vAlign w:val="bottom"/>
          </w:tcPr>
          <w:p>
            <w:pPr>
              <w:spacing w:after="0"/>
              <w:rPr>
                <w:sz w:val="16"/>
                <w:szCs w:val="16"/>
                <w:color w:val="auto"/>
              </w:rPr>
            </w:pPr>
          </w:p>
        </w:tc>
        <w:tc>
          <w:tcPr>
            <w:tcW w:w="500" w:type="dxa"/>
            <w:vAlign w:val="bottom"/>
          </w:tcPr>
          <w:p>
            <w:pPr>
              <w:jc w:val="right"/>
              <w:ind w:right="310"/>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9"/>
              <w:spacing w:after="0" w:line="195" w:lineRule="exact"/>
              <w:rPr>
                <w:sz w:val="20"/>
                <w:szCs w:val="20"/>
                <w:color w:val="auto"/>
              </w:rPr>
            </w:pPr>
            <w:r>
              <w:rPr>
                <w:rFonts w:ascii="Arial" w:cs="Arial" w:eastAsia="Arial" w:hAnsi="Arial"/>
                <w:sz w:val="18"/>
                <w:szCs w:val="18"/>
                <w:color w:val="auto"/>
              </w:rPr>
              <w:t>28,599</w:t>
            </w:r>
          </w:p>
        </w:tc>
        <w:tc>
          <w:tcPr>
            <w:tcW w:w="0" w:type="dxa"/>
            <w:vAlign w:val="bottom"/>
          </w:tcPr>
          <w:p>
            <w:pPr>
              <w:spacing w:after="0"/>
              <w:rPr>
                <w:sz w:val="1"/>
                <w:szCs w:val="1"/>
                <w:color w:val="auto"/>
              </w:rPr>
            </w:pPr>
          </w:p>
        </w:tc>
      </w:tr>
      <w:tr>
        <w:trPr>
          <w:trHeight w:val="217"/>
        </w:trPr>
        <w:tc>
          <w:tcPr>
            <w:tcW w:w="4900" w:type="dxa"/>
            <w:vAlign w:val="bottom"/>
            <w:gridSpan w:val="2"/>
          </w:tcPr>
          <w:p>
            <w:pPr>
              <w:spacing w:after="0"/>
              <w:rPr>
                <w:sz w:val="20"/>
                <w:szCs w:val="20"/>
                <w:color w:val="auto"/>
              </w:rPr>
            </w:pPr>
            <w:r>
              <w:rPr>
                <w:rFonts w:ascii="Arial" w:cs="Arial" w:eastAsia="Arial" w:hAnsi="Arial"/>
                <w:sz w:val="18"/>
                <w:szCs w:val="18"/>
                <w:color w:val="auto"/>
              </w:rPr>
              <w:t>% change compared with prior period</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980" w:type="dxa"/>
            <w:vAlign w:val="bottom"/>
            <w:gridSpan w:val="9"/>
          </w:tcPr>
          <w:p>
            <w:pPr>
              <w:ind w:left="660"/>
              <w:spacing w:after="0"/>
              <w:rPr>
                <w:sz w:val="20"/>
                <w:szCs w:val="20"/>
                <w:color w:val="auto"/>
              </w:rPr>
            </w:pPr>
            <w:r>
              <w:rPr>
                <w:rFonts w:ascii="Arial" w:cs="Arial" w:eastAsia="Arial" w:hAnsi="Arial"/>
                <w:sz w:val="18"/>
                <w:szCs w:val="18"/>
                <w:color w:val="auto"/>
              </w:rPr>
              <w:t>The change in net sales compared to the prior year period is attributable to the following:</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24"/>
                <w:szCs w:val="24"/>
                <w:color w:val="auto"/>
              </w:rPr>
            </w:pPr>
          </w:p>
        </w:tc>
        <w:tc>
          <w:tcPr>
            <w:tcW w:w="166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Year to Date</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260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Volume</w:t>
            </w:r>
          </w:p>
        </w:tc>
        <w:tc>
          <w:tcPr>
            <w:tcW w:w="320" w:type="dxa"/>
            <w:vAlign w:val="bottom"/>
            <w:tcBorders>
              <w:top w:val="single" w:sz="8" w:color="E5FFFF"/>
            </w:tcBorders>
            <w:shd w:val="clear" w:color="auto" w:fill="E5FFFF"/>
          </w:tcPr>
          <w:p>
            <w:pPr>
              <w:spacing w:after="0"/>
              <w:rPr>
                <w:sz w:val="17"/>
                <w:szCs w:val="17"/>
                <w:color w:val="auto"/>
              </w:rPr>
            </w:pPr>
          </w:p>
        </w:tc>
        <w:tc>
          <w:tcPr>
            <w:tcW w:w="108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160" w:type="dxa"/>
            <w:vAlign w:val="bottom"/>
            <w:tcBorders>
              <w:top w:val="single" w:sz="8" w:color="auto"/>
            </w:tcBorders>
            <w:shd w:val="clear" w:color="auto" w:fill="E5FFFF"/>
          </w:tcPr>
          <w:p>
            <w:pPr>
              <w:spacing w:after="0"/>
              <w:rPr>
                <w:sz w:val="17"/>
                <w:szCs w:val="17"/>
                <w:color w:val="auto"/>
              </w:rPr>
            </w:pPr>
          </w:p>
        </w:tc>
        <w:tc>
          <w:tcPr>
            <w:tcW w:w="520" w:type="dxa"/>
            <w:vAlign w:val="bottom"/>
            <w:tcBorders>
              <w:top w:val="single" w:sz="8" w:color="auto"/>
            </w:tcBorders>
            <w:shd w:val="clear" w:color="auto" w:fill="E5FFFF"/>
          </w:tcPr>
          <w:p>
            <w:pPr>
              <w:spacing w:after="0"/>
              <w:rPr>
                <w:sz w:val="17"/>
                <w:szCs w:val="17"/>
                <w:color w:val="auto"/>
              </w:rPr>
            </w:pPr>
          </w:p>
        </w:tc>
        <w:tc>
          <w:tcPr>
            <w:tcW w:w="40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w w:val="94"/>
              </w:rPr>
              <w:t>(2)%</w:t>
            </w:r>
          </w:p>
        </w:tc>
        <w:tc>
          <w:tcPr>
            <w:tcW w:w="4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spacing w:after="0"/>
              <w:rPr>
                <w:sz w:val="17"/>
                <w:szCs w:val="17"/>
                <w:color w:val="auto"/>
              </w:rPr>
            </w:pPr>
          </w:p>
        </w:tc>
        <w:tc>
          <w:tcPr>
            <w:tcW w:w="260" w:type="dxa"/>
            <w:vAlign w:val="bottom"/>
            <w:tcBorders>
              <w:top w:val="single" w:sz="8" w:color="auto"/>
            </w:tcBorders>
            <w:shd w:val="clear" w:color="auto" w:fill="E5FFFF"/>
          </w:tcPr>
          <w:p>
            <w:pPr>
              <w:spacing w:after="0"/>
              <w:rPr>
                <w:sz w:val="17"/>
                <w:szCs w:val="17"/>
                <w:color w:val="auto"/>
              </w:rPr>
            </w:pPr>
          </w:p>
        </w:tc>
        <w:tc>
          <w:tcPr>
            <w:tcW w:w="5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600" w:type="dxa"/>
            <w:vAlign w:val="bottom"/>
          </w:tcPr>
          <w:p>
            <w:pPr>
              <w:spacing w:after="0" w:line="202" w:lineRule="exact"/>
              <w:rPr>
                <w:sz w:val="20"/>
                <w:szCs w:val="20"/>
                <w:color w:val="auto"/>
              </w:rPr>
            </w:pPr>
            <w:r>
              <w:rPr>
                <w:rFonts w:ascii="Arial" w:cs="Arial" w:eastAsia="Arial" w:hAnsi="Arial"/>
                <w:sz w:val="18"/>
                <w:szCs w:val="18"/>
                <w:color w:val="auto"/>
              </w:rPr>
              <w:t>Price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w w:val="94"/>
              </w:rPr>
              <w:t>(1)%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6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E5FFFF"/>
          </w:tcPr>
          <w:p>
            <w:pPr>
              <w:spacing w:after="0"/>
              <w:rPr>
                <w:sz w:val="17"/>
                <w:szCs w:val="17"/>
                <w:color w:val="auto"/>
              </w:rPr>
            </w:pPr>
          </w:p>
        </w:tc>
        <w:tc>
          <w:tcPr>
            <w:tcW w:w="10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4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w w:val="94"/>
              </w:rPr>
              <w:t>(1)%</w:t>
            </w:r>
          </w:p>
        </w:tc>
        <w:tc>
          <w:tcPr>
            <w:tcW w:w="4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5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600" w:type="dxa"/>
            <w:vAlign w:val="bottom"/>
            <w:tcBorders>
              <w:bottom w:val="single" w:sz="8" w:color="E5FFFF"/>
            </w:tcBorders>
          </w:tcPr>
          <w:p>
            <w:pPr>
              <w:spacing w:after="0"/>
              <w:rPr>
                <w:sz w:val="20"/>
                <w:szCs w:val="20"/>
                <w:color w:val="auto"/>
              </w:rPr>
            </w:pPr>
            <w:r>
              <w:rPr>
                <w:rFonts w:ascii="Arial" w:cs="Arial" w:eastAsia="Arial" w:hAnsi="Arial"/>
                <w:sz w:val="18"/>
                <w:szCs w:val="18"/>
                <w:color w:val="auto"/>
              </w:rPr>
              <w:t>Acquisitions/Divestitures</w:t>
            </w:r>
          </w:p>
        </w:tc>
        <w:tc>
          <w:tcPr>
            <w:tcW w:w="320" w:type="dxa"/>
            <w:vAlign w:val="bottom"/>
            <w:tcBorders>
              <w:bottom w:val="single" w:sz="8" w:color="E5FFFF"/>
            </w:tcBorders>
          </w:tcPr>
          <w:p>
            <w:pPr>
              <w:spacing w:after="0"/>
              <w:rPr>
                <w:sz w:val="18"/>
                <w:szCs w:val="18"/>
                <w:color w:val="auto"/>
              </w:rPr>
            </w:pPr>
          </w:p>
        </w:tc>
        <w:tc>
          <w:tcPr>
            <w:tcW w:w="1080" w:type="dxa"/>
            <w:vAlign w:val="bottom"/>
            <w:tcBorders>
              <w:bottom w:val="single" w:sz="8" w:color="E5FFFF"/>
            </w:tcBorders>
          </w:tcPr>
          <w:p>
            <w:pPr>
              <w:spacing w:after="0"/>
              <w:rPr>
                <w:sz w:val="18"/>
                <w:szCs w:val="18"/>
                <w:color w:val="auto"/>
              </w:rPr>
            </w:pPr>
          </w:p>
        </w:tc>
        <w:tc>
          <w:tcPr>
            <w:tcW w:w="180" w:type="dxa"/>
            <w:vAlign w:val="bottom"/>
            <w:tcBorders>
              <w:bottom w:val="single" w:sz="8" w:color="E5FF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600" w:type="dxa"/>
            <w:vAlign w:val="bottom"/>
            <w:tcBorders>
              <w:bottom w:val="single" w:sz="8" w:color="E5FFFF"/>
            </w:tcBorders>
            <w:shd w:val="clear" w:color="auto" w:fill="E5FFFF"/>
          </w:tcPr>
          <w:p>
            <w:pPr>
              <w:spacing w:after="0"/>
              <w:rPr>
                <w:sz w:val="19"/>
                <w:szCs w:val="19"/>
                <w:color w:val="auto"/>
              </w:rPr>
            </w:pPr>
          </w:p>
        </w:tc>
        <w:tc>
          <w:tcPr>
            <w:tcW w:w="320" w:type="dxa"/>
            <w:vAlign w:val="bottom"/>
            <w:tcBorders>
              <w:bottom w:val="single" w:sz="8" w:color="E5FFFF"/>
            </w:tcBorders>
            <w:shd w:val="clear" w:color="auto" w:fill="E5FFFF"/>
          </w:tcPr>
          <w:p>
            <w:pPr>
              <w:spacing w:after="0"/>
              <w:rPr>
                <w:sz w:val="19"/>
                <w:szCs w:val="19"/>
                <w:color w:val="auto"/>
              </w:rPr>
            </w:pPr>
          </w:p>
        </w:tc>
        <w:tc>
          <w:tcPr>
            <w:tcW w:w="1080" w:type="dxa"/>
            <w:vAlign w:val="bottom"/>
            <w:tcBorders>
              <w:bottom w:val="single" w:sz="8" w:color="E5FFFF"/>
            </w:tcBorders>
            <w:shd w:val="clear" w:color="auto" w:fill="E5FFFF"/>
          </w:tcPr>
          <w:p>
            <w:pPr>
              <w:spacing w:after="0"/>
              <w:rPr>
                <w:sz w:val="19"/>
                <w:szCs w:val="19"/>
                <w:color w:val="auto"/>
              </w:rPr>
            </w:pPr>
          </w:p>
        </w:tc>
        <w:tc>
          <w:tcPr>
            <w:tcW w:w="180" w:type="dxa"/>
            <w:vAlign w:val="bottom"/>
            <w:tcBorders>
              <w:bottom w:val="single" w:sz="8" w:color="E5FFFF"/>
            </w:tcBorders>
            <w:shd w:val="clear" w:color="auto" w:fill="E5FFFF"/>
          </w:tcPr>
          <w:p>
            <w:pPr>
              <w:spacing w:after="0"/>
              <w:rPr>
                <w:sz w:val="19"/>
                <w:szCs w:val="19"/>
                <w:color w:val="auto"/>
              </w:rPr>
            </w:pPr>
          </w:p>
        </w:tc>
        <w:tc>
          <w:tcPr>
            <w:tcW w:w="160" w:type="dxa"/>
            <w:vAlign w:val="bottom"/>
            <w:tcBorders>
              <w:bottom w:val="single" w:sz="8" w:color="auto"/>
            </w:tcBorders>
            <w:shd w:val="clear" w:color="auto" w:fill="E5FFFF"/>
          </w:tcPr>
          <w:p>
            <w:pPr>
              <w:spacing w:after="0"/>
              <w:rPr>
                <w:sz w:val="19"/>
                <w:szCs w:val="19"/>
                <w:color w:val="auto"/>
              </w:rPr>
            </w:pPr>
          </w:p>
        </w:tc>
        <w:tc>
          <w:tcPr>
            <w:tcW w:w="520" w:type="dxa"/>
            <w:vAlign w:val="bottom"/>
            <w:tcBorders>
              <w:bottom w:val="single" w:sz="8" w:color="auto"/>
            </w:tcBorders>
            <w:shd w:val="clear" w:color="auto" w:fill="E5FFFF"/>
          </w:tcPr>
          <w:p>
            <w:pPr>
              <w:spacing w:after="0"/>
              <w:rPr>
                <w:sz w:val="19"/>
                <w:szCs w:val="19"/>
                <w:color w:val="auto"/>
              </w:rPr>
            </w:pPr>
          </w:p>
        </w:tc>
        <w:tc>
          <w:tcPr>
            <w:tcW w:w="4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E5FFFF"/>
            </w:tcBorders>
            <w:shd w:val="clear" w:color="auto" w:fill="E5FFFF"/>
          </w:tcPr>
          <w:p>
            <w:pPr>
              <w:spacing w:after="0"/>
              <w:rPr>
                <w:sz w:val="19"/>
                <w:szCs w:val="19"/>
                <w:color w:val="auto"/>
              </w:rPr>
            </w:pPr>
          </w:p>
        </w:tc>
        <w:tc>
          <w:tcPr>
            <w:tcW w:w="100" w:type="dxa"/>
            <w:vAlign w:val="bottom"/>
            <w:tcBorders>
              <w:bottom w:val="single" w:sz="8" w:color="E5FFFF"/>
            </w:tcBorders>
            <w:shd w:val="clear" w:color="auto" w:fill="E5FFFF"/>
          </w:tcPr>
          <w:p>
            <w:pPr>
              <w:spacing w:after="0"/>
              <w:rPr>
                <w:sz w:val="19"/>
                <w:szCs w:val="19"/>
                <w:color w:val="auto"/>
              </w:rPr>
            </w:pPr>
          </w:p>
        </w:tc>
        <w:tc>
          <w:tcPr>
            <w:tcW w:w="240" w:type="dxa"/>
            <w:vAlign w:val="bottom"/>
            <w:tcBorders>
              <w:bottom w:val="single" w:sz="8" w:color="auto"/>
            </w:tcBorders>
            <w:shd w:val="clear" w:color="auto" w:fill="E5FFFF"/>
          </w:tcPr>
          <w:p>
            <w:pPr>
              <w:spacing w:after="0"/>
              <w:rPr>
                <w:sz w:val="19"/>
                <w:szCs w:val="19"/>
                <w:color w:val="auto"/>
              </w:rPr>
            </w:pPr>
          </w:p>
        </w:tc>
        <w:tc>
          <w:tcPr>
            <w:tcW w:w="260" w:type="dxa"/>
            <w:vAlign w:val="bottom"/>
            <w:tcBorders>
              <w:bottom w:val="single" w:sz="8" w:color="auto"/>
            </w:tcBorders>
            <w:shd w:val="clear" w:color="auto" w:fill="E5FFFF"/>
          </w:tcPr>
          <w:p>
            <w:pPr>
              <w:spacing w:after="0"/>
              <w:rPr>
                <w:sz w:val="19"/>
                <w:szCs w:val="19"/>
                <w:color w:val="auto"/>
              </w:rPr>
            </w:pPr>
          </w:p>
        </w:tc>
        <w:tc>
          <w:tcPr>
            <w:tcW w:w="5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 discussion of net sales by segment can be found in the Review of Business Segments section of this MD&amp;A. The foreign currency translation impact for the quarter is principally driven by the weakening of the British Pound, Chinese Renminbi and Canadian Dollar, partially offset by the strengthening of the Japanese Yen against the U.S. Dollar. The foreign currency translation impact for the nine months is principally driven by the weakening of the British Pound, Chinese Renminbi and Canadian Dollar, partially offset by the strengthening of the Japanese Yen against the U.S. Dollar.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Cost of Products and Services Sold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4"/>
          </w:tcPr>
          <w:p>
            <w:pPr>
              <w:jc w:val="center"/>
              <w:ind w:right="25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01"/>
        </w:trPr>
        <w:tc>
          <w:tcPr>
            <w:tcW w:w="4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482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E5FF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E5FF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E5FF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196"/>
        </w:trPr>
        <w:tc>
          <w:tcPr>
            <w:tcW w:w="4820" w:type="dxa"/>
            <w:vAlign w:val="bottom"/>
            <w:shd w:val="clear" w:color="auto" w:fill="E5FFFF"/>
          </w:tcPr>
          <w:p>
            <w:pPr>
              <w:ind w:left="40"/>
              <w:spacing w:after="0" w:line="196" w:lineRule="exact"/>
              <w:rPr>
                <w:sz w:val="20"/>
                <w:szCs w:val="20"/>
                <w:color w:val="auto"/>
              </w:rPr>
            </w:pPr>
            <w:r>
              <w:rPr>
                <w:rFonts w:ascii="Arial" w:cs="Arial" w:eastAsia="Arial" w:hAnsi="Arial"/>
                <w:sz w:val="18"/>
                <w:szCs w:val="18"/>
                <w:color w:val="auto"/>
              </w:rPr>
              <w:t>Cost of products and services sold</w:t>
            </w: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rPr>
              <w:t>6,903</w:t>
            </w:r>
          </w:p>
        </w:tc>
        <w:tc>
          <w:tcPr>
            <w:tcW w:w="340" w:type="dxa"/>
            <w:vAlign w:val="bottom"/>
            <w:shd w:val="clear" w:color="auto" w:fill="E5FFFF"/>
          </w:tcPr>
          <w:p>
            <w:pPr>
              <w:spacing w:after="0"/>
              <w:rPr>
                <w:sz w:val="17"/>
                <w:szCs w:val="17"/>
                <w:color w:val="auto"/>
              </w:rPr>
            </w:pPr>
          </w:p>
        </w:tc>
        <w:tc>
          <w:tcPr>
            <w:tcW w:w="440" w:type="dxa"/>
            <w:vAlign w:val="bottom"/>
            <w:shd w:val="clear" w:color="auto" w:fill="E5FF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6,654</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rPr>
              <w:t>20,271</w:t>
            </w:r>
          </w:p>
        </w:tc>
        <w:tc>
          <w:tcPr>
            <w:tcW w:w="340" w:type="dxa"/>
            <w:vAlign w:val="bottom"/>
            <w:shd w:val="clear" w:color="auto" w:fill="E5FFFF"/>
          </w:tcPr>
          <w:p>
            <w:pPr>
              <w:spacing w:after="0"/>
              <w:rPr>
                <w:sz w:val="17"/>
                <w:szCs w:val="17"/>
                <w:color w:val="auto"/>
              </w:rPr>
            </w:pPr>
          </w:p>
        </w:tc>
        <w:tc>
          <w:tcPr>
            <w:tcW w:w="520" w:type="dxa"/>
            <w:vAlign w:val="bottom"/>
            <w:shd w:val="clear" w:color="auto" w:fill="E5FFFF"/>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E5FFFF"/>
          </w:tcPr>
          <w:p>
            <w:pPr>
              <w:jc w:val="right"/>
              <w:ind w:right="76"/>
              <w:spacing w:after="0" w:line="196" w:lineRule="exact"/>
              <w:rPr>
                <w:sz w:val="20"/>
                <w:szCs w:val="20"/>
                <w:color w:val="auto"/>
              </w:rPr>
            </w:pPr>
            <w:r>
              <w:rPr>
                <w:rFonts w:ascii="Arial" w:cs="Arial" w:eastAsia="Arial" w:hAnsi="Arial"/>
                <w:sz w:val="18"/>
                <w:szCs w:val="18"/>
                <w:color w:val="auto"/>
              </w:rPr>
              <w:t>19,830</w:t>
            </w:r>
          </w:p>
        </w:tc>
      </w:tr>
      <w:tr>
        <w:trPr>
          <w:trHeight w:val="230"/>
        </w:trPr>
        <w:tc>
          <w:tcPr>
            <w:tcW w:w="4820" w:type="dxa"/>
            <w:vAlign w:val="bottom"/>
          </w:tcPr>
          <w:p>
            <w:pPr>
              <w:ind w:left="40"/>
              <w:spacing w:after="0"/>
              <w:rPr>
                <w:sz w:val="20"/>
                <w:szCs w:val="20"/>
                <w:color w:val="auto"/>
              </w:rPr>
            </w:pPr>
            <w:r>
              <w:rPr>
                <w:rFonts w:ascii="Arial" w:cs="Arial" w:eastAsia="Arial" w:hAnsi="Arial"/>
                <w:sz w:val="18"/>
                <w:szCs w:val="18"/>
                <w:color w:val="auto"/>
              </w:rPr>
              <w:t>% change compared with prior period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20" w:type="dxa"/>
            <w:vAlign w:val="bottom"/>
            <w:shd w:val="clear" w:color="auto" w:fill="E5FFFF"/>
          </w:tcPr>
          <w:p>
            <w:pPr>
              <w:ind w:left="40"/>
              <w:spacing w:after="0" w:line="202" w:lineRule="exact"/>
              <w:rPr>
                <w:sz w:val="20"/>
                <w:szCs w:val="20"/>
                <w:color w:val="auto"/>
              </w:rPr>
            </w:pPr>
            <w:r>
              <w:rPr>
                <w:rFonts w:ascii="Arial" w:cs="Arial" w:eastAsia="Arial" w:hAnsi="Arial"/>
                <w:sz w:val="18"/>
                <w:szCs w:val="18"/>
                <w:color w:val="auto"/>
              </w:rPr>
              <w:t>Gross Margin percentage</w:t>
            </w:r>
          </w:p>
        </w:tc>
        <w:tc>
          <w:tcPr>
            <w:tcW w:w="320" w:type="dxa"/>
            <w:vAlign w:val="bottom"/>
            <w:shd w:val="clear" w:color="auto" w:fill="E5FFFF"/>
          </w:tcPr>
          <w:p>
            <w:pPr>
              <w:spacing w:after="0"/>
              <w:rPr>
                <w:sz w:val="17"/>
                <w:szCs w:val="17"/>
                <w:color w:val="auto"/>
              </w:rPr>
            </w:pPr>
          </w:p>
        </w:tc>
        <w:tc>
          <w:tcPr>
            <w:tcW w:w="10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29.6%</w:t>
            </w:r>
          </w:p>
        </w:tc>
        <w:tc>
          <w:tcPr>
            <w:tcW w:w="34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9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30.8%</w:t>
            </w:r>
          </w:p>
        </w:tc>
        <w:tc>
          <w:tcPr>
            <w:tcW w:w="34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10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30.9%</w:t>
            </w:r>
          </w:p>
        </w:tc>
        <w:tc>
          <w:tcPr>
            <w:tcW w:w="34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8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30.7%</w:t>
            </w:r>
          </w:p>
        </w:tc>
      </w:tr>
    </w:tbl>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Cost of products and services sold increased in the quarter principally due to an increase in direct material and labor costs of approximately $165 million (driven primarily by acquisitions, net of divestitures, partially offset by the favorable impact from productivity, net of inflation, and foreign currency), higher repositioning and other charges of approximately $100 million and an increase in depreciation and amortization attributable to acquisitions of approximately $35 million, partially offset by increased pension and other postretirement benefits income of approximately $60 million.</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Cost of products and services sold increased in the nine months principally due to an increase in direct material and labor costs of approximately $470 million (driven primarily by acquisitions, net of divestitures, partially offset by the favorable impact from productivity, net of inflation and foreign currency), an increase in depreciation and amortization attributable to acquisitions of approximately $105 million and higher repositioning and other charges of approximately $50 million, partially offset by increased pension and other postretirement benefits income of approximately $170 million.</w:t>
      </w:r>
    </w:p>
    <w:p>
      <w:pPr>
        <w:spacing w:after="0" w:line="18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Gross margin percentage decreased in the quarter primarily due to lower segment gross margin in Home and Building Technologies, Aerospace and Safety and Productivity Solutions (approximately 1.0 percentage point impact, principally attributed to acquisitions, net of divestitures, and incentives to Aerospace Original Equipment Manufacturers (OEM incentives)) and higher repositioning and other charges (approximately 1.0 percentage point impact), partially offset by increased pension and other postretirement benefits income (approximately 0.6 percentage point impact) and higher segment gross margin in Performance Materials and Technologies (approximately 0.4 percentage point impact, principally attributed to acquisitions).</w:t>
      </w:r>
    </w:p>
    <w:p>
      <w:pPr>
        <w:spacing w:after="0" w:line="19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Gross margin percentage increased in the nine months primarily driven by increased pension and other postretirement benefits income (approximately 0.6 percentage point impact) and higher segment gross margin in Performance Materials and Technologies (approximately 0.3 percentage point impact), partially offset by lower segment gross margin in Aerospace, Home and Building Technologies and Safety and Productivity Solutions (approximately 0.7 percentage point impact, principally attributed to higher OEM incentives within Aerospace).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4"/>
          </w:tcPr>
          <w:p>
            <w:pPr>
              <w:jc w:val="center"/>
              <w:ind w:right="25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5"/>
        </w:trPr>
        <w:tc>
          <w:tcPr>
            <w:tcW w:w="4820" w:type="dxa"/>
            <w:vAlign w:val="bottom"/>
            <w:vMerge w:val="continue"/>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81"/>
              <w:spacing w:after="0" w:line="195" w:lineRule="exact"/>
              <w:rPr>
                <w:sz w:val="20"/>
                <w:szCs w:val="20"/>
                <w:color w:val="auto"/>
              </w:rPr>
            </w:pPr>
            <w:r>
              <w:rPr>
                <w:rFonts w:ascii="Arial" w:cs="Arial" w:eastAsia="Arial" w:hAnsi="Arial"/>
                <w:sz w:val="18"/>
                <w:szCs w:val="18"/>
                <w:color w:val="auto"/>
              </w:rPr>
              <w:t>1,367</w:t>
            </w:r>
          </w:p>
        </w:tc>
        <w:tc>
          <w:tcPr>
            <w:tcW w:w="340" w:type="dxa"/>
            <w:vAlign w:val="bottom"/>
          </w:tcPr>
          <w:p>
            <w:pPr>
              <w:spacing w:after="0"/>
              <w:rPr>
                <w:sz w:val="16"/>
                <w:szCs w:val="16"/>
                <w:color w:val="auto"/>
              </w:rPr>
            </w:pPr>
          </w:p>
        </w:tc>
        <w:tc>
          <w:tcPr>
            <w:tcW w:w="440" w:type="dxa"/>
            <w:vAlign w:val="bottom"/>
          </w:tcPr>
          <w:p>
            <w:pPr>
              <w:jc w:val="right"/>
              <w:ind w:right="250"/>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76"/>
              <w:spacing w:after="0" w:line="195" w:lineRule="exact"/>
              <w:rPr>
                <w:sz w:val="20"/>
                <w:szCs w:val="20"/>
                <w:color w:val="auto"/>
              </w:rPr>
            </w:pPr>
            <w:r>
              <w:rPr>
                <w:rFonts w:ascii="Arial" w:cs="Arial" w:eastAsia="Arial" w:hAnsi="Arial"/>
                <w:sz w:val="18"/>
                <w:szCs w:val="18"/>
                <w:color w:val="auto"/>
              </w:rPr>
              <w:t>1,202</w:t>
            </w:r>
          </w:p>
        </w:tc>
        <w:tc>
          <w:tcPr>
            <w:tcW w:w="34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ind w:right="81"/>
              <w:spacing w:after="0" w:line="195" w:lineRule="exact"/>
              <w:rPr>
                <w:sz w:val="20"/>
                <w:szCs w:val="20"/>
                <w:color w:val="auto"/>
              </w:rPr>
            </w:pPr>
            <w:r>
              <w:rPr>
                <w:rFonts w:ascii="Arial" w:cs="Arial" w:eastAsia="Arial" w:hAnsi="Arial"/>
                <w:sz w:val="18"/>
                <w:szCs w:val="18"/>
                <w:color w:val="auto"/>
              </w:rPr>
              <w:t>3,976</w:t>
            </w:r>
          </w:p>
        </w:tc>
        <w:tc>
          <w:tcPr>
            <w:tcW w:w="340" w:type="dxa"/>
            <w:vAlign w:val="bottom"/>
          </w:tcPr>
          <w:p>
            <w:pPr>
              <w:spacing w:after="0"/>
              <w:rPr>
                <w:sz w:val="16"/>
                <w:szCs w:val="16"/>
                <w:color w:val="auto"/>
              </w:rPr>
            </w:pPr>
          </w:p>
        </w:tc>
        <w:tc>
          <w:tcPr>
            <w:tcW w:w="520" w:type="dxa"/>
            <w:vAlign w:val="bottom"/>
          </w:tcPr>
          <w:p>
            <w:pPr>
              <w:jc w:val="right"/>
              <w:ind w:right="330"/>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76"/>
              <w:spacing w:after="0" w:line="195" w:lineRule="exact"/>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Percent of sales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Selling, general and administrative expenses (SG&amp;A) increased in the quarter primarily due to an increase in labor costs principally attributed to acquisitions and higher repositioning charges.</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SG&amp;A increased in the nine months primarily due to an increase in labor costs (principally attributed to acquisitions, investment for growth and merit increases) and higher repositioning charges, partially offset by the favorable impact from foreign currency translation.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Tax Expense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600" w:type="dxa"/>
            <w:vAlign w:val="bottom"/>
            <w:gridSpan w:val="4"/>
          </w:tcPr>
          <w:p>
            <w:pPr>
              <w:jc w:val="center"/>
              <w:ind w:left="42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6"/>
                <w:szCs w:val="16"/>
                <w:color w:val="auto"/>
              </w:rPr>
            </w:pPr>
          </w:p>
        </w:tc>
      </w:tr>
      <w:tr>
        <w:trPr>
          <w:trHeight w:val="201"/>
        </w:trPr>
        <w:tc>
          <w:tcPr>
            <w:tcW w:w="48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482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r>
      <w:tr>
        <w:trPr>
          <w:trHeight w:val="411"/>
        </w:trPr>
        <w:tc>
          <w:tcPr>
            <w:tcW w:w="4820" w:type="dxa"/>
            <w:vAlign w:val="bottom"/>
          </w:tcPr>
          <w:p>
            <w:pPr>
              <w:spacing w:after="0"/>
              <w:rPr>
                <w:sz w:val="20"/>
                <w:szCs w:val="20"/>
                <w:color w:val="auto"/>
              </w:rPr>
            </w:pPr>
            <w:r>
              <w:rPr>
                <w:rFonts w:ascii="Arial" w:cs="Arial" w:eastAsia="Arial" w:hAnsi="Arial"/>
                <w:sz w:val="18"/>
                <w:szCs w:val="18"/>
                <w:color w:val="auto"/>
              </w:rPr>
              <w:t>Tax expense</w:t>
            </w:r>
          </w:p>
        </w:tc>
        <w:tc>
          <w:tcPr>
            <w:tcW w:w="860" w:type="dxa"/>
            <w:vAlign w:val="bottom"/>
          </w:tcPr>
          <w:p>
            <w:pPr>
              <w:jc w:val="right"/>
              <w:ind w:right="68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76"/>
              <w:spacing w:after="0"/>
              <w:rPr>
                <w:sz w:val="20"/>
                <w:szCs w:val="20"/>
                <w:color w:val="auto"/>
              </w:rPr>
            </w:pPr>
            <w:r>
              <w:rPr>
                <w:rFonts w:ascii="Arial" w:cs="Arial" w:eastAsia="Arial" w:hAnsi="Arial"/>
                <w:sz w:val="18"/>
                <w:szCs w:val="18"/>
                <w:color w:val="auto"/>
              </w:rPr>
              <w:t>384</w:t>
            </w:r>
          </w:p>
        </w:tc>
        <w:tc>
          <w:tcPr>
            <w:tcW w:w="340" w:type="dxa"/>
            <w:vAlign w:val="bottom"/>
          </w:tcPr>
          <w:p>
            <w:pPr>
              <w:spacing w:after="0"/>
              <w:rPr>
                <w:sz w:val="24"/>
                <w:szCs w:val="24"/>
                <w:color w:val="auto"/>
              </w:rPr>
            </w:pP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431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1"/>
              <w:spacing w:after="0"/>
              <w:rPr>
                <w:sz w:val="20"/>
                <w:szCs w:val="20"/>
                <w:color w:val="auto"/>
              </w:rPr>
            </w:pPr>
            <w:r>
              <w:rPr>
                <w:rFonts w:ascii="Arial" w:cs="Arial" w:eastAsia="Arial" w:hAnsi="Arial"/>
                <w:sz w:val="18"/>
                <w:szCs w:val="18"/>
                <w:color w:val="auto"/>
              </w:rPr>
              <w:t>1,214</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6"/>
              <w:spacing w:after="0"/>
              <w:rPr>
                <w:sz w:val="20"/>
                <w:szCs w:val="20"/>
                <w:color w:val="auto"/>
              </w:rPr>
            </w:pPr>
            <w:r>
              <w:rPr>
                <w:rFonts w:ascii="Arial" w:cs="Arial" w:eastAsia="Arial" w:hAnsi="Arial"/>
                <w:sz w:val="18"/>
                <w:szCs w:val="18"/>
                <w:color w:val="auto"/>
              </w:rPr>
              <w:t>1,289</w:t>
            </w: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Effective tax rate</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23.5%</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25.2%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w:t>
            </w:r>
          </w:p>
        </w:tc>
      </w:tr>
    </w:tbl>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The effective tax rate decreased for the quarter and nine months primarily due to tax benefits from the adoption of the Financial Accounting Standards Board’s (FASB) accounting standard update related to employee share-based payment accounting, partially offset by the Honeywell Technology Solutions, Inc. divestiture that was taxed at a higher rate than the estimated annual effective tax rate and decreased tax benefits from manufacturing incentives.</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The effective tax rates for the quarter and nine months were lower than the U.S. federal statutory rate of 35%, in part due to non-U.S. earnings taxed at lower rates, the vast majority of which we intend to permanently reinvest outside the United States, and benefits from manufacturing incentives.</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Company currently expects the effective tax rate for 2016 to be approximately 24.5%, excluding the impact of any pension mark-to-market adjustment and any gains or losses resulting from early extinguishment of debt. The effective tax rate can vary from quarter to quarter due to unusual or infrequently occurring items, the resolution of income tax audits, changes in tax laws or other items such as pension mark-to-market adjustments or any gains or losses resulting from early extinguishment of debt and the tax impact from employee share-based payments.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Honeywell</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6"/>
                <w:szCs w:val="16"/>
                <w:color w:val="auto"/>
              </w:rPr>
            </w:pPr>
          </w:p>
        </w:tc>
      </w:tr>
      <w:tr>
        <w:trPr>
          <w:trHeight w:val="201"/>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r>
      <w:tr>
        <w:trPr>
          <w:trHeight w:val="196"/>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6"/>
              </w:rPr>
              <w:t>2015</w:t>
            </w: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6"/>
              </w:rPr>
              <w:t>2015</w:t>
            </w:r>
          </w:p>
        </w:tc>
      </w:tr>
      <w:tr>
        <w:trPr>
          <w:trHeight w:val="412"/>
        </w:trPr>
        <w:tc>
          <w:tcPr>
            <w:tcW w:w="4740" w:type="dxa"/>
            <w:vAlign w:val="bottom"/>
          </w:tcPr>
          <w:p>
            <w:pPr>
              <w:spacing w:after="0"/>
              <w:rPr>
                <w:sz w:val="20"/>
                <w:szCs w:val="20"/>
                <w:color w:val="auto"/>
              </w:rPr>
            </w:pPr>
            <w:r>
              <w:rPr>
                <w:rFonts w:ascii="Arial" w:cs="Arial" w:eastAsia="Arial" w:hAnsi="Arial"/>
                <w:sz w:val="18"/>
                <w:szCs w:val="18"/>
                <w:color w:val="auto"/>
              </w:rPr>
              <w:t>Net income attributable to Honeywell</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1,240</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1,264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3,775</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3,574</w:t>
            </w:r>
          </w:p>
        </w:tc>
      </w:tr>
      <w:tr>
        <w:trPr>
          <w:trHeight w:val="419"/>
        </w:trPr>
        <w:tc>
          <w:tcPr>
            <w:tcW w:w="4740" w:type="dxa"/>
            <w:vAlign w:val="bottom"/>
          </w:tcPr>
          <w:p>
            <w:pPr>
              <w:spacing w:after="0"/>
              <w:rPr>
                <w:sz w:val="20"/>
                <w:szCs w:val="20"/>
                <w:color w:val="auto"/>
              </w:rPr>
            </w:pPr>
            <w:r>
              <w:rPr>
                <w:rFonts w:ascii="Arial" w:cs="Arial" w:eastAsia="Arial" w:hAnsi="Arial"/>
                <w:sz w:val="18"/>
                <w:szCs w:val="18"/>
                <w:color w:val="auto"/>
              </w:rPr>
              <w:t>Earnings per share of common stock – assuming dilution</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1.60</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1.60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4.86</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4.51</w:t>
            </w:r>
          </w:p>
        </w:tc>
      </w:tr>
    </w:tbl>
    <w:p>
      <w:pPr>
        <w:spacing w:after="0" w:line="18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Earnings per share of common stock – assuming dilution was flat in the quarter primarily due to the gain related to the Honeywell Technology Solutions, Inc. divestiture, higher pension and other postretirement income and the tax benefit from adoption of the FASB’s accounting standard related to employee share-based payment accounting, offset by decreased segment profit in Aerospace, principally attributed to OEM incentives, and Safety and Productivity Solutions, and higher repositioning and other charges.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Earnings per share of common stock – assuming dilution increased in the nine months primarily driven by higher pension and other postretirement income, increased segment profit in Home and Building Technologies, the gain related to the Honeywell Technology Solutions, Inc. divestiture, a decrease in the weighted average shares outstanding and the tax benefit from adoption of the FASB’s accounting standard related to employee share-based payment accounting, partially offset by decreased segment profit in Aerospace, principally attributed to OEM incentives, Safety and Productivity Solutions and Performance Materials and Technologies and higher repositioning and other charges.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Review of Business Segments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center"/>
              <w:ind w:right="118"/>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680" w:type="dxa"/>
            <w:vAlign w:val="bottom"/>
          </w:tcPr>
          <w:p>
            <w:pPr>
              <w:jc w:val="right"/>
              <w:ind w:right="158"/>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center"/>
              <w:ind w:right="7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Borders>
              <w:bottom w:val="single" w:sz="8" w:color="auto"/>
            </w:tcBorders>
            <w:shd w:val="clear" w:color="auto" w:fill="E5FFFF"/>
          </w:tcPr>
          <w:p>
            <w:pPr>
              <w:spacing w:after="0"/>
              <w:rPr>
                <w:sz w:val="20"/>
                <w:szCs w:val="20"/>
                <w:color w:val="auto"/>
              </w:rPr>
            </w:pPr>
            <w:r>
              <w:rPr>
                <w:rFonts w:ascii="Arial" w:cs="Arial" w:eastAsia="Arial" w:hAnsi="Arial"/>
                <w:sz w:val="16"/>
                <w:szCs w:val="16"/>
                <w:color w:val="auto"/>
                <w:w w:val="99"/>
              </w:rPr>
              <w:t>Aerospace Sales</w:t>
            </w:r>
          </w:p>
        </w:tc>
        <w:tc>
          <w:tcPr>
            <w:tcW w:w="3580" w:type="dxa"/>
            <w:vAlign w:val="bottom"/>
            <w:tcBorders>
              <w:bottom w:val="single" w:sz="8" w:color="E5FFFF"/>
            </w:tcBorders>
            <w:gridSpan w:val="3"/>
            <w:shd w:val="clear" w:color="auto" w:fill="E5FFFF"/>
          </w:tcPr>
          <w:p>
            <w:pPr>
              <w:spacing w:after="0"/>
              <w:rPr>
                <w:sz w:val="17"/>
                <w:szCs w:val="17"/>
                <w:color w:val="auto"/>
              </w:rPr>
            </w:pPr>
          </w:p>
        </w:tc>
        <w:tc>
          <w:tcPr>
            <w:tcW w:w="200" w:type="dxa"/>
            <w:vAlign w:val="bottom"/>
            <w:tcBorders>
              <w:bottom w:val="single" w:sz="8" w:color="E5FFFF"/>
            </w:tcBorders>
            <w:shd w:val="clear" w:color="auto" w:fill="E5FFFF"/>
          </w:tcPr>
          <w:p>
            <w:pPr>
              <w:spacing w:after="0"/>
              <w:rPr>
                <w:sz w:val="17"/>
                <w:szCs w:val="17"/>
                <w:color w:val="auto"/>
              </w:rPr>
            </w:pPr>
          </w:p>
        </w:tc>
        <w:tc>
          <w:tcPr>
            <w:tcW w:w="660" w:type="dxa"/>
            <w:vAlign w:val="bottom"/>
            <w:tcBorders>
              <w:bottom w:val="single" w:sz="8" w:color="E5FFFF"/>
            </w:tcBorders>
            <w:shd w:val="clear" w:color="auto" w:fill="E5FFFF"/>
          </w:tcPr>
          <w:p>
            <w:pPr>
              <w:spacing w:after="0"/>
              <w:rPr>
                <w:sz w:val="17"/>
                <w:szCs w:val="17"/>
                <w:color w:val="auto"/>
              </w:rPr>
            </w:pPr>
          </w:p>
        </w:tc>
        <w:tc>
          <w:tcPr>
            <w:tcW w:w="6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E5FFFF"/>
            </w:tcBorders>
            <w:shd w:val="clear" w:color="auto" w:fill="E5FFFF"/>
          </w:tcPr>
          <w:p>
            <w:pPr>
              <w:spacing w:after="0"/>
              <w:rPr>
                <w:sz w:val="17"/>
                <w:szCs w:val="17"/>
                <w:color w:val="auto"/>
              </w:rPr>
            </w:pPr>
          </w:p>
        </w:tc>
        <w:tc>
          <w:tcPr>
            <w:tcW w:w="72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82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680" w:type="dxa"/>
            <w:vAlign w:val="bottom"/>
            <w:tcBorders>
              <w:bottom w:val="single" w:sz="8" w:color="E5FFFF"/>
            </w:tcBorders>
            <w:shd w:val="clear" w:color="auto" w:fill="E5FFFF"/>
          </w:tcPr>
          <w:p>
            <w:pPr>
              <w:spacing w:after="0"/>
              <w:rPr>
                <w:sz w:val="17"/>
                <w:szCs w:val="17"/>
                <w:color w:val="auto"/>
              </w:rPr>
            </w:pPr>
          </w:p>
        </w:tc>
        <w:tc>
          <w:tcPr>
            <w:tcW w:w="60" w:type="dxa"/>
            <w:vAlign w:val="bottom"/>
            <w:tcBorders>
              <w:bottom w:val="single" w:sz="8" w:color="E5FFFF"/>
            </w:tcBorders>
            <w:shd w:val="clear" w:color="auto" w:fill="E5FFFF"/>
          </w:tcPr>
          <w:p>
            <w:pPr>
              <w:spacing w:after="0"/>
              <w:rPr>
                <w:sz w:val="17"/>
                <w:szCs w:val="17"/>
                <w:color w:val="auto"/>
              </w:rPr>
            </w:pPr>
          </w:p>
        </w:tc>
        <w:tc>
          <w:tcPr>
            <w:tcW w:w="200" w:type="dxa"/>
            <w:vAlign w:val="bottom"/>
            <w:tcBorders>
              <w:bottom w:val="single" w:sz="8" w:color="E5FFFF"/>
            </w:tcBorders>
            <w:shd w:val="clear" w:color="auto" w:fill="E5FFFF"/>
          </w:tcPr>
          <w:p>
            <w:pPr>
              <w:spacing w:after="0"/>
              <w:rPr>
                <w:sz w:val="17"/>
                <w:szCs w:val="17"/>
                <w:color w:val="auto"/>
              </w:rPr>
            </w:pPr>
          </w:p>
        </w:tc>
        <w:tc>
          <w:tcPr>
            <w:tcW w:w="180" w:type="dxa"/>
            <w:vAlign w:val="bottom"/>
            <w:tcBorders>
              <w:bottom w:val="single" w:sz="8" w:color="E5FFFF"/>
            </w:tcBorders>
            <w:shd w:val="clear" w:color="auto" w:fill="E5FFFF"/>
          </w:tcPr>
          <w:p>
            <w:pPr>
              <w:spacing w:after="0"/>
              <w:rPr>
                <w:sz w:val="17"/>
                <w:szCs w:val="17"/>
                <w:color w:val="auto"/>
              </w:rPr>
            </w:pPr>
          </w:p>
        </w:tc>
        <w:tc>
          <w:tcPr>
            <w:tcW w:w="72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80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gridSpan w:val="4"/>
          </w:tcPr>
          <w:p>
            <w:pPr>
              <w:ind w:left="160"/>
              <w:spacing w:after="0"/>
              <w:rPr>
                <w:sz w:val="20"/>
                <w:szCs w:val="20"/>
                <w:color w:val="auto"/>
              </w:rPr>
            </w:pPr>
            <w:r>
              <w:rPr>
                <w:rFonts w:ascii="Arial" w:cs="Arial" w:eastAsia="Arial" w:hAnsi="Arial"/>
                <w:sz w:val="16"/>
                <w:szCs w:val="16"/>
                <w:color w:val="auto"/>
              </w:rPr>
              <w:t>Commercial Aviation Original Equipment</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538</w:t>
            </w:r>
          </w:p>
        </w:tc>
        <w:tc>
          <w:tcPr>
            <w:tcW w:w="50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725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(26)%</w:t>
            </w:r>
          </w:p>
        </w:tc>
        <w:tc>
          <w:tcPr>
            <w:tcW w:w="2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1,915</w:t>
            </w:r>
          </w:p>
        </w:tc>
        <w:tc>
          <w:tcPr>
            <w:tcW w:w="44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8"/>
              <w:spacing w:after="0"/>
              <w:rPr>
                <w:sz w:val="20"/>
                <w:szCs w:val="20"/>
                <w:color w:val="auto"/>
              </w:rPr>
            </w:pPr>
            <w:r>
              <w:rPr>
                <w:rFonts w:ascii="Arial" w:cs="Arial" w:eastAsia="Arial" w:hAnsi="Arial"/>
                <w:sz w:val="16"/>
                <w:szCs w:val="16"/>
                <w:color w:val="auto"/>
              </w:rPr>
              <w:t>2,149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gridSpan w:val="4"/>
            <w:shd w:val="clear" w:color="auto" w:fill="E5FFFF"/>
          </w:tcPr>
          <w:p>
            <w:pPr>
              <w:ind w:left="160"/>
              <w:spacing w:after="0"/>
              <w:rPr>
                <w:sz w:val="20"/>
                <w:szCs w:val="20"/>
                <w:color w:val="auto"/>
              </w:rPr>
            </w:pPr>
            <w:r>
              <w:rPr>
                <w:rFonts w:ascii="Arial" w:cs="Arial" w:eastAsia="Arial" w:hAnsi="Arial"/>
                <w:sz w:val="16"/>
                <w:szCs w:val="16"/>
                <w:color w:val="auto"/>
              </w:rPr>
              <w:t>Commercial Aviation Aftermarket</w:t>
            </w:r>
          </w:p>
        </w:tc>
        <w:tc>
          <w:tcPr>
            <w:tcW w:w="200" w:type="dxa"/>
            <w:vAlign w:val="bottom"/>
            <w:shd w:val="clear" w:color="auto" w:fill="E5FFFF"/>
          </w:tcPr>
          <w:p>
            <w:pPr>
              <w:spacing w:after="0"/>
              <w:rPr>
                <w:sz w:val="16"/>
                <w:szCs w:val="16"/>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1,215</w:t>
            </w:r>
          </w:p>
        </w:tc>
        <w:tc>
          <w:tcPr>
            <w:tcW w:w="6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720" w:type="dxa"/>
            <w:vAlign w:val="bottom"/>
            <w:shd w:val="clear" w:color="auto" w:fill="E5FFFF"/>
          </w:tcPr>
          <w:p>
            <w:pPr>
              <w:jc w:val="right"/>
              <w:ind w:right="38"/>
              <w:spacing w:after="0"/>
              <w:rPr>
                <w:sz w:val="20"/>
                <w:szCs w:val="20"/>
                <w:color w:val="auto"/>
              </w:rPr>
            </w:pPr>
            <w:r>
              <w:rPr>
                <w:rFonts w:ascii="Arial" w:cs="Arial" w:eastAsia="Arial" w:hAnsi="Arial"/>
                <w:sz w:val="16"/>
                <w:szCs w:val="16"/>
                <w:color w:val="auto"/>
              </w:rPr>
              <w:t>1,200</w:t>
            </w:r>
          </w:p>
        </w:tc>
        <w:tc>
          <w:tcPr>
            <w:tcW w:w="2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2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1%</w:t>
            </w:r>
          </w:p>
        </w:tc>
        <w:tc>
          <w:tcPr>
            <w:tcW w:w="22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3,570</w:t>
            </w:r>
          </w:p>
        </w:tc>
        <w:tc>
          <w:tcPr>
            <w:tcW w:w="6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720" w:type="dxa"/>
            <w:vAlign w:val="bottom"/>
            <w:shd w:val="clear" w:color="auto" w:fill="E5FFFF"/>
          </w:tcPr>
          <w:p>
            <w:pPr>
              <w:jc w:val="right"/>
              <w:ind w:right="18"/>
              <w:spacing w:after="0"/>
              <w:rPr>
                <w:sz w:val="20"/>
                <w:szCs w:val="20"/>
                <w:color w:val="auto"/>
              </w:rPr>
            </w:pPr>
            <w:r>
              <w:rPr>
                <w:rFonts w:ascii="Arial" w:cs="Arial" w:eastAsia="Arial" w:hAnsi="Arial"/>
                <w:sz w:val="16"/>
                <w:szCs w:val="16"/>
                <w:color w:val="auto"/>
              </w:rPr>
              <w:t>3,425</w:t>
            </w:r>
          </w:p>
        </w:tc>
        <w:tc>
          <w:tcPr>
            <w:tcW w:w="2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gridSpan w:val="4"/>
          </w:tcPr>
          <w:p>
            <w:pPr>
              <w:ind w:left="160"/>
              <w:spacing w:after="0"/>
              <w:rPr>
                <w:sz w:val="20"/>
                <w:szCs w:val="20"/>
                <w:color w:val="auto"/>
              </w:rPr>
            </w:pPr>
            <w:r>
              <w:rPr>
                <w:rFonts w:ascii="Arial" w:cs="Arial" w:eastAsia="Arial" w:hAnsi="Arial"/>
                <w:sz w:val="16"/>
                <w:szCs w:val="16"/>
                <w:color w:val="auto"/>
              </w:rPr>
              <w:t>Defense and Space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1,200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3,290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8"/>
              <w:spacing w:after="0"/>
              <w:rPr>
                <w:sz w:val="20"/>
                <w:szCs w:val="20"/>
                <w:color w:val="auto"/>
              </w:rPr>
            </w:pPr>
            <w:r>
              <w:rPr>
                <w:rFonts w:ascii="Arial" w:cs="Arial" w:eastAsia="Arial" w:hAnsi="Arial"/>
                <w:sz w:val="16"/>
                <w:szCs w:val="16"/>
                <w:color w:val="auto"/>
              </w:rPr>
              <w:t>3,453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4"/>
            <w:shd w:val="clear" w:color="auto" w:fill="E5FFFF"/>
          </w:tcPr>
          <w:p>
            <w:pPr>
              <w:ind w:left="160"/>
              <w:spacing w:after="0"/>
              <w:rPr>
                <w:sz w:val="20"/>
                <w:szCs w:val="20"/>
                <w:color w:val="auto"/>
              </w:rPr>
            </w:pPr>
            <w:r>
              <w:rPr>
                <w:rFonts w:ascii="Arial" w:cs="Arial" w:eastAsia="Arial" w:hAnsi="Arial"/>
                <w:sz w:val="16"/>
                <w:szCs w:val="16"/>
                <w:color w:val="auto"/>
              </w:rPr>
              <w:t>Transportation Systems</w:t>
            </w:r>
          </w:p>
        </w:tc>
        <w:tc>
          <w:tcPr>
            <w:tcW w:w="200" w:type="dxa"/>
            <w:vAlign w:val="bottom"/>
            <w:tcBorders>
              <w:bottom w:val="single" w:sz="8" w:color="auto"/>
            </w:tcBorders>
            <w:shd w:val="clear" w:color="auto" w:fill="E5FFFF"/>
          </w:tcPr>
          <w:p>
            <w:pPr>
              <w:spacing w:after="0"/>
              <w:rPr>
                <w:sz w:val="17"/>
                <w:szCs w:val="17"/>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723</w:t>
            </w:r>
          </w:p>
        </w:tc>
        <w:tc>
          <w:tcPr>
            <w:tcW w:w="60" w:type="dxa"/>
            <w:vAlign w:val="bottom"/>
            <w:tcBorders>
              <w:bottom w:val="single" w:sz="8" w:color="auto"/>
            </w:tcBorders>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72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6"/>
                <w:szCs w:val="16"/>
                <w:color w:val="auto"/>
              </w:rPr>
              <w:t>695</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4%</w:t>
            </w:r>
          </w:p>
        </w:tc>
        <w:tc>
          <w:tcPr>
            <w:tcW w:w="22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2,310</w:t>
            </w:r>
          </w:p>
        </w:tc>
        <w:tc>
          <w:tcPr>
            <w:tcW w:w="60" w:type="dxa"/>
            <w:vAlign w:val="bottom"/>
            <w:tcBorders>
              <w:bottom w:val="single" w:sz="8" w:color="auto"/>
            </w:tcBorders>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720" w:type="dxa"/>
            <w:vAlign w:val="bottom"/>
            <w:tcBorders>
              <w:bottom w:val="single" w:sz="8" w:color="auto"/>
            </w:tcBorders>
            <w:shd w:val="clear" w:color="auto" w:fill="E5FFFF"/>
          </w:tcPr>
          <w:p>
            <w:pPr>
              <w:jc w:val="right"/>
              <w:ind w:right="18"/>
              <w:spacing w:after="0"/>
              <w:rPr>
                <w:sz w:val="20"/>
                <w:szCs w:val="20"/>
                <w:color w:val="auto"/>
              </w:rPr>
            </w:pPr>
            <w:r>
              <w:rPr>
                <w:rFonts w:ascii="Arial" w:cs="Arial" w:eastAsia="Arial" w:hAnsi="Arial"/>
                <w:sz w:val="16"/>
                <w:szCs w:val="16"/>
                <w:color w:val="auto"/>
              </w:rPr>
              <w:t>2,227</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00" w:type="dxa"/>
            <w:vAlign w:val="bottom"/>
            <w:gridSpan w:val="4"/>
          </w:tcPr>
          <w:p>
            <w:pPr>
              <w:ind w:left="340"/>
              <w:spacing w:after="0"/>
              <w:rPr>
                <w:sz w:val="20"/>
                <w:szCs w:val="20"/>
                <w:color w:val="auto"/>
              </w:rPr>
            </w:pPr>
            <w:r>
              <w:rPr>
                <w:rFonts w:ascii="Arial" w:cs="Arial" w:eastAsia="Arial" w:hAnsi="Arial"/>
                <w:sz w:val="16"/>
                <w:szCs w:val="16"/>
                <w:color w:val="auto"/>
              </w:rPr>
              <w:t>Total Aerospace Sales</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3,601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3,820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11,085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8"/>
              <w:spacing w:after="0"/>
              <w:rPr>
                <w:sz w:val="20"/>
                <w:szCs w:val="20"/>
                <w:color w:val="auto"/>
              </w:rPr>
            </w:pPr>
            <w:r>
              <w:rPr>
                <w:rFonts w:ascii="Arial" w:cs="Arial" w:eastAsia="Arial" w:hAnsi="Arial"/>
                <w:sz w:val="16"/>
                <w:szCs w:val="16"/>
                <w:color w:val="auto"/>
              </w:rPr>
              <w:t>11,254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240" w:type="dxa"/>
            <w:vAlign w:val="bottom"/>
            <w:gridSpan w:val="2"/>
          </w:tcPr>
          <w:p>
            <w:pPr>
              <w:spacing w:after="0"/>
              <w:rPr>
                <w:sz w:val="16"/>
                <w:szCs w:val="16"/>
                <w:color w:val="auto"/>
              </w:rPr>
            </w:pPr>
          </w:p>
        </w:tc>
        <w:tc>
          <w:tcPr>
            <w:tcW w:w="1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tcBorders>
              <w:bottom w:val="single" w:sz="8" w:color="auto"/>
            </w:tcBorders>
            <w:gridSpan w:val="2"/>
            <w:shd w:val="clear" w:color="auto" w:fill="E5FFFF"/>
          </w:tcPr>
          <w:p>
            <w:pPr>
              <w:spacing w:after="0" w:line="176" w:lineRule="exact"/>
              <w:rPr>
                <w:sz w:val="20"/>
                <w:szCs w:val="20"/>
                <w:color w:val="auto"/>
              </w:rPr>
            </w:pPr>
            <w:r>
              <w:rPr>
                <w:rFonts w:ascii="Arial" w:cs="Arial" w:eastAsia="Arial" w:hAnsi="Arial"/>
                <w:sz w:val="16"/>
                <w:szCs w:val="16"/>
                <w:color w:val="auto"/>
                <w:w w:val="99"/>
              </w:rPr>
              <w:t>Home and Building Technologies Sales</w:t>
            </w:r>
          </w:p>
        </w:tc>
        <w:tc>
          <w:tcPr>
            <w:tcW w:w="2000" w:type="dxa"/>
            <w:vAlign w:val="bottom"/>
            <w:tcBorders>
              <w:bottom w:val="single" w:sz="8" w:color="E5FFFF"/>
            </w:tcBorders>
            <w:gridSpan w:val="2"/>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660" w:type="dxa"/>
            <w:vAlign w:val="bottom"/>
            <w:tcBorders>
              <w:bottom w:val="single" w:sz="8" w:color="E5FFFF"/>
            </w:tcBorders>
            <w:shd w:val="clear" w:color="auto" w:fill="E5FFFF"/>
          </w:tcPr>
          <w:p>
            <w:pPr>
              <w:spacing w:after="0"/>
              <w:rPr>
                <w:sz w:val="15"/>
                <w:szCs w:val="15"/>
                <w:color w:val="auto"/>
              </w:rPr>
            </w:pPr>
          </w:p>
        </w:tc>
        <w:tc>
          <w:tcPr>
            <w:tcW w:w="60" w:type="dxa"/>
            <w:vAlign w:val="bottom"/>
            <w:tcBorders>
              <w:bottom w:val="single" w:sz="8" w:color="E5FFFF"/>
            </w:tcBorders>
            <w:shd w:val="clear" w:color="auto" w:fill="E5FFFF"/>
          </w:tcPr>
          <w:p>
            <w:pPr>
              <w:spacing w:after="0"/>
              <w:rPr>
                <w:sz w:val="15"/>
                <w:szCs w:val="15"/>
                <w:color w:val="auto"/>
              </w:rPr>
            </w:pPr>
          </w:p>
        </w:tc>
        <w:tc>
          <w:tcPr>
            <w:tcW w:w="24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720" w:type="dxa"/>
            <w:vAlign w:val="bottom"/>
            <w:tcBorders>
              <w:bottom w:val="single" w:sz="8" w:color="E5FFFF"/>
            </w:tcBorders>
            <w:shd w:val="clear" w:color="auto" w:fill="E5FFFF"/>
          </w:tcPr>
          <w:p>
            <w:pPr>
              <w:spacing w:after="0"/>
              <w:rPr>
                <w:sz w:val="15"/>
                <w:szCs w:val="15"/>
                <w:color w:val="auto"/>
              </w:rPr>
            </w:pPr>
          </w:p>
        </w:tc>
        <w:tc>
          <w:tcPr>
            <w:tcW w:w="240" w:type="dxa"/>
            <w:vAlign w:val="bottom"/>
            <w:tcBorders>
              <w:bottom w:val="single" w:sz="8" w:color="E5FFFF"/>
            </w:tcBorders>
            <w:shd w:val="clear" w:color="auto" w:fill="E5FFFF"/>
          </w:tcPr>
          <w:p>
            <w:pPr>
              <w:spacing w:after="0"/>
              <w:rPr>
                <w:sz w:val="15"/>
                <w:szCs w:val="15"/>
                <w:color w:val="auto"/>
              </w:rPr>
            </w:pPr>
          </w:p>
        </w:tc>
        <w:tc>
          <w:tcPr>
            <w:tcW w:w="100" w:type="dxa"/>
            <w:vAlign w:val="bottom"/>
            <w:tcBorders>
              <w:bottom w:val="single" w:sz="8" w:color="E5FFFF"/>
            </w:tcBorders>
            <w:shd w:val="clear" w:color="auto" w:fill="E5FFFF"/>
          </w:tcPr>
          <w:p>
            <w:pPr>
              <w:spacing w:after="0"/>
              <w:rPr>
                <w:sz w:val="15"/>
                <w:szCs w:val="15"/>
                <w:color w:val="auto"/>
              </w:rPr>
            </w:pPr>
          </w:p>
        </w:tc>
        <w:tc>
          <w:tcPr>
            <w:tcW w:w="82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180" w:type="dxa"/>
            <w:vAlign w:val="bottom"/>
            <w:tcBorders>
              <w:bottom w:val="single" w:sz="8" w:color="E5FFFF"/>
            </w:tcBorders>
            <w:shd w:val="clear" w:color="auto" w:fill="E5FFFF"/>
          </w:tcPr>
          <w:p>
            <w:pPr>
              <w:spacing w:after="0"/>
              <w:rPr>
                <w:sz w:val="15"/>
                <w:szCs w:val="15"/>
                <w:color w:val="auto"/>
              </w:rPr>
            </w:pPr>
          </w:p>
        </w:tc>
        <w:tc>
          <w:tcPr>
            <w:tcW w:w="680" w:type="dxa"/>
            <w:vAlign w:val="bottom"/>
            <w:tcBorders>
              <w:bottom w:val="single" w:sz="8" w:color="E5FFFF"/>
            </w:tcBorders>
            <w:shd w:val="clear" w:color="auto" w:fill="E5FFFF"/>
          </w:tcPr>
          <w:p>
            <w:pPr>
              <w:spacing w:after="0"/>
              <w:rPr>
                <w:sz w:val="15"/>
                <w:szCs w:val="15"/>
                <w:color w:val="auto"/>
              </w:rPr>
            </w:pPr>
          </w:p>
        </w:tc>
        <w:tc>
          <w:tcPr>
            <w:tcW w:w="60" w:type="dxa"/>
            <w:vAlign w:val="bottom"/>
            <w:tcBorders>
              <w:bottom w:val="single" w:sz="8" w:color="E5FFFF"/>
            </w:tcBorders>
            <w:shd w:val="clear" w:color="auto" w:fill="E5FFFF"/>
          </w:tcPr>
          <w:p>
            <w:pPr>
              <w:spacing w:after="0"/>
              <w:rPr>
                <w:sz w:val="15"/>
                <w:szCs w:val="15"/>
                <w:color w:val="auto"/>
              </w:rPr>
            </w:pPr>
          </w:p>
        </w:tc>
        <w:tc>
          <w:tcPr>
            <w:tcW w:w="200" w:type="dxa"/>
            <w:vAlign w:val="bottom"/>
            <w:tcBorders>
              <w:bottom w:val="single" w:sz="8" w:color="E5FFFF"/>
            </w:tcBorders>
            <w:shd w:val="clear" w:color="auto" w:fill="E5FFFF"/>
          </w:tcPr>
          <w:p>
            <w:pPr>
              <w:spacing w:after="0"/>
              <w:rPr>
                <w:sz w:val="15"/>
                <w:szCs w:val="15"/>
                <w:color w:val="auto"/>
              </w:rPr>
            </w:pPr>
          </w:p>
        </w:tc>
        <w:tc>
          <w:tcPr>
            <w:tcW w:w="180" w:type="dxa"/>
            <w:vAlign w:val="bottom"/>
            <w:tcBorders>
              <w:bottom w:val="single" w:sz="8" w:color="E5FFFF"/>
            </w:tcBorders>
            <w:shd w:val="clear" w:color="auto" w:fill="E5FFFF"/>
          </w:tcPr>
          <w:p>
            <w:pPr>
              <w:spacing w:after="0"/>
              <w:rPr>
                <w:sz w:val="15"/>
                <w:szCs w:val="15"/>
                <w:color w:val="auto"/>
              </w:rPr>
            </w:pPr>
          </w:p>
        </w:tc>
        <w:tc>
          <w:tcPr>
            <w:tcW w:w="720" w:type="dxa"/>
            <w:vAlign w:val="bottom"/>
            <w:tcBorders>
              <w:bottom w:val="single" w:sz="8" w:color="E5FFFF"/>
            </w:tcBorders>
            <w:shd w:val="clear" w:color="auto" w:fill="E5FFFF"/>
          </w:tcPr>
          <w:p>
            <w:pPr>
              <w:spacing w:after="0"/>
              <w:rPr>
                <w:sz w:val="15"/>
                <w:szCs w:val="15"/>
                <w:color w:val="auto"/>
              </w:rPr>
            </w:pPr>
          </w:p>
        </w:tc>
        <w:tc>
          <w:tcPr>
            <w:tcW w:w="220" w:type="dxa"/>
            <w:vAlign w:val="bottom"/>
            <w:tcBorders>
              <w:bottom w:val="single" w:sz="8" w:color="E5FFFF"/>
            </w:tcBorders>
            <w:shd w:val="clear" w:color="auto" w:fill="E5FFFF"/>
          </w:tcPr>
          <w:p>
            <w:pPr>
              <w:spacing w:after="0"/>
              <w:rPr>
                <w:sz w:val="15"/>
                <w:szCs w:val="15"/>
                <w:color w:val="auto"/>
              </w:rPr>
            </w:pPr>
          </w:p>
        </w:tc>
        <w:tc>
          <w:tcPr>
            <w:tcW w:w="100" w:type="dxa"/>
            <w:vAlign w:val="bottom"/>
            <w:tcBorders>
              <w:bottom w:val="single" w:sz="8" w:color="E5FFFF"/>
            </w:tcBorders>
            <w:shd w:val="clear" w:color="auto" w:fill="E5FFFF"/>
          </w:tcPr>
          <w:p>
            <w:pPr>
              <w:spacing w:after="0"/>
              <w:rPr>
                <w:sz w:val="15"/>
                <w:szCs w:val="15"/>
                <w:color w:val="auto"/>
              </w:rPr>
            </w:pPr>
          </w:p>
        </w:tc>
        <w:tc>
          <w:tcPr>
            <w:tcW w:w="800" w:type="dxa"/>
            <w:vAlign w:val="bottom"/>
            <w:tcBorders>
              <w:bottom w:val="single" w:sz="8" w:color="E5FFFF"/>
            </w:tcBorders>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gridSpan w:val="4"/>
          </w:tcPr>
          <w:p>
            <w:pPr>
              <w:ind w:left="160"/>
              <w:spacing w:after="0"/>
              <w:rPr>
                <w:sz w:val="20"/>
                <w:szCs w:val="20"/>
                <w:color w:val="auto"/>
              </w:rPr>
            </w:pPr>
            <w:r>
              <w:rPr>
                <w:rFonts w:ascii="Arial" w:cs="Arial" w:eastAsia="Arial" w:hAnsi="Arial"/>
                <w:sz w:val="16"/>
                <w:szCs w:val="16"/>
                <w:color w:val="auto"/>
              </w:rPr>
              <w:t>Home and Building Products</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1,499</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1,189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9"/>
              </w:rPr>
              <w:t>26%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4,396</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8"/>
              <w:spacing w:after="0"/>
              <w:rPr>
                <w:sz w:val="20"/>
                <w:szCs w:val="20"/>
                <w:color w:val="auto"/>
              </w:rPr>
            </w:pPr>
            <w:r>
              <w:rPr>
                <w:rFonts w:ascii="Arial" w:cs="Arial" w:eastAsia="Arial" w:hAnsi="Arial"/>
                <w:sz w:val="16"/>
                <w:szCs w:val="16"/>
                <w:color w:val="auto"/>
              </w:rPr>
              <w:t>3,422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4"/>
            <w:shd w:val="clear" w:color="auto" w:fill="E5FFFF"/>
          </w:tcPr>
          <w:p>
            <w:pPr>
              <w:ind w:left="160"/>
              <w:spacing w:after="0"/>
              <w:rPr>
                <w:sz w:val="20"/>
                <w:szCs w:val="20"/>
                <w:color w:val="auto"/>
              </w:rPr>
            </w:pPr>
            <w:r>
              <w:rPr>
                <w:rFonts w:ascii="Arial" w:cs="Arial" w:eastAsia="Arial" w:hAnsi="Arial"/>
                <w:sz w:val="16"/>
                <w:szCs w:val="16"/>
                <w:color w:val="auto"/>
              </w:rPr>
              <w:t>Home and Building Distribution</w:t>
            </w:r>
          </w:p>
        </w:tc>
        <w:tc>
          <w:tcPr>
            <w:tcW w:w="200" w:type="dxa"/>
            <w:vAlign w:val="bottom"/>
            <w:tcBorders>
              <w:bottom w:val="single" w:sz="8" w:color="auto"/>
            </w:tcBorders>
            <w:shd w:val="clear" w:color="auto" w:fill="E5FFFF"/>
          </w:tcPr>
          <w:p>
            <w:pPr>
              <w:spacing w:after="0"/>
              <w:rPr>
                <w:sz w:val="17"/>
                <w:szCs w:val="17"/>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1,202</w:t>
            </w:r>
          </w:p>
        </w:tc>
        <w:tc>
          <w:tcPr>
            <w:tcW w:w="60" w:type="dxa"/>
            <w:vAlign w:val="bottom"/>
            <w:tcBorders>
              <w:bottom w:val="single" w:sz="8" w:color="auto"/>
            </w:tcBorders>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72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6"/>
                <w:szCs w:val="16"/>
                <w:color w:val="auto"/>
              </w:rPr>
              <w:t>1,124</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7%</w:t>
            </w:r>
          </w:p>
        </w:tc>
        <w:tc>
          <w:tcPr>
            <w:tcW w:w="22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3,458</w:t>
            </w:r>
          </w:p>
        </w:tc>
        <w:tc>
          <w:tcPr>
            <w:tcW w:w="60" w:type="dxa"/>
            <w:vAlign w:val="bottom"/>
            <w:tcBorders>
              <w:bottom w:val="single" w:sz="8" w:color="auto"/>
            </w:tcBorders>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720" w:type="dxa"/>
            <w:vAlign w:val="bottom"/>
            <w:tcBorders>
              <w:bottom w:val="single" w:sz="8" w:color="auto"/>
            </w:tcBorders>
            <w:shd w:val="clear" w:color="auto" w:fill="E5FFFF"/>
          </w:tcPr>
          <w:p>
            <w:pPr>
              <w:jc w:val="right"/>
              <w:ind w:right="18"/>
              <w:spacing w:after="0"/>
              <w:rPr>
                <w:sz w:val="20"/>
                <w:szCs w:val="20"/>
                <w:color w:val="auto"/>
              </w:rPr>
            </w:pPr>
            <w:r>
              <w:rPr>
                <w:rFonts w:ascii="Arial" w:cs="Arial" w:eastAsia="Arial" w:hAnsi="Arial"/>
                <w:sz w:val="16"/>
                <w:szCs w:val="16"/>
                <w:color w:val="auto"/>
              </w:rPr>
              <w:t>3,264</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4"/>
          </w:tcPr>
          <w:p>
            <w:pPr>
              <w:ind w:left="340"/>
              <w:spacing w:after="0"/>
              <w:rPr>
                <w:sz w:val="20"/>
                <w:szCs w:val="20"/>
                <w:color w:val="auto"/>
              </w:rPr>
            </w:pPr>
            <w:r>
              <w:rPr>
                <w:rFonts w:ascii="Arial" w:cs="Arial" w:eastAsia="Arial" w:hAnsi="Arial"/>
                <w:sz w:val="16"/>
                <w:szCs w:val="16"/>
                <w:color w:val="auto"/>
              </w:rPr>
              <w:t>Total Home and Building</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4"/>
            <w:shd w:val="clear" w:color="auto" w:fill="E5FFFF"/>
          </w:tcPr>
          <w:p>
            <w:pPr>
              <w:ind w:left="520"/>
              <w:spacing w:after="0"/>
              <w:rPr>
                <w:sz w:val="20"/>
                <w:szCs w:val="20"/>
                <w:color w:val="auto"/>
              </w:rPr>
            </w:pPr>
            <w:r>
              <w:rPr>
                <w:rFonts w:ascii="Arial" w:cs="Arial" w:eastAsia="Arial" w:hAnsi="Arial"/>
                <w:sz w:val="16"/>
                <w:szCs w:val="16"/>
                <w:color w:val="auto"/>
              </w:rPr>
              <w:t>Technologies Sales</w:t>
            </w:r>
          </w:p>
        </w:tc>
        <w:tc>
          <w:tcPr>
            <w:tcW w:w="20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2,701</w:t>
            </w:r>
          </w:p>
        </w:tc>
        <w:tc>
          <w:tcPr>
            <w:tcW w:w="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38"/>
              <w:spacing w:after="0"/>
              <w:rPr>
                <w:sz w:val="20"/>
                <w:szCs w:val="20"/>
                <w:color w:val="auto"/>
              </w:rPr>
            </w:pPr>
            <w:r>
              <w:rPr>
                <w:rFonts w:ascii="Arial" w:cs="Arial" w:eastAsia="Arial" w:hAnsi="Arial"/>
                <w:sz w:val="16"/>
                <w:szCs w:val="16"/>
                <w:color w:val="auto"/>
              </w:rPr>
              <w:t>2,313</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7,854</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8"/>
              <w:spacing w:after="0"/>
              <w:rPr>
                <w:sz w:val="20"/>
                <w:szCs w:val="20"/>
                <w:color w:val="auto"/>
              </w:rPr>
            </w:pPr>
            <w:r>
              <w:rPr>
                <w:rFonts w:ascii="Arial" w:cs="Arial" w:eastAsia="Arial" w:hAnsi="Arial"/>
                <w:sz w:val="16"/>
                <w:szCs w:val="16"/>
                <w:color w:val="auto"/>
              </w:rPr>
              <w:t>6,686</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820" w:type="dxa"/>
            <w:vAlign w:val="bottom"/>
            <w:gridSpan w:val="5"/>
          </w:tcPr>
          <w:p>
            <w:pPr>
              <w:spacing w:after="0"/>
              <w:rPr>
                <w:sz w:val="20"/>
                <w:szCs w:val="20"/>
                <w:color w:val="auto"/>
              </w:rPr>
            </w:pPr>
            <w:r>
              <w:rPr>
                <w:rFonts w:ascii="Arial" w:cs="Arial" w:eastAsia="Arial" w:hAnsi="Arial"/>
                <w:sz w:val="16"/>
                <w:szCs w:val="16"/>
                <w:color w:val="auto"/>
              </w:rPr>
              <w:t>Performance Materials and Technologies Sales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tcBorders>
              <w:top w:val="single" w:sz="8" w:color="auto"/>
            </w:tcBorders>
            <w:gridSpan w:val="3"/>
            <w:shd w:val="clear" w:color="auto" w:fill="E5FFFF"/>
          </w:tcPr>
          <w:p>
            <w:pPr>
              <w:ind w:left="160"/>
              <w:spacing w:after="0"/>
              <w:rPr>
                <w:sz w:val="20"/>
                <w:szCs w:val="20"/>
                <w:color w:val="auto"/>
              </w:rPr>
            </w:pPr>
            <w:r>
              <w:rPr>
                <w:rFonts w:ascii="Arial" w:cs="Arial" w:eastAsia="Arial" w:hAnsi="Arial"/>
                <w:sz w:val="16"/>
                <w:szCs w:val="16"/>
                <w:color w:val="auto"/>
              </w:rPr>
              <w:t>UOP</w:t>
            </w:r>
          </w:p>
        </w:tc>
        <w:tc>
          <w:tcPr>
            <w:tcW w:w="142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564</w:t>
            </w:r>
          </w:p>
        </w:tc>
        <w:tc>
          <w:tcPr>
            <w:tcW w:w="6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720" w:type="dxa"/>
            <w:vAlign w:val="bottom"/>
            <w:shd w:val="clear" w:color="auto" w:fill="E5FFFF"/>
          </w:tcPr>
          <w:p>
            <w:pPr>
              <w:jc w:val="right"/>
              <w:ind w:right="38"/>
              <w:spacing w:after="0"/>
              <w:rPr>
                <w:sz w:val="20"/>
                <w:szCs w:val="20"/>
                <w:color w:val="auto"/>
              </w:rPr>
            </w:pPr>
            <w:r>
              <w:rPr>
                <w:rFonts w:ascii="Arial" w:cs="Arial" w:eastAsia="Arial" w:hAnsi="Arial"/>
                <w:sz w:val="16"/>
                <w:szCs w:val="16"/>
                <w:color w:val="auto"/>
              </w:rPr>
              <w:t>638</w:t>
            </w:r>
          </w:p>
        </w:tc>
        <w:tc>
          <w:tcPr>
            <w:tcW w:w="2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2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(12)%</w:t>
            </w:r>
          </w:p>
        </w:tc>
        <w:tc>
          <w:tcPr>
            <w:tcW w:w="22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1,746</w:t>
            </w:r>
          </w:p>
        </w:tc>
        <w:tc>
          <w:tcPr>
            <w:tcW w:w="6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720" w:type="dxa"/>
            <w:vAlign w:val="bottom"/>
            <w:shd w:val="clear" w:color="auto" w:fill="E5FFFF"/>
          </w:tcPr>
          <w:p>
            <w:pPr>
              <w:jc w:val="right"/>
              <w:ind w:right="18"/>
              <w:spacing w:after="0"/>
              <w:rPr>
                <w:sz w:val="20"/>
                <w:szCs w:val="20"/>
                <w:color w:val="auto"/>
              </w:rPr>
            </w:pPr>
            <w:r>
              <w:rPr>
                <w:rFonts w:ascii="Arial" w:cs="Arial" w:eastAsia="Arial" w:hAnsi="Arial"/>
                <w:sz w:val="16"/>
                <w:szCs w:val="16"/>
                <w:color w:val="auto"/>
              </w:rPr>
              <w:t>2,297</w:t>
            </w:r>
          </w:p>
        </w:tc>
        <w:tc>
          <w:tcPr>
            <w:tcW w:w="2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00" w:type="dxa"/>
            <w:vAlign w:val="bottom"/>
            <w:gridSpan w:val="4"/>
          </w:tcPr>
          <w:p>
            <w:pPr>
              <w:ind w:left="160"/>
              <w:spacing w:after="0"/>
              <w:rPr>
                <w:sz w:val="20"/>
                <w:szCs w:val="20"/>
                <w:color w:val="auto"/>
              </w:rPr>
            </w:pPr>
            <w:r>
              <w:rPr>
                <w:rFonts w:ascii="Arial" w:cs="Arial" w:eastAsia="Arial" w:hAnsi="Arial"/>
                <w:sz w:val="16"/>
                <w:szCs w:val="16"/>
                <w:color w:val="auto"/>
              </w:rPr>
              <w:t>Process Solutions</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725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9"/>
              </w:rPr>
              <w:t>17%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2,570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8"/>
              <w:spacing w:after="0"/>
              <w:rPr>
                <w:sz w:val="20"/>
                <w:szCs w:val="20"/>
                <w:color w:val="auto"/>
              </w:rPr>
            </w:pPr>
            <w:r>
              <w:rPr>
                <w:rFonts w:ascii="Arial" w:cs="Arial" w:eastAsia="Arial" w:hAnsi="Arial"/>
                <w:sz w:val="16"/>
                <w:szCs w:val="16"/>
                <w:color w:val="auto"/>
              </w:rPr>
              <w:t>2,165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4"/>
            <w:shd w:val="clear" w:color="auto" w:fill="E5FFFF"/>
          </w:tcPr>
          <w:p>
            <w:pPr>
              <w:ind w:left="160"/>
              <w:spacing w:after="0"/>
              <w:rPr>
                <w:sz w:val="20"/>
                <w:szCs w:val="20"/>
                <w:color w:val="auto"/>
              </w:rPr>
            </w:pPr>
            <w:r>
              <w:rPr>
                <w:rFonts w:ascii="Arial" w:cs="Arial" w:eastAsia="Arial" w:hAnsi="Arial"/>
                <w:sz w:val="16"/>
                <w:szCs w:val="16"/>
                <w:color w:val="auto"/>
              </w:rPr>
              <w:t>Advanced Materials</w:t>
            </w:r>
          </w:p>
        </w:tc>
        <w:tc>
          <w:tcPr>
            <w:tcW w:w="200" w:type="dxa"/>
            <w:vAlign w:val="bottom"/>
            <w:tcBorders>
              <w:bottom w:val="single" w:sz="8" w:color="auto"/>
            </w:tcBorders>
            <w:shd w:val="clear" w:color="auto" w:fill="E5FFFF"/>
          </w:tcPr>
          <w:p>
            <w:pPr>
              <w:spacing w:after="0"/>
              <w:rPr>
                <w:sz w:val="17"/>
                <w:szCs w:val="17"/>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918</w:t>
            </w:r>
          </w:p>
        </w:tc>
        <w:tc>
          <w:tcPr>
            <w:tcW w:w="60" w:type="dxa"/>
            <w:vAlign w:val="bottom"/>
            <w:tcBorders>
              <w:bottom w:val="single" w:sz="8" w:color="auto"/>
            </w:tcBorders>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rPr>
                <w:sz w:val="17"/>
                <w:szCs w:val="17"/>
                <w:color w:val="auto"/>
              </w:rPr>
            </w:pPr>
          </w:p>
        </w:tc>
        <w:tc>
          <w:tcPr>
            <w:tcW w:w="720" w:type="dxa"/>
            <w:vAlign w:val="bottom"/>
            <w:tcBorders>
              <w:bottom w:val="single" w:sz="8" w:color="auto"/>
            </w:tcBorders>
            <w:shd w:val="clear" w:color="auto" w:fill="E5FFFF"/>
          </w:tcPr>
          <w:p>
            <w:pPr>
              <w:jc w:val="right"/>
              <w:ind w:right="38"/>
              <w:spacing w:after="0"/>
              <w:rPr>
                <w:sz w:val="20"/>
                <w:szCs w:val="20"/>
                <w:color w:val="auto"/>
              </w:rPr>
            </w:pPr>
            <w:r>
              <w:rPr>
                <w:rFonts w:ascii="Arial" w:cs="Arial" w:eastAsia="Arial" w:hAnsi="Arial"/>
                <w:sz w:val="16"/>
                <w:szCs w:val="16"/>
                <w:color w:val="auto"/>
              </w:rPr>
              <w:t>916</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2,728</w:t>
            </w:r>
          </w:p>
        </w:tc>
        <w:tc>
          <w:tcPr>
            <w:tcW w:w="60" w:type="dxa"/>
            <w:vAlign w:val="bottom"/>
            <w:tcBorders>
              <w:bottom w:val="single" w:sz="8" w:color="auto"/>
            </w:tcBorders>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rPr>
                <w:sz w:val="17"/>
                <w:szCs w:val="17"/>
                <w:color w:val="auto"/>
              </w:rPr>
            </w:pPr>
          </w:p>
        </w:tc>
        <w:tc>
          <w:tcPr>
            <w:tcW w:w="720" w:type="dxa"/>
            <w:vAlign w:val="bottom"/>
            <w:tcBorders>
              <w:bottom w:val="single" w:sz="8" w:color="auto"/>
            </w:tcBorders>
            <w:shd w:val="clear" w:color="auto" w:fill="E5FFFF"/>
          </w:tcPr>
          <w:p>
            <w:pPr>
              <w:jc w:val="right"/>
              <w:ind w:right="18"/>
              <w:spacing w:after="0"/>
              <w:rPr>
                <w:sz w:val="20"/>
                <w:szCs w:val="20"/>
                <w:color w:val="auto"/>
              </w:rPr>
            </w:pPr>
            <w:r>
              <w:rPr>
                <w:rFonts w:ascii="Arial" w:cs="Arial" w:eastAsia="Arial" w:hAnsi="Arial"/>
                <w:sz w:val="16"/>
                <w:szCs w:val="16"/>
                <w:color w:val="auto"/>
              </w:rPr>
              <w:t>2,675</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4"/>
          </w:tcPr>
          <w:p>
            <w:pPr>
              <w:ind w:left="340"/>
              <w:spacing w:after="0"/>
              <w:rPr>
                <w:sz w:val="20"/>
                <w:szCs w:val="20"/>
                <w:color w:val="auto"/>
              </w:rPr>
            </w:pPr>
            <w:r>
              <w:rPr>
                <w:rFonts w:ascii="Arial" w:cs="Arial" w:eastAsia="Arial" w:hAnsi="Arial"/>
                <w:sz w:val="16"/>
                <w:szCs w:val="16"/>
                <w:color w:val="auto"/>
              </w:rPr>
              <w:t>Total Performance Materials and</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gridSpan w:val="4"/>
            <w:shd w:val="clear" w:color="auto" w:fill="E5FFFF"/>
          </w:tcPr>
          <w:p>
            <w:pPr>
              <w:ind w:left="520"/>
              <w:spacing w:after="0"/>
              <w:rPr>
                <w:sz w:val="20"/>
                <w:szCs w:val="20"/>
                <w:color w:val="auto"/>
              </w:rPr>
            </w:pPr>
            <w:r>
              <w:rPr>
                <w:rFonts w:ascii="Arial" w:cs="Arial" w:eastAsia="Arial" w:hAnsi="Arial"/>
                <w:sz w:val="16"/>
                <w:szCs w:val="16"/>
                <w:color w:val="auto"/>
              </w:rPr>
              <w:t>Technologies Sales</w:t>
            </w:r>
          </w:p>
        </w:tc>
        <w:tc>
          <w:tcPr>
            <w:tcW w:w="200" w:type="dxa"/>
            <w:vAlign w:val="bottom"/>
            <w:shd w:val="clear" w:color="auto" w:fill="E5FFFF"/>
          </w:tcPr>
          <w:p>
            <w:pPr>
              <w:spacing w:after="0"/>
              <w:rPr>
                <w:sz w:val="17"/>
                <w:szCs w:val="17"/>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2,329</w:t>
            </w:r>
          </w:p>
        </w:tc>
        <w:tc>
          <w:tcPr>
            <w:tcW w:w="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38"/>
              <w:spacing w:after="0"/>
              <w:rPr>
                <w:sz w:val="20"/>
                <w:szCs w:val="20"/>
                <w:color w:val="auto"/>
              </w:rPr>
            </w:pPr>
            <w:r>
              <w:rPr>
                <w:rFonts w:ascii="Arial" w:cs="Arial" w:eastAsia="Arial" w:hAnsi="Arial"/>
                <w:sz w:val="16"/>
                <w:szCs w:val="16"/>
                <w:color w:val="auto"/>
              </w:rPr>
              <w:t>2,279</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7,044</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720" w:type="dxa"/>
            <w:vAlign w:val="bottom"/>
            <w:shd w:val="clear" w:color="auto" w:fill="E5FFFF"/>
          </w:tcPr>
          <w:p>
            <w:pPr>
              <w:jc w:val="right"/>
              <w:ind w:right="18"/>
              <w:spacing w:after="0"/>
              <w:rPr>
                <w:sz w:val="20"/>
                <w:szCs w:val="20"/>
                <w:color w:val="auto"/>
              </w:rPr>
            </w:pPr>
            <w:r>
              <w:rPr>
                <w:rFonts w:ascii="Arial" w:cs="Arial" w:eastAsia="Arial" w:hAnsi="Arial"/>
                <w:sz w:val="16"/>
                <w:szCs w:val="16"/>
                <w:color w:val="auto"/>
              </w:rPr>
              <w:t>7,137</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820" w:type="dxa"/>
            <w:vAlign w:val="bottom"/>
            <w:gridSpan w:val="5"/>
          </w:tcPr>
          <w:p>
            <w:pPr>
              <w:spacing w:after="0"/>
              <w:rPr>
                <w:sz w:val="20"/>
                <w:szCs w:val="20"/>
                <w:color w:val="auto"/>
              </w:rPr>
            </w:pPr>
            <w:r>
              <w:rPr>
                <w:rFonts w:ascii="Arial" w:cs="Arial" w:eastAsia="Arial" w:hAnsi="Arial"/>
                <w:sz w:val="16"/>
                <w:szCs w:val="16"/>
                <w:color w:val="auto"/>
              </w:rPr>
              <w:t>Safety and Productivity Solutions Sales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tcBorders>
              <w:top w:val="single" w:sz="8" w:color="auto"/>
            </w:tcBorders>
            <w:gridSpan w:val="2"/>
            <w:shd w:val="clear" w:color="auto" w:fill="E5FFFF"/>
          </w:tcPr>
          <w:p>
            <w:pPr>
              <w:ind w:left="160"/>
              <w:spacing w:after="0"/>
              <w:rPr>
                <w:sz w:val="20"/>
                <w:szCs w:val="20"/>
                <w:color w:val="auto"/>
              </w:rPr>
            </w:pPr>
            <w:r>
              <w:rPr>
                <w:rFonts w:ascii="Arial" w:cs="Arial" w:eastAsia="Arial" w:hAnsi="Arial"/>
                <w:sz w:val="16"/>
                <w:szCs w:val="16"/>
                <w:color w:val="auto"/>
              </w:rPr>
              <w:t>Safety</w:t>
            </w:r>
          </w:p>
        </w:tc>
        <w:tc>
          <w:tcPr>
            <w:tcW w:w="2000" w:type="dxa"/>
            <w:vAlign w:val="bottom"/>
            <w:gridSpan w:val="2"/>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526</w:t>
            </w:r>
          </w:p>
        </w:tc>
        <w:tc>
          <w:tcPr>
            <w:tcW w:w="6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720" w:type="dxa"/>
            <w:vAlign w:val="bottom"/>
            <w:shd w:val="clear" w:color="auto" w:fill="E5FFFF"/>
          </w:tcPr>
          <w:p>
            <w:pPr>
              <w:jc w:val="right"/>
              <w:ind w:right="38"/>
              <w:spacing w:after="0"/>
              <w:rPr>
                <w:sz w:val="20"/>
                <w:szCs w:val="20"/>
                <w:color w:val="auto"/>
              </w:rPr>
            </w:pPr>
            <w:r>
              <w:rPr>
                <w:rFonts w:ascii="Arial" w:cs="Arial" w:eastAsia="Arial" w:hAnsi="Arial"/>
                <w:sz w:val="16"/>
                <w:szCs w:val="16"/>
                <w:color w:val="auto"/>
              </w:rPr>
              <w:t>546</w:t>
            </w:r>
          </w:p>
        </w:tc>
        <w:tc>
          <w:tcPr>
            <w:tcW w:w="24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2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(4)%</w:t>
            </w:r>
          </w:p>
        </w:tc>
        <w:tc>
          <w:tcPr>
            <w:tcW w:w="22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1,558</w:t>
            </w:r>
          </w:p>
        </w:tc>
        <w:tc>
          <w:tcPr>
            <w:tcW w:w="6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80" w:type="dxa"/>
            <w:vAlign w:val="bottom"/>
            <w:shd w:val="clear" w:color="auto" w:fill="E5FFFF"/>
          </w:tcPr>
          <w:p>
            <w:pPr>
              <w:spacing w:after="0"/>
              <w:rPr>
                <w:sz w:val="16"/>
                <w:szCs w:val="16"/>
                <w:color w:val="auto"/>
              </w:rPr>
            </w:pPr>
          </w:p>
        </w:tc>
        <w:tc>
          <w:tcPr>
            <w:tcW w:w="720" w:type="dxa"/>
            <w:vAlign w:val="bottom"/>
            <w:shd w:val="clear" w:color="auto" w:fill="E5FFFF"/>
          </w:tcPr>
          <w:p>
            <w:pPr>
              <w:jc w:val="right"/>
              <w:ind w:right="18"/>
              <w:spacing w:after="0"/>
              <w:rPr>
                <w:sz w:val="20"/>
                <w:szCs w:val="20"/>
                <w:color w:val="auto"/>
              </w:rPr>
            </w:pPr>
            <w:r>
              <w:rPr>
                <w:rFonts w:ascii="Arial" w:cs="Arial" w:eastAsia="Arial" w:hAnsi="Arial"/>
                <w:sz w:val="16"/>
                <w:szCs w:val="16"/>
                <w:color w:val="auto"/>
              </w:rPr>
              <w:t>1,588</w:t>
            </w:r>
          </w:p>
        </w:tc>
        <w:tc>
          <w:tcPr>
            <w:tcW w:w="2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00" w:type="dxa"/>
            <w:vAlign w:val="bottom"/>
            <w:shd w:val="clear" w:color="auto" w:fill="E5FF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Borders>
              <w:bottom w:val="single" w:sz="8" w:color="E5FFFF"/>
            </w:tcBorders>
            <w:gridSpan w:val="4"/>
          </w:tcPr>
          <w:p>
            <w:pPr>
              <w:ind w:left="160"/>
              <w:spacing w:after="0"/>
              <w:rPr>
                <w:sz w:val="20"/>
                <w:szCs w:val="20"/>
                <w:color w:val="auto"/>
              </w:rPr>
            </w:pPr>
            <w:r>
              <w:rPr>
                <w:rFonts w:ascii="Arial" w:cs="Arial" w:eastAsia="Arial" w:hAnsi="Arial"/>
                <w:sz w:val="16"/>
                <w:szCs w:val="16"/>
                <w:color w:val="auto"/>
              </w:rPr>
              <w:t>Productivity Solutions</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w:t>
            </w: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653</w:t>
            </w:r>
          </w:p>
        </w:tc>
        <w:tc>
          <w:tcPr>
            <w:tcW w:w="24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820" w:type="dxa"/>
            <w:vAlign w:val="bottom"/>
            <w:tcBorders>
              <w:bottom w:val="single" w:sz="8" w:color="E5FFFF"/>
            </w:tcBorders>
          </w:tcPr>
          <w:p>
            <w:pPr>
              <w:jc w:val="center"/>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E5FF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1,934</w:t>
            </w:r>
          </w:p>
        </w:tc>
        <w:tc>
          <w:tcPr>
            <w:tcW w:w="220" w:type="dxa"/>
            <w:vAlign w:val="bottom"/>
            <w:tcBorders>
              <w:bottom w:val="single" w:sz="8" w:color="E5FFFF"/>
            </w:tcBorders>
          </w:tcPr>
          <w:p>
            <w:pPr>
              <w:spacing w:after="0"/>
              <w:rPr>
                <w:sz w:val="17"/>
                <w:szCs w:val="17"/>
                <w:color w:val="auto"/>
              </w:rPr>
            </w:pPr>
          </w:p>
        </w:tc>
        <w:tc>
          <w:tcPr>
            <w:tcW w:w="100" w:type="dxa"/>
            <w:vAlign w:val="bottom"/>
            <w:tcBorders>
              <w:bottom w:val="single" w:sz="8" w:color="E5FFFF"/>
            </w:tcBorders>
          </w:tcPr>
          <w:p>
            <w:pPr>
              <w:spacing w:after="0"/>
              <w:rPr>
                <w:sz w:val="17"/>
                <w:szCs w:val="17"/>
                <w:color w:val="auto"/>
              </w:rPr>
            </w:pPr>
          </w:p>
        </w:tc>
        <w:tc>
          <w:tcPr>
            <w:tcW w:w="800" w:type="dxa"/>
            <w:vAlign w:val="bottom"/>
            <w:tcBorders>
              <w:bottom w:val="single" w:sz="8" w:color="E5FFFF"/>
            </w:tcBorders>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0" w:type="dxa"/>
            <w:vAlign w:val="bottom"/>
            <w:gridSpan w:val="4"/>
            <w:shd w:val="clear" w:color="auto" w:fill="E5FFFF"/>
          </w:tcPr>
          <w:p>
            <w:pPr>
              <w:ind w:left="340"/>
              <w:spacing w:after="0" w:line="183" w:lineRule="exact"/>
              <w:rPr>
                <w:sz w:val="20"/>
                <w:szCs w:val="20"/>
                <w:color w:val="auto"/>
              </w:rPr>
            </w:pPr>
            <w:r>
              <w:rPr>
                <w:rFonts w:ascii="Arial" w:cs="Arial" w:eastAsia="Arial" w:hAnsi="Arial"/>
                <w:sz w:val="16"/>
                <w:szCs w:val="16"/>
                <w:color w:val="auto"/>
              </w:rPr>
              <w:t>Total Safety and Productivity Solutions Sales</w:t>
            </w:r>
          </w:p>
        </w:tc>
        <w:tc>
          <w:tcPr>
            <w:tcW w:w="200" w:type="dxa"/>
            <w:vAlign w:val="bottom"/>
            <w:shd w:val="clear" w:color="auto" w:fill="E5FFFF"/>
          </w:tcPr>
          <w:p>
            <w:pPr>
              <w:spacing w:after="0"/>
              <w:rPr>
                <w:sz w:val="15"/>
                <w:szCs w:val="15"/>
                <w:color w:val="auto"/>
              </w:rPr>
            </w:pPr>
          </w:p>
        </w:tc>
        <w:tc>
          <w:tcPr>
            <w:tcW w:w="660" w:type="dxa"/>
            <w:vAlign w:val="bottom"/>
            <w:shd w:val="clear" w:color="auto" w:fill="E5FFFF"/>
          </w:tcPr>
          <w:p>
            <w:pPr>
              <w:jc w:val="right"/>
              <w:spacing w:after="0" w:line="183" w:lineRule="exact"/>
              <w:rPr>
                <w:sz w:val="20"/>
                <w:szCs w:val="20"/>
                <w:color w:val="auto"/>
              </w:rPr>
            </w:pPr>
            <w:r>
              <w:rPr>
                <w:rFonts w:ascii="Arial" w:cs="Arial" w:eastAsia="Arial" w:hAnsi="Arial"/>
                <w:sz w:val="16"/>
                <w:szCs w:val="16"/>
                <w:color w:val="auto"/>
              </w:rPr>
              <w:t>1,173</w:t>
            </w:r>
          </w:p>
        </w:tc>
        <w:tc>
          <w:tcPr>
            <w:tcW w:w="6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720" w:type="dxa"/>
            <w:vAlign w:val="bottom"/>
            <w:shd w:val="clear" w:color="auto" w:fill="E5FFFF"/>
          </w:tcPr>
          <w:p>
            <w:pPr>
              <w:jc w:val="right"/>
              <w:ind w:right="38"/>
              <w:spacing w:after="0" w:line="183" w:lineRule="exact"/>
              <w:rPr>
                <w:sz w:val="20"/>
                <w:szCs w:val="20"/>
                <w:color w:val="auto"/>
              </w:rPr>
            </w:pPr>
            <w:r>
              <w:rPr>
                <w:rFonts w:ascii="Arial" w:cs="Arial" w:eastAsia="Arial" w:hAnsi="Arial"/>
                <w:sz w:val="16"/>
                <w:szCs w:val="16"/>
                <w:color w:val="auto"/>
              </w:rPr>
              <w:t>1,199</w:t>
            </w:r>
          </w:p>
        </w:tc>
        <w:tc>
          <w:tcPr>
            <w:tcW w:w="2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8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680" w:type="dxa"/>
            <w:vAlign w:val="bottom"/>
            <w:shd w:val="clear" w:color="auto" w:fill="E5FFFF"/>
          </w:tcPr>
          <w:p>
            <w:pPr>
              <w:jc w:val="right"/>
              <w:spacing w:after="0" w:line="183" w:lineRule="exact"/>
              <w:rPr>
                <w:sz w:val="20"/>
                <w:szCs w:val="20"/>
                <w:color w:val="auto"/>
              </w:rPr>
            </w:pPr>
            <w:r>
              <w:rPr>
                <w:rFonts w:ascii="Arial" w:cs="Arial" w:eastAsia="Arial" w:hAnsi="Arial"/>
                <w:sz w:val="16"/>
                <w:szCs w:val="16"/>
                <w:color w:val="auto"/>
              </w:rPr>
              <w:t>3,334</w:t>
            </w:r>
          </w:p>
        </w:tc>
        <w:tc>
          <w:tcPr>
            <w:tcW w:w="6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720" w:type="dxa"/>
            <w:vAlign w:val="bottom"/>
            <w:shd w:val="clear" w:color="auto" w:fill="E5FFFF"/>
          </w:tcPr>
          <w:p>
            <w:pPr>
              <w:jc w:val="right"/>
              <w:ind w:right="18"/>
              <w:spacing w:after="0" w:line="183" w:lineRule="exact"/>
              <w:rPr>
                <w:sz w:val="20"/>
                <w:szCs w:val="20"/>
                <w:color w:val="auto"/>
              </w:rPr>
            </w:pPr>
            <w:r>
              <w:rPr>
                <w:rFonts w:ascii="Arial" w:cs="Arial" w:eastAsia="Arial" w:hAnsi="Arial"/>
                <w:sz w:val="16"/>
                <w:szCs w:val="16"/>
                <w:color w:val="auto"/>
              </w:rPr>
              <w:t>3,522</w:t>
            </w:r>
          </w:p>
        </w:tc>
        <w:tc>
          <w:tcPr>
            <w:tcW w:w="2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8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20" w:type="dxa"/>
            <w:vAlign w:val="bottom"/>
            <w:gridSpan w:val="5"/>
            <w:vMerge w:val="restart"/>
          </w:tcPr>
          <w:p>
            <w:pPr>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5"/>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9,804</w:t>
            </w:r>
          </w:p>
        </w:tc>
        <w:tc>
          <w:tcPr>
            <w:tcW w:w="500" w:type="dxa"/>
            <w:vAlign w:val="bottom"/>
            <w:gridSpan w:val="3"/>
          </w:tcPr>
          <w:p>
            <w:pPr>
              <w:ind w:left="3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8"/>
              <w:spacing w:after="0"/>
              <w:rPr>
                <w:sz w:val="20"/>
                <w:szCs w:val="20"/>
                <w:color w:val="auto"/>
              </w:rPr>
            </w:pPr>
            <w:r>
              <w:rPr>
                <w:rFonts w:ascii="Arial" w:cs="Arial" w:eastAsia="Arial" w:hAnsi="Arial"/>
                <w:sz w:val="16"/>
                <w:szCs w:val="16"/>
                <w:color w:val="auto"/>
              </w:rPr>
              <w:t>9,611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29,317</w:t>
            </w:r>
          </w:p>
        </w:tc>
        <w:tc>
          <w:tcPr>
            <w:tcW w:w="44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8"/>
              <w:spacing w:after="0"/>
              <w:rPr>
                <w:sz w:val="20"/>
                <w:szCs w:val="20"/>
                <w:color w:val="auto"/>
              </w:rPr>
            </w:pPr>
            <w:r>
              <w:rPr>
                <w:rFonts w:ascii="Arial" w:cs="Arial" w:eastAsia="Arial" w:hAnsi="Arial"/>
                <w:sz w:val="16"/>
                <w:szCs w:val="16"/>
                <w:color w:val="auto"/>
              </w:rPr>
              <w:t>28,599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Aerospace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20" w:type="dxa"/>
            <w:vAlign w:val="bottom"/>
            <w:gridSpan w:val="5"/>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60"/>
              <w:spacing w:after="0" w:line="143"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60"/>
              <w:spacing w:after="0" w:line="14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118"/>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5"/>
                <w:szCs w:val="15"/>
                <w:color w:val="auto"/>
              </w:rPr>
            </w:pPr>
          </w:p>
        </w:tc>
        <w:tc>
          <w:tcPr>
            <w:tcW w:w="680" w:type="dxa"/>
            <w:vAlign w:val="bottom"/>
          </w:tcPr>
          <w:p>
            <w:pPr>
              <w:jc w:val="right"/>
              <w:ind w:right="158"/>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center"/>
              <w:ind w:right="7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gridSpan w:val="4"/>
            <w:shd w:val="clear" w:color="auto" w:fill="E5FFFF"/>
          </w:tcPr>
          <w:p>
            <w:pPr>
              <w:spacing w:after="0" w:line="202"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3,601</w:t>
            </w:r>
          </w:p>
        </w:tc>
        <w:tc>
          <w:tcPr>
            <w:tcW w:w="500" w:type="dxa"/>
            <w:vAlign w:val="bottom"/>
            <w:gridSpan w:val="3"/>
            <w:shd w:val="clear" w:color="auto" w:fill="E5FFFF"/>
          </w:tcPr>
          <w:p>
            <w:pPr>
              <w:ind w:left="30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38"/>
              <w:spacing w:after="0" w:line="202" w:lineRule="exact"/>
              <w:rPr>
                <w:sz w:val="20"/>
                <w:szCs w:val="20"/>
                <w:color w:val="auto"/>
              </w:rPr>
            </w:pPr>
            <w:r>
              <w:rPr>
                <w:rFonts w:ascii="Arial" w:cs="Arial" w:eastAsia="Arial" w:hAnsi="Arial"/>
                <w:sz w:val="18"/>
                <w:szCs w:val="18"/>
                <w:color w:val="auto"/>
              </w:rPr>
              <w:t>3,820</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(6)%</w:t>
            </w:r>
          </w:p>
        </w:tc>
        <w:tc>
          <w:tcPr>
            <w:tcW w:w="2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11,085</w:t>
            </w:r>
          </w:p>
        </w:tc>
        <w:tc>
          <w:tcPr>
            <w:tcW w:w="440" w:type="dxa"/>
            <w:vAlign w:val="bottom"/>
            <w:gridSpan w:val="3"/>
            <w:shd w:val="clear" w:color="auto" w:fill="E5FFFF"/>
          </w:tcPr>
          <w:p>
            <w:pPr>
              <w:ind w:left="2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18"/>
              <w:spacing w:after="0" w:line="202" w:lineRule="exact"/>
              <w:rPr>
                <w:sz w:val="20"/>
                <w:szCs w:val="20"/>
                <w:color w:val="auto"/>
              </w:rPr>
            </w:pPr>
            <w:r>
              <w:rPr>
                <w:rFonts w:ascii="Arial" w:cs="Arial" w:eastAsia="Arial" w:hAnsi="Arial"/>
                <w:sz w:val="18"/>
                <w:szCs w:val="18"/>
                <w:color w:val="auto"/>
              </w:rPr>
              <w:t>11,254</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tcPr>
          <w:p>
            <w:pPr>
              <w:ind w:left="16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2,699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38"/>
              <w:spacing w:after="0"/>
              <w:rPr>
                <w:sz w:val="20"/>
                <w:szCs w:val="20"/>
                <w:color w:val="auto"/>
              </w:rPr>
            </w:pPr>
            <w:r>
              <w:rPr>
                <w:rFonts w:ascii="Arial" w:cs="Arial" w:eastAsia="Arial" w:hAnsi="Arial"/>
                <w:sz w:val="18"/>
                <w:szCs w:val="18"/>
                <w:color w:val="auto"/>
              </w:rPr>
              <w:t>2,753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8,138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8,190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shd w:val="clear" w:color="auto" w:fill="E5FF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159</w:t>
            </w: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20" w:type="dxa"/>
            <w:vAlign w:val="bottom"/>
            <w:shd w:val="clear" w:color="auto" w:fill="E5FFFF"/>
          </w:tcPr>
          <w:p>
            <w:pPr>
              <w:jc w:val="right"/>
              <w:ind w:right="38"/>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457</w:t>
            </w:r>
          </w:p>
        </w:tc>
        <w:tc>
          <w:tcPr>
            <w:tcW w:w="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720" w:type="dxa"/>
            <w:vAlign w:val="bottom"/>
            <w:shd w:val="clear" w:color="auto" w:fill="E5FFFF"/>
          </w:tcPr>
          <w:p>
            <w:pPr>
              <w:jc w:val="right"/>
              <w:ind w:right="18"/>
              <w:spacing w:after="0"/>
              <w:rPr>
                <w:sz w:val="20"/>
                <w:szCs w:val="20"/>
                <w:color w:val="auto"/>
              </w:rPr>
            </w:pPr>
            <w:r>
              <w:rPr>
                <w:rFonts w:ascii="Arial" w:cs="Arial" w:eastAsia="Arial" w:hAnsi="Arial"/>
                <w:sz w:val="18"/>
                <w:szCs w:val="18"/>
                <w:color w:val="auto"/>
              </w:rPr>
              <w:t>473</w:t>
            </w: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E5FFFF"/>
            </w:tcBorders>
            <w:gridSpan w:val="4"/>
          </w:tcPr>
          <w:p>
            <w:pPr>
              <w:ind w:left="1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E5FFFF"/>
            </w:tcBorders>
          </w:tcPr>
          <w:p>
            <w:pPr>
              <w:spacing w:after="0"/>
              <w:rPr>
                <w:sz w:val="19"/>
                <w:szCs w:val="19"/>
                <w:color w:val="auto"/>
              </w:rPr>
            </w:pPr>
          </w:p>
        </w:tc>
        <w:tc>
          <w:tcPr>
            <w:tcW w:w="100" w:type="dxa"/>
            <w:vAlign w:val="bottom"/>
            <w:tcBorders>
              <w:bottom w:val="single" w:sz="8" w:color="E5FFFF"/>
            </w:tcBorders>
          </w:tcPr>
          <w:p>
            <w:pPr>
              <w:spacing w:after="0"/>
              <w:rPr>
                <w:sz w:val="19"/>
                <w:szCs w:val="19"/>
                <w:color w:val="auto"/>
              </w:rPr>
            </w:pPr>
          </w:p>
        </w:tc>
        <w:tc>
          <w:tcPr>
            <w:tcW w:w="820" w:type="dxa"/>
            <w:vAlign w:val="bottom"/>
            <w:tcBorders>
              <w:bottom w:val="single" w:sz="8" w:color="E5FFFF"/>
            </w:tcBorders>
          </w:tcPr>
          <w:p>
            <w:pPr>
              <w:spacing w:after="0"/>
              <w:rPr>
                <w:sz w:val="19"/>
                <w:szCs w:val="19"/>
                <w:color w:val="auto"/>
              </w:rPr>
            </w:pPr>
          </w:p>
        </w:tc>
        <w:tc>
          <w:tcPr>
            <w:tcW w:w="220" w:type="dxa"/>
            <w:vAlign w:val="bottom"/>
            <w:tcBorders>
              <w:bottom w:val="single" w:sz="8" w:color="E5FF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E5FF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E5FFFF"/>
            </w:tcBorders>
          </w:tcPr>
          <w:p>
            <w:pPr>
              <w:spacing w:after="0"/>
              <w:rPr>
                <w:sz w:val="19"/>
                <w:szCs w:val="19"/>
                <w:color w:val="auto"/>
              </w:rPr>
            </w:pPr>
          </w:p>
        </w:tc>
        <w:tc>
          <w:tcPr>
            <w:tcW w:w="100" w:type="dxa"/>
            <w:vAlign w:val="bottom"/>
            <w:tcBorders>
              <w:bottom w:val="single" w:sz="8" w:color="E5FFFF"/>
            </w:tcBorders>
          </w:tcPr>
          <w:p>
            <w:pPr>
              <w:spacing w:after="0"/>
              <w:rPr>
                <w:sz w:val="19"/>
                <w:szCs w:val="19"/>
                <w:color w:val="auto"/>
              </w:rPr>
            </w:pPr>
          </w:p>
        </w:tc>
        <w:tc>
          <w:tcPr>
            <w:tcW w:w="800" w:type="dxa"/>
            <w:vAlign w:val="bottom"/>
            <w:tcBorders>
              <w:bottom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4"/>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Borders>
              <w:bottom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663</w:t>
            </w:r>
          </w:p>
        </w:tc>
        <w:tc>
          <w:tcPr>
            <w:tcW w:w="60" w:type="dxa"/>
            <w:vAlign w:val="bottom"/>
            <w:tcBorders>
              <w:bottom w:val="single" w:sz="8" w:color="auto"/>
            </w:tcBorders>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5FFFF"/>
          </w:tcPr>
          <w:p>
            <w:pPr>
              <w:jc w:val="right"/>
              <w:ind w:right="38"/>
              <w:spacing w:after="0" w:line="196" w:lineRule="exact"/>
              <w:rPr>
                <w:sz w:val="20"/>
                <w:szCs w:val="20"/>
                <w:color w:val="auto"/>
              </w:rPr>
            </w:pPr>
            <w:r>
              <w:rPr>
                <w:rFonts w:ascii="Arial" w:cs="Arial" w:eastAsia="Arial" w:hAnsi="Arial"/>
                <w:sz w:val="18"/>
                <w:szCs w:val="18"/>
                <w:color w:val="auto"/>
              </w:rPr>
              <w:t>833</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(20)%</w:t>
            </w:r>
          </w:p>
        </w:tc>
        <w:tc>
          <w:tcPr>
            <w:tcW w:w="22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2,252</w:t>
            </w:r>
          </w:p>
        </w:tc>
        <w:tc>
          <w:tcPr>
            <w:tcW w:w="60" w:type="dxa"/>
            <w:vAlign w:val="bottom"/>
            <w:tcBorders>
              <w:bottom w:val="single" w:sz="8" w:color="auto"/>
            </w:tcBorders>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80" w:type="dxa"/>
            <w:vAlign w:val="bottom"/>
            <w:tcBorders>
              <w:bottom w:val="single" w:sz="8" w:color="auto"/>
            </w:tcBorders>
            <w:shd w:val="clear" w:color="auto" w:fill="E5FF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5FFFF"/>
          </w:tcPr>
          <w:p>
            <w:pPr>
              <w:jc w:val="right"/>
              <w:ind w:right="18"/>
              <w:spacing w:after="0" w:line="196" w:lineRule="exact"/>
              <w:rPr>
                <w:sz w:val="20"/>
                <w:szCs w:val="20"/>
                <w:color w:val="auto"/>
              </w:rPr>
            </w:pPr>
            <w:r>
              <w:rPr>
                <w:rFonts w:ascii="Arial" w:cs="Arial" w:eastAsia="Arial" w:hAnsi="Arial"/>
                <w:sz w:val="18"/>
                <w:szCs w:val="18"/>
                <w:color w:val="auto"/>
              </w:rPr>
              <w:t>2,362</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3"/>
          </w:tcPr>
          <w:p>
            <w:pPr>
              <w:jc w:val="right"/>
              <w:ind w:right="88"/>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Borders>
              <w:bottom w:val="single" w:sz="8" w:color="C0C0C0"/>
            </w:tcBorders>
          </w:tcPr>
          <w:p>
            <w:pPr>
              <w:spacing w:after="0"/>
              <w:rPr>
                <w:sz w:val="20"/>
                <w:szCs w:val="20"/>
                <w:color w:val="auto"/>
              </w:rPr>
            </w:pPr>
          </w:p>
        </w:tc>
        <w:tc>
          <w:tcPr>
            <w:tcW w:w="1580" w:type="dxa"/>
            <w:vAlign w:val="bottom"/>
            <w:tcBorders>
              <w:bottom w:val="single" w:sz="8" w:color="C0C0C0"/>
            </w:tcBorders>
          </w:tcPr>
          <w:p>
            <w:pPr>
              <w:spacing w:after="0"/>
              <w:rPr>
                <w:sz w:val="20"/>
                <w:szCs w:val="20"/>
                <w:color w:val="auto"/>
              </w:rPr>
            </w:pPr>
          </w:p>
        </w:tc>
        <w:tc>
          <w:tcPr>
            <w:tcW w:w="580" w:type="dxa"/>
            <w:vAlign w:val="bottom"/>
            <w:tcBorders>
              <w:bottom w:val="single" w:sz="8" w:color="C0C0C0"/>
            </w:tcBorders>
          </w:tcPr>
          <w:p>
            <w:pPr>
              <w:spacing w:after="0"/>
              <w:rPr>
                <w:sz w:val="20"/>
                <w:szCs w:val="20"/>
                <w:color w:val="auto"/>
              </w:rPr>
            </w:pPr>
          </w:p>
        </w:tc>
        <w:tc>
          <w:tcPr>
            <w:tcW w:w="14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6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00" w:right="2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Organic growth/ Operational segment profit</w:t>
      </w:r>
    </w:p>
    <w:p>
      <w:pPr>
        <w:ind w:left="660"/>
        <w:spacing w:after="0" w:line="234" w:lineRule="auto"/>
        <w:rPr>
          <w:sz w:val="20"/>
          <w:szCs w:val="20"/>
          <w:color w:val="auto"/>
        </w:rPr>
      </w:pPr>
      <w:r>
        <w:rPr>
          <w:rFonts w:ascii="Arial" w:cs="Arial" w:eastAsia="Arial" w:hAnsi="Arial"/>
          <w:sz w:val="18"/>
          <w:szCs w:val="18"/>
          <w:color w:val="auto"/>
        </w:rPr>
        <w:t>Foreign currency translation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ind w:left="2300"/>
        <w:spacing w:after="0"/>
        <w:rPr>
          <w:sz w:val="20"/>
          <w:szCs w:val="20"/>
          <w:color w:val="auto"/>
        </w:rPr>
      </w:pPr>
      <w:r>
        <w:rPr>
          <w:rFonts w:ascii="Arial" w:cs="Arial" w:eastAsia="Arial" w:hAnsi="Arial"/>
          <w:sz w:val="14"/>
          <w:szCs w:val="14"/>
          <w:b w:val="1"/>
          <w:bCs w:val="1"/>
          <w:color w:val="auto"/>
        </w:rPr>
        <w:t>2016 vs.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507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262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2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262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96"/>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Sales</w:t>
            </w: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Profit</w:t>
            </w:r>
          </w:p>
        </w:tc>
        <w:tc>
          <w:tcPr>
            <w:tcW w:w="1460" w:type="dxa"/>
            <w:vAlign w:val="bottom"/>
            <w:gridSpan w:val="2"/>
          </w:tcPr>
          <w:p>
            <w:pPr>
              <w:ind w:left="380"/>
              <w:spacing w:after="0"/>
              <w:rPr>
                <w:sz w:val="20"/>
                <w:szCs w:val="20"/>
                <w:color w:val="auto"/>
              </w:rPr>
            </w:pPr>
            <w:r>
              <w:rPr>
                <w:rFonts w:ascii="Arial" w:cs="Arial" w:eastAsia="Arial" w:hAnsi="Arial"/>
                <w:sz w:val="14"/>
                <w:szCs w:val="14"/>
                <w:b w:val="1"/>
                <w:bCs w:val="1"/>
                <w:color w:val="auto"/>
              </w:rPr>
              <w:t>Sales</w:t>
            </w:r>
          </w:p>
        </w:tc>
        <w:tc>
          <w:tcPr>
            <w:tcW w:w="1160" w:type="dxa"/>
            <w:vAlign w:val="bottom"/>
          </w:tcPr>
          <w:p>
            <w:pPr>
              <w:jc w:val="right"/>
              <w:ind w:right="316"/>
              <w:spacing w:after="0"/>
              <w:rPr>
                <w:sz w:val="20"/>
                <w:szCs w:val="20"/>
                <w:color w:val="auto"/>
              </w:rPr>
            </w:pPr>
            <w:r>
              <w:rPr>
                <w:rFonts w:ascii="Arial" w:cs="Arial" w:eastAsia="Arial" w:hAnsi="Arial"/>
                <w:sz w:val="14"/>
                <w:szCs w:val="14"/>
                <w:b w:val="1"/>
                <w:bCs w:val="1"/>
                <w:color w:val="auto"/>
              </w:rPr>
              <w:t>Profit</w:t>
            </w:r>
          </w:p>
        </w:tc>
      </w:tr>
      <w:tr>
        <w:trPr>
          <w:trHeight w:val="195"/>
        </w:trPr>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w:t>
            </w:r>
          </w:p>
        </w:tc>
        <w:tc>
          <w:tcPr>
            <w:tcW w:w="320" w:type="dxa"/>
            <w:vAlign w:val="bottom"/>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w:t>
            </w:r>
          </w:p>
        </w:tc>
      </w:tr>
      <w:tr>
        <w:trPr>
          <w:trHeight w:val="216"/>
        </w:trPr>
        <w:tc>
          <w:tcPr>
            <w:tcW w:w="114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1140" w:type="dxa"/>
            <w:vAlign w:val="bottom"/>
            <w:tcBorders>
              <w:bottom w:val="single" w:sz="8" w:color="auto"/>
            </w:tcBorders>
          </w:tcPr>
          <w:p>
            <w:pPr>
              <w:jc w:val="right"/>
              <w:ind w:right="138"/>
              <w:spacing w:after="0" w:line="203"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ind w:right="138"/>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60" w:type="dxa"/>
            <w:vAlign w:val="bottom"/>
            <w:tcBorders>
              <w:bottom w:val="single" w:sz="8" w:color="auto"/>
            </w:tcBorders>
          </w:tcPr>
          <w:p>
            <w:pPr>
              <w:jc w:val="right"/>
              <w:ind w:right="156"/>
              <w:spacing w:after="0" w:line="203" w:lineRule="exact"/>
              <w:rPr>
                <w:sz w:val="20"/>
                <w:szCs w:val="20"/>
                <w:color w:val="auto"/>
              </w:rPr>
            </w:pPr>
            <w:r>
              <w:rPr>
                <w:rFonts w:ascii="Arial" w:cs="Arial" w:eastAsia="Arial" w:hAnsi="Arial"/>
                <w:sz w:val="18"/>
                <w:szCs w:val="18"/>
                <w:color w:val="auto"/>
              </w:rPr>
              <w:t>-</w:t>
            </w:r>
          </w:p>
        </w:tc>
      </w:tr>
      <w:tr>
        <w:trPr>
          <w:trHeight w:val="210"/>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-307975</wp:posOffset>
            </wp:positionV>
            <wp:extent cx="680910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9105" cy="13716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-574040</wp:posOffset>
            </wp:positionV>
            <wp:extent cx="680910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560"/>
          </w:cols>
          <w:pgMar w:left="240" w:top="450" w:right="239" w:bottom="1440" w:gutter="0" w:footer="0" w:header="0"/>
        </w:sectPr>
      </w:pPr>
    </w:p>
    <w:p>
      <w:pPr>
        <w:spacing w:after="0" w:line="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Aerospace sales decreased in the quarter and nine months primarily due to a decrease in organic sales volumes and the Honeywell Technology Solutions Inc. divestiture, which is partially offset by growth from acquisitions.</w:t>
      </w:r>
    </w:p>
    <w:p>
      <w:pPr>
        <w:spacing w:after="0" w:line="183" w:lineRule="exact"/>
        <w:rPr>
          <w:sz w:val="20"/>
          <w:szCs w:val="20"/>
          <w:color w:val="auto"/>
        </w:rPr>
      </w:pPr>
    </w:p>
    <w:p>
      <w:pPr>
        <w:jc w:val="both"/>
        <w:ind w:left="980" w:hanging="324"/>
        <w:spacing w:after="0" w:line="23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Original Equipment sales decreased 26% (decreased 25% organic) in the quarter and decreased 11% (decreased 10% organic) in the nine months primarily due to lower shipments to business and general aviation original equipment manufacturers (OEMs) and higher OEM incentives. Consistent with broader aerospace industry trends, we expect the continuation of lower business and general aviation OEM sales volumes.</w:t>
      </w:r>
    </w:p>
    <w:p>
      <w:pPr>
        <w:spacing w:after="0" w:line="201" w:lineRule="exact"/>
        <w:rPr>
          <w:rFonts w:ascii="Arial" w:cs="Arial" w:eastAsia="Arial" w:hAnsi="Arial"/>
          <w:sz w:val="18"/>
          <w:szCs w:val="18"/>
          <w:color w:val="auto"/>
        </w:rPr>
      </w:pPr>
    </w:p>
    <w:p>
      <w:pPr>
        <w:jc w:val="both"/>
        <w:ind w:left="980" w:right="2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 Aftermarket sales increased 1% (increased 1% organic) in the quarter primarily driven by higher repair and overhaul activities for air transport and regional customers and acquisitions, partially offset by lower repair and overhaul activities for business and general aviation customers.</w:t>
      </w:r>
    </w:p>
    <w:p>
      <w:pPr>
        <w:spacing w:after="0" w:line="202" w:lineRule="exact"/>
        <w:rPr>
          <w:rFonts w:ascii="Arial" w:cs="Arial" w:eastAsia="Arial" w:hAnsi="Arial"/>
          <w:sz w:val="18"/>
          <w:szCs w:val="18"/>
          <w:color w:val="auto"/>
        </w:rPr>
      </w:pPr>
    </w:p>
    <w:p>
      <w:pPr>
        <w:ind w:left="980"/>
        <w:spacing w:after="0" w:line="246" w:lineRule="auto"/>
        <w:rPr>
          <w:rFonts w:ascii="Arial" w:cs="Arial" w:eastAsia="Arial" w:hAnsi="Arial"/>
          <w:sz w:val="18"/>
          <w:szCs w:val="18"/>
          <w:color w:val="auto"/>
        </w:rPr>
      </w:pPr>
      <w:r>
        <w:rPr>
          <w:rFonts w:ascii="Arial" w:cs="Arial" w:eastAsia="Arial" w:hAnsi="Arial"/>
          <w:sz w:val="18"/>
          <w:szCs w:val="18"/>
          <w:color w:val="auto"/>
        </w:rPr>
        <w:t>Commercial Aftermarket sales increased 4% (increased 4% organic) in the nine months primarily driven by higher repair and overhaul activities and increased spares shipments.</w:t>
      </w:r>
    </w:p>
    <w:p>
      <w:pPr>
        <w:spacing w:after="0" w:line="183" w:lineRule="exact"/>
        <w:rPr>
          <w:rFonts w:ascii="Arial" w:cs="Arial" w:eastAsia="Arial" w:hAnsi="Arial"/>
          <w:sz w:val="18"/>
          <w:szCs w:val="18"/>
          <w:color w:val="auto"/>
        </w:rPr>
      </w:pPr>
    </w:p>
    <w:p>
      <w:pPr>
        <w:jc w:val="both"/>
        <w:ind w:left="980" w:hanging="324"/>
        <w:spacing w:after="0" w:line="239"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Defense and Space sales decreased 6% (decreased 6% organic) in the quarter and decreased 5% (decreased 6% organic) in the nine months primarily due to declines in U.S. space and international defense programs, lower U.S. government services revenue, including the impact of divestitures, and decreased demand from commercial helicopter OEMs, partially offset by sales from acquisitions.</w:t>
      </w:r>
    </w:p>
    <w:p>
      <w:pPr>
        <w:spacing w:after="0" w:line="201" w:lineRule="exact"/>
        <w:rPr>
          <w:rFonts w:ascii="Arial" w:cs="Arial" w:eastAsia="Arial" w:hAnsi="Arial"/>
          <w:sz w:val="18"/>
          <w:szCs w:val="18"/>
          <w:color w:val="auto"/>
        </w:rPr>
      </w:pPr>
    </w:p>
    <w:p>
      <w:pPr>
        <w:ind w:left="980" w:hanging="324"/>
        <w:spacing w:after="0" w:line="246"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Systems sales increased 4% (increased 3% organic) in the quarter and increased 4% (increased 4% organic) in the nine months primarily driven by new platform launches and higher global turbo penetration.</w:t>
      </w:r>
    </w:p>
    <w:p>
      <w:pPr>
        <w:spacing w:after="0" w:line="19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Aerospace segment profit decreased in the quarter primarily due to a decrease in operational segment profit, partially offset by acquisitions, net of divestitures. The decrease in operational segment profit is primarily due to continued investments for growth, higher OEM incentives, and lower organic sales volumes, partially offset by productivity, net of inflation. Cost of products and services sold decreased in the quarter ended September 30, 2016 primarily driven by productivity, net of inflation and lower organic sales volumes, partially offset by continued investments for growth.</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Aerospace segment profit decreased in the nine months primarily due to a decrease in operational segment profit and the unfavorable impact of foreign currency translation. The decrease in operational segment profit is primarily due to continued investments for growth and higher OEM incentives, partially offset by productivity, net of inflation. Cost of products and services sold decreased in the nine months ended September 30, 2016 primarily driven by productivity, net of inflation, and lower sales volumes, partially offset by acquisitions, net of divestitures.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Home and Building Technologies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2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4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83"/>
        </w:trPr>
        <w:tc>
          <w:tcPr>
            <w:tcW w:w="48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E5FFFF"/>
            </w:tcBorders>
          </w:tcPr>
          <w:p>
            <w:pPr>
              <w:spacing w:after="0"/>
              <w:rPr>
                <w:sz w:val="15"/>
                <w:szCs w:val="15"/>
                <w:color w:val="auto"/>
              </w:rPr>
            </w:pPr>
          </w:p>
        </w:tc>
        <w:tc>
          <w:tcPr>
            <w:tcW w:w="1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E5FF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E5FF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2,701</w:t>
            </w:r>
          </w:p>
        </w:tc>
        <w:tc>
          <w:tcPr>
            <w:tcW w:w="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2,313</w:t>
            </w:r>
          </w:p>
        </w:tc>
        <w:tc>
          <w:tcPr>
            <w:tcW w:w="2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176"/>
              <w:spacing w:after="0" w:line="196" w:lineRule="exact"/>
              <w:rPr>
                <w:sz w:val="20"/>
                <w:szCs w:val="20"/>
                <w:color w:val="auto"/>
              </w:rPr>
            </w:pPr>
            <w:r>
              <w:rPr>
                <w:rFonts w:ascii="Arial" w:cs="Arial" w:eastAsia="Arial" w:hAnsi="Arial"/>
                <w:sz w:val="18"/>
                <w:szCs w:val="18"/>
                <w:color w:val="auto"/>
              </w:rPr>
              <w:t>17%</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7,854</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6,686</w:t>
            </w: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17%</w:t>
            </w:r>
          </w:p>
        </w:tc>
        <w:tc>
          <w:tcPr>
            <w:tcW w:w="40" w:type="dxa"/>
            <w:vAlign w:val="bottom"/>
            <w:shd w:val="clear" w:color="auto" w:fill="E5FFFF"/>
          </w:tcPr>
          <w:p>
            <w:pPr>
              <w:spacing w:after="0"/>
              <w:rPr>
                <w:sz w:val="17"/>
                <w:szCs w:val="17"/>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1,502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4,347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2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1,252</w:t>
            </w:r>
          </w:p>
        </w:tc>
        <w:tc>
          <w:tcPr>
            <w:tcW w:w="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1,099</w:t>
            </w:r>
          </w:p>
        </w:tc>
        <w:tc>
          <w:tcPr>
            <w:tcW w:w="2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r>
      <w:tr>
        <w:trPr>
          <w:trHeight w:val="230"/>
        </w:trPr>
        <w:tc>
          <w:tcPr>
            <w:tcW w:w="48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E5FFFF"/>
            </w:tcBorders>
          </w:tcPr>
          <w:p>
            <w:pPr>
              <w:spacing w:after="0"/>
              <w:rPr>
                <w:sz w:val="19"/>
                <w:szCs w:val="19"/>
                <w:color w:val="auto"/>
              </w:rPr>
            </w:pPr>
          </w:p>
        </w:tc>
        <w:tc>
          <w:tcPr>
            <w:tcW w:w="12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E5FFFF"/>
            </w:tcBorders>
          </w:tcPr>
          <w:p>
            <w:pPr>
              <w:spacing w:after="0"/>
              <w:rPr>
                <w:sz w:val="19"/>
                <w:szCs w:val="19"/>
                <w:color w:val="auto"/>
              </w:rPr>
            </w:pPr>
          </w:p>
        </w:tc>
        <w:tc>
          <w:tcPr>
            <w:tcW w:w="60" w:type="dxa"/>
            <w:vAlign w:val="bottom"/>
            <w:tcBorders>
              <w:bottom w:val="single" w:sz="8" w:color="E5FFFF"/>
            </w:tcBorders>
          </w:tcPr>
          <w:p>
            <w:pPr>
              <w:spacing w:after="0"/>
              <w:rPr>
                <w:sz w:val="19"/>
                <w:szCs w:val="19"/>
                <w:color w:val="auto"/>
              </w:rPr>
            </w:pPr>
          </w:p>
        </w:tc>
        <w:tc>
          <w:tcPr>
            <w:tcW w:w="860" w:type="dxa"/>
            <w:vAlign w:val="bottom"/>
            <w:tcBorders>
              <w:bottom w:val="single" w:sz="8" w:color="E5FFFF"/>
            </w:tcBorders>
          </w:tcPr>
          <w:p>
            <w:pPr>
              <w:spacing w:after="0"/>
              <w:rPr>
                <w:sz w:val="19"/>
                <w:szCs w:val="19"/>
                <w:color w:val="auto"/>
              </w:rPr>
            </w:pPr>
          </w:p>
        </w:tc>
        <w:tc>
          <w:tcPr>
            <w:tcW w:w="22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152</w:t>
            </w:r>
          </w:p>
        </w:tc>
        <w:tc>
          <w:tcPr>
            <w:tcW w:w="220" w:type="dxa"/>
            <w:vAlign w:val="bottom"/>
            <w:tcBorders>
              <w:bottom w:val="single" w:sz="8" w:color="E5FFFF"/>
            </w:tcBorders>
          </w:tcPr>
          <w:p>
            <w:pPr>
              <w:spacing w:after="0"/>
              <w:rPr>
                <w:sz w:val="19"/>
                <w:szCs w:val="19"/>
                <w:color w:val="auto"/>
              </w:rPr>
            </w:pPr>
          </w:p>
        </w:tc>
        <w:tc>
          <w:tcPr>
            <w:tcW w:w="60" w:type="dxa"/>
            <w:vAlign w:val="bottom"/>
            <w:tcBorders>
              <w:bottom w:val="single" w:sz="8" w:color="E5FFFF"/>
            </w:tcBorders>
          </w:tcPr>
          <w:p>
            <w:pPr>
              <w:spacing w:after="0"/>
              <w:rPr>
                <w:sz w:val="19"/>
                <w:szCs w:val="19"/>
                <w:color w:val="auto"/>
              </w:rPr>
            </w:pPr>
          </w:p>
        </w:tc>
        <w:tc>
          <w:tcPr>
            <w:tcW w:w="800" w:type="dxa"/>
            <w:vAlign w:val="bottom"/>
            <w:tcBorders>
              <w:bottom w:val="single" w:sz="8" w:color="E5FFFF"/>
            </w:tcBorders>
          </w:tcPr>
          <w:p>
            <w:pPr>
              <w:spacing w:after="0"/>
              <w:rPr>
                <w:sz w:val="19"/>
                <w:szCs w:val="19"/>
                <w:color w:val="auto"/>
              </w:rPr>
            </w:pPr>
          </w:p>
        </w:tc>
        <w:tc>
          <w:tcPr>
            <w:tcW w:w="40" w:type="dxa"/>
            <w:vAlign w:val="bottom"/>
            <w:tcBorders>
              <w:bottom w:val="single" w:sz="8" w:color="E5FFFF"/>
            </w:tcBorders>
          </w:tcPr>
          <w:p>
            <w:pPr>
              <w:spacing w:after="0"/>
              <w:rPr>
                <w:sz w:val="19"/>
                <w:szCs w:val="19"/>
                <w:color w:val="auto"/>
              </w:rPr>
            </w:pP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441</w:t>
            </w:r>
          </w:p>
        </w:tc>
        <w:tc>
          <w:tcPr>
            <w:tcW w:w="60" w:type="dxa"/>
            <w:vAlign w:val="bottom"/>
            <w:tcBorders>
              <w:bottom w:val="single" w:sz="8" w:color="auto"/>
            </w:tcBorders>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408</w:t>
            </w:r>
          </w:p>
        </w:tc>
        <w:tc>
          <w:tcPr>
            <w:tcW w:w="2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60" w:type="dxa"/>
            <w:vAlign w:val="bottom"/>
            <w:shd w:val="clear" w:color="auto" w:fill="E5FFFF"/>
          </w:tcPr>
          <w:p>
            <w:pPr>
              <w:jc w:val="right"/>
              <w:ind w:right="236"/>
              <w:spacing w:after="0" w:line="196" w:lineRule="exact"/>
              <w:rPr>
                <w:sz w:val="20"/>
                <w:szCs w:val="20"/>
                <w:color w:val="auto"/>
              </w:rPr>
            </w:pPr>
            <w:r>
              <w:rPr>
                <w:rFonts w:ascii="Arial" w:cs="Arial" w:eastAsia="Arial" w:hAnsi="Arial"/>
                <w:sz w:val="18"/>
                <w:szCs w:val="18"/>
                <w:color w:val="auto"/>
              </w:rPr>
              <w:t>8%</w:t>
            </w:r>
          </w:p>
        </w:tc>
        <w:tc>
          <w:tcPr>
            <w:tcW w:w="22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1,213</w:t>
            </w:r>
          </w:p>
        </w:tc>
        <w:tc>
          <w:tcPr>
            <w:tcW w:w="60" w:type="dxa"/>
            <w:vAlign w:val="bottom"/>
            <w:tcBorders>
              <w:bottom w:val="single" w:sz="8" w:color="auto"/>
            </w:tcBorders>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1,088</w:t>
            </w: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11%</w:t>
            </w:r>
          </w:p>
        </w:tc>
        <w:tc>
          <w:tcPr>
            <w:tcW w:w="40" w:type="dxa"/>
            <w:vAlign w:val="bottom"/>
            <w:shd w:val="clear" w:color="auto" w:fill="E5FFFF"/>
          </w:tcPr>
          <w:p>
            <w:pPr>
              <w:spacing w:after="0"/>
              <w:rPr>
                <w:sz w:val="17"/>
                <w:szCs w:val="17"/>
                <w:color w:val="auto"/>
              </w:rPr>
            </w:pPr>
          </w:p>
        </w:tc>
      </w:tr>
      <w:tr>
        <w:trPr>
          <w:trHeight w:val="399"/>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 vs. 2015</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14"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Organic growth/ Operational segment profit</w:t>
      </w:r>
    </w:p>
    <w:p>
      <w:pPr>
        <w:ind w:left="660"/>
        <w:spacing w:after="0" w:line="234" w:lineRule="auto"/>
        <w:rPr>
          <w:sz w:val="20"/>
          <w:szCs w:val="20"/>
          <w:color w:val="auto"/>
        </w:rPr>
      </w:pPr>
      <w:r>
        <w:rPr>
          <w:rFonts w:ascii="Arial" w:cs="Arial" w:eastAsia="Arial" w:hAnsi="Arial"/>
          <w:sz w:val="18"/>
          <w:szCs w:val="18"/>
          <w:color w:val="auto"/>
        </w:rPr>
        <w:t>Foreign currency translation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262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2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262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96"/>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Sales</w:t>
            </w: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Profit</w:t>
            </w:r>
          </w:p>
        </w:tc>
        <w:tc>
          <w:tcPr>
            <w:tcW w:w="1460" w:type="dxa"/>
            <w:vAlign w:val="bottom"/>
            <w:gridSpan w:val="2"/>
          </w:tcPr>
          <w:p>
            <w:pPr>
              <w:ind w:left="380"/>
              <w:spacing w:after="0"/>
              <w:rPr>
                <w:sz w:val="20"/>
                <w:szCs w:val="20"/>
                <w:color w:val="auto"/>
              </w:rPr>
            </w:pPr>
            <w:r>
              <w:rPr>
                <w:rFonts w:ascii="Arial" w:cs="Arial" w:eastAsia="Arial" w:hAnsi="Arial"/>
                <w:sz w:val="14"/>
                <w:szCs w:val="14"/>
                <w:b w:val="1"/>
                <w:bCs w:val="1"/>
                <w:color w:val="auto"/>
              </w:rPr>
              <w:t>Sales</w:t>
            </w:r>
          </w:p>
        </w:tc>
        <w:tc>
          <w:tcPr>
            <w:tcW w:w="1160" w:type="dxa"/>
            <w:vAlign w:val="bottom"/>
          </w:tcPr>
          <w:p>
            <w:pPr>
              <w:jc w:val="right"/>
              <w:ind w:right="316"/>
              <w:spacing w:after="0"/>
              <w:rPr>
                <w:sz w:val="20"/>
                <w:szCs w:val="20"/>
                <w:color w:val="auto"/>
              </w:rPr>
            </w:pPr>
            <w:r>
              <w:rPr>
                <w:rFonts w:ascii="Arial" w:cs="Arial" w:eastAsia="Arial" w:hAnsi="Arial"/>
                <w:sz w:val="14"/>
                <w:szCs w:val="14"/>
                <w:b w:val="1"/>
                <w:bCs w:val="1"/>
                <w:color w:val="auto"/>
              </w:rPr>
              <w:t>Profit</w:t>
            </w:r>
          </w:p>
        </w:tc>
      </w:tr>
      <w:tr>
        <w:trPr>
          <w:trHeight w:val="195"/>
        </w:trPr>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w:t>
            </w:r>
          </w:p>
        </w:tc>
        <w:tc>
          <w:tcPr>
            <w:tcW w:w="320" w:type="dxa"/>
            <w:vAlign w:val="bottom"/>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w:t>
            </w:r>
          </w:p>
        </w:tc>
      </w:tr>
      <w:tr>
        <w:trPr>
          <w:trHeight w:val="216"/>
        </w:trPr>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3"/>
        </w:trPr>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w:t>
            </w:r>
          </w:p>
        </w:tc>
        <w:tc>
          <w:tcPr>
            <w:tcW w:w="30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w:t>
            </w:r>
          </w:p>
        </w:tc>
        <w:tc>
          <w:tcPr>
            <w:tcW w:w="32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r>
      <w:tr>
        <w:trPr>
          <w:trHeight w:val="210"/>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-307975</wp:posOffset>
            </wp:positionV>
            <wp:extent cx="680910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9105" cy="13716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-574040</wp:posOffset>
            </wp:positionV>
            <wp:extent cx="680910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560"/>
          </w:cols>
          <w:pgMar w:left="240" w:top="400" w:right="239" w:bottom="1440" w:gutter="0" w:footer="0" w:header="0"/>
          <w:type w:val="continuous"/>
        </w:sectPr>
      </w:pPr>
    </w:p>
    <w:p>
      <w:pPr>
        <w:spacing w:after="0" w:line="2"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Home and Building Technologies sales increased in the quarter and nine months primarily driven by acquisitions and organic growth partially offset by the unfavorable impact of foreign currency translation.</w:t>
      </w:r>
    </w:p>
    <w:p>
      <w:pPr>
        <w:spacing w:after="0" w:line="183" w:lineRule="exact"/>
        <w:rPr>
          <w:sz w:val="20"/>
          <w:szCs w:val="20"/>
          <w:color w:val="auto"/>
        </w:rPr>
      </w:pPr>
    </w:p>
    <w:p>
      <w:pPr>
        <w:jc w:val="both"/>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Home and Building Products increased 26% (increased 1% organic) in the quarter and increased 28% (increased 3% organic) in the nine months principally due to acquisitions and growth from our Environmental and Energy Solutions and Security and Fire businesses.</w:t>
      </w:r>
    </w:p>
    <w:p>
      <w:pPr>
        <w:spacing w:after="0" w:line="202" w:lineRule="exact"/>
        <w:rPr>
          <w:rFonts w:ascii="Arial" w:cs="Arial" w:eastAsia="Arial" w:hAnsi="Arial"/>
          <w:sz w:val="18"/>
          <w:szCs w:val="18"/>
          <w:color w:val="auto"/>
        </w:rPr>
      </w:pPr>
    </w:p>
    <w:p>
      <w:pPr>
        <w:jc w:val="both"/>
        <w:ind w:left="980" w:hanging="324"/>
        <w:spacing w:after="0" w:line="23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Home and Building Distribution increased 7% (increased 8% organic) in the quarter and increased 6% (increased 8% organic) in the nine months principally due to organic sales growth partially offset by the unfavorable impact of foreign currency translation. Organic sales in three and nine months was driven by increased growth in our Distribution and Building Solutions Energy businesses.</w:t>
      </w:r>
    </w:p>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Home and Building Technologies segment profit increased in the quarter and nine months due to higher operational segment profit and acquisitions. The increase in operational segment profit is primarily due to the positive impact of volume, price, and productivity net of inflation. Cost of products and services sold increased in the quarter and nine months primarily due to acquisitions and higher organic sales volumes partially offset by the favorable impact of foreign currency translation and productivity net of inflation.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Performance Materials and Technologies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9"/>
              <w:spacing w:after="0" w:line="143"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9"/>
              <w:spacing w:after="0" w:line="143" w:lineRule="exact"/>
              <w:rPr>
                <w:sz w:val="20"/>
                <w:szCs w:val="20"/>
                <w:color w:val="auto"/>
              </w:rPr>
            </w:pPr>
            <w:r>
              <w:rPr>
                <w:rFonts w:ascii="Arial" w:cs="Arial" w:eastAsia="Arial" w:hAnsi="Arial"/>
                <w:sz w:val="14"/>
                <w:szCs w:val="14"/>
                <w:b w:val="1"/>
                <w:bCs w:val="1"/>
                <w:color w:val="auto"/>
              </w:rPr>
              <w:t>%</w:t>
            </w:r>
          </w:p>
        </w:tc>
      </w:tr>
      <w:tr>
        <w:trPr>
          <w:trHeight w:val="175"/>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ind w:right="113"/>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ind w:right="9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Arial" w:cs="Arial" w:eastAsia="Arial" w:hAnsi="Arial"/>
                <w:sz w:val="14"/>
                <w:szCs w:val="14"/>
                <w:b w:val="1"/>
                <w:bCs w:val="1"/>
                <w:color w:val="auto"/>
              </w:rPr>
              <w:t>Change</w:t>
            </w:r>
          </w:p>
        </w:tc>
      </w:tr>
      <w:tr>
        <w:trPr>
          <w:trHeight w:val="196"/>
        </w:trPr>
        <w:tc>
          <w:tcPr>
            <w:tcW w:w="4820" w:type="dxa"/>
            <w:vAlign w:val="bottom"/>
            <w:tcBorders>
              <w:top w:val="single" w:sz="8" w:color="E5FFFF"/>
            </w:tcBorders>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2,329</w:t>
            </w:r>
          </w:p>
        </w:tc>
        <w:tc>
          <w:tcPr>
            <w:tcW w:w="6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2,279</w:t>
            </w:r>
          </w:p>
        </w:tc>
        <w:tc>
          <w:tcPr>
            <w:tcW w:w="2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82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2%</w:t>
            </w:r>
          </w:p>
        </w:tc>
        <w:tc>
          <w:tcPr>
            <w:tcW w:w="22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7,044</w:t>
            </w:r>
          </w:p>
        </w:tc>
        <w:tc>
          <w:tcPr>
            <w:tcW w:w="6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7,137</w:t>
            </w:r>
          </w:p>
        </w:tc>
        <w:tc>
          <w:tcPr>
            <w:tcW w:w="22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800" w:type="dxa"/>
            <w:vAlign w:val="bottom"/>
            <w:tcBorders>
              <w:top w:val="single" w:sz="8" w:color="auto"/>
            </w:tcBorders>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(1)%</w:t>
            </w: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1,547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4,683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4,839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2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226</w:t>
            </w:r>
          </w:p>
        </w:tc>
        <w:tc>
          <w:tcPr>
            <w:tcW w:w="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768</w:t>
            </w:r>
          </w:p>
        </w:tc>
        <w:tc>
          <w:tcPr>
            <w:tcW w:w="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682</w:t>
            </w: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r>
      <w:tr>
        <w:trPr>
          <w:trHeight w:val="230"/>
        </w:trPr>
        <w:tc>
          <w:tcPr>
            <w:tcW w:w="48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E5FFFF"/>
            </w:tcBorders>
          </w:tcPr>
          <w:p>
            <w:pPr>
              <w:spacing w:after="0"/>
              <w:rPr>
                <w:sz w:val="19"/>
                <w:szCs w:val="19"/>
                <w:color w:val="auto"/>
              </w:rPr>
            </w:pPr>
          </w:p>
        </w:tc>
        <w:tc>
          <w:tcPr>
            <w:tcW w:w="100" w:type="dxa"/>
            <w:vAlign w:val="bottom"/>
            <w:tcBorders>
              <w:bottom w:val="single" w:sz="8" w:color="E5FFFF"/>
            </w:tcBorders>
          </w:tcPr>
          <w:p>
            <w:pPr>
              <w:spacing w:after="0"/>
              <w:rPr>
                <w:sz w:val="19"/>
                <w:szCs w:val="19"/>
                <w:color w:val="auto"/>
              </w:rPr>
            </w:pPr>
          </w:p>
        </w:tc>
        <w:tc>
          <w:tcPr>
            <w:tcW w:w="820" w:type="dxa"/>
            <w:vAlign w:val="bottom"/>
            <w:tcBorders>
              <w:bottom w:val="single" w:sz="8" w:color="E5FFFF"/>
            </w:tcBorders>
          </w:tcPr>
          <w:p>
            <w:pPr>
              <w:spacing w:after="0"/>
              <w:rPr>
                <w:sz w:val="19"/>
                <w:szCs w:val="19"/>
                <w:color w:val="auto"/>
              </w:rPr>
            </w:pPr>
          </w:p>
        </w:tc>
        <w:tc>
          <w:tcPr>
            <w:tcW w:w="22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E5FFFF"/>
            </w:tcBorders>
          </w:tcPr>
          <w:p>
            <w:pPr>
              <w:spacing w:after="0"/>
              <w:rPr>
                <w:sz w:val="19"/>
                <w:szCs w:val="19"/>
                <w:color w:val="auto"/>
              </w:rPr>
            </w:pPr>
          </w:p>
        </w:tc>
        <w:tc>
          <w:tcPr>
            <w:tcW w:w="100" w:type="dxa"/>
            <w:vAlign w:val="bottom"/>
            <w:tcBorders>
              <w:bottom w:val="single" w:sz="8" w:color="E5FFFF"/>
            </w:tcBorders>
          </w:tcPr>
          <w:p>
            <w:pPr>
              <w:spacing w:after="0"/>
              <w:rPr>
                <w:sz w:val="19"/>
                <w:szCs w:val="19"/>
                <w:color w:val="auto"/>
              </w:rPr>
            </w:pPr>
          </w:p>
        </w:tc>
        <w:tc>
          <w:tcPr>
            <w:tcW w:w="800" w:type="dxa"/>
            <w:vAlign w:val="bottom"/>
            <w:tcBorders>
              <w:bottom w:val="single" w:sz="8" w:color="E5FFFF"/>
            </w:tcBorders>
          </w:tcPr>
          <w:p>
            <w:pPr>
              <w:spacing w:after="0"/>
              <w:rPr>
                <w:sz w:val="19"/>
                <w:szCs w:val="19"/>
                <w:color w:val="auto"/>
              </w:rPr>
            </w:pP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503</w:t>
            </w:r>
          </w:p>
        </w:tc>
        <w:tc>
          <w:tcPr>
            <w:tcW w:w="60" w:type="dxa"/>
            <w:vAlign w:val="bottom"/>
            <w:tcBorders>
              <w:bottom w:val="single" w:sz="8" w:color="auto"/>
            </w:tcBorders>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474</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6%</w:t>
            </w:r>
          </w:p>
        </w:tc>
        <w:tc>
          <w:tcPr>
            <w:tcW w:w="22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1,484</w:t>
            </w:r>
          </w:p>
        </w:tc>
        <w:tc>
          <w:tcPr>
            <w:tcW w:w="60" w:type="dxa"/>
            <w:vAlign w:val="bottom"/>
            <w:tcBorders>
              <w:bottom w:val="single" w:sz="8" w:color="auto"/>
            </w:tcBorders>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1,517</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jc w:val="center"/>
              <w:spacing w:after="0" w:line="196" w:lineRule="exact"/>
              <w:rPr>
                <w:sz w:val="20"/>
                <w:szCs w:val="20"/>
                <w:color w:val="auto"/>
              </w:rPr>
            </w:pPr>
            <w:r>
              <w:rPr>
                <w:rFonts w:ascii="Arial" w:cs="Arial" w:eastAsia="Arial" w:hAnsi="Arial"/>
                <w:sz w:val="18"/>
                <w:szCs w:val="18"/>
                <w:color w:val="auto"/>
                <w:w w:val="99"/>
              </w:rPr>
              <w:t>(2)%</w:t>
            </w:r>
          </w:p>
        </w:tc>
      </w:tr>
    </w:tbl>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2016 vs. 2015</w:t>
            </w:r>
          </w:p>
        </w:tc>
        <w:tc>
          <w:tcPr>
            <w:tcW w:w="1200" w:type="dxa"/>
            <w:vAlign w:val="bottom"/>
            <w:tcBorders>
              <w:bottom w:val="single" w:sz="8" w:color="auto"/>
            </w:tcBorders>
          </w:tcPr>
          <w:p>
            <w:pPr>
              <w:spacing w:after="0"/>
              <w:rPr>
                <w:sz w:val="15"/>
                <w:szCs w:val="15"/>
                <w:color w:val="auto"/>
              </w:rPr>
            </w:pPr>
          </w:p>
        </w:tc>
      </w:tr>
      <w:tr>
        <w:trPr>
          <w:trHeight w:val="198"/>
        </w:trPr>
        <w:tc>
          <w:tcPr>
            <w:tcW w:w="5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6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3"/>
          </w:tcPr>
          <w:p>
            <w:pPr>
              <w:ind w:left="680"/>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tcBorders>
              <w:bottom w:val="single" w:sz="8" w:color="auto"/>
            </w:tcBorders>
            <w:gridSpan w:val="3"/>
          </w:tcPr>
          <w:p>
            <w:pPr>
              <w:jc w:val="center"/>
              <w:ind w:left="188"/>
              <w:spacing w:after="0"/>
              <w:rPr>
                <w:sz w:val="20"/>
                <w:szCs w:val="20"/>
                <w:color w:val="auto"/>
              </w:rPr>
            </w:pPr>
            <w:r>
              <w:rPr>
                <w:rFonts w:ascii="Arial" w:cs="Arial" w:eastAsia="Arial" w:hAnsi="Arial"/>
                <w:sz w:val="14"/>
                <w:szCs w:val="14"/>
                <w:b w:val="1"/>
                <w:bCs w:val="1"/>
                <w:color w:val="auto"/>
              </w:rPr>
              <w:t>September 30, 2016</w:t>
            </w:r>
          </w:p>
        </w:tc>
        <w:tc>
          <w:tcPr>
            <w:tcW w:w="2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September 30, 2016</w:t>
            </w:r>
          </w:p>
        </w:tc>
      </w:tr>
      <w:tr>
        <w:trPr>
          <w:trHeight w:val="142"/>
        </w:trPr>
        <w:tc>
          <w:tcPr>
            <w:tcW w:w="5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center"/>
              <w:ind w:left="168"/>
              <w:spacing w:after="0" w:line="143" w:lineRule="exact"/>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508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Factors Contributing to Year-Over-Year Change</w:t>
            </w:r>
          </w:p>
        </w:tc>
        <w:tc>
          <w:tcPr>
            <w:tcW w:w="300" w:type="dxa"/>
            <w:vAlign w:val="bottom"/>
          </w:tcPr>
          <w:p>
            <w:pPr>
              <w:spacing w:after="0"/>
              <w:rPr>
                <w:sz w:val="15"/>
                <w:szCs w:val="15"/>
                <w:color w:val="auto"/>
              </w:rPr>
            </w:pPr>
          </w:p>
        </w:tc>
        <w:tc>
          <w:tcPr>
            <w:tcW w:w="11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Sales</w:t>
            </w:r>
          </w:p>
        </w:tc>
        <w:tc>
          <w:tcPr>
            <w:tcW w:w="320" w:type="dxa"/>
            <w:vAlign w:val="bottom"/>
          </w:tcPr>
          <w:p>
            <w:pPr>
              <w:spacing w:after="0"/>
              <w:rPr>
                <w:sz w:val="15"/>
                <w:szCs w:val="15"/>
                <w:color w:val="auto"/>
              </w:rPr>
            </w:pPr>
          </w:p>
        </w:tc>
        <w:tc>
          <w:tcPr>
            <w:tcW w:w="86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Profit</w:t>
            </w:r>
          </w:p>
        </w:tc>
        <w:tc>
          <w:tcPr>
            <w:tcW w:w="2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Sales</w:t>
            </w:r>
          </w:p>
        </w:tc>
        <w:tc>
          <w:tcPr>
            <w:tcW w:w="34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Profit</w:t>
            </w:r>
          </w:p>
        </w:tc>
      </w:tr>
    </w:tbl>
    <w:p>
      <w:pPr>
        <w:spacing w:after="0" w:line="197" w:lineRule="exact"/>
        <w:rPr>
          <w:sz w:val="20"/>
          <w:szCs w:val="20"/>
          <w:color w:val="auto"/>
        </w:rPr>
      </w:pPr>
    </w:p>
    <w:p>
      <w:pPr>
        <w:sectPr>
          <w:pgSz w:w="11900" w:h="16838" w:orient="portrait"/>
          <w:cols w:equalWidth="0" w:num="1">
            <w:col w:w="11420"/>
          </w:cols>
          <w:pgMar w:left="240" w:top="400" w:right="239" w:bottom="1440" w:gutter="0" w:footer="0" w:header="0"/>
        </w:sectPr>
      </w:pPr>
    </w:p>
    <w:p>
      <w:pPr>
        <w:spacing w:after="0" w:line="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Organic growth/ Operational segment profit</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translation</w:t>
      </w:r>
    </w:p>
    <w:p>
      <w:pPr>
        <w:ind w:left="340"/>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32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34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r>
      <w:tr>
        <w:trPr>
          <w:trHeight w:val="210"/>
        </w:trPr>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-565150</wp:posOffset>
            </wp:positionV>
            <wp:extent cx="702373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3735" cy="128905"/>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-307975</wp:posOffset>
            </wp:positionV>
            <wp:extent cx="702373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373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720"/>
            <w:col w:w="5700"/>
          </w:cols>
          <w:pgMar w:left="240" w:top="400" w:right="239" w:bottom="1440" w:gutter="0" w:footer="0" w:header="0"/>
          <w:type w:val="continuous"/>
        </w:sectPr>
      </w:pPr>
    </w:p>
    <w:p>
      <w:pPr>
        <w:spacing w:after="0" w:line="2"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Performance Materials and Technologies sales increased in the quarter due to growth from acquisitions, partially offset by a decrease in organic sales volumes and the unfavorable impact of foreign currency translation.</w:t>
      </w:r>
    </w:p>
    <w:p>
      <w:pPr>
        <w:spacing w:after="0" w:line="183"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color w:val="auto"/>
        </w:rPr>
        <w:t>Performance Materials and Technologies sales decreased in the nine months due to a decrease in organic sales volumes and the unfavorable impact of foreign currency translation, partially offset by growth from acquisitions.</w:t>
      </w:r>
    </w:p>
    <w:p>
      <w:pPr>
        <w:spacing w:after="0" w:line="183" w:lineRule="exact"/>
        <w:rPr>
          <w:sz w:val="20"/>
          <w:szCs w:val="20"/>
          <w:color w:val="auto"/>
        </w:rPr>
      </w:pPr>
    </w:p>
    <w:p>
      <w:pPr>
        <w:jc w:val="both"/>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UOP sales decreased 12% (decreased 10% organic) in the quarter primarily driven by lower gas processing revenues due to a significant slowdown in customer projects, decreased licensing and engineering sales, partially offset by increased catalyst volumes and equipment sales, which is expected to continue.</w:t>
      </w:r>
    </w:p>
    <w:p>
      <w:pPr>
        <w:spacing w:after="0" w:line="202" w:lineRule="exact"/>
        <w:rPr>
          <w:rFonts w:ascii="Arial" w:cs="Arial" w:eastAsia="Arial" w:hAnsi="Arial"/>
          <w:sz w:val="18"/>
          <w:szCs w:val="18"/>
          <w:color w:val="auto"/>
        </w:rPr>
      </w:pPr>
    </w:p>
    <w:p>
      <w:pPr>
        <w:ind w:left="660" w:right="20"/>
        <w:spacing w:after="0" w:line="246" w:lineRule="auto"/>
        <w:rPr>
          <w:rFonts w:ascii="Arial" w:cs="Arial" w:eastAsia="Arial" w:hAnsi="Arial"/>
          <w:sz w:val="18"/>
          <w:szCs w:val="18"/>
          <w:color w:val="auto"/>
        </w:rPr>
      </w:pPr>
      <w:r>
        <w:rPr>
          <w:rFonts w:ascii="Arial" w:cs="Arial" w:eastAsia="Arial" w:hAnsi="Arial"/>
          <w:sz w:val="18"/>
          <w:szCs w:val="18"/>
          <w:color w:val="auto"/>
        </w:rPr>
        <w:t>UOP sales decreased 24% (decreased 23% organic) in the nine months primarily driven by lower gas processing revenues, decreased catalyst volumes, and decreased equipment sales.</w:t>
      </w:r>
    </w:p>
    <w:p>
      <w:pPr>
        <w:spacing w:after="0" w:line="196" w:lineRule="exact"/>
        <w:rPr>
          <w:rFonts w:ascii="Arial" w:cs="Arial" w:eastAsia="Arial" w:hAnsi="Arial"/>
          <w:sz w:val="18"/>
          <w:szCs w:val="18"/>
          <w:color w:val="auto"/>
        </w:rPr>
      </w:pPr>
    </w:p>
    <w:p>
      <w:pPr>
        <w:jc w:val="both"/>
        <w:ind w:left="660" w:right="2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Process Solutions sales increased 17% (increased 3% organic) in the quarter and increased 19% (increased 6% organic) in the nine months primarily driven by higher revenues in projects, increased volumes driven by the Elster acquisition, partially offset by lower field products sales.</w:t>
      </w:r>
    </w:p>
    <w:p>
      <w:pPr>
        <w:spacing w:after="0" w:line="202"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Materials sales were flat (decreased 2% organic) in the quarter primarily driven by increased volumes in Specialty Products, offset by lower market pricing as well as lower raw material pass-through pricing in Resins and Chemicals.</w:t>
      </w:r>
    </w:p>
    <w:p>
      <w:pPr>
        <w:spacing w:after="0" w:line="196"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18"/>
          <w:szCs w:val="18"/>
          <w:color w:val="auto"/>
        </w:rPr>
        <w:t>Advanced Materials sales increased 2% (flat organic) in the nine months primarily driven by increased volumes in Fluorine Products and Specialty Products, partially offset by lower market pricing as well as lower raw material pass-through pricing in Resins and Chemicals.</w:t>
      </w:r>
    </w:p>
    <w:p>
      <w:pPr>
        <w:spacing w:after="0" w:line="203" w:lineRule="exact"/>
        <w:rPr>
          <w:sz w:val="20"/>
          <w:szCs w:val="20"/>
          <w:color w:val="auto"/>
        </w:rPr>
      </w:pPr>
    </w:p>
    <w:p>
      <w:pPr>
        <w:jc w:val="both"/>
        <w:ind w:right="20" w:firstLine="648"/>
        <w:spacing w:after="0"/>
        <w:rPr>
          <w:sz w:val="20"/>
          <w:szCs w:val="20"/>
          <w:color w:val="auto"/>
        </w:rPr>
      </w:pPr>
      <w:r>
        <w:rPr>
          <w:rFonts w:ascii="Arial" w:cs="Arial" w:eastAsia="Arial" w:hAnsi="Arial"/>
          <w:sz w:val="18"/>
          <w:szCs w:val="18"/>
          <w:color w:val="auto"/>
        </w:rPr>
        <w:t>Performance Materials and Technologies segment profit increased in the quarter primarily due to acquisitions. The flat operational segment profit is primarily due to the positive impact of productivity, net of inflation, offset by lower organic sales volume, unfavorable pricing and continued investments for growth. Cost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type w:val="continuous"/>
        </w:sectPr>
      </w:pPr>
    </w:p>
    <w:bookmarkStart w:id="31" w:name="page32"/>
    <w:bookmarkEnd w:id="31"/>
    <w:p>
      <w:pPr>
        <w:jc w:val="both"/>
        <w:ind w:right="20"/>
        <w:spacing w:after="0" w:line="246" w:lineRule="auto"/>
        <w:rPr>
          <w:sz w:val="20"/>
          <w:szCs w:val="20"/>
          <w:color w:val="auto"/>
        </w:rPr>
      </w:pPr>
      <w:r>
        <w:rPr>
          <w:rFonts w:ascii="Arial" w:cs="Arial" w:eastAsia="Arial" w:hAnsi="Arial"/>
          <w:sz w:val="18"/>
          <w:szCs w:val="18"/>
          <w:color w:val="auto"/>
        </w:rPr>
        <w:t>products and services sold decreased in the quarter primarily due to lower organic sales volumes, favorable foreign currency translation, and productivity, net of inflation, partially offset by acquisitions.</w:t>
      </w:r>
    </w:p>
    <w:p>
      <w:pPr>
        <w:spacing w:after="0" w:line="18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Performance Materials and Technologies segment profit decreased in the nine months ended September 30, 2016 due to a decrease in operational segment profit and the unfavorable impact of foreign currency translation, partially offset by acquisitions. The decrease in operational segment profit is primarily due to lower organic sales volume. Cost of products and services sold decreased in nine months primarily due to lower organic sales volumes, favorable foreign currency translation, and productivity, net of inflation, partially offset by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Productivity Solutions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1"/>
        </w:trPr>
        <w:tc>
          <w:tcPr>
            <w:tcW w:w="4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142"/>
        </w:trPr>
        <w:tc>
          <w:tcPr>
            <w:tcW w:w="4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339"/>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79"/>
              <w:spacing w:after="0" w:line="143"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r>
      <w:tr>
        <w:trPr>
          <w:trHeight w:val="175"/>
        </w:trPr>
        <w:tc>
          <w:tcPr>
            <w:tcW w:w="48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E5FFFF"/>
            </w:tcBorders>
          </w:tcPr>
          <w:p>
            <w:pPr>
              <w:spacing w:after="0"/>
              <w:rPr>
                <w:sz w:val="15"/>
                <w:szCs w:val="15"/>
                <w:color w:val="auto"/>
              </w:rPr>
            </w:pPr>
          </w:p>
        </w:tc>
        <w:tc>
          <w:tcPr>
            <w:tcW w:w="1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E5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E5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E5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1,173</w:t>
            </w:r>
          </w:p>
        </w:tc>
        <w:tc>
          <w:tcPr>
            <w:tcW w:w="6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1,199</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79"/>
              <w:spacing w:after="0" w:line="196" w:lineRule="exact"/>
              <w:rPr>
                <w:sz w:val="20"/>
                <w:szCs w:val="20"/>
                <w:color w:val="auto"/>
              </w:rPr>
            </w:pPr>
            <w:r>
              <w:rPr>
                <w:rFonts w:ascii="Arial" w:cs="Arial" w:eastAsia="Arial" w:hAnsi="Arial"/>
                <w:sz w:val="18"/>
                <w:szCs w:val="18"/>
                <w:color w:val="auto"/>
              </w:rPr>
              <w:t>(2)%</w:t>
            </w:r>
          </w:p>
        </w:tc>
        <w:tc>
          <w:tcPr>
            <w:tcW w:w="22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3,334</w:t>
            </w:r>
          </w:p>
        </w:tc>
        <w:tc>
          <w:tcPr>
            <w:tcW w:w="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0" w:type="dxa"/>
            <w:vAlign w:val="bottom"/>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3,522</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119"/>
              <w:spacing w:after="0" w:line="196" w:lineRule="exact"/>
              <w:rPr>
                <w:sz w:val="20"/>
                <w:szCs w:val="20"/>
                <w:color w:val="auto"/>
              </w:rPr>
            </w:pPr>
            <w:r>
              <w:rPr>
                <w:rFonts w:ascii="Arial" w:cs="Arial" w:eastAsia="Arial" w:hAnsi="Arial"/>
                <w:sz w:val="18"/>
                <w:szCs w:val="18"/>
                <w:color w:val="auto"/>
              </w:rPr>
              <w:t>(5)%</w:t>
            </w:r>
          </w:p>
        </w:tc>
        <w:tc>
          <w:tcPr>
            <w:tcW w:w="40" w:type="dxa"/>
            <w:vAlign w:val="bottom"/>
            <w:shd w:val="clear" w:color="auto" w:fill="E5FFFF"/>
          </w:tcPr>
          <w:p>
            <w:pPr>
              <w:spacing w:after="0"/>
              <w:rPr>
                <w:sz w:val="17"/>
                <w:szCs w:val="17"/>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Cost of products and services sold</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774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2,258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20" w:type="dxa"/>
            <w:vAlign w:val="bottom"/>
            <w:shd w:val="clear" w:color="auto" w:fill="E5FF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211</w:t>
            </w:r>
          </w:p>
        </w:tc>
        <w:tc>
          <w:tcPr>
            <w:tcW w:w="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20" w:type="dxa"/>
            <w:vAlign w:val="bottom"/>
            <w:shd w:val="clear" w:color="auto" w:fill="E5FFFF"/>
          </w:tcPr>
          <w:p>
            <w:pPr>
              <w:jc w:val="right"/>
              <w:ind w:right="33"/>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604</w:t>
            </w:r>
          </w:p>
        </w:tc>
        <w:tc>
          <w:tcPr>
            <w:tcW w:w="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70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632</w:t>
            </w:r>
          </w:p>
        </w:tc>
        <w:tc>
          <w:tcPr>
            <w:tcW w:w="2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r>
      <w:tr>
        <w:trPr>
          <w:trHeight w:val="230"/>
        </w:trPr>
        <w:tc>
          <w:tcPr>
            <w:tcW w:w="482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E5FFFF"/>
            </w:tcBorders>
          </w:tcPr>
          <w:p>
            <w:pPr>
              <w:spacing w:after="0"/>
              <w:rPr>
                <w:sz w:val="19"/>
                <w:szCs w:val="19"/>
                <w:color w:val="auto"/>
              </w:rPr>
            </w:pPr>
          </w:p>
        </w:tc>
        <w:tc>
          <w:tcPr>
            <w:tcW w:w="12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E5FFFF"/>
            </w:tcBorders>
          </w:tcPr>
          <w:p>
            <w:pPr>
              <w:spacing w:after="0"/>
              <w:rPr>
                <w:sz w:val="19"/>
                <w:szCs w:val="19"/>
                <w:color w:val="auto"/>
              </w:rPr>
            </w:pPr>
          </w:p>
        </w:tc>
        <w:tc>
          <w:tcPr>
            <w:tcW w:w="100" w:type="dxa"/>
            <w:vAlign w:val="bottom"/>
            <w:tcBorders>
              <w:bottom w:val="single" w:sz="8" w:color="E5FFFF"/>
            </w:tcBorders>
          </w:tcPr>
          <w:p>
            <w:pPr>
              <w:spacing w:after="0"/>
              <w:rPr>
                <w:sz w:val="19"/>
                <w:szCs w:val="19"/>
                <w:color w:val="auto"/>
              </w:rPr>
            </w:pPr>
          </w:p>
        </w:tc>
        <w:tc>
          <w:tcPr>
            <w:tcW w:w="820" w:type="dxa"/>
            <w:vAlign w:val="bottom"/>
            <w:tcBorders>
              <w:bottom w:val="single" w:sz="8" w:color="E5FFFF"/>
            </w:tcBorders>
          </w:tcPr>
          <w:p>
            <w:pPr>
              <w:spacing w:after="0"/>
              <w:rPr>
                <w:sz w:val="19"/>
                <w:szCs w:val="19"/>
                <w:color w:val="auto"/>
              </w:rPr>
            </w:pPr>
          </w:p>
        </w:tc>
        <w:tc>
          <w:tcPr>
            <w:tcW w:w="22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E5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E5FFFF"/>
            </w:tcBorders>
          </w:tcPr>
          <w:p>
            <w:pPr>
              <w:spacing w:after="0"/>
              <w:rPr>
                <w:sz w:val="19"/>
                <w:szCs w:val="19"/>
                <w:color w:val="auto"/>
              </w:rPr>
            </w:pPr>
          </w:p>
        </w:tc>
        <w:tc>
          <w:tcPr>
            <w:tcW w:w="100" w:type="dxa"/>
            <w:vAlign w:val="bottom"/>
            <w:tcBorders>
              <w:bottom w:val="single" w:sz="8" w:color="E5FFFF"/>
            </w:tcBorders>
          </w:tcPr>
          <w:p>
            <w:pPr>
              <w:spacing w:after="0"/>
              <w:rPr>
                <w:sz w:val="19"/>
                <w:szCs w:val="19"/>
                <w:color w:val="auto"/>
              </w:rPr>
            </w:pPr>
          </w:p>
        </w:tc>
        <w:tc>
          <w:tcPr>
            <w:tcW w:w="760" w:type="dxa"/>
            <w:vAlign w:val="bottom"/>
            <w:tcBorders>
              <w:bottom w:val="single" w:sz="8" w:color="E5FFFF"/>
            </w:tcBorders>
          </w:tcPr>
          <w:p>
            <w:pPr>
              <w:spacing w:after="0"/>
              <w:rPr>
                <w:sz w:val="19"/>
                <w:szCs w:val="19"/>
                <w:color w:val="auto"/>
              </w:rPr>
            </w:pPr>
          </w:p>
        </w:tc>
        <w:tc>
          <w:tcPr>
            <w:tcW w:w="40" w:type="dxa"/>
            <w:vAlign w:val="bottom"/>
            <w:tcBorders>
              <w:bottom w:val="single" w:sz="8" w:color="E5FFFF"/>
            </w:tcBorders>
          </w:tcPr>
          <w:p>
            <w:pPr>
              <w:spacing w:after="0"/>
              <w:rPr>
                <w:sz w:val="19"/>
                <w:szCs w:val="19"/>
                <w:color w:val="auto"/>
              </w:rPr>
            </w:pPr>
          </w:p>
        </w:tc>
      </w:tr>
      <w:tr>
        <w:trPr>
          <w:trHeight w:val="196"/>
        </w:trPr>
        <w:tc>
          <w:tcPr>
            <w:tcW w:w="482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Segment profit</w:t>
            </w: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172</w:t>
            </w:r>
          </w:p>
        </w:tc>
        <w:tc>
          <w:tcPr>
            <w:tcW w:w="60" w:type="dxa"/>
            <w:vAlign w:val="bottom"/>
            <w:tcBorders>
              <w:bottom w:val="single" w:sz="8" w:color="auto"/>
            </w:tcBorders>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FFFF"/>
          </w:tcPr>
          <w:p>
            <w:pPr>
              <w:jc w:val="right"/>
              <w:ind w:right="33"/>
              <w:spacing w:after="0" w:line="196" w:lineRule="exact"/>
              <w:rPr>
                <w:sz w:val="20"/>
                <w:szCs w:val="20"/>
                <w:color w:val="auto"/>
              </w:rPr>
            </w:pPr>
            <w:r>
              <w:rPr>
                <w:rFonts w:ascii="Arial" w:cs="Arial" w:eastAsia="Arial" w:hAnsi="Arial"/>
                <w:sz w:val="18"/>
                <w:szCs w:val="18"/>
                <w:color w:val="auto"/>
              </w:rPr>
              <w:t>193</w:t>
            </w: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jc w:val="right"/>
              <w:ind w:right="119"/>
              <w:spacing w:after="0" w:line="196" w:lineRule="exact"/>
              <w:rPr>
                <w:sz w:val="20"/>
                <w:szCs w:val="20"/>
                <w:color w:val="auto"/>
              </w:rPr>
            </w:pPr>
            <w:r>
              <w:rPr>
                <w:rFonts w:ascii="Arial" w:cs="Arial" w:eastAsia="Arial" w:hAnsi="Arial"/>
                <w:sz w:val="18"/>
                <w:szCs w:val="18"/>
                <w:color w:val="auto"/>
              </w:rPr>
              <w:t>(11)%</w:t>
            </w:r>
          </w:p>
        </w:tc>
        <w:tc>
          <w:tcPr>
            <w:tcW w:w="22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E5FFFF"/>
          </w:tcPr>
          <w:p>
            <w:pPr>
              <w:jc w:val="right"/>
              <w:spacing w:after="0" w:line="196" w:lineRule="exact"/>
              <w:rPr>
                <w:sz w:val="20"/>
                <w:szCs w:val="20"/>
                <w:color w:val="auto"/>
              </w:rPr>
            </w:pPr>
            <w:r>
              <w:rPr>
                <w:rFonts w:ascii="Arial" w:cs="Arial" w:eastAsia="Arial" w:hAnsi="Arial"/>
                <w:sz w:val="18"/>
                <w:szCs w:val="18"/>
                <w:color w:val="auto"/>
              </w:rPr>
              <w:t>495</w:t>
            </w:r>
          </w:p>
        </w:tc>
        <w:tc>
          <w:tcPr>
            <w:tcW w:w="60" w:type="dxa"/>
            <w:vAlign w:val="bottom"/>
            <w:tcBorders>
              <w:bottom w:val="single" w:sz="8" w:color="auto"/>
            </w:tcBorders>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00" w:type="dxa"/>
            <w:vAlign w:val="bottom"/>
            <w:tcBorders>
              <w:bottom w:val="single" w:sz="8" w:color="auto"/>
            </w:tcBorders>
            <w:shd w:val="clear" w:color="auto" w:fill="E5FF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E5FFFF"/>
          </w:tcPr>
          <w:p>
            <w:pPr>
              <w:jc w:val="right"/>
              <w:ind w:right="13"/>
              <w:spacing w:after="0" w:line="196" w:lineRule="exact"/>
              <w:rPr>
                <w:sz w:val="20"/>
                <w:szCs w:val="20"/>
                <w:color w:val="auto"/>
              </w:rPr>
            </w:pPr>
            <w:r>
              <w:rPr>
                <w:rFonts w:ascii="Arial" w:cs="Arial" w:eastAsia="Arial" w:hAnsi="Arial"/>
                <w:sz w:val="18"/>
                <w:szCs w:val="18"/>
                <w:color w:val="auto"/>
              </w:rPr>
              <w:t>565</w:t>
            </w: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60" w:type="dxa"/>
            <w:vAlign w:val="bottom"/>
            <w:shd w:val="clear" w:color="auto" w:fill="E5FFFF"/>
          </w:tcPr>
          <w:p>
            <w:pPr>
              <w:jc w:val="right"/>
              <w:ind w:right="79"/>
              <w:spacing w:after="0" w:line="196" w:lineRule="exact"/>
              <w:rPr>
                <w:sz w:val="20"/>
                <w:szCs w:val="20"/>
                <w:color w:val="auto"/>
              </w:rPr>
            </w:pPr>
            <w:r>
              <w:rPr>
                <w:rFonts w:ascii="Arial" w:cs="Arial" w:eastAsia="Arial" w:hAnsi="Arial"/>
                <w:sz w:val="18"/>
                <w:szCs w:val="18"/>
                <w:color w:val="auto"/>
              </w:rPr>
              <w:t>(12)%</w:t>
            </w:r>
          </w:p>
        </w:tc>
        <w:tc>
          <w:tcPr>
            <w:tcW w:w="40" w:type="dxa"/>
            <w:vAlign w:val="bottom"/>
            <w:shd w:val="clear" w:color="auto" w:fill="E5FFFF"/>
          </w:tcPr>
          <w:p>
            <w:pPr>
              <w:spacing w:after="0"/>
              <w:rPr>
                <w:sz w:val="17"/>
                <w:szCs w:val="17"/>
                <w:color w:val="auto"/>
              </w:rPr>
            </w:pPr>
          </w:p>
        </w:tc>
      </w:tr>
      <w:tr>
        <w:trPr>
          <w:trHeight w:val="399"/>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 vs. 2015</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14" w:lineRule="exact"/>
        <w:rPr>
          <w:sz w:val="20"/>
          <w:szCs w:val="20"/>
          <w:color w:val="auto"/>
        </w:rPr>
      </w:pPr>
    </w:p>
    <w:p>
      <w:pPr>
        <w:sectPr>
          <w:pgSz w:w="11900" w:h="16838" w:orient="portrait"/>
          <w:cols w:equalWidth="0" w:num="1">
            <w:col w:w="11420"/>
          </w:cols>
          <w:pgMar w:left="240" w:top="422"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Factors Contributing to Year-Over-Year Change</w:t>
      </w:r>
    </w:p>
    <w:p>
      <w:pPr>
        <w:spacing w:after="0" w:line="27" w:lineRule="exact"/>
        <w:rPr>
          <w:sz w:val="20"/>
          <w:szCs w:val="20"/>
          <w:color w:val="auto"/>
        </w:rPr>
      </w:pPr>
    </w:p>
    <w:p>
      <w:pPr>
        <w:ind w:left="660" w:right="1040"/>
        <w:spacing w:after="0" w:line="234" w:lineRule="auto"/>
        <w:rPr>
          <w:sz w:val="20"/>
          <w:szCs w:val="20"/>
          <w:color w:val="auto"/>
        </w:rPr>
      </w:pPr>
      <w:r>
        <w:rPr>
          <w:rFonts w:ascii="Arial" w:cs="Arial" w:eastAsia="Arial" w:hAnsi="Arial"/>
          <w:sz w:val="18"/>
          <w:szCs w:val="18"/>
          <w:color w:val="auto"/>
        </w:rPr>
        <w:t>Organic growth/ Operational segment profit Foreign exchange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Acquisitions and divestitures, net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 Change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Three Months Ended</w:t>
            </w:r>
          </w:p>
        </w:tc>
        <w:tc>
          <w:tcPr>
            <w:tcW w:w="262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2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September 30,</w:t>
            </w:r>
          </w:p>
        </w:tc>
        <w:tc>
          <w:tcPr>
            <w:tcW w:w="2620" w:type="dxa"/>
            <w:vAlign w:val="bottom"/>
            <w:gridSpan w:val="3"/>
          </w:tcPr>
          <w:p>
            <w:pPr>
              <w:jc w:val="right"/>
              <w:ind w:right="736"/>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196"/>
              <w:spacing w:after="0" w:line="143" w:lineRule="exact"/>
              <w:rPr>
                <w:sz w:val="20"/>
                <w:szCs w:val="20"/>
                <w:color w:val="auto"/>
              </w:rPr>
            </w:pPr>
            <w:r>
              <w:rPr>
                <w:rFonts w:ascii="Arial" w:cs="Arial" w:eastAsia="Arial" w:hAnsi="Arial"/>
                <w:sz w:val="14"/>
                <w:szCs w:val="14"/>
                <w:b w:val="1"/>
                <w:bCs w:val="1"/>
                <w:color w:val="auto"/>
              </w:rPr>
              <w:t>Segment</w:t>
            </w:r>
          </w:p>
        </w:tc>
      </w:tr>
      <w:tr>
        <w:trPr>
          <w:trHeight w:val="175"/>
        </w:trPr>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Sales</w:t>
            </w: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Profit</w:t>
            </w:r>
          </w:p>
        </w:tc>
        <w:tc>
          <w:tcPr>
            <w:tcW w:w="1460" w:type="dxa"/>
            <w:vAlign w:val="bottom"/>
            <w:gridSpan w:val="2"/>
          </w:tcPr>
          <w:p>
            <w:pPr>
              <w:ind w:left="380"/>
              <w:spacing w:after="0"/>
              <w:rPr>
                <w:sz w:val="20"/>
                <w:szCs w:val="20"/>
                <w:color w:val="auto"/>
              </w:rPr>
            </w:pPr>
            <w:r>
              <w:rPr>
                <w:rFonts w:ascii="Arial" w:cs="Arial" w:eastAsia="Arial" w:hAnsi="Arial"/>
                <w:sz w:val="14"/>
                <w:szCs w:val="14"/>
                <w:b w:val="1"/>
                <w:bCs w:val="1"/>
                <w:color w:val="auto"/>
              </w:rPr>
              <w:t>Sales</w:t>
            </w:r>
          </w:p>
        </w:tc>
        <w:tc>
          <w:tcPr>
            <w:tcW w:w="1160" w:type="dxa"/>
            <w:vAlign w:val="bottom"/>
          </w:tcPr>
          <w:p>
            <w:pPr>
              <w:jc w:val="right"/>
              <w:ind w:right="316"/>
              <w:spacing w:after="0"/>
              <w:rPr>
                <w:sz w:val="20"/>
                <w:szCs w:val="20"/>
                <w:color w:val="auto"/>
              </w:rPr>
            </w:pPr>
            <w:r>
              <w:rPr>
                <w:rFonts w:ascii="Arial" w:cs="Arial" w:eastAsia="Arial" w:hAnsi="Arial"/>
                <w:sz w:val="14"/>
                <w:szCs w:val="14"/>
                <w:b w:val="1"/>
                <w:bCs w:val="1"/>
                <w:color w:val="auto"/>
              </w:rPr>
              <w:t>Profit</w:t>
            </w:r>
          </w:p>
        </w:tc>
      </w:tr>
      <w:tr>
        <w:trPr>
          <w:trHeight w:val="195"/>
        </w:trPr>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w:t>
            </w:r>
          </w:p>
        </w:tc>
        <w:tc>
          <w:tcPr>
            <w:tcW w:w="30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w:t>
            </w:r>
          </w:p>
        </w:tc>
        <w:tc>
          <w:tcPr>
            <w:tcW w:w="320" w:type="dxa"/>
            <w:vAlign w:val="bottom"/>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w:t>
            </w:r>
          </w:p>
        </w:tc>
      </w:tr>
      <w:tr>
        <w:trPr>
          <w:trHeight w:val="216"/>
        </w:trPr>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3"/>
        </w:trPr>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30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32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r>
      <w:tr>
        <w:trPr>
          <w:trHeight w:val="210"/>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-307975</wp:posOffset>
            </wp:positionV>
            <wp:extent cx="680910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9105" cy="13716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-574040</wp:posOffset>
            </wp:positionV>
            <wp:extent cx="680910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910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560"/>
          </w:cols>
          <w:pgMar w:left="240" w:top="422" w:right="239" w:bottom="1440" w:gutter="0" w:footer="0" w:header="0"/>
          <w:type w:val="continuous"/>
        </w:sectPr>
      </w:pPr>
    </w:p>
    <w:p>
      <w:pPr>
        <w:spacing w:after="0" w:line="2"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Safety and Productivity Solutions sales decreased in the quarter and nine months primarily due to decreased sales volume and the unfavorable impact of foreign currency translation partially offset by growth from acquisitions.</w:t>
      </w:r>
    </w:p>
    <w:p>
      <w:pPr>
        <w:spacing w:after="0" w:line="183" w:lineRule="exact"/>
        <w:rPr>
          <w:sz w:val="20"/>
          <w:szCs w:val="20"/>
          <w:color w:val="auto"/>
        </w:rPr>
      </w:pPr>
    </w:p>
    <w:p>
      <w:pPr>
        <w:jc w:val="both"/>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in Safety decreased 4% (decreased 3% organic) in the quarter and decreased 2% (decreased 1% organic) in the nine months due to decreased sales volume in the Industrial Safety business, lower distribution in Retail, and the unfavorable impact of foreign currency translation.</w:t>
      </w:r>
    </w:p>
    <w:p>
      <w:pPr>
        <w:spacing w:after="0" w:line="202"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in Productivity Solutions decreased 1% (decreased 12% organic) in the quarter and decreased 8% (decreased 12% organic) in the nine months principally due to declines in the Productivity Products business, partially offset by growth from acquisitions.</w:t>
      </w:r>
    </w:p>
    <w:p>
      <w:pPr>
        <w:spacing w:after="0" w:line="19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Safety and Productivity Solutions segment profit decreased in the quarter and nine months primarily due to a decrease in operational segment profit partially offset by growth from acquisitions. The decrease in operational segment profit is due to decreased sales volume and the unfavorable impact of inflation, partially offset by productivity Cost of products and services sold decreased primarily due to lower sales volume, partially offset by acquisitions.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Repositioning and Other Charges</w:t>
      </w:r>
    </w:p>
    <w:p>
      <w:pPr>
        <w:spacing w:after="0" w:line="22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Our repositioning actions are expected to generate incremental pretax savings of $275 million to $300 million in 2016 compared with 2015 principally from planned workforce reductions. Cash spending related to our repositioning actions was $143 million in the nine months ended September 30, 2016 and was funded through operating cash flows. We expect cash spending for repositioning actions to be approximately $200 million in 2016 and to be funded through operating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5040" w:type="dxa"/>
            <w:vAlign w:val="bottom"/>
            <w:tcBorders>
              <w:bottom w:val="single" w:sz="8" w:color="E5FFFF"/>
            </w:tcBorders>
          </w:tcPr>
          <w:p>
            <w:pPr>
              <w:spacing w:after="0"/>
              <w:rPr>
                <w:sz w:val="15"/>
                <w:szCs w:val="15"/>
                <w:color w:val="auto"/>
              </w:rPr>
            </w:pPr>
          </w:p>
        </w:tc>
        <w:tc>
          <w:tcPr>
            <w:tcW w:w="800" w:type="dxa"/>
            <w:vAlign w:val="bottom"/>
            <w:tcBorders>
              <w:bottom w:val="single" w:sz="8" w:color="E5FF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E5FF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196"/>
        </w:trPr>
        <w:tc>
          <w:tcPr>
            <w:tcW w:w="20" w:type="dxa"/>
            <w:vAlign w:val="bottom"/>
          </w:tcPr>
          <w:p>
            <w:pPr>
              <w:spacing w:after="0"/>
              <w:rPr>
                <w:sz w:val="17"/>
                <w:szCs w:val="17"/>
                <w:color w:val="auto"/>
              </w:rPr>
            </w:pPr>
          </w:p>
        </w:tc>
        <w:tc>
          <w:tcPr>
            <w:tcW w:w="5040" w:type="dxa"/>
            <w:vAlign w:val="bottom"/>
            <w:shd w:val="clear" w:color="auto" w:fill="E5FFFF"/>
          </w:tcPr>
          <w:p>
            <w:pPr>
              <w:spacing w:after="0" w:line="196" w:lineRule="exact"/>
              <w:rPr>
                <w:sz w:val="20"/>
                <w:szCs w:val="20"/>
                <w:color w:val="auto"/>
              </w:rPr>
            </w:pPr>
            <w:r>
              <w:rPr>
                <w:rFonts w:ascii="Arial" w:cs="Arial" w:eastAsia="Arial" w:hAnsi="Arial"/>
                <w:sz w:val="18"/>
                <w:szCs w:val="18"/>
                <w:color w:val="auto"/>
              </w:rPr>
              <w:t>Cash provided by (used for):</w:t>
            </w:r>
          </w:p>
        </w:tc>
        <w:tc>
          <w:tcPr>
            <w:tcW w:w="8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900" w:type="dxa"/>
            <w:vAlign w:val="bottom"/>
            <w:shd w:val="clear" w:color="auto" w:fill="E5FF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40" w:type="dxa"/>
            <w:vAlign w:val="bottom"/>
          </w:tcPr>
          <w:p>
            <w:pPr>
              <w:ind w:left="160"/>
              <w:spacing w:after="0" w:line="202" w:lineRule="exact"/>
              <w:rPr>
                <w:sz w:val="20"/>
                <w:szCs w:val="20"/>
                <w:color w:val="auto"/>
              </w:rPr>
            </w:pPr>
            <w:r>
              <w:rPr>
                <w:rFonts w:ascii="Arial" w:cs="Arial" w:eastAsia="Arial" w:hAnsi="Arial"/>
                <w:sz w:val="18"/>
                <w:szCs w:val="18"/>
                <w:color w:val="auto"/>
              </w:rPr>
              <w:t>Operating activities</w:t>
            </w: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3,456</w:t>
            </w:r>
          </w:p>
        </w:tc>
        <w:tc>
          <w:tcPr>
            <w:tcW w:w="72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3,556</w:t>
            </w:r>
          </w:p>
        </w:tc>
      </w:tr>
      <w:tr>
        <w:trPr>
          <w:trHeight w:val="203"/>
        </w:trPr>
        <w:tc>
          <w:tcPr>
            <w:tcW w:w="20" w:type="dxa"/>
            <w:vAlign w:val="bottom"/>
          </w:tcPr>
          <w:p>
            <w:pPr>
              <w:spacing w:after="0"/>
              <w:rPr>
                <w:sz w:val="17"/>
                <w:szCs w:val="17"/>
                <w:color w:val="auto"/>
              </w:rPr>
            </w:pPr>
          </w:p>
        </w:tc>
        <w:tc>
          <w:tcPr>
            <w:tcW w:w="5040" w:type="dxa"/>
            <w:vAlign w:val="bottom"/>
            <w:shd w:val="clear" w:color="auto" w:fill="E5FFFF"/>
          </w:tcPr>
          <w:p>
            <w:pPr>
              <w:ind w:left="160"/>
              <w:spacing w:after="0" w:line="202" w:lineRule="exact"/>
              <w:rPr>
                <w:sz w:val="20"/>
                <w:szCs w:val="20"/>
                <w:color w:val="auto"/>
              </w:rPr>
            </w:pPr>
            <w:r>
              <w:rPr>
                <w:rFonts w:ascii="Arial" w:cs="Arial" w:eastAsia="Arial" w:hAnsi="Arial"/>
                <w:sz w:val="18"/>
                <w:szCs w:val="18"/>
                <w:color w:val="auto"/>
              </w:rPr>
              <w:t>Investing activities</w:t>
            </w:r>
          </w:p>
        </w:tc>
        <w:tc>
          <w:tcPr>
            <w:tcW w:w="80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0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(3,276)</w:t>
            </w:r>
          </w:p>
        </w:tc>
        <w:tc>
          <w:tcPr>
            <w:tcW w:w="720" w:type="dxa"/>
            <w:vAlign w:val="bottom"/>
            <w:shd w:val="clear" w:color="auto" w:fill="E5FFFF"/>
          </w:tcPr>
          <w:p>
            <w:pPr>
              <w:spacing w:after="0"/>
              <w:rPr>
                <w:sz w:val="17"/>
                <w:szCs w:val="17"/>
                <w:color w:val="auto"/>
              </w:rPr>
            </w:pPr>
          </w:p>
        </w:tc>
        <w:tc>
          <w:tcPr>
            <w:tcW w:w="380" w:type="dxa"/>
            <w:vAlign w:val="bottom"/>
            <w:shd w:val="clear" w:color="auto" w:fill="E5FFFF"/>
          </w:tcPr>
          <w:p>
            <w:pPr>
              <w:spacing w:after="0"/>
              <w:rPr>
                <w:sz w:val="17"/>
                <w:szCs w:val="17"/>
                <w:color w:val="auto"/>
              </w:rPr>
            </w:pPr>
          </w:p>
        </w:tc>
        <w:tc>
          <w:tcPr>
            <w:tcW w:w="90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(2,584)</w:t>
            </w:r>
          </w:p>
        </w:tc>
      </w:tr>
      <w:tr>
        <w:trPr>
          <w:trHeight w:val="203"/>
        </w:trPr>
        <w:tc>
          <w:tcPr>
            <w:tcW w:w="20" w:type="dxa"/>
            <w:vAlign w:val="bottom"/>
          </w:tcPr>
          <w:p>
            <w:pPr>
              <w:spacing w:after="0"/>
              <w:rPr>
                <w:sz w:val="17"/>
                <w:szCs w:val="17"/>
                <w:color w:val="auto"/>
              </w:rPr>
            </w:pPr>
          </w:p>
        </w:tc>
        <w:tc>
          <w:tcPr>
            <w:tcW w:w="5040" w:type="dxa"/>
            <w:vAlign w:val="bottom"/>
          </w:tcPr>
          <w:p>
            <w:pPr>
              <w:ind w:left="160"/>
              <w:spacing w:after="0" w:line="202" w:lineRule="exact"/>
              <w:rPr>
                <w:sz w:val="20"/>
                <w:szCs w:val="20"/>
                <w:color w:val="auto"/>
              </w:rPr>
            </w:pPr>
            <w:r>
              <w:rPr>
                <w:rFonts w:ascii="Arial" w:cs="Arial" w:eastAsia="Arial" w:hAnsi="Arial"/>
                <w:sz w:val="18"/>
                <w:szCs w:val="18"/>
                <w:color w:val="auto"/>
              </w:rPr>
              <w:t>Financing activities</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17"/>
              <w:spacing w:after="0" w:line="202" w:lineRule="exact"/>
              <w:rPr>
                <w:sz w:val="20"/>
                <w:szCs w:val="20"/>
                <w:color w:val="auto"/>
              </w:rPr>
            </w:pPr>
            <w:r>
              <w:rPr>
                <w:rFonts w:ascii="Arial" w:cs="Arial" w:eastAsia="Arial" w:hAnsi="Arial"/>
                <w:sz w:val="18"/>
                <w:szCs w:val="18"/>
                <w:color w:val="auto"/>
              </w:rPr>
              <w:t>708</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(913)</w:t>
            </w:r>
          </w:p>
        </w:tc>
      </w:tr>
      <w:tr>
        <w:trPr>
          <w:trHeight w:val="216"/>
        </w:trPr>
        <w:tc>
          <w:tcPr>
            <w:tcW w:w="20" w:type="dxa"/>
            <w:vAlign w:val="bottom"/>
          </w:tcPr>
          <w:p>
            <w:pPr>
              <w:spacing w:after="0"/>
              <w:rPr>
                <w:sz w:val="18"/>
                <w:szCs w:val="18"/>
                <w:color w:val="auto"/>
              </w:rPr>
            </w:pPr>
          </w:p>
        </w:tc>
        <w:tc>
          <w:tcPr>
            <w:tcW w:w="50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800" w:type="dxa"/>
            <w:vAlign w:val="bottom"/>
            <w:shd w:val="clear" w:color="auto" w:fill="E5FFFF"/>
          </w:tcPr>
          <w:p>
            <w:pPr>
              <w:spacing w:after="0"/>
              <w:rPr>
                <w:sz w:val="18"/>
                <w:szCs w:val="18"/>
                <w:color w:val="auto"/>
              </w:rPr>
            </w:pPr>
          </w:p>
        </w:tc>
        <w:tc>
          <w:tcPr>
            <w:tcW w:w="280" w:type="dxa"/>
            <w:vAlign w:val="bottom"/>
            <w:tcBorders>
              <w:bottom w:val="single" w:sz="8" w:color="auto"/>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ind w:right="17"/>
              <w:spacing w:after="0"/>
              <w:rPr>
                <w:sz w:val="20"/>
                <w:szCs w:val="20"/>
                <w:color w:val="auto"/>
              </w:rPr>
            </w:pPr>
            <w:r>
              <w:rPr>
                <w:rFonts w:ascii="Arial" w:cs="Arial" w:eastAsia="Arial" w:hAnsi="Arial"/>
                <w:sz w:val="18"/>
                <w:szCs w:val="18"/>
                <w:color w:val="auto"/>
              </w:rPr>
              <w:t>88</w:t>
            </w:r>
          </w:p>
        </w:tc>
        <w:tc>
          <w:tcPr>
            <w:tcW w:w="720" w:type="dxa"/>
            <w:vAlign w:val="bottom"/>
            <w:shd w:val="clear" w:color="auto" w:fill="E5FFFF"/>
          </w:tcPr>
          <w:p>
            <w:pPr>
              <w:spacing w:after="0"/>
              <w:rPr>
                <w:sz w:val="18"/>
                <w:szCs w:val="18"/>
                <w:color w:val="auto"/>
              </w:rPr>
            </w:pPr>
          </w:p>
        </w:tc>
        <w:tc>
          <w:tcPr>
            <w:tcW w:w="380" w:type="dxa"/>
            <w:vAlign w:val="bottom"/>
            <w:tcBorders>
              <w:bottom w:val="single" w:sz="8" w:color="auto"/>
            </w:tcBorders>
            <w:shd w:val="clear" w:color="auto" w:fill="E5FFFF"/>
          </w:tcPr>
          <w:p>
            <w:pPr>
              <w:spacing w:after="0"/>
              <w:rPr>
                <w:sz w:val="18"/>
                <w:szCs w:val="18"/>
                <w:color w:val="auto"/>
              </w:rPr>
            </w:pP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(455)</w:t>
            </w:r>
          </w:p>
        </w:tc>
      </w:tr>
      <w:tr>
        <w:trPr>
          <w:trHeight w:val="210"/>
        </w:trPr>
        <w:tc>
          <w:tcPr>
            <w:tcW w:w="20" w:type="dxa"/>
            <w:vAlign w:val="bottom"/>
          </w:tcPr>
          <w:p>
            <w:pPr>
              <w:spacing w:after="0"/>
              <w:rPr>
                <w:sz w:val="18"/>
                <w:szCs w:val="18"/>
                <w:color w:val="auto"/>
              </w:rPr>
            </w:pPr>
          </w:p>
        </w:tc>
        <w:tc>
          <w:tcPr>
            <w:tcW w:w="5040" w:type="dxa"/>
            <w:vAlign w:val="bottom"/>
          </w:tcPr>
          <w:p>
            <w:pPr>
              <w:spacing w:after="0" w:line="197" w:lineRule="exact"/>
              <w:rPr>
                <w:sz w:val="20"/>
                <w:szCs w:val="20"/>
                <w:color w:val="auto"/>
              </w:rPr>
            </w:pPr>
            <w:r>
              <w:rPr>
                <w:rFonts w:ascii="Arial" w:cs="Arial" w:eastAsia="Arial" w:hAnsi="Arial"/>
                <w:sz w:val="18"/>
                <w:szCs w:val="18"/>
                <w:color w:val="auto"/>
              </w:rPr>
              <w:t>Net increase (decrease) in cash and cash equivalents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976</w:t>
            </w:r>
          </w:p>
        </w:tc>
        <w:tc>
          <w:tcPr>
            <w:tcW w:w="7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Cash provided by operating activities decreased by $100 million primarily due to an unfavorable impact from working capital of $840 million and higher net payments for repositioning and other charges of $91 million, partially offset by a favorable impact from accrued liabilities of $798 million (primarily driven by a $430 million improvement in customer advances and deferred income and the absence of $151 million in OEM incentive payments).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Cash used for investing activities increased by $692 million primarily due an increase in cash paid for acquisitions of $2,383 million. The increase was partially offset by (i) a net $1,226 million decrease in investments, primarily short term marketable securities, (ii) an increase in proceeds from the sales of businesses of $301 million (most significantly Honeywell Technology Solutions Inc.) and (iii) a decrease of $227 million in settlement payments of foreign currency exchange contracts used as economic hedges on certain non-functional currency denominated monetary assets and liabilities.</w:t>
      </w:r>
    </w:p>
    <w:p>
      <w:pPr>
        <w:spacing w:after="0" w:line="189"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Cash provided by financing activities increased by $1,621 million primarily due to an increase in the net proceeds from debt issuances of $1,696, partially offset by an increase in cash dividends paid of $149 million including amounts paid to the former UOP Russell LLC noncontrolling shareholder.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18"/>
          <w:szCs w:val="18"/>
          <w:color w:val="auto"/>
        </w:rPr>
        <w:t>The Company continues to manage its businesses to maximize operating cash flows as the primary source of liquidity. In addition to our available cash and operating cash flows, additional sources of liquidity include committed credit lines, short-term debt from the commercial paper market, long-term borrowings, as well as access to the public debt and equity markets. We continue to balance our cash and financing uses through investment in our existing core businesses, debt reduction, acquisition activity, share repurchases and dividends.</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continuously assess the relative strength of each business in our portfolio as to strategic fit, market position, profit and cash flow contribution in order to upgrade our combined portfolio and identify business units that will most benefit from increased investment. We identify acquisition candidates that will further our strategic plan and strengthen our existing core businesses. We also identify business units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18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In 2016, we are not required to make contributions to our U.S. pension plans. In 2016, we plan to make contributions of cash and/or marketable securities of approximately $160 million to our non-U.S. pension plans to satisfy regulatory funding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3" w:name="page34"/>
    <w:bookmarkEnd w:id="33"/>
    <w:p>
      <w:pPr>
        <w:jc w:val="both"/>
        <w:spacing w:after="0"/>
        <w:rPr>
          <w:sz w:val="20"/>
          <w:szCs w:val="20"/>
          <w:color w:val="auto"/>
        </w:rPr>
      </w:pPr>
      <w:r>
        <w:rPr>
          <w:rFonts w:ascii="Arial" w:cs="Arial" w:eastAsia="Arial" w:hAnsi="Arial"/>
          <w:sz w:val="18"/>
          <w:szCs w:val="18"/>
          <w:color w:val="auto"/>
        </w:rPr>
        <w:t>requirements, of which $ 106 million were already contributed with marketable securities in the first quarter of 2016. The timing and amount of contributions to both our U.S. and non-U.S. pension plans may be impacted by a number of factors, including the funded status of the pension plans.</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In accordance with our accounting policy for defined benefit pension plans, we recognize net actuarial gains or losses in excess of 10 percent of the greater of the fair value of plan assets or the plans’ projected benefit obligation in the fourth quarter each year (MTM adjustment). The primary factors contributing to actuarial gains or losses are changes in the discount rate used to value pension obligations each year as of December 31 (measurement date) and the difference between expected and actual return on plan assets. Based on discount rates and actual asset returns as of September 30, 2016 there is a potential MTM adjustment of approximately $1.5 billion in the fourth quarter of 2016 for our significant pension plans. The potential MTM adjustment consists of $0.8 billion from U.S. pension plans and $ 0.7 billion from non-U.S. pension plans. However, as the amount of any actual MTM adjustment is primarily driven by changes in interest rates and the performance of the financial markets which may change significantly in the fourth quarter, the Company is not able to determine or project the actual amount of any MTM adjustment that may be recorded as of December 31, 2016.</w:t>
      </w:r>
    </w:p>
    <w:p>
      <w:pPr>
        <w:spacing w:after="0" w:line="19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In the three months ended September 30, 2016, the Company repurchased $233 million of outstanding shares. Under the Company’s previously approved $5 billion share repurchase program, $4.3 billion remained available as of September 30, 2016 for additional share repurchases. Honeywell presently expects to repurchase outstanding shares from time to time to generally offset the dilutive impact over the long-term of employee stock-based compensation plans, including future option exercises, restricted unit vesting and matching contributions under our savings plans. The amount and timing of future repurchases may vary depending on market conditions and the level of operating, financing and other investing activities.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the fourth quarter, we plan to refinance certain outstanding debt, subject to market conditions. Based on market assumptions as of September 30, 2016, there is a potential extinguishment charge of approximately $140 million. The actual debt extinguishment charge will depend on interest rates, market conditions and other factors at the time of the actual refinancing.</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See Note 3 Acquisitions and Divestitures and Note 10 Long-term Debt and Credit Agreements of Notes to Financial Statements for additional discussion of items impacting our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b w:val="1"/>
          <w:bCs w:val="1"/>
          <w:u w:val="single" w:color="auto"/>
          <w:color w:val="auto"/>
        </w:rPr>
        <w:t>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15 Commitments and Contingencies of Notes to Financial Statements for further discussion of environmental, asbestos and other litigation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The financial information as of September 30, 2016 should be read in conjunction with the financial statements for the year ended December 31, 2015 contained in our 2015 Annual Report on Form 10-K.</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For a discussion of the Company’s critical accounting policies, see Item 7. Management’s Discussion and Analysis of Financial Condition and Results of Operations in our 2015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98"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18"/>
          <w:szCs w:val="18"/>
          <w:color w:val="auto"/>
        </w:rPr>
        <w:t>See Note 2 Recent Accounting Pronouncements of Notes to Financial Statements for a discussion of recent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Quantitative and Qualitative Disclosures About Market Risks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2015 Annual Report on Form 10-K. As of September 30, 2016, there has been no material change in this information</w:t>
      </w:r>
      <w:r>
        <w:rPr>
          <w:rFonts w:ascii="Arial" w:cs="Arial" w:eastAsia="Arial" w:hAnsi="Arial"/>
          <w:sz w:val="18"/>
          <w:szCs w:val="18"/>
          <w:b w:val="1"/>
          <w:bCs w:val="1"/>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Controls and Procedures</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 rules and forms, and that it is accumulated and communicated to our management, including our Chief Executive Officer, our Chief Financial Officer, and our Controller, as appropriate, to allow timely decisions regarding required disclosure. There have been no changes that have materially affected, or are reasonably likely to materially affect, Honeywell’s internal control over financial reporting that have occurred during the period covered by this 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Legal Matters</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We are subject to a number of lawsuits, investigations and claims (some of which involve substantial amounts) arising out of the conduct of our business. See Note 15 Commitments and Contingencies of Notes to Financial Statements for a discussion of environmental, asbestos and other litigation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Environmental Matters Involving Potential Monetary Sanctions in Excess of $100,000</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Changes in Securities and Use of Proceeds</w:t>
      </w:r>
    </w:p>
    <w:p>
      <w:pPr>
        <w:spacing w:after="0" w:line="19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Honeywell purchased 2,000,000 shares of its common stock, par value $1 per share, in the quarter ended September 30, 2016. In April 2016, the Board of Directors authorized the repurchase of up to a total of $5 billion of Honeywell common stock, which replaces the previously approved share repurchase program. $4.3 billion remained available as of September 30, 2016 for additional share repurchases. The following table summarizes Honeywell’s purchase of its common stock for the quarter ended September 30, 2016:</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80" w:type="dxa"/>
            <w:vAlign w:val="bottom"/>
            <w:gridSpan w:val="4"/>
          </w:tcPr>
          <w:p>
            <w:pPr>
              <w:ind w:left="300"/>
              <w:spacing w:after="0"/>
              <w:rPr>
                <w:sz w:val="20"/>
                <w:szCs w:val="20"/>
                <w:color w:val="auto"/>
              </w:rPr>
            </w:pPr>
            <w:r>
              <w:rPr>
                <w:rFonts w:ascii="Arial" w:cs="Arial" w:eastAsia="Arial" w:hAnsi="Arial"/>
                <w:sz w:val="14"/>
                <w:szCs w:val="14"/>
                <w:b w:val="1"/>
                <w:bCs w:val="1"/>
                <w:color w:val="auto"/>
              </w:rPr>
              <w:t>Issuer Purchases of Equity Securities</w:t>
            </w:r>
          </w:p>
        </w:tc>
        <w:tc>
          <w:tcPr>
            <w:tcW w:w="29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 )</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 Number of</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Approximate Dollar</w:t>
            </w: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Shares Purchased</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Value of Shares that May</w:t>
            </w: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 of</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as Part of Publicly</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Yet be Purchased Under</w:t>
            </w: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 Paid</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Announced Plans</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r>
      <w:tr>
        <w:trPr>
          <w:trHeight w:val="175"/>
        </w:trPr>
        <w:tc>
          <w:tcPr>
            <w:tcW w:w="20" w:type="dxa"/>
            <w:vAlign w:val="bottom"/>
          </w:tcPr>
          <w:p>
            <w:pPr>
              <w:spacing w:after="0"/>
              <w:rPr>
                <w:sz w:val="15"/>
                <w:szCs w:val="15"/>
                <w:color w:val="auto"/>
              </w:rPr>
            </w:pPr>
          </w:p>
        </w:tc>
        <w:tc>
          <w:tcPr>
            <w:tcW w:w="2060" w:type="dxa"/>
            <w:vAlign w:val="bottom"/>
            <w:gridSpan w:val="2"/>
          </w:tcPr>
          <w:p>
            <w:pPr>
              <w:ind w:left="680"/>
              <w:spacing w:after="0"/>
              <w:rPr>
                <w:sz w:val="20"/>
                <w:szCs w:val="20"/>
                <w:color w:val="auto"/>
              </w:rPr>
            </w:pPr>
            <w:r>
              <w:rPr>
                <w:rFonts w:ascii="Arial" w:cs="Arial" w:eastAsia="Arial" w:hAnsi="Arial"/>
                <w:sz w:val="14"/>
                <w:szCs w:val="14"/>
                <w:b w:val="1"/>
                <w:bCs w:val="1"/>
                <w:color w:val="auto"/>
              </w:rPr>
              <w:t>Period</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Purchased</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 Share</w:t>
            </w:r>
          </w:p>
        </w:tc>
        <w:tc>
          <w:tcPr>
            <w:tcW w:w="2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or Programs</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rPr>
              <w:t>(Dollars in millions)</w:t>
            </w: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August 2016</w:t>
            </w:r>
          </w:p>
        </w:tc>
        <w:tc>
          <w:tcPr>
            <w:tcW w:w="240" w:type="dxa"/>
            <w:vAlign w:val="bottom"/>
          </w:tcPr>
          <w:p>
            <w:pPr>
              <w:spacing w:after="0"/>
              <w:rPr>
                <w:sz w:val="16"/>
                <w:szCs w:val="16"/>
                <w:color w:val="auto"/>
              </w:rPr>
            </w:pPr>
          </w:p>
        </w:tc>
        <w:tc>
          <w:tcPr>
            <w:tcW w:w="1380" w:type="dxa"/>
            <w:vAlign w:val="bottom"/>
            <w:tcBorders>
              <w:top w:val="single" w:sz="8" w:color="auto"/>
            </w:tcBorders>
          </w:tcPr>
          <w:p>
            <w:pPr>
              <w:jc w:val="right"/>
              <w:ind w:right="223"/>
              <w:spacing w:after="0" w:line="195" w:lineRule="exact"/>
              <w:rPr>
                <w:sz w:val="20"/>
                <w:szCs w:val="20"/>
                <w:color w:val="auto"/>
              </w:rPr>
            </w:pPr>
            <w:r>
              <w:rPr>
                <w:rFonts w:ascii="Arial" w:cs="Arial" w:eastAsia="Arial" w:hAnsi="Arial"/>
                <w:sz w:val="18"/>
                <w:szCs w:val="18"/>
                <w:color w:val="auto"/>
              </w:rPr>
              <w:t>1,300,000</w:t>
            </w:r>
          </w:p>
        </w:tc>
        <w:tc>
          <w:tcPr>
            <w:tcW w:w="220" w:type="dxa"/>
            <w:vAlign w:val="bottom"/>
          </w:tcPr>
          <w:p>
            <w:pPr>
              <w:spacing w:after="0"/>
              <w:rPr>
                <w:sz w:val="16"/>
                <w:szCs w:val="16"/>
                <w:color w:val="auto"/>
              </w:rPr>
            </w:pPr>
          </w:p>
        </w:tc>
        <w:tc>
          <w:tcPr>
            <w:tcW w:w="1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$116.08</w:t>
            </w:r>
          </w:p>
        </w:tc>
        <w:tc>
          <w:tcPr>
            <w:tcW w:w="220" w:type="dxa"/>
            <w:vAlign w:val="bottom"/>
          </w:tcPr>
          <w:p>
            <w:pPr>
              <w:spacing w:after="0"/>
              <w:rPr>
                <w:sz w:val="16"/>
                <w:szCs w:val="16"/>
                <w:color w:val="auto"/>
              </w:rPr>
            </w:pPr>
          </w:p>
        </w:tc>
        <w:tc>
          <w:tcPr>
            <w:tcW w:w="2060" w:type="dxa"/>
            <w:vAlign w:val="bottom"/>
            <w:tcBorders>
              <w:top w:val="single" w:sz="8" w:color="auto"/>
            </w:tcBorders>
          </w:tcPr>
          <w:p>
            <w:pPr>
              <w:jc w:val="right"/>
              <w:ind w:right="544"/>
              <w:spacing w:after="0" w:line="195" w:lineRule="exact"/>
              <w:rPr>
                <w:sz w:val="20"/>
                <w:szCs w:val="20"/>
                <w:color w:val="auto"/>
              </w:rPr>
            </w:pPr>
            <w:r>
              <w:rPr>
                <w:rFonts w:ascii="Arial" w:cs="Arial" w:eastAsia="Arial" w:hAnsi="Arial"/>
                <w:sz w:val="18"/>
                <w:szCs w:val="18"/>
                <w:color w:val="auto"/>
              </w:rPr>
              <w:t>1,300,000</w:t>
            </w:r>
          </w:p>
        </w:tc>
        <w:tc>
          <w:tcPr>
            <w:tcW w:w="22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$4,372</w:t>
            </w:r>
          </w:p>
        </w:tc>
      </w:tr>
      <w:tr>
        <w:trPr>
          <w:trHeight w:val="217"/>
        </w:trPr>
        <w:tc>
          <w:tcPr>
            <w:tcW w:w="2080" w:type="dxa"/>
            <w:vAlign w:val="bottom"/>
            <w:gridSpan w:val="3"/>
          </w:tcPr>
          <w:p>
            <w:pPr>
              <w:spacing w:after="0"/>
              <w:rPr>
                <w:sz w:val="20"/>
                <w:szCs w:val="20"/>
                <w:color w:val="auto"/>
              </w:rPr>
            </w:pPr>
            <w:r>
              <w:rPr>
                <w:rFonts w:ascii="Arial" w:cs="Arial" w:eastAsia="Arial" w:hAnsi="Arial"/>
                <w:sz w:val="18"/>
                <w:szCs w:val="18"/>
                <w:color w:val="auto"/>
              </w:rPr>
              <w:t>September 2016</w:t>
            </w:r>
          </w:p>
        </w:tc>
        <w:tc>
          <w:tcPr>
            <w:tcW w:w="1380" w:type="dxa"/>
            <w:vAlign w:val="bottom"/>
          </w:tcPr>
          <w:p>
            <w:pPr>
              <w:jc w:val="right"/>
              <w:ind w:right="303"/>
              <w:spacing w:after="0"/>
              <w:rPr>
                <w:sz w:val="20"/>
                <w:szCs w:val="20"/>
                <w:color w:val="auto"/>
              </w:rPr>
            </w:pPr>
            <w:r>
              <w:rPr>
                <w:rFonts w:ascii="Arial" w:cs="Arial" w:eastAsia="Arial" w:hAnsi="Arial"/>
                <w:sz w:val="18"/>
                <w:szCs w:val="18"/>
                <w:color w:val="auto"/>
              </w:rPr>
              <w:t>700,000</w:t>
            </w:r>
          </w:p>
        </w:tc>
        <w:tc>
          <w:tcPr>
            <w:tcW w:w="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$116.78</w:t>
            </w:r>
          </w:p>
        </w:tc>
        <w:tc>
          <w:tcPr>
            <w:tcW w:w="220" w:type="dxa"/>
            <w:vAlign w:val="bottom"/>
          </w:tcPr>
          <w:p>
            <w:pPr>
              <w:spacing w:after="0"/>
              <w:rPr>
                <w:sz w:val="18"/>
                <w:szCs w:val="18"/>
                <w:color w:val="auto"/>
              </w:rPr>
            </w:pPr>
          </w:p>
        </w:tc>
        <w:tc>
          <w:tcPr>
            <w:tcW w:w="2060" w:type="dxa"/>
            <w:vAlign w:val="bottom"/>
          </w:tcPr>
          <w:p>
            <w:pPr>
              <w:jc w:val="right"/>
              <w:ind w:right="624"/>
              <w:spacing w:after="0"/>
              <w:rPr>
                <w:sz w:val="20"/>
                <w:szCs w:val="20"/>
                <w:color w:val="auto"/>
              </w:rPr>
            </w:pPr>
            <w:r>
              <w:rPr>
                <w:rFonts w:ascii="Arial" w:cs="Arial" w:eastAsia="Arial" w:hAnsi="Arial"/>
                <w:sz w:val="18"/>
                <w:szCs w:val="18"/>
                <w:color w:val="auto"/>
              </w:rPr>
              <w:t>700,000</w:t>
            </w:r>
          </w:p>
        </w:tc>
        <w:tc>
          <w:tcPr>
            <w:tcW w:w="2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rPr>
              <w:t>$4,290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Other Information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Iran Threat Reduction and Syrian Human Rights Act of 2012</w:t>
      </w:r>
    </w:p>
    <w:p>
      <w:pPr>
        <w:spacing w:after="0" w:line="19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Under the Iran Threat Reduction and Syrian Human Rights Act of 2012, which added Section 13(r) of the Securities Exchange Act of 1934, Honeywell is required to disclose in its periodic reports if it or any of its affiliates knowingly engaged in certain activities, transactions or dealings relating to Iran or with entities or individuals designated pursuant to certain Executive Orders. Disclosure is required even where the activities are conducted outside the U.S. by non-U.S. affiliates in compliance with applicable law, and even if the activities are not covered or prohibited by U.S. law. All of our sales in Iran during the third quarter of 2016 were conducted by our non-U.S. subsidiaries under General License H and otherwise in compliance with all applicable laws. In the third quarter, and in compliance with all applicable laws, including sanctions regulations administered by U.S. Treasury’s Office of Foreign Assets Control (OFAC), our UOP business entered into one contract with a non-U.S. distributor to sell non-U.S.-origin molecular sieves for end use in medical oxygen generators. Revenue from this sale totaled the U.S. Dollar equivalent of less than $50,000 in the third quarter. Our UOP business also entered into a settlement agreement related to an outstanding 2006 licensing agreement entered into in accordance with then-applicable laws. Revenues from this agreement totaled the U.S. Dollar equivalent of approximately $8.5 million. Additionally, our Elster business within the Home and Building Technologies segment entered into contracts with non-U.S. distributors to sell approximately $0.7 million in non-U.S.-origin water meter and gas meter products for end use at residential properties and recognized approximately $0.1 million of revenue in connection with a contract for non-U.S. origin software sales and services. The Movilizer business within our Safety and Productivity Solutions segment also entered into a contract for non-U.S. origin software sales and service for approximately $0.1 million. Our non-U.S. subsidiaries intend to continue doing business in Iran under General License H in compliance with all applicable laws, which sales may require additional disclosure pursuant to Section 13(r) of the 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198" w:lineRule="exact"/>
        <w:rPr>
          <w:sz w:val="20"/>
          <w:szCs w:val="20"/>
          <w:color w:val="auto"/>
        </w:rPr>
      </w:pPr>
    </w:p>
    <w:p>
      <w:pPr>
        <w:ind w:left="5620" w:right="4340" w:hanging="4964"/>
        <w:spacing w:after="0" w:line="465" w:lineRule="auto"/>
        <w:tabs>
          <w:tab w:leader="none" w:pos="13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the Exhibit Index on page 38 of this Quarterly Report on Form 10-Q.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7640" w:type="dxa"/>
            <w:vAlign w:val="bottom"/>
            <w:gridSpan w:val="3"/>
          </w:tcPr>
          <w:p>
            <w:pPr>
              <w:ind w:left="2680"/>
              <w:spacing w:after="0"/>
              <w:rPr>
                <w:sz w:val="20"/>
                <w:szCs w:val="20"/>
                <w:color w:val="auto"/>
              </w:rPr>
            </w:pPr>
            <w:r>
              <w:rPr>
                <w:rFonts w:ascii="Arial" w:cs="Arial" w:eastAsia="Arial" w:hAnsi="Arial"/>
                <w:sz w:val="18"/>
                <w:szCs w:val="18"/>
                <w:color w:val="auto"/>
              </w:rPr>
              <w:t>Honeywell International Inc.</w:t>
            </w:r>
          </w:p>
        </w:tc>
      </w:tr>
      <w:tr>
        <w:trPr>
          <w:trHeight w:val="392"/>
        </w:trPr>
        <w:tc>
          <w:tcPr>
            <w:tcW w:w="3780" w:type="dxa"/>
            <w:vAlign w:val="bottom"/>
          </w:tcPr>
          <w:p>
            <w:pPr>
              <w:spacing w:after="0"/>
              <w:rPr>
                <w:sz w:val="20"/>
                <w:szCs w:val="20"/>
                <w:color w:val="auto"/>
              </w:rPr>
            </w:pPr>
            <w:r>
              <w:rPr>
                <w:rFonts w:ascii="Arial" w:cs="Arial" w:eastAsia="Arial" w:hAnsi="Arial"/>
                <w:sz w:val="18"/>
                <w:szCs w:val="18"/>
                <w:color w:val="auto"/>
              </w:rPr>
              <w:t>Date: October 21, 2016</w:t>
            </w:r>
          </w:p>
        </w:tc>
        <w:tc>
          <w:tcPr>
            <w:tcW w:w="7640" w:type="dxa"/>
            <w:vAlign w:val="bottom"/>
            <w:gridSpan w:val="3"/>
          </w:tcPr>
          <w:p>
            <w:pPr>
              <w:ind w:left="2500"/>
              <w:spacing w:after="0"/>
              <w:rPr>
                <w:sz w:val="20"/>
                <w:szCs w:val="20"/>
                <w:color w:val="auto"/>
              </w:rPr>
            </w:pPr>
            <w:r>
              <w:rPr>
                <w:rFonts w:ascii="Arial" w:cs="Arial" w:eastAsia="Arial" w:hAnsi="Arial"/>
                <w:sz w:val="18"/>
                <w:szCs w:val="18"/>
                <w:color w:val="auto"/>
              </w:rPr>
              <w:t>By:  /s/ Jennifer H. Mak</w:t>
            </w:r>
          </w:p>
        </w:tc>
      </w:tr>
      <w:tr>
        <w:trPr>
          <w:trHeight w:val="222"/>
        </w:trPr>
        <w:tc>
          <w:tcPr>
            <w:tcW w:w="37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Jennifer H. Mak</w:t>
            </w:r>
          </w:p>
        </w:tc>
        <w:tc>
          <w:tcPr>
            <w:tcW w:w="3180" w:type="dxa"/>
            <w:vAlign w:val="bottom"/>
          </w:tcPr>
          <w:p>
            <w:pPr>
              <w:spacing w:after="0"/>
              <w:rPr>
                <w:sz w:val="19"/>
                <w:szCs w:val="19"/>
                <w:color w:val="auto"/>
              </w:rPr>
            </w:pPr>
          </w:p>
        </w:tc>
      </w:tr>
      <w:tr>
        <w:trPr>
          <w:trHeight w:val="216"/>
        </w:trPr>
        <w:tc>
          <w:tcPr>
            <w:tcW w:w="3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r>
      <w:tr>
        <w:trPr>
          <w:trHeight w:val="216"/>
        </w:trPr>
        <w:tc>
          <w:tcPr>
            <w:tcW w:w="3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(on behalf of the Registrant</w:t>
            </w:r>
          </w:p>
        </w:tc>
      </w:tr>
      <w:tr>
        <w:trPr>
          <w:trHeight w:val="216"/>
        </w:trPr>
        <w:tc>
          <w:tcPr>
            <w:tcW w:w="3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and as the Registrant’s</w:t>
            </w:r>
          </w:p>
        </w:tc>
      </w:tr>
      <w:tr>
        <w:trPr>
          <w:trHeight w:val="217"/>
        </w:trPr>
        <w:tc>
          <w:tcPr>
            <w:tcW w:w="3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405"/>
        </w:trPr>
        <w:tc>
          <w:tcPr>
            <w:tcW w:w="3780" w:type="dxa"/>
            <w:vAlign w:val="bottom"/>
          </w:tcPr>
          <w:p>
            <w:pPr>
              <w:spacing w:after="0"/>
              <w:rPr>
                <w:sz w:val="24"/>
                <w:szCs w:val="24"/>
                <w:color w:val="auto"/>
              </w:rPr>
            </w:pPr>
          </w:p>
        </w:tc>
        <w:tc>
          <w:tcPr>
            <w:tcW w:w="2960" w:type="dxa"/>
            <w:vAlign w:val="bottom"/>
          </w:tcPr>
          <w:p>
            <w:pPr>
              <w:jc w:val="right"/>
              <w:ind w:right="830"/>
              <w:spacing w:after="0"/>
              <w:rPr>
                <w:sz w:val="20"/>
                <w:szCs w:val="20"/>
                <w:color w:val="auto"/>
              </w:rPr>
            </w:pPr>
            <w:r>
              <w:rPr>
                <w:rFonts w:ascii="Arial" w:cs="Arial" w:eastAsia="Arial" w:hAnsi="Arial"/>
                <w:sz w:val="18"/>
                <w:szCs w:val="18"/>
                <w:color w:val="auto"/>
              </w:rPr>
              <w:t>37</w:t>
            </w:r>
          </w:p>
        </w:tc>
        <w:tc>
          <w:tcPr>
            <w:tcW w:w="150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37"/>
        </w:trPr>
        <w:tc>
          <w:tcPr>
            <w:tcW w:w="3780" w:type="dxa"/>
            <w:vAlign w:val="bottom"/>
            <w:tcBorders>
              <w:bottom w:val="single" w:sz="8" w:color="C0C0C0"/>
            </w:tcBorders>
          </w:tcPr>
          <w:p>
            <w:pPr>
              <w:spacing w:after="0"/>
              <w:rPr>
                <w:sz w:val="20"/>
                <w:szCs w:val="20"/>
                <w:color w:val="auto"/>
              </w:rPr>
            </w:pPr>
          </w:p>
        </w:tc>
        <w:tc>
          <w:tcPr>
            <w:tcW w:w="2960" w:type="dxa"/>
            <w:vAlign w:val="bottom"/>
            <w:tcBorders>
              <w:bottom w:val="single" w:sz="8" w:color="C0C0C0"/>
            </w:tcBorders>
          </w:tcPr>
          <w:p>
            <w:pPr>
              <w:spacing w:after="0"/>
              <w:rPr>
                <w:sz w:val="20"/>
                <w:szCs w:val="20"/>
                <w:color w:val="auto"/>
              </w:rPr>
            </w:pPr>
          </w:p>
        </w:tc>
        <w:tc>
          <w:tcPr>
            <w:tcW w:w="1500" w:type="dxa"/>
            <w:vAlign w:val="bottom"/>
            <w:tcBorders>
              <w:bottom w:val="single" w:sz="8" w:color="C0C0C0"/>
            </w:tcBorders>
          </w:tcPr>
          <w:p>
            <w:pPr>
              <w:spacing w:after="0"/>
              <w:rPr>
                <w:sz w:val="20"/>
                <w:szCs w:val="20"/>
                <w:color w:val="auto"/>
              </w:rPr>
            </w:pPr>
          </w:p>
        </w:tc>
        <w:tc>
          <w:tcPr>
            <w:tcW w:w="31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420"/>
          </w:cols>
          <w:pgMar w:left="240" w:top="400"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9"/>
        </w:trPr>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Exhibit</w:t>
            </w:r>
          </w:p>
        </w:tc>
        <w:tc>
          <w:tcPr>
            <w:tcW w:w="41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225"/>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c>
          <w:tcPr>
            <w:tcW w:w="636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rPr>
              <w:t>Description</w:t>
            </w:r>
          </w:p>
        </w:tc>
      </w:tr>
    </w:tbl>
    <w:p>
      <w:pPr>
        <w:spacing w:after="0" w:line="171" w:lineRule="exact"/>
        <w:rPr>
          <w:sz w:val="20"/>
          <w:szCs w:val="20"/>
          <w:color w:val="auto"/>
        </w:rPr>
      </w:pPr>
    </w:p>
    <w:p>
      <w:pPr>
        <w:ind w:left="920" w:hanging="912"/>
        <w:spacing w:after="0"/>
        <w:tabs>
          <w:tab w:leader="none" w:pos="920" w:val="left"/>
        </w:tabs>
        <w:numPr>
          <w:ilvl w:val="0"/>
          <w:numId w:val="11"/>
        </w:numPr>
        <w:rPr>
          <w:rFonts w:ascii="Arial" w:cs="Arial" w:eastAsia="Arial" w:hAnsi="Arial"/>
          <w:sz w:val="36"/>
          <w:szCs w:val="36"/>
          <w:color w:val="auto"/>
          <w:vertAlign w:val="superscript"/>
        </w:rPr>
      </w:pPr>
      <w:r>
        <w:rPr>
          <w:rFonts w:ascii="Arial" w:cs="Arial" w:eastAsia="Arial" w:hAnsi="Arial"/>
          <w:sz w:val="18"/>
          <w:szCs w:val="18"/>
          <w:color w:val="auto"/>
        </w:rPr>
        <w:t>Computation of Per Share Earnings</w:t>
      </w:r>
      <w:r>
        <w:rPr>
          <w:rFonts w:ascii="Arial" w:cs="Arial" w:eastAsia="Arial" w:hAnsi="Arial"/>
          <w:sz w:val="30"/>
          <w:szCs w:val="30"/>
          <w:color w:val="auto"/>
          <w:vertAlign w:val="superscript"/>
        </w:rPr>
        <w:t>(1)</w:t>
      </w:r>
    </w:p>
    <w:p>
      <w:pPr>
        <w:spacing w:after="0" w:line="62" w:lineRule="exact"/>
        <w:rPr>
          <w:rFonts w:ascii="Arial" w:cs="Arial" w:eastAsia="Arial" w:hAnsi="Arial"/>
          <w:sz w:val="36"/>
          <w:szCs w:val="36"/>
          <w:color w:val="auto"/>
          <w:vertAlign w:val="superscript"/>
        </w:rPr>
      </w:pPr>
    </w:p>
    <w:p>
      <w:pPr>
        <w:ind w:left="920" w:hanging="912"/>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Computation of Ratio of Earnings to Fixed Charges (filed herewith)</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9760" w:type="dxa"/>
            <w:vAlign w:val="bottom"/>
          </w:tcPr>
          <w:p>
            <w:pPr>
              <w:ind w:left="8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9760" w:type="dxa"/>
            <w:vAlign w:val="bottom"/>
          </w:tcPr>
          <w:p>
            <w:pPr>
              <w:ind w:left="8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9760" w:type="dxa"/>
            <w:vAlign w:val="bottom"/>
          </w:tcPr>
          <w:p>
            <w:pPr>
              <w:ind w:left="80"/>
              <w:spacing w:after="0"/>
              <w:rPr>
                <w:sz w:val="20"/>
                <w:szCs w:val="20"/>
                <w:color w:val="auto"/>
              </w:rPr>
            </w:pPr>
            <w:r>
              <w:rPr>
                <w:rFonts w:ascii="Arial" w:cs="Arial" w:eastAsia="Arial" w:hAnsi="Arial"/>
                <w:sz w:val="18"/>
                <w:szCs w:val="18"/>
                <w:color w:val="auto"/>
                <w:w w:val="99"/>
              </w:rPr>
              <w:t>Certification of Principal Executive Officer Pursuant to 18 U.S.C. Section 1350, as Adopted Pursuant to Section 906 of the</w:t>
            </w:r>
          </w:p>
        </w:tc>
      </w:tr>
      <w:tr>
        <w:trPr>
          <w:trHeight w:val="217"/>
        </w:trPr>
        <w:tc>
          <w:tcPr>
            <w:tcW w:w="84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Sarbanes-Oxley Act of 2002 (filed herewith)</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9760" w:type="dxa"/>
            <w:vAlign w:val="bottom"/>
          </w:tcPr>
          <w:p>
            <w:pPr>
              <w:ind w:left="80"/>
              <w:spacing w:after="0"/>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w:t>
            </w:r>
          </w:p>
        </w:tc>
      </w:tr>
      <w:tr>
        <w:trPr>
          <w:trHeight w:val="217"/>
        </w:trPr>
        <w:tc>
          <w:tcPr>
            <w:tcW w:w="840" w:type="dxa"/>
            <w:vAlign w:val="bottom"/>
          </w:tcPr>
          <w:p>
            <w:pPr>
              <w:spacing w:after="0"/>
              <w:rPr>
                <w:sz w:val="18"/>
                <w:szCs w:val="18"/>
                <w:color w:val="auto"/>
              </w:rPr>
            </w:pPr>
          </w:p>
        </w:tc>
        <w:tc>
          <w:tcPr>
            <w:tcW w:w="9760" w:type="dxa"/>
            <w:vAlign w:val="bottom"/>
          </w:tcPr>
          <w:p>
            <w:pPr>
              <w:ind w:left="260"/>
              <w:spacing w:after="0"/>
              <w:rPr>
                <w:sz w:val="20"/>
                <w:szCs w:val="20"/>
                <w:color w:val="auto"/>
              </w:rPr>
            </w:pPr>
            <w:r>
              <w:rPr>
                <w:rFonts w:ascii="Arial" w:cs="Arial" w:eastAsia="Arial" w:hAnsi="Arial"/>
                <w:sz w:val="18"/>
                <w:szCs w:val="18"/>
                <w:color w:val="auto"/>
              </w:rPr>
              <w:t>Sarbanes-Oxley Act of 2002 (filed herewith)</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9760" w:type="dxa"/>
            <w:vAlign w:val="bottom"/>
          </w:tcPr>
          <w:p>
            <w:pPr>
              <w:ind w:left="80"/>
              <w:spacing w:after="0"/>
              <w:rPr>
                <w:sz w:val="20"/>
                <w:szCs w:val="20"/>
                <w:color w:val="auto"/>
              </w:rPr>
            </w:pPr>
            <w:r>
              <w:rPr>
                <w:rFonts w:ascii="Arial" w:cs="Arial" w:eastAsia="Arial" w:hAnsi="Arial"/>
                <w:sz w:val="18"/>
                <w:szCs w:val="18"/>
                <w:color w:val="auto"/>
              </w:rPr>
              <w:t>XBRL Instance Document (filed herewith)</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9760" w:type="dxa"/>
            <w:vAlign w:val="bottom"/>
          </w:tcPr>
          <w:p>
            <w:pPr>
              <w:ind w:left="80"/>
              <w:spacing w:after="0"/>
              <w:rPr>
                <w:sz w:val="20"/>
                <w:szCs w:val="20"/>
                <w:color w:val="auto"/>
              </w:rPr>
            </w:pPr>
            <w:r>
              <w:rPr>
                <w:rFonts w:ascii="Arial" w:cs="Arial" w:eastAsia="Arial" w:hAnsi="Arial"/>
                <w:sz w:val="18"/>
                <w:szCs w:val="18"/>
                <w:color w:val="auto"/>
              </w:rPr>
              <w:t>XBRL Taxonomy Extension Schema (filed herewith)</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976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97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(filed herewith)</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9760" w:type="dxa"/>
            <w:vAlign w:val="bottom"/>
          </w:tcPr>
          <w:p>
            <w:pPr>
              <w:ind w:left="80"/>
              <w:spacing w:after="0"/>
              <w:rPr>
                <w:sz w:val="20"/>
                <w:szCs w:val="20"/>
                <w:color w:val="auto"/>
              </w:rPr>
            </w:pPr>
            <w:r>
              <w:rPr>
                <w:rFonts w:ascii="Arial" w:cs="Arial" w:eastAsia="Arial" w:hAnsi="Arial"/>
                <w:sz w:val="18"/>
                <w:szCs w:val="18"/>
                <w:color w:val="auto"/>
              </w:rPr>
              <w:t>XBRL Taxonomy Extension Label Linkbase (filed herewith)</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976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ind w:left="5620" w:right="3720" w:hanging="5612"/>
        <w:spacing w:after="0" w:line="465" w:lineRule="auto"/>
        <w:tabs>
          <w:tab w:leader="none" w:pos="5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Data required is provided in Note 5 Earnings Per Share of Notes to Financial Statements.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12</w:t>
      </w:r>
    </w:p>
    <w:p>
      <w:pPr>
        <w:spacing w:after="0" w:line="19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Honeywell International Inc.</w:t>
      </w:r>
    </w:p>
    <w:p>
      <w:pPr>
        <w:spacing w:after="0" w:line="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Statement RE: Computation of Ratio of Earnings to Fixed Charges</w:t>
      </w:r>
    </w:p>
    <w:p>
      <w:pPr>
        <w:jc w:val="center"/>
        <w:ind w:right="1200"/>
        <w:spacing w:after="0" w:line="234" w:lineRule="auto"/>
        <w:rPr>
          <w:sz w:val="20"/>
          <w:szCs w:val="20"/>
          <w:color w:val="auto"/>
        </w:rPr>
      </w:pPr>
      <w:r>
        <w:rPr>
          <w:rFonts w:ascii="Arial" w:cs="Arial" w:eastAsia="Arial" w:hAnsi="Arial"/>
          <w:sz w:val="18"/>
          <w:szCs w:val="18"/>
          <w:b w:val="1"/>
          <w:bCs w:val="1"/>
          <w:color w:val="auto"/>
        </w:rPr>
        <w:t>Nine Months Ended</w:t>
      </w:r>
    </w:p>
    <w:p>
      <w:pPr>
        <w:ind w:left="3680"/>
        <w:spacing w:after="0" w:line="235" w:lineRule="auto"/>
        <w:rPr>
          <w:sz w:val="20"/>
          <w:szCs w:val="20"/>
          <w:color w:val="auto"/>
        </w:rPr>
      </w:pPr>
      <w:r>
        <w:rPr>
          <w:rFonts w:ascii="Arial" w:cs="Arial" w:eastAsia="Arial" w:hAnsi="Arial"/>
          <w:sz w:val="18"/>
          <w:szCs w:val="18"/>
          <w:b w:val="1"/>
          <w:bCs w:val="1"/>
          <w:color w:val="auto"/>
        </w:rPr>
        <w:t>September 30, 2016</w:t>
      </w:r>
    </w:p>
    <w:p>
      <w:pPr>
        <w:spacing w:after="0" w:line="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(Dollars in millions)</w:t>
      </w:r>
    </w:p>
    <w:p>
      <w:pPr>
        <w:spacing w:after="0" w:line="19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70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Determination of Earnings:</w:t>
            </w:r>
          </w:p>
        </w:tc>
        <w:tc>
          <w:tcPr>
            <w:tcW w:w="4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180"/>
              <w:spacing w:after="0" w:line="202" w:lineRule="exact"/>
              <w:rPr>
                <w:sz w:val="20"/>
                <w:szCs w:val="20"/>
                <w:color w:val="auto"/>
              </w:rPr>
            </w:pPr>
            <w:r>
              <w:rPr>
                <w:rFonts w:ascii="Arial" w:cs="Arial" w:eastAsia="Arial" w:hAnsi="Arial"/>
                <w:sz w:val="18"/>
                <w:szCs w:val="18"/>
                <w:color w:val="auto"/>
              </w:rPr>
              <w:t>Income before taxes</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03"/>
        </w:trPr>
        <w:tc>
          <w:tcPr>
            <w:tcW w:w="6700" w:type="dxa"/>
            <w:vAlign w:val="bottom"/>
            <w:shd w:val="clear" w:color="auto" w:fill="E5FFFF"/>
          </w:tcPr>
          <w:p>
            <w:pPr>
              <w:ind w:left="180"/>
              <w:spacing w:after="0" w:line="202" w:lineRule="exact"/>
              <w:rPr>
                <w:sz w:val="20"/>
                <w:szCs w:val="20"/>
                <w:color w:val="auto"/>
              </w:rPr>
            </w:pPr>
            <w:r>
              <w:rPr>
                <w:rFonts w:ascii="Arial" w:cs="Arial" w:eastAsia="Arial" w:hAnsi="Arial"/>
                <w:sz w:val="18"/>
                <w:szCs w:val="18"/>
                <w:color w:val="auto"/>
              </w:rPr>
              <w:t>Add (Deduct):</w:t>
            </w:r>
          </w:p>
        </w:tc>
        <w:tc>
          <w:tcPr>
            <w:tcW w:w="44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capitalized interest</w:t>
            </w:r>
          </w:p>
        </w:tc>
        <w:tc>
          <w:tcPr>
            <w:tcW w:w="4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6700" w:type="dxa"/>
            <w:vAlign w:val="bottom"/>
            <w:shd w:val="clear" w:color="auto" w:fill="E5FFFF"/>
          </w:tcPr>
          <w:p>
            <w:pPr>
              <w:ind w:left="360"/>
              <w:spacing w:after="0" w:line="202" w:lineRule="exact"/>
              <w:rPr>
                <w:sz w:val="20"/>
                <w:szCs w:val="20"/>
                <w:color w:val="auto"/>
              </w:rPr>
            </w:pPr>
            <w:r>
              <w:rPr>
                <w:rFonts w:ascii="Arial" w:cs="Arial" w:eastAsia="Arial" w:hAnsi="Arial"/>
                <w:sz w:val="18"/>
                <w:szCs w:val="18"/>
                <w:color w:val="auto"/>
              </w:rPr>
              <w:t>Fixed charges</w:t>
            </w:r>
          </w:p>
        </w:tc>
        <w:tc>
          <w:tcPr>
            <w:tcW w:w="44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202"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E5FFFF"/>
            </w:tcBorders>
          </w:tcPr>
          <w:p>
            <w:pPr>
              <w:ind w:left="360"/>
              <w:spacing w:after="0"/>
              <w:rPr>
                <w:sz w:val="20"/>
                <w:szCs w:val="20"/>
                <w:color w:val="auto"/>
              </w:rPr>
            </w:pPr>
            <w:r>
              <w:rPr>
                <w:rFonts w:ascii="Arial" w:cs="Arial" w:eastAsia="Arial" w:hAnsi="Arial"/>
                <w:sz w:val="18"/>
                <w:szCs w:val="18"/>
                <w:color w:val="auto"/>
              </w:rPr>
              <w:t>Equity income, net of distributions</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E5FFFF"/>
            </w:tcBorders>
            <w:shd w:val="clear" w:color="auto" w:fill="E5FFFF"/>
          </w:tcPr>
          <w:p>
            <w:pPr>
              <w:ind w:left="540"/>
              <w:spacing w:after="0"/>
              <w:rPr>
                <w:sz w:val="20"/>
                <w:szCs w:val="20"/>
                <w:color w:val="auto"/>
              </w:rPr>
            </w:pPr>
            <w:r>
              <w:rPr>
                <w:rFonts w:ascii="Arial" w:cs="Arial" w:eastAsia="Arial" w:hAnsi="Arial"/>
                <w:sz w:val="18"/>
                <w:szCs w:val="18"/>
                <w:b w:val="1"/>
                <w:bCs w:val="1"/>
                <w:color w:val="auto"/>
              </w:rPr>
              <w:t>Total earnings, as defined</w:t>
            </w:r>
          </w:p>
        </w:tc>
        <w:tc>
          <w:tcPr>
            <w:tcW w:w="440" w:type="dxa"/>
            <w:vAlign w:val="bottom"/>
            <w:tcBorders>
              <w:bottom w:val="single" w:sz="8" w:color="auto"/>
            </w:tcBorders>
            <w:shd w:val="clear" w:color="auto" w:fill="E5FF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7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E5FFFF"/>
          </w:tcPr>
          <w:p>
            <w:pPr>
              <w:ind w:left="180"/>
              <w:spacing w:after="0" w:line="243" w:lineRule="exact"/>
              <w:rPr>
                <w:sz w:val="20"/>
                <w:szCs w:val="20"/>
                <w:color w:val="auto"/>
              </w:rPr>
            </w:pPr>
            <w:r>
              <w:rPr>
                <w:rFonts w:ascii="Arial" w:cs="Arial" w:eastAsia="Arial" w:hAnsi="Arial"/>
                <w:sz w:val="17"/>
                <w:szCs w:val="17"/>
                <w:color w:val="auto"/>
              </w:rPr>
              <w:t>Rents</w:t>
            </w:r>
            <w:r>
              <w:rPr>
                <w:rFonts w:ascii="Arial" w:cs="Arial" w:eastAsia="Arial" w:hAnsi="Arial"/>
                <w:sz w:val="28"/>
                <w:szCs w:val="28"/>
                <w:color w:val="auto"/>
                <w:vertAlign w:val="superscript"/>
              </w:rPr>
              <w:t>(a)</w:t>
            </w:r>
          </w:p>
        </w:tc>
        <w:tc>
          <w:tcPr>
            <w:tcW w:w="440" w:type="dxa"/>
            <w:vAlign w:val="bottom"/>
            <w:shd w:val="clear" w:color="auto" w:fill="E5FF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Interest and other financial charges</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196"/>
        </w:trPr>
        <w:tc>
          <w:tcPr>
            <w:tcW w:w="670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840" w:type="dxa"/>
            <w:vAlign w:val="bottom"/>
            <w:shd w:val="clear" w:color="auto" w:fill="E5FFFF"/>
          </w:tcPr>
          <w:p>
            <w:pPr>
              <w:jc w:val="right"/>
              <w:spacing w:after="0" w:line="196"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E5FFFF"/>
            </w:tcBorders>
          </w:tcPr>
          <w:p>
            <w:pPr>
              <w:ind w:left="180"/>
              <w:spacing w:after="0"/>
              <w:rPr>
                <w:sz w:val="20"/>
                <w:szCs w:val="20"/>
                <w:color w:val="auto"/>
              </w:rPr>
            </w:pPr>
            <w:r>
              <w:rPr>
                <w:rFonts w:ascii="Arial" w:cs="Arial" w:eastAsia="Arial" w:hAnsi="Arial"/>
                <w:sz w:val="18"/>
                <w:szCs w:val="18"/>
                <w:color w:val="auto"/>
              </w:rPr>
              <w:t>Capitalized interest</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E5FFFF"/>
            </w:tcBorders>
            <w:shd w:val="clear" w:color="auto" w:fill="E5FFFF"/>
          </w:tcPr>
          <w:p>
            <w:pPr>
              <w:ind w:left="540"/>
              <w:spacing w:after="0"/>
              <w:rPr>
                <w:sz w:val="20"/>
                <w:szCs w:val="20"/>
                <w:color w:val="auto"/>
              </w:rPr>
            </w:pPr>
            <w:r>
              <w:rPr>
                <w:rFonts w:ascii="Arial" w:cs="Arial" w:eastAsia="Arial" w:hAnsi="Arial"/>
                <w:sz w:val="18"/>
                <w:szCs w:val="18"/>
                <w:b w:val="1"/>
                <w:bCs w:val="1"/>
                <w:color w:val="auto"/>
              </w:rPr>
              <w:t>Total fixed charges</w:t>
            </w:r>
          </w:p>
        </w:tc>
        <w:tc>
          <w:tcPr>
            <w:tcW w:w="440" w:type="dxa"/>
            <w:vAlign w:val="bottom"/>
            <w:tcBorders>
              <w:bottom w:val="single" w:sz="8" w:color="auto"/>
            </w:tcBorders>
            <w:shd w:val="clear" w:color="auto" w:fill="E5FF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700" w:type="dxa"/>
            <w:vAlign w:val="bottom"/>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840" w:right="1900" w:hanging="317"/>
        <w:spacing w:after="0" w:line="246"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Denotes the equivalent of an appropriate portion of rentals representative of the interest factor on all rentals other than for capitalized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72466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David M. Cote, Chief Executive Officer, certify that:</w:t>
      </w:r>
    </w:p>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jc w:val="right"/>
        <w:ind w:right="2720"/>
        <w:spacing w:after="0" w:line="250" w:lineRule="auto"/>
        <w:rPr>
          <w:sz w:val="20"/>
          <w:szCs w:val="20"/>
          <w:color w:val="auto"/>
        </w:rPr>
      </w:pPr>
      <w:r>
        <w:rPr>
          <w:rFonts w:ascii="Arial" w:cs="Arial" w:eastAsia="Arial" w:hAnsi="Arial"/>
          <w:sz w:val="18"/>
          <w:szCs w:val="18"/>
          <w:color w:val="auto"/>
        </w:rPr>
        <w:t xml:space="preserve">Date: October 21, 2016                                                  By:  </w:t>
      </w:r>
      <w:r>
        <w:rPr>
          <w:rFonts w:ascii="Arial" w:cs="Arial" w:eastAsia="Arial" w:hAnsi="Arial"/>
          <w:sz w:val="18"/>
          <w:szCs w:val="18"/>
          <w:u w:val="single" w:color="auto"/>
          <w:color w:val="auto"/>
        </w:rPr>
        <w:t>/s/ David M. Cote</w:t>
      </w:r>
      <w:r>
        <w:rPr>
          <w:rFonts w:ascii="Arial" w:cs="Arial" w:eastAsia="Arial" w:hAnsi="Arial"/>
          <w:sz w:val="18"/>
          <w:szCs w:val="18"/>
          <w:color w:val="auto"/>
        </w:rPr>
        <w:t xml:space="preserve"> David M. Cote</w:t>
      </w:r>
    </w:p>
    <w:p>
      <w:pPr>
        <w:spacing w:after="0" w:line="21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Thomas A. Szlosek, Chief Financial Officer, certify that:</w:t>
      </w:r>
    </w:p>
    <w:p>
      <w:pPr>
        <w:spacing w:after="0" w:line="19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198"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Arial" w:cs="Arial" w:eastAsia="Arial" w:hAnsi="Arial"/>
          <w:sz w:val="18"/>
          <w:szCs w:val="18"/>
          <w:color w:val="auto"/>
        </w:rPr>
      </w:pPr>
    </w:p>
    <w:p>
      <w:pPr>
        <w:jc w:val="both"/>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right="2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hanging="320"/>
        <w:spacing w:after="0" w:line="24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October 21,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Thomas A. Szlosek</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Thomas A. Szlosek</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2016 as filed with the Securities and Exchange Commission on the date hereof (the Report), I, David M. Cote, Chief Executive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jc w:val="right"/>
        <w:ind w:right="2720"/>
        <w:spacing w:after="0" w:line="250" w:lineRule="auto"/>
        <w:rPr>
          <w:sz w:val="20"/>
          <w:szCs w:val="20"/>
          <w:color w:val="auto"/>
        </w:rPr>
      </w:pPr>
      <w:r>
        <w:rPr>
          <w:rFonts w:ascii="Arial" w:cs="Arial" w:eastAsia="Arial" w:hAnsi="Arial"/>
          <w:sz w:val="18"/>
          <w:szCs w:val="18"/>
          <w:color w:val="auto"/>
        </w:rPr>
        <w:t xml:space="preserve">Date: October 21, 2016                                                  By:  </w:t>
      </w:r>
      <w:r>
        <w:rPr>
          <w:rFonts w:ascii="Arial" w:cs="Arial" w:eastAsia="Arial" w:hAnsi="Arial"/>
          <w:sz w:val="18"/>
          <w:szCs w:val="18"/>
          <w:u w:val="single" w:color="auto"/>
          <w:color w:val="auto"/>
        </w:rPr>
        <w:t>/s/ David M. Cote</w:t>
      </w:r>
      <w:r>
        <w:rPr>
          <w:rFonts w:ascii="Arial" w:cs="Arial" w:eastAsia="Arial" w:hAnsi="Arial"/>
          <w:sz w:val="18"/>
          <w:szCs w:val="18"/>
          <w:color w:val="auto"/>
        </w:rPr>
        <w:t xml:space="preserve"> David M. Cote</w:t>
      </w:r>
    </w:p>
    <w:p>
      <w:pPr>
        <w:spacing w:after="0" w:line="21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September 30, 2016 as filed with the Securities and Exchange Commission on the date hereof (the Report), I, Thomas A. Szlosek, Chief Financial Officer of the Company, certify, pursuant to 18 U.S.C. Section 1350, as adopted pursuant to Section 906 of the Sarbanes-Oxley Act of 2002, that:</w:t>
      </w:r>
    </w:p>
    <w:p>
      <w:pPr>
        <w:spacing w:after="0" w:line="189"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20" w:hanging="644"/>
        <w:spacing w:after="0" w:line="246"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October 21,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Thomas A. Szlosek</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Thomas A. Szlosek</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upperLetter"/>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2020-01-21T14:05:53Z</dcterms:created>
  <dcterms:modified xsi:type="dcterms:W3CDTF">2020-01-21T14:05:53Z</dcterms:modified>
</cp:coreProperties>
</file>