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8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89675"/>
                    </a:xfrm>
                    <a:prstGeom prst="rect">
                      <a:avLst/>
                    </a:prstGeom>
                    <a:noFill/>
                  </pic:spPr>
                </pic:pic>
              </a:graphicData>
            </a:graphic>
          </wp:anchor>
        </w:drawing>
      </w:r>
    </w:p>
    <w:p>
      <w:pPr>
        <w:spacing w:after="0" w:line="1243" w:lineRule="exact"/>
        <w:rPr>
          <w:sz w:val="24"/>
          <w:szCs w:val="24"/>
          <w:color w:val="auto"/>
        </w:rPr>
      </w:pPr>
    </w:p>
    <w:p>
      <w:pPr>
        <w:sectPr>
          <w:pgSz w:w="11900" w:h="16866"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Kapur Vimal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855 S. MINT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HONEYWELL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HON </w:t>
      </w:r>
      <w:r>
        <w:rPr>
          <w:rFonts w:ascii="Times New Roman" w:cs="Times New Roman" w:eastAsia="Times New Roman" w:hAnsi="Times New Roman"/>
          <w:sz w:val="20"/>
          <w:szCs w:val="20"/>
          <w:color w:val="000000"/>
        </w:rPr>
        <w:t>]</w:t>
      </w:r>
    </w:p>
    <w:p>
      <w:pPr>
        <w:spacing w:after="0" w:line="2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86" w:lineRule="exact"/>
        <w:rPr>
          <w:sz w:val="24"/>
          <w:szCs w:val="24"/>
          <w:color w:val="auto"/>
        </w:rPr>
      </w:pPr>
    </w:p>
    <w:p>
      <w:pPr>
        <w:sectPr>
          <w:pgSz w:w="11900" w:h="16866" w:orient="portrait"/>
          <w:cols w:equalWidth="0" w:num="3">
            <w:col w:w="3200" w:space="720"/>
            <w:col w:w="3520" w:space="30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8"/>
            <w:vMerge w:val="restart"/>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CHARLOTTE   NC</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28202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16,933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jc w:val="center"/>
              <w:ind w:left="20"/>
              <w:spacing w:after="0" w:line="129" w:lineRule="exact"/>
              <w:rPr>
                <w:sz w:val="20"/>
                <w:szCs w:val="20"/>
                <w:color w:val="auto"/>
              </w:rPr>
            </w:pPr>
            <w:r>
              <w:rPr>
                <w:rFonts w:ascii="Times New Roman" w:cs="Times New Roman" w:eastAsia="Times New Roman" w:hAnsi="Times New Roman"/>
                <w:sz w:val="13"/>
                <w:szCs w:val="13"/>
                <w:color w:val="0000FF"/>
                <w:w w:val="94"/>
              </w:rPr>
              <w:t>16,933</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16,933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(5)</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2,992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restart"/>
          </w:tcPr>
          <w:p>
            <w:pPr>
              <w:jc w:val="center"/>
              <w:ind w:left="20"/>
              <w:spacing w:after="0" w:line="142" w:lineRule="exact"/>
              <w:rPr>
                <w:sz w:val="20"/>
                <w:szCs w:val="20"/>
                <w:color w:val="auto"/>
              </w:rPr>
            </w:pPr>
            <w:r>
              <w:rPr>
                <w:rFonts w:ascii="Times New Roman" w:cs="Times New Roman" w:eastAsia="Times New Roman" w:hAnsi="Times New Roman"/>
                <w:sz w:val="13"/>
                <w:szCs w:val="13"/>
                <w:color w:val="0000FF"/>
              </w:rPr>
              <w:t>2,992</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2,992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2,992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restart"/>
          </w:tcPr>
          <w:p>
            <w:pPr>
              <w:jc w:val="center"/>
              <w:ind w:left="20"/>
              <w:spacing w:after="0" w:line="142" w:lineRule="exact"/>
              <w:rPr>
                <w:sz w:val="20"/>
                <w:szCs w:val="20"/>
                <w:color w:val="auto"/>
              </w:rPr>
            </w:pPr>
            <w:r>
              <w:rPr>
                <w:rFonts w:ascii="Times New Roman" w:cs="Times New Roman" w:eastAsia="Times New Roman" w:hAnsi="Times New Roman"/>
                <w:sz w:val="13"/>
                <w:szCs w:val="13"/>
                <w:color w:val="0000FF"/>
              </w:rPr>
              <w:t>2,992</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2,992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(7)</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21,482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200.61</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jc w:val="center"/>
              <w:ind w:left="20"/>
              <w:spacing w:after="0" w:line="129" w:lineRule="exact"/>
              <w:rPr>
                <w:sz w:val="20"/>
                <w:szCs w:val="20"/>
                <w:color w:val="auto"/>
              </w:rPr>
            </w:pPr>
            <w:r>
              <w:rPr>
                <w:rFonts w:ascii="Times New Roman" w:cs="Times New Roman" w:eastAsia="Times New Roman" w:hAnsi="Times New Roman"/>
                <w:sz w:val="13"/>
                <w:szCs w:val="13"/>
                <w:color w:val="0000FF"/>
                <w:w w:val="94"/>
              </w:rPr>
              <w:t>21,482</w:t>
            </w:r>
          </w:p>
        </w:tc>
        <w:tc>
          <w:tcPr>
            <w:tcW w:w="340" w:type="dxa"/>
            <w:vAlign w:val="bottom"/>
          </w:tcPr>
          <w:p>
            <w:pPr>
              <w:spacing w:after="0"/>
              <w:rPr>
                <w:sz w:val="11"/>
                <w:szCs w:val="11"/>
                <w:color w:val="auto"/>
              </w:rPr>
            </w:pPr>
          </w:p>
        </w:tc>
        <w:tc>
          <w:tcPr>
            <w:tcW w:w="76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7"/>
              </w:rPr>
              <w:t>06/29/2026</w:t>
            </w:r>
          </w:p>
        </w:tc>
        <w:tc>
          <w:tcPr>
            <w:tcW w:w="7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02/19/2035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21,482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(8)</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(8)</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21,482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200.61</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jc w:val="center"/>
              <w:ind w:left="20"/>
              <w:spacing w:after="0" w:line="129" w:lineRule="exact"/>
              <w:rPr>
                <w:sz w:val="20"/>
                <w:szCs w:val="20"/>
                <w:color w:val="auto"/>
              </w:rPr>
            </w:pPr>
            <w:r>
              <w:rPr>
                <w:rFonts w:ascii="Times New Roman" w:cs="Times New Roman" w:eastAsia="Times New Roman" w:hAnsi="Times New Roman"/>
                <w:sz w:val="13"/>
                <w:szCs w:val="13"/>
                <w:color w:val="0000FF"/>
                <w:w w:val="94"/>
              </w:rPr>
              <w:t>21,482</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02/19/2035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21,482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Instrument converts to common stock par value $1.00 per share ('Common Stock') of Honeywell International Inc. ('Honeywell') on a one-for-one basis.</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share units ('PSUs') granted under the 2016 Stock Incentive Plan of Honeywell International Inc and its Affiliates (the 'Plan') which were later converted in connection with the spin-off of Honeywell Aerospace Inc. ('HONA') from Honeywell on June 29, 2026 into restricted stock units of Honeywell and restricted stock units of HONA and were further adjusted to reflect the reverse stock split of Honeywell, in each case in accordance with the Employee Matters Agreement, dated July 29, 2026 between Honeywell and HONA.</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February 16,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Instrument converts to Common Stock on a one-for-one basis.</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PSUs granted under the Plan, which vested upon the successful completion of the spin-off of HONA from Honeywell on June 29, 2026 and were adjusted to reflect the spin-off and further adjusted to reflect the reverse stock split of Honeywell.</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PSUs granted under the Plan, with vesting on June 29, 2027 (i.e., the first anniversary of the successful completion of the spin-off of HONA from Honeywell on June 29, 2026), which were adjusted to reflect the spin-off and further adjusted to reflect the reverse stock split of Honeywell.</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options granted under the Plan subject to successful completion of the spin-off to HONA from Honeywell on June 29, 2026, which are fully vested and were adjusted to reflect the spin-off and further adjusted to reflect the reverse stock split of Honeywell.</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options granted under the Plan subject to successful completion of the spin-off of HONA from Honeywell on June 29, 2026, which will vest on June 29, 2027 and were adjusted to reflect the spin-off and further adjusted to reflect the reverse stock split of Honeywell.</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Richard Kent for Vimal Kapur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26"/>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66" w:orient="portrait"/>
          <w:cols w:equalWidth="0" w:num="1">
            <w:col w:w="11080"/>
          </w:cols>
          <w:pgMar w:left="460" w:top="217" w:right="359" w:bottom="0" w:gutter="0" w:footer="0" w:header="0"/>
          <w:type w:val="continuous"/>
        </w:sectPr>
      </w:pPr>
    </w:p>
    <w:bookmarkStart w:id="1" w:name="page2"/>
    <w:bookmarkEnd w:id="1"/>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2938" TargetMode="External"/><Relationship Id="rId14" Type="http://schemas.openxmlformats.org/officeDocument/2006/relationships/hyperlink" Target="http://www.sec.gov/cgi-bin/browse-edgar?action=getcompany&amp;CIK=000077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2026-07-01T15:31:35Z</dcterms:created>
  <dcterms:modified xsi:type="dcterms:W3CDTF">2026-07-01T15:31:35Z</dcterms:modified>
</cp:coreProperties>
</file>