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5"/>
        <w:spacing w:after="0" w:line="271"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March 31, 2023</w:t>
      </w:r>
    </w:p>
    <w:p>
      <w:pPr>
        <w:jc w:val="center"/>
        <w:ind w:right="-19"/>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0.000% Senior Notes due 2024</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24A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ind w:right="6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460"/>
              <w:spacing w:after="0"/>
              <w:rPr>
                <w:sz w:val="20"/>
                <w:szCs w:val="20"/>
                <w:color w:val="auto"/>
              </w:rPr>
            </w:pPr>
            <w:r>
              <w:rPr>
                <w:rFonts w:ascii="Wingdings" w:cs="Wingdings" w:eastAsia="Wingdings" w:hAnsi="Wingdings"/>
                <w:sz w:val="14"/>
                <w:szCs w:val="14"/>
                <w:b w:val="1"/>
                <w:bCs w:val="1"/>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7"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18" w:lineRule="exact"/>
        <w:rPr>
          <w:sz w:val="24"/>
          <w:szCs w:val="24"/>
          <w:color w:val="auto"/>
        </w:rPr>
      </w:pPr>
    </w:p>
    <w:p>
      <w:pPr>
        <w:ind w:right="3100"/>
        <w:spacing w:after="0" w:line="24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There were 665,676,749 shares of Common Stock outstanding at 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w:t>
            </w:r>
          </w:p>
        </w:tc>
        <w:tc>
          <w:tcPr>
            <w:tcW w:w="926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Financial Information</w:t>
            </w:r>
          </w:p>
        </w:tc>
        <w:tc>
          <w:tcPr>
            <w:tcW w:w="1220" w:type="dxa"/>
            <w:vAlign w:val="bottom"/>
            <w:tcBorders>
              <w:bottom w:val="single" w:sz="8" w:color="D7282F"/>
            </w:tcBorders>
          </w:tcPr>
          <w:p>
            <w:pPr>
              <w:spacing w:after="0"/>
              <w:rPr>
                <w:sz w:val="18"/>
                <w:szCs w:val="18"/>
                <w:color w:val="auto"/>
              </w:rPr>
            </w:pP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Financial Statements and Supplementary Data (unaudited):</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Statement of Operations (unaudited) – Three Months Ended March 31, 2023, and 2022</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Statement of Comprehensive Income (unaudited) – Three Months Ended March 31, 2023, and 2022</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Balance Sheet (unaudited) – March 31, 2023, and December 31, 2022</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Statement of Cash Flows (unaudited) – Three Months Ended March 31, 2023, and 2022</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Statement of Shareowners' Equity (unaudited) – Three Months Ended March 31, 2023, and 2022</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7</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 – Basis of Presentation</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2 – Summary of Significant Accounting Policies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3 – Acquisitions and Divestitures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4 – Revenue Recognition and Contracts with Customers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10</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5 – Repositioning and Other Charges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13</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6 – Income Taxes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7 – Inventories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8 – Long-term Debt and Credit Agreements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9 – Leases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10 – Derivative Instruments and Hedging Transactions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11 – Fair Value Measurements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20</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12 – Earnings Per Share</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21</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13 – Accumulated Other Comprehensive Income (Loss)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22</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14 – Commitments and Contingencies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22</w:t>
            </w:r>
          </w:p>
        </w:tc>
      </w:tr>
      <w:tr>
        <w:trPr>
          <w:trHeight w:val="209"/>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15 – Pension Benefits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26</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16 – Other (Income) Expense</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27</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17 – Segment Financial Data</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27</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18 – Subsequent Events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29</w:t>
            </w:r>
          </w:p>
        </w:tc>
      </w:tr>
      <w:tr>
        <w:trPr>
          <w:trHeight w:val="209"/>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3</w:t>
            </w: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Quantitative and Qualitative Disclosures about Market Risks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45</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auto"/>
              </w:rPr>
              <w:t>ITEM 4</w:t>
            </w:r>
          </w:p>
        </w:tc>
        <w:tc>
          <w:tcPr>
            <w:tcW w:w="9260" w:type="dxa"/>
            <w:vAlign w:val="bottom"/>
            <w:tcBorders>
              <w:bottom w:val="single" w:sz="8" w:color="D7282F"/>
            </w:tcBorders>
          </w:tcPr>
          <w:p>
            <w:pPr>
              <w:ind w:left="80"/>
              <w:spacing w:after="0"/>
              <w:rPr>
                <w:sz w:val="20"/>
                <w:szCs w:val="20"/>
                <w:color w:val="auto"/>
              </w:rPr>
            </w:pPr>
            <w:r>
              <w:rPr>
                <w:rFonts w:ascii="Arial" w:cs="Arial" w:eastAsia="Arial" w:hAnsi="Arial"/>
                <w:sz w:val="16"/>
                <w:szCs w:val="16"/>
                <w:color w:val="auto"/>
              </w:rPr>
              <w:t>Controls and Procedures</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45</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II</w:t>
            </w:r>
          </w:p>
        </w:tc>
        <w:tc>
          <w:tcPr>
            <w:tcW w:w="926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Other Information</w:t>
            </w:r>
          </w:p>
        </w:tc>
        <w:tc>
          <w:tcPr>
            <w:tcW w:w="1220" w:type="dxa"/>
            <w:vAlign w:val="bottom"/>
            <w:tcBorders>
              <w:bottom w:val="single" w:sz="8" w:color="D7282F"/>
            </w:tcBorders>
          </w:tcPr>
          <w:p>
            <w:pPr>
              <w:spacing w:after="0"/>
              <w:rPr>
                <w:sz w:val="18"/>
                <w:szCs w:val="18"/>
                <w:color w:val="auto"/>
              </w:rPr>
            </w:pPr>
          </w:p>
        </w:tc>
      </w:tr>
      <w:tr>
        <w:trPr>
          <w:trHeight w:val="209"/>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Legal Proceedings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46</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1A</w:t>
            </w: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Risk Factors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46</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46</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4</w:t>
            </w: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Mine Safety Disclosures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47</w:t>
            </w:r>
          </w:p>
        </w:tc>
      </w:tr>
      <w:tr>
        <w:trPr>
          <w:trHeight w:val="209"/>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6</w:t>
            </w: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Exhibits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48</w:t>
            </w:r>
          </w:p>
        </w:tc>
      </w:tr>
      <w:tr>
        <w:trPr>
          <w:trHeight w:val="210"/>
        </w:trPr>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Signatures</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49</w:t>
            </w:r>
          </w:p>
        </w:tc>
      </w:tr>
      <w:tr>
        <w:trPr>
          <w:trHeight w:val="1850"/>
        </w:trPr>
        <w:tc>
          <w:tcPr>
            <w:tcW w:w="7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that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Risk Factors, as well as the description of trends and other factors in Management’s Discussion and Analysis of Financial Condition and Results of Operations, set forth in this report and our 2022 Annual Report on Form 10-K. Any forward-looking plans described herein are not final and may be modified or abandoned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International Inc. (Honeywell, we, us, our, or the Company) invents and commercializes technologies that address some of the world’s most critical challenges around energy, safety, security, air travel, productivity, and global urbanization. We are a leading software-industrial company committed to introducing state of the art technology solutions to improve efficiency, productivity, sustainability, and safety in high growth businesses in broad-based, attractive industrial end markets.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21"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financial statements and related notes as of March 31, 2023, should be read in conjunction with the financial statements for the year ended December 31, 2022, contained in the Company's 2022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6350</wp:posOffset>
            </wp:positionV>
            <wp:extent cx="1139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w w:val="96"/>
              </w:rPr>
              <w:t>2022</w:t>
            </w:r>
          </w:p>
        </w:tc>
      </w:tr>
      <w:tr>
        <w:trPr>
          <w:trHeight w:val="147"/>
        </w:trPr>
        <w:tc>
          <w:tcPr>
            <w:tcW w:w="9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jc w:val="center"/>
              <w:ind w:right="88"/>
              <w:spacing w:after="0" w:line="147" w:lineRule="exact"/>
              <w:rPr>
                <w:sz w:val="20"/>
                <w:szCs w:val="20"/>
                <w:color w:val="auto"/>
              </w:rPr>
            </w:pPr>
            <w:r>
              <w:rPr>
                <w:rFonts w:ascii="Arial" w:cs="Arial" w:eastAsia="Arial" w:hAnsi="Arial"/>
                <w:sz w:val="14"/>
                <w:szCs w:val="14"/>
                <w:b w:val="1"/>
                <w:bCs w:val="1"/>
                <w:color w:val="auto"/>
              </w:rPr>
              <w:t>(Dollars in millions,</w:t>
            </w:r>
          </w:p>
        </w:tc>
      </w:tr>
      <w:tr>
        <w:trPr>
          <w:trHeight w:val="144"/>
        </w:trPr>
        <w:tc>
          <w:tcPr>
            <w:tcW w:w="9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jc w:val="center"/>
              <w:ind w:right="68"/>
              <w:spacing w:after="0" w:line="145" w:lineRule="exact"/>
              <w:rPr>
                <w:sz w:val="20"/>
                <w:szCs w:val="20"/>
                <w:color w:val="auto"/>
              </w:rPr>
            </w:pPr>
            <w:r>
              <w:rPr>
                <w:rFonts w:ascii="Arial" w:cs="Arial" w:eastAsia="Arial" w:hAnsi="Arial"/>
                <w:sz w:val="14"/>
                <w:szCs w:val="14"/>
                <w:b w:val="1"/>
                <w:bCs w:val="1"/>
                <w:color w:val="auto"/>
              </w:rPr>
              <w:t>except per share</w:t>
            </w:r>
          </w:p>
        </w:tc>
      </w:tr>
      <w:tr>
        <w:trPr>
          <w:trHeight w:val="189"/>
        </w:trPr>
        <w:tc>
          <w:tcPr>
            <w:tcW w:w="94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center"/>
              <w:ind w:left="328"/>
              <w:spacing w:after="0"/>
              <w:rPr>
                <w:sz w:val="20"/>
                <w:szCs w:val="20"/>
                <w:color w:val="auto"/>
              </w:rPr>
            </w:pPr>
            <w:r>
              <w:rPr>
                <w:rFonts w:ascii="Arial" w:cs="Arial" w:eastAsia="Arial" w:hAnsi="Arial"/>
                <w:sz w:val="14"/>
                <w:szCs w:val="14"/>
                <w:b w:val="1"/>
                <w:bCs w:val="1"/>
                <w:color w:val="auto"/>
              </w:rPr>
              <w:t>amounts)</w:t>
            </w:r>
          </w:p>
        </w:tc>
        <w:tc>
          <w:tcPr>
            <w:tcW w:w="560" w:type="dxa"/>
            <w:vAlign w:val="bottom"/>
            <w:tcBorders>
              <w:bottom w:val="single" w:sz="8" w:color="D7282F"/>
            </w:tcBorders>
          </w:tcPr>
          <w:p>
            <w:pPr>
              <w:spacing w:after="0"/>
              <w:rPr>
                <w:sz w:val="16"/>
                <w:szCs w:val="16"/>
                <w:color w:val="auto"/>
              </w:rPr>
            </w:pPr>
          </w:p>
        </w:tc>
      </w:tr>
      <w:tr>
        <w:trPr>
          <w:trHeight w:val="192"/>
        </w:trPr>
        <w:tc>
          <w:tcPr>
            <w:tcW w:w="9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6,310</w:t>
            </w:r>
          </w:p>
        </w:tc>
        <w:tc>
          <w:tcPr>
            <w:tcW w:w="3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6,132</w:t>
            </w:r>
          </w:p>
        </w:tc>
      </w:tr>
      <w:tr>
        <w:trPr>
          <w:trHeight w:val="196"/>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2,554</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2,244</w:t>
            </w:r>
          </w:p>
        </w:tc>
      </w:tr>
      <w:tr>
        <w:trPr>
          <w:trHeight w:val="199"/>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8,864</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8,376</w:t>
            </w:r>
          </w:p>
        </w:tc>
      </w:tr>
      <w:tr>
        <w:trPr>
          <w:trHeight w:val="193"/>
        </w:trPr>
        <w:tc>
          <w:tcPr>
            <w:tcW w:w="9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r>
      <w:tr>
        <w:trPr>
          <w:trHeight w:val="196"/>
        </w:trPr>
        <w:tc>
          <w:tcPr>
            <w:tcW w:w="9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4,068</w:t>
            </w:r>
          </w:p>
        </w:tc>
        <w:tc>
          <w:tcPr>
            <w:tcW w:w="34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4,059</w:t>
            </w:r>
          </w:p>
        </w:tc>
      </w:tr>
      <w:tr>
        <w:trPr>
          <w:trHeight w:val="196"/>
        </w:trPr>
        <w:tc>
          <w:tcPr>
            <w:tcW w:w="9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1,430</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1,265</w:t>
            </w:r>
          </w:p>
        </w:tc>
      </w:tr>
      <w:tr>
        <w:trPr>
          <w:trHeight w:val="199"/>
        </w:trPr>
        <w:tc>
          <w:tcPr>
            <w:tcW w:w="9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5,498</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5,324</w:t>
            </w:r>
          </w:p>
        </w:tc>
      </w:tr>
      <w:tr>
        <w:trPr>
          <w:trHeight w:val="193"/>
        </w:trPr>
        <w:tc>
          <w:tcPr>
            <w:tcW w:w="9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357</w:t>
            </w:r>
          </w:p>
        </w:tc>
        <w:tc>
          <w:tcPr>
            <w:tcW w:w="34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350</w:t>
            </w:r>
          </w:p>
        </w:tc>
      </w:tr>
      <w:tr>
        <w:trPr>
          <w:trHeight w:val="196"/>
        </w:trPr>
        <w:tc>
          <w:tcPr>
            <w:tcW w:w="9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1,317</w:t>
            </w:r>
          </w:p>
        </w:tc>
        <w:tc>
          <w:tcPr>
            <w:tcW w:w="34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1,431</w:t>
            </w:r>
          </w:p>
        </w:tc>
      </w:tr>
      <w:tr>
        <w:trPr>
          <w:trHeight w:val="196"/>
        </w:trPr>
        <w:tc>
          <w:tcPr>
            <w:tcW w:w="9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(260)</w:t>
            </w:r>
          </w:p>
        </w:tc>
        <w:tc>
          <w:tcPr>
            <w:tcW w:w="34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(319)</w:t>
            </w:r>
          </w:p>
        </w:tc>
      </w:tr>
      <w:tr>
        <w:trPr>
          <w:trHeight w:val="196"/>
        </w:trPr>
        <w:tc>
          <w:tcPr>
            <w:tcW w:w="9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170</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85</w:t>
            </w:r>
          </w:p>
        </w:tc>
      </w:tr>
      <w:tr>
        <w:trPr>
          <w:trHeight w:val="199"/>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7,082</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6,871</w:t>
            </w:r>
          </w:p>
        </w:tc>
      </w:tr>
      <w:tr>
        <w:trPr>
          <w:trHeight w:val="196"/>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1,782</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1,505</w:t>
            </w:r>
          </w:p>
        </w:tc>
      </w:tr>
      <w:tr>
        <w:trPr>
          <w:trHeight w:val="193"/>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374</w:t>
            </w: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371</w:t>
            </w:r>
          </w:p>
        </w:tc>
      </w:tr>
      <w:tr>
        <w:trPr>
          <w:trHeight w:val="199"/>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1,408</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1,134</w:t>
            </w:r>
          </w:p>
        </w:tc>
      </w:tr>
      <w:tr>
        <w:trPr>
          <w:trHeight w:val="193"/>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1,394</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1,134</w:t>
            </w:r>
          </w:p>
        </w:tc>
      </w:tr>
      <w:tr>
        <w:trPr>
          <w:trHeight w:val="196"/>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2.09</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1.66</w:t>
            </w:r>
          </w:p>
        </w:tc>
      </w:tr>
      <w:tr>
        <w:trPr>
          <w:trHeight w:val="196"/>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2.07</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6350</wp:posOffset>
            </wp:positionV>
            <wp:extent cx="1139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2022</w:t>
            </w:r>
          </w:p>
        </w:tc>
      </w:tr>
      <w:tr>
        <w:trPr>
          <w:trHeight w:val="196"/>
        </w:trPr>
        <w:tc>
          <w:tcPr>
            <w:tcW w:w="94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gridSpan w:val="3"/>
          </w:tcPr>
          <w:p>
            <w:pPr>
              <w:jc w:val="right"/>
              <w:ind w:right="168"/>
              <w:spacing w:after="0"/>
              <w:rPr>
                <w:sz w:val="20"/>
                <w:szCs w:val="20"/>
                <w:color w:val="auto"/>
              </w:rPr>
            </w:pPr>
            <w:r>
              <w:rPr>
                <w:rFonts w:ascii="Arial" w:cs="Arial" w:eastAsia="Arial" w:hAnsi="Arial"/>
                <w:sz w:val="14"/>
                <w:szCs w:val="14"/>
                <w:b w:val="1"/>
                <w:bCs w:val="1"/>
                <w:color w:val="auto"/>
              </w:rPr>
              <w:t>(Dollars in millions)</w:t>
            </w:r>
          </w:p>
        </w:tc>
      </w:tr>
      <w:tr>
        <w:trPr>
          <w:trHeight w:val="193"/>
        </w:trPr>
        <w:tc>
          <w:tcPr>
            <w:tcW w:w="9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1,408</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1,134</w:t>
            </w:r>
          </w:p>
        </w:tc>
      </w:tr>
      <w:tr>
        <w:trPr>
          <w:trHeight w:val="196"/>
        </w:trPr>
        <w:tc>
          <w:tcPr>
            <w:tcW w:w="9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9"/>
        </w:trPr>
        <w:tc>
          <w:tcPr>
            <w:tcW w:w="9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Foreign exchange translation adjustment</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(58)</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w:t>
            </w:r>
          </w:p>
        </w:tc>
      </w:tr>
      <w:tr>
        <w:trPr>
          <w:trHeight w:val="196"/>
        </w:trPr>
        <w:tc>
          <w:tcPr>
            <w:tcW w:w="9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w:t>
            </w:r>
          </w:p>
        </w:tc>
      </w:tr>
      <w:tr>
        <w:trPr>
          <w:trHeight w:val="196"/>
        </w:trPr>
        <w:tc>
          <w:tcPr>
            <w:tcW w:w="9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193"/>
        </w:trPr>
        <w:tc>
          <w:tcPr>
            <w:tcW w:w="944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Cash flow hedges recognized in other comprehensive income (loss)</w:t>
            </w:r>
          </w:p>
        </w:tc>
        <w:tc>
          <w:tcPr>
            <w:tcW w:w="1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944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Less: Reclassification adjustment for gains included in net income</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9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cash flow hedges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96"/>
        </w:trPr>
        <w:tc>
          <w:tcPr>
            <w:tcW w:w="9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(62)</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w:t>
            </w:r>
          </w:p>
        </w:tc>
      </w:tr>
      <w:tr>
        <w:trPr>
          <w:trHeight w:val="196"/>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1,346</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1,242</w:t>
            </w:r>
          </w:p>
        </w:tc>
      </w:tr>
      <w:tr>
        <w:trPr>
          <w:trHeight w:val="193"/>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attributable to the noncontrolling interest</w:t>
            </w:r>
          </w:p>
        </w:tc>
        <w:tc>
          <w:tcPr>
            <w:tcW w:w="1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1,331</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1,242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756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60" w:type="dxa"/>
            <w:vAlign w:val="bottom"/>
            <w:tcBorders>
              <w:bottom w:val="single" w:sz="8" w:color="D7282F"/>
            </w:tcBorders>
            <w:gridSpan w:val="3"/>
          </w:tcPr>
          <w:p>
            <w:pPr>
              <w:jc w:val="right"/>
              <w:ind w:right="110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7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6,869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9,627</w:t>
            </w:r>
          </w:p>
        </w:tc>
      </w:tr>
      <w:tr>
        <w:trPr>
          <w:trHeight w:val="196"/>
        </w:trPr>
        <w:tc>
          <w:tcPr>
            <w:tcW w:w="7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371</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483</w:t>
            </w:r>
          </w:p>
        </w:tc>
      </w:tr>
      <w:tr>
        <w:trPr>
          <w:trHeight w:val="196"/>
        </w:trPr>
        <w:tc>
          <w:tcPr>
            <w:tcW w:w="7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$336 and $326, respectively</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7,862</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7,440</w:t>
            </w:r>
          </w:p>
        </w:tc>
      </w:tr>
      <w:tr>
        <w:trPr>
          <w:trHeight w:val="196"/>
        </w:trPr>
        <w:tc>
          <w:tcPr>
            <w:tcW w:w="7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5,776</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5,538</w:t>
            </w:r>
          </w:p>
        </w:tc>
      </w:tr>
      <w:tr>
        <w:trPr>
          <w:trHeight w:val="196"/>
        </w:trPr>
        <w:tc>
          <w:tcPr>
            <w:tcW w:w="7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1,632</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1,894</w:t>
            </w:r>
          </w:p>
        </w:tc>
      </w:tr>
      <w:tr>
        <w:trPr>
          <w:trHeight w:val="199"/>
        </w:trPr>
        <w:tc>
          <w:tcPr>
            <w:tcW w:w="7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22,510</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24,982</w:t>
            </w:r>
          </w:p>
        </w:tc>
      </w:tr>
      <w:tr>
        <w:trPr>
          <w:trHeight w:val="193"/>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220" w:type="dxa"/>
            <w:vAlign w:val="bottom"/>
            <w:tcBorders>
              <w:bottom w:val="single" w:sz="8" w:color="61656A"/>
            </w:tcBorders>
          </w:tcPr>
          <w:p>
            <w:pPr>
              <w:spacing w:after="0"/>
              <w:rPr>
                <w:sz w:val="16"/>
                <w:szCs w:val="16"/>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905</w:t>
            </w:r>
          </w:p>
        </w:tc>
        <w:tc>
          <w:tcPr>
            <w:tcW w:w="26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945</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5,472</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5,471</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17,587</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17,497</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3,168</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3,222</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239</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224</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383</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421</w:t>
            </w:r>
          </w:p>
        </w:tc>
      </w:tr>
      <w:tr>
        <w:trPr>
          <w:trHeight w:val="196"/>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9,619</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9,513</w:t>
            </w:r>
          </w:p>
        </w:tc>
      </w:tr>
      <w:tr>
        <w:trPr>
          <w:trHeight w:val="199"/>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59,883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62,275</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7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6,443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6,329</w:t>
            </w:r>
          </w:p>
        </w:tc>
      </w:tr>
      <w:tr>
        <w:trPr>
          <w:trHeight w:val="196"/>
        </w:trPr>
        <w:tc>
          <w:tcPr>
            <w:tcW w:w="7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3,555</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2,717</w:t>
            </w:r>
          </w:p>
        </w:tc>
      </w:tr>
      <w:tr>
        <w:trPr>
          <w:trHeight w:val="196"/>
        </w:trPr>
        <w:tc>
          <w:tcPr>
            <w:tcW w:w="7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937</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1,730</w:t>
            </w:r>
          </w:p>
        </w:tc>
      </w:tr>
      <w:tr>
        <w:trPr>
          <w:trHeight w:val="196"/>
        </w:trPr>
        <w:tc>
          <w:tcPr>
            <w:tcW w:w="7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Accrued liabilities</w:t>
            </w:r>
          </w:p>
        </w:tc>
        <w:tc>
          <w:tcPr>
            <w:tcW w:w="2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6,961</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9,162</w:t>
            </w:r>
          </w:p>
        </w:tc>
      </w:tr>
      <w:tr>
        <w:trPr>
          <w:trHeight w:val="199"/>
        </w:trPr>
        <w:tc>
          <w:tcPr>
            <w:tcW w:w="7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17,896</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19,938</w:t>
            </w:r>
          </w:p>
        </w:tc>
      </w:tr>
      <w:tr>
        <w:trPr>
          <w:trHeight w:val="193"/>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Borders>
              <w:bottom w:val="single" w:sz="8" w:color="61656A"/>
            </w:tcBorders>
          </w:tcPr>
          <w:p>
            <w:pPr>
              <w:spacing w:after="0"/>
              <w:rPr>
                <w:sz w:val="16"/>
                <w:szCs w:val="16"/>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14,670</w:t>
            </w:r>
          </w:p>
        </w:tc>
        <w:tc>
          <w:tcPr>
            <w:tcW w:w="26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15,123</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2,303</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2,093</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137</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1,154</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1,180</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6,201</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6,469</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220" w:type="dxa"/>
            <w:vAlign w:val="bottom"/>
            <w:tcBorders>
              <w:bottom w:val="single" w:sz="8" w:color="61656A"/>
            </w:tcBorders>
          </w:tcPr>
          <w:p>
            <w:pPr>
              <w:spacing w:after="0"/>
              <w:rPr>
                <w:sz w:val="16"/>
                <w:szCs w:val="16"/>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6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56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8,774</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8,564</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(35,072)</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(34,443)</w:t>
            </w:r>
          </w:p>
        </w:tc>
      </w:tr>
      <w:tr>
        <w:trPr>
          <w:trHeight w:val="196"/>
        </w:trPr>
        <w:tc>
          <w:tcPr>
            <w:tcW w:w="7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(3,538)</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(3,475)</w:t>
            </w:r>
          </w:p>
        </w:tc>
      </w:tr>
      <w:tr>
        <w:trPr>
          <w:trHeight w:val="196"/>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45,797</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45,093</w:t>
            </w:r>
          </w:p>
        </w:tc>
      </w:tr>
      <w:tr>
        <w:trPr>
          <w:trHeight w:val="199"/>
        </w:trPr>
        <w:tc>
          <w:tcPr>
            <w:tcW w:w="7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2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16,919</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16,697</w:t>
            </w:r>
          </w:p>
        </w:tc>
      </w:tr>
      <w:tr>
        <w:trPr>
          <w:trHeight w:val="193"/>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596</w:t>
            </w:r>
          </w:p>
        </w:tc>
        <w:tc>
          <w:tcPr>
            <w:tcW w:w="26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622</w:t>
            </w:r>
          </w:p>
        </w:tc>
      </w:tr>
      <w:tr>
        <w:trPr>
          <w:trHeight w:val="199"/>
        </w:trPr>
        <w:tc>
          <w:tcPr>
            <w:tcW w:w="7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2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17,515</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17,319</w:t>
            </w:r>
          </w:p>
        </w:tc>
      </w:tr>
      <w:tr>
        <w:trPr>
          <w:trHeight w:val="196"/>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59,883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62,275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Pr>
          <w:p>
            <w:pPr>
              <w:spacing w:after="0"/>
              <w:rPr>
                <w:sz w:val="17"/>
                <w:szCs w:val="17"/>
                <w:color w:val="auto"/>
              </w:rPr>
            </w:pPr>
          </w:p>
        </w:tc>
        <w:tc>
          <w:tcPr>
            <w:tcW w:w="2920" w:type="dxa"/>
            <w:vAlign w:val="bottom"/>
            <w:tcBorders>
              <w:bottom w:val="single" w:sz="8" w:color="D7282F"/>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20" w:type="dxa"/>
            <w:vAlign w:val="bottom"/>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D7282F"/>
            </w:tcBorders>
          </w:tcPr>
          <w:p>
            <w:pPr>
              <w:spacing w:after="0"/>
              <w:rPr>
                <w:sz w:val="17"/>
                <w:szCs w:val="17"/>
                <w:color w:val="auto"/>
              </w:rPr>
            </w:pPr>
          </w:p>
        </w:tc>
      </w:tr>
      <w:tr>
        <w:trPr>
          <w:trHeight w:val="196"/>
        </w:trPr>
        <w:tc>
          <w:tcPr>
            <w:tcW w:w="8320" w:type="dxa"/>
            <w:vAlign w:val="bottom"/>
            <w:tcBorders>
              <w:bottom w:val="single" w:sz="8" w:color="D7282F"/>
            </w:tcBorders>
          </w:tcPr>
          <w:p>
            <w:pPr>
              <w:spacing w:after="0"/>
              <w:rPr>
                <w:sz w:val="17"/>
                <w:szCs w:val="17"/>
                <w:color w:val="auto"/>
              </w:rPr>
            </w:pPr>
          </w:p>
        </w:tc>
        <w:tc>
          <w:tcPr>
            <w:tcW w:w="240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Borders>
              <w:bottom w:val="single" w:sz="8" w:color="D7282F"/>
            </w:tcBorders>
          </w:tcPr>
          <w:p>
            <w:pPr>
              <w:spacing w:after="0"/>
              <w:rPr>
                <w:sz w:val="17"/>
                <w:szCs w:val="17"/>
                <w:color w:val="auto"/>
              </w:rPr>
            </w:pP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61656A"/>
            </w:tcBorders>
          </w:tcPr>
          <w:p>
            <w:pPr>
              <w:jc w:val="right"/>
              <w:ind w:right="6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1,408</w:t>
            </w:r>
          </w:p>
        </w:tc>
        <w:tc>
          <w:tcPr>
            <w:tcW w:w="940" w:type="dxa"/>
            <w:vAlign w:val="bottom"/>
            <w:tcBorders>
              <w:bottom w:val="single" w:sz="8" w:color="61656A"/>
            </w:tcBorders>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1,134</w:t>
            </w:r>
          </w:p>
        </w:tc>
      </w:tr>
      <w:tr>
        <w:trPr>
          <w:trHeight w:val="196"/>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attributable to Honeywell</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1,394</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1,134</w:t>
            </w:r>
          </w:p>
        </w:tc>
      </w:tr>
      <w:tr>
        <w:trPr>
          <w:trHeight w:val="19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 to reconcile net income attributable to Honeywell to net cash provided by (used for) operating activities</w:t>
            </w:r>
          </w:p>
        </w:tc>
        <w:tc>
          <w:tcPr>
            <w:tcW w:w="84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161</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167</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122</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163</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141</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387</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(41)</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(108)</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NARCO Buyout payment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(136)</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(261)</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59</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225</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(350)</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receivable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(422)</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(285)</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Inventories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(238)</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(331)</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Other current assets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payable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114</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83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Accrued liabilities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(583)</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(602)</w:t>
            </w:r>
          </w:p>
        </w:tc>
      </w:tr>
      <w:tr>
        <w:trPr>
          <w:trHeight w:val="199"/>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(used for) operating activities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(784)</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 expenditures</w:t>
            </w:r>
          </w:p>
        </w:tc>
        <w:tc>
          <w:tcPr>
            <w:tcW w:w="84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(193)</w:t>
            </w:r>
          </w:p>
        </w:tc>
        <w:tc>
          <w:tcPr>
            <w:tcW w:w="94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(183)</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Increase in investments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(226)</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(223)</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Decrease in investments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386</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304</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Receipts from Garrett Motion Inc.</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Receipts (payments) from settlements of derivative contracts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w:t>
            </w:r>
          </w:p>
        </w:tc>
      </w:tr>
      <w:tr>
        <w:trPr>
          <w:trHeight w:val="196"/>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(176)</w:t>
            </w:r>
          </w:p>
        </w:tc>
      </w:tr>
      <w:tr>
        <w:trPr>
          <w:trHeight w:val="199"/>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(29)</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3"/>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84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4,105</w:t>
            </w:r>
          </w:p>
        </w:tc>
        <w:tc>
          <w:tcPr>
            <w:tcW w:w="94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1,228</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(3,294)</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(1,228)</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(1,363)</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(699)</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(1,018)</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(725)</w:t>
            </w:r>
          </w:p>
        </w:tc>
        <w:tc>
          <w:tcPr>
            <w:tcW w:w="9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(668)</w:t>
            </w:r>
          </w:p>
        </w:tc>
      </w:tr>
      <w:tr>
        <w:trPr>
          <w:trHeight w:val="196"/>
        </w:trPr>
        <w:tc>
          <w:tcPr>
            <w:tcW w:w="83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(34)</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financing activities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(1,973)</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(1,719)</w:t>
            </w:r>
          </w:p>
        </w:tc>
      </w:tr>
      <w:tr>
        <w:trPr>
          <w:trHeight w:val="193"/>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4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w:t>
            </w:r>
          </w:p>
        </w:tc>
        <w:tc>
          <w:tcPr>
            <w:tcW w:w="94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r>
      <w:tr>
        <w:trPr>
          <w:trHeight w:val="199"/>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(2,758)</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(1,678)</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10,959</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84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6,869</w:t>
            </w:r>
          </w:p>
        </w:tc>
        <w:tc>
          <w:tcPr>
            <w:tcW w:w="940" w:type="dxa"/>
            <w:vAlign w:val="bottom"/>
            <w:tcBorders>
              <w:bottom w:val="single" w:sz="8" w:color="D7282F"/>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9,281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3100" w:type="dxa"/>
            <w:vAlign w:val="bottom"/>
            <w:tcBorders>
              <w:bottom w:val="single" w:sz="8" w:color="D7282F"/>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D7282F"/>
            </w:tcBorders>
          </w:tcPr>
          <w:p>
            <w:pPr>
              <w:spacing w:after="0"/>
              <w:rPr>
                <w:sz w:val="20"/>
                <w:szCs w:val="20"/>
                <w:color w:val="auto"/>
              </w:rPr>
            </w:pPr>
          </w:p>
        </w:tc>
      </w:tr>
      <w:tr>
        <w:trPr>
          <w:trHeight w:val="236"/>
        </w:trPr>
        <w:tc>
          <w:tcPr>
            <w:tcW w:w="7480" w:type="dxa"/>
            <w:vAlign w:val="bottom"/>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196"/>
        </w:trPr>
        <w:tc>
          <w:tcPr>
            <w:tcW w:w="7480" w:type="dxa"/>
            <w:vAlign w:val="bottom"/>
            <w:tcBorders>
              <w:bottom w:val="single" w:sz="8" w:color="D7282F"/>
            </w:tcBorders>
          </w:tcPr>
          <w:p>
            <w:pPr>
              <w:spacing w:after="0"/>
              <w:rPr>
                <w:sz w:val="17"/>
                <w:szCs w:val="17"/>
                <w:color w:val="auto"/>
              </w:rPr>
            </w:pPr>
          </w:p>
        </w:tc>
        <w:tc>
          <w:tcPr>
            <w:tcW w:w="3720" w:type="dxa"/>
            <w:vAlign w:val="bottom"/>
            <w:tcBorders>
              <w:bottom w:val="single" w:sz="8" w:color="D7282F"/>
            </w:tcBorders>
            <w:gridSpan w:val="4"/>
          </w:tcPr>
          <w:p>
            <w:pPr>
              <w:jc w:val="right"/>
              <w:ind w:right="448"/>
              <w:spacing w:after="0"/>
              <w:rPr>
                <w:sz w:val="20"/>
                <w:szCs w:val="20"/>
                <w:color w:val="auto"/>
              </w:rPr>
            </w:pPr>
            <w:r>
              <w:rPr>
                <w:rFonts w:ascii="Arial" w:cs="Arial" w:eastAsia="Arial" w:hAnsi="Arial"/>
                <w:sz w:val="14"/>
                <w:szCs w:val="14"/>
                <w:b w:val="1"/>
                <w:bCs w:val="1"/>
                <w:color w:val="auto"/>
              </w:rPr>
              <w:t>(In millions, except per share amounts)</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4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957.6</w:t>
            </w: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1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8,564</w:t>
            </w:r>
          </w:p>
        </w:tc>
        <w:tc>
          <w:tcPr>
            <w:tcW w:w="11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8,141</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151</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116</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59</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69</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8,774</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8,326</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(290.0)</w:t>
            </w: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(34,443)</w:t>
            </w:r>
          </w:p>
        </w:tc>
        <w:tc>
          <w:tcPr>
            <w:tcW w:w="118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(272.8)</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(30,462)</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4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(3.5)</w:t>
            </w: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(699)</w:t>
            </w:r>
          </w:p>
        </w:tc>
        <w:tc>
          <w:tcPr>
            <w:tcW w:w="118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(5.5)</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(1,018)</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1.6</w:t>
            </w: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70</w:t>
            </w:r>
          </w:p>
        </w:tc>
        <w:tc>
          <w:tcPr>
            <w:tcW w:w="11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1.4</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60</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(291.9)</w:t>
            </w:r>
          </w:p>
        </w:tc>
        <w:tc>
          <w:tcPr>
            <w:tcW w:w="7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(35,072)</w:t>
            </w:r>
          </w:p>
        </w:tc>
        <w:tc>
          <w:tcPr>
            <w:tcW w:w="118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(276.9)</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(31,420)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45,093</w:t>
            </w:r>
          </w:p>
        </w:tc>
        <w:tc>
          <w:tcPr>
            <w:tcW w:w="11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42,827</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1,394</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1,134</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(690)</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(673)</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45,797</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43,288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(3,475)</w:t>
            </w:r>
          </w:p>
        </w:tc>
        <w:tc>
          <w:tcPr>
            <w:tcW w:w="11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(2,895)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(59)</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126</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Pension and other postretirement benefit adjustments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(12)</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fair value of available for sale investments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(6)</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14</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(3,538)</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(2,787)</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622</w:t>
            </w:r>
          </w:p>
        </w:tc>
        <w:tc>
          <w:tcPr>
            <w:tcW w:w="11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673</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14</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Dividends paid</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(41)</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596</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686</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665.7</w:t>
            </w: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17,515</w:t>
            </w:r>
          </w:p>
        </w:tc>
        <w:tc>
          <w:tcPr>
            <w:tcW w:w="11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680.7</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19,051</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1.030</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0.980</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months ended March 31, 2023, and 2022, were April 1, 2023, and April 2, 2022,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2022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have been reclassified to conform to the current year presentation.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212529"/>
        </w:rPr>
        <w:t>Historically, the Company included Company-sponsored costs and costs that relate to contracts with customers for research and development projects as a component of Cost of products and services sold on the Consolidated Statement of Operations. Effective January 1, 2023, the Company began classifying Company-sponsored costs for research and development projects as a separate financial statement line item, titled Research and development expenses, on the Consolidated Statement of Operations and recast prior period results for this reclassification. This reclassification had no impact on the Company's net income, earnings per share, cash flows, segment reporting, or financial position. The Company revised historical periods to reflect this change in presentation.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maintains agreements with third-party financial institutions that offer voluntary supply chain financing (SCF) programs to suppliers. The SCF programs enable suppliers, at their sole discretion, to sell their receivables to third-party financial institutions in order to receive payment on receivables earlier than the negotiated commercial terms between suppliers and the Company. Supplier sale of receivables to third-party financial institutions is on terms negotiated between the supplier and the respective third-party financial institution. The Company agrees on commercial terms for the goods and services procured from suppliers, including prices, quantities, and payment terms, which normally range between 60 and 120 days, regardless of whether the supplier elects to participate in the SCF programs. A suppliers’ voluntary participation in the SCF programs has no bearing on the Company's payment terms and the Company has no economic interest in a supplier’s decision to participate in the SCF programs. The Company agrees to pay participating third-party financial institutions the stated amount of confirmed invoices from suppliers on the original maturity dates of the invoices.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outstanding related to SCF programs are included in Accounts payable in the Consolidated Balance Sheet. Accounts payable included approximately $1,004 million and $992 million as of March 31, 2023, and December 31, 2022, respectively. The impact of these programs is not material to the Company's overall liquidity.</w:t>
      </w:r>
    </w:p>
    <w:p>
      <w:pPr>
        <w:spacing w:after="0" w:line="200" w:lineRule="exact"/>
        <w:rPr>
          <w:sz w:val="20"/>
          <w:szCs w:val="20"/>
          <w:color w:val="auto"/>
        </w:rPr>
      </w:pPr>
    </w:p>
    <w:p>
      <w:pPr>
        <w:spacing w:after="0" w:line="209"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Liabilities—Supplier Finance Programs (Topic 405): Disclosure of Supplier Finance Program</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Obligations</w:t>
      </w:r>
      <w:r>
        <w:rPr>
          <w:rFonts w:ascii="Arial" w:cs="Arial" w:eastAsia="Arial" w:hAnsi="Arial"/>
          <w:sz w:val="16"/>
          <w:szCs w:val="16"/>
          <w:color w:val="auto"/>
        </w:rPr>
        <w:t>, to enhance the transparency of supplier finance programs. The new standard requires annual disclosure of the key terms of the program, a</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is effective on January 1, 2023, except for the rollforward, which is effective on January 1, 2024. The Company adopted this guidance on January 1, 2023, with the exception of the rollforward that will be effective beginning January 1, 2024. The adoption of this standard does not have a material impact on the Company’s Consolidated Financial Statements.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which requires contract assets and contract liabilities acquired in a business combination to be recognized and measured by the acquirer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date in accordance with ASC 606, Revenue from Contracts with Customers. This ASU should be applied prospectively to acquisitions occurring on or after the effective date of December 15, 2022, and early adoption is permitted. The Company adopted this guidance on January 1, 2022. The adoption of this standard does not have a material impact on the Company’s Consolidated Financial Statements.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generally accepted accounting principles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transactions affected by the transition away from reference rates expected to be discontinued to alternative reference rates.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to expand the scope of this guidance to include derivatives. The guidance was effective upon issuance and may be applied prospectively to contract modifications made and hedging relationships entered into on or before December 31, 2022. In December 2022, the FASB issued ASU 2022-06, </w:t>
      </w:r>
      <w:r>
        <w:rPr>
          <w:rFonts w:ascii="Arial" w:cs="Arial" w:eastAsia="Arial" w:hAnsi="Arial"/>
          <w:sz w:val="16"/>
          <w:szCs w:val="16"/>
          <w:i w:val="1"/>
          <w:iCs w:val="1"/>
          <w:color w:val="auto"/>
        </w:rPr>
        <w:t>Reference Rate Reform (Topic 848): Deferral of the Sunset Date of Topic 848</w:t>
      </w:r>
      <w:r>
        <w:rPr>
          <w:rFonts w:ascii="Arial" w:cs="Arial" w:eastAsia="Arial" w:hAnsi="Arial"/>
          <w:sz w:val="16"/>
          <w:szCs w:val="16"/>
          <w:color w:val="auto"/>
        </w:rPr>
        <w:t>, which extends the period of time entities can utilize the reference rate reform relief guidance under ASU 2020-04 from December 31, 2022, to December 31, 2024. The Company will apply the guidance to impacted transactions during the transition period. The adoption of this standard does not have a material impact on the Company’s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April 22, 2023, the Company entered into a purchase agreement to acquire Compressor Controls Corporation, a turbomachinery services and controls company based in the United States, for estimated aggregate closing consideration of $670 million in cash. The business will be included in the Performance Materials and Technologies reportable business segment. The acquisition is subject to customary regulatory approvals and is expected to close in the second half of 2023.</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January 18, 2022, the Company acquired 100% of the issued and outstanding shares of US Digital Designs, Inc., a leading provider of technologies for first responders, for total consideration of $186 million. The business is included within the Honeywell Building Technologies reportable business segment. The Company finalized the evaluation for the fair value of all the assets and liabilities acquired with US Digital Designs, Inc. during the first quarter of 2023. Management recorded intangible assets of $53 million and allocated $129 million to goodwill, which is deductible for tax purposes.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2023, the Company had no material adjustments for divestitures completed during 2022.</w:t>
      </w:r>
    </w:p>
    <w:p>
      <w:pPr>
        <w:spacing w:after="0" w:line="200" w:lineRule="exact"/>
        <w:rPr>
          <w:sz w:val="20"/>
          <w:szCs w:val="20"/>
          <w:color w:val="auto"/>
        </w:rPr>
      </w:pPr>
    </w:p>
    <w:p>
      <w:pPr>
        <w:spacing w:after="0" w:line="252"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94"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Borders>
              <w:bottom w:val="single" w:sz="8" w:color="D7282F"/>
            </w:tcBorders>
          </w:tcPr>
          <w:p>
            <w:pPr>
              <w:spacing w:after="0"/>
              <w:rPr>
                <w:sz w:val="17"/>
                <w:szCs w:val="17"/>
                <w:color w:val="auto"/>
              </w:rPr>
            </w:pPr>
          </w:p>
        </w:tc>
        <w:tc>
          <w:tcPr>
            <w:tcW w:w="340" w:type="dxa"/>
            <w:vAlign w:val="bottom"/>
            <w:tcBorders>
              <w:top w:val="single" w:sz="8" w:color="D7282F"/>
              <w:bottom w:val="single" w:sz="8" w:color="D7282F"/>
            </w:tcBorders>
          </w:tcPr>
          <w:p>
            <w:pPr>
              <w:spacing w:after="0"/>
              <w:rPr>
                <w:sz w:val="17"/>
                <w:szCs w:val="17"/>
                <w:color w:val="auto"/>
              </w:rPr>
            </w:pPr>
          </w:p>
        </w:tc>
        <w:tc>
          <w:tcPr>
            <w:tcW w:w="76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w:t>
            </w: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541</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478</w:t>
            </w:r>
          </w:p>
        </w:tc>
      </w:tr>
      <w:tr>
        <w:trPr>
          <w:trHeight w:val="196"/>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1,423</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1,168</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1,147</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1,103</w:t>
            </w:r>
          </w:p>
        </w:tc>
      </w:tr>
      <w:tr>
        <w:trPr>
          <w:trHeight w:val="199"/>
        </w:trPr>
        <w:tc>
          <w:tcPr>
            <w:tcW w:w="9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sales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3,111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2,749</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Honeywell Building Technologies</w:t>
            </w: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908</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879</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579</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550</w:t>
            </w:r>
          </w:p>
        </w:tc>
      </w:tr>
      <w:tr>
        <w:trPr>
          <w:trHeight w:val="199"/>
        </w:trPr>
        <w:tc>
          <w:tcPr>
            <w:tcW w:w="9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Honeywell Building Technologies sales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1,487</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1,429</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Performance Materials and Technologies</w:t>
            </w: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UOP</w:t>
            </w: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565</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480</w:t>
            </w:r>
          </w:p>
        </w:tc>
      </w:tr>
      <w:tr>
        <w:trPr>
          <w:trHeight w:val="196"/>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Solutions</w:t>
            </w: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1,288</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1,152</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896</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821</w:t>
            </w:r>
          </w:p>
        </w:tc>
      </w:tr>
      <w:tr>
        <w:trPr>
          <w:trHeight w:val="199"/>
        </w:trPr>
        <w:tc>
          <w:tcPr>
            <w:tcW w:w="9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Performance Materials and Technologies sales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2,749</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2,453</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Safety and Productivity Solutions</w:t>
            </w: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704</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753</w:t>
            </w:r>
          </w:p>
        </w:tc>
      </w:tr>
      <w:tr>
        <w:trPr>
          <w:trHeight w:val="196"/>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347</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399</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464</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592</w:t>
            </w:r>
          </w:p>
        </w:tc>
      </w:tr>
      <w:tr>
        <w:trPr>
          <w:trHeight w:val="199"/>
        </w:trPr>
        <w:tc>
          <w:tcPr>
            <w:tcW w:w="9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Safety and Productivity Solutions sales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1,515</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1,744</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w:t>
            </w:r>
          </w:p>
        </w:tc>
      </w:tr>
      <w:tr>
        <w:trPr>
          <w:trHeight w:val="196"/>
        </w:trPr>
        <w:tc>
          <w:tcPr>
            <w:tcW w:w="92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8,864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8,376</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July 2022, the Company realigned certain business units within the Safety and Productivity Solutions reportable business segment. The Safety and Retail business unit, which included our gas detection and safety business, combined with the Advanced Sensing Technologies business unit to form the Sensing and Safety Technologies business unit. The Company recast historical periods to reflect this realignment.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Aerospace </w:t>
      </w:r>
      <w:r>
        <w:rPr>
          <w:rFonts w:ascii="Arial" w:cs="Arial" w:eastAsia="Arial" w:hAnsi="Arial"/>
          <w:sz w:val="16"/>
          <w:szCs w:val="16"/>
          <w:color w:val="auto"/>
        </w:rPr>
        <w:t>– A global supplier of products, software, and services for aircrafts that it sells to original equipment manufacturers (OEM) and other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the Company's customers as tools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Honeywell Building Technologies </w:t>
      </w:r>
      <w:r>
        <w:rPr>
          <w:rFonts w:ascii="Arial" w:cs="Arial" w:eastAsia="Arial" w:hAnsi="Arial"/>
          <w:sz w:val="16"/>
          <w:szCs w:val="16"/>
          <w:color w:val="auto"/>
        </w:rPr>
        <w:t>– A global provider of products, software, solutions, and technologies that enable building owners and occupants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the Company's customers to digitally manage buildings, connecting data from different assets to enable smart maintenance, improve building performance, and even protect from incoming security threats.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Performance Materials and Technologies </w:t>
      </w:r>
      <w:r>
        <w:rPr>
          <w:rFonts w:ascii="Arial" w:cs="Arial" w:eastAsia="Arial" w:hAnsi="Arial"/>
          <w:sz w:val="16"/>
          <w:szCs w:val="16"/>
          <w:color w:val="auto"/>
        </w:rPr>
        <w:t>– A global provider in developing and manufacturing high-quality performance chemicals and materials,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and automation solutions. The reportable business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 warming 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Safety and Productivity Solutions </w:t>
      </w:r>
      <w:r>
        <w:rPr>
          <w:rFonts w:ascii="Arial" w:cs="Arial" w:eastAsia="Arial" w:hAnsi="Arial"/>
          <w:sz w:val="16"/>
          <w:szCs w:val="16"/>
          <w:color w:val="auto"/>
        </w:rPr>
        <w:t>– A global provider of products and software that improve productivity, workplace safety, and asset performance to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around the globe. Sensing and Safety Technologies products include personal protective equipment (PPE), apparel, gear, and footwear; gas detection technology; custom-engineered sensors, switches, and controls for sensing and productivity solutions; and cloud-based notification and emergency messaging. Productivity Solutions and Services products and services include mobile devices and software for computing, data collection, and thermal printing; and software-based data and asset management productivity solutions. Warehouse and Workflow Solutions products and services include system design and simulation, automation solutions, performance optimization software, and lifecycle services to enable accuracy, productivity, and predictability of warehouse operations. Honeywell Forge solutions digitally automate processes to improve efficiency while reducing downtime and safety costs.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For a summary by disaggregated product and services sales for each reportable business segment, refer to Note 17 Segment Financial Data.</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0" w:type="dxa"/>
            <w:vAlign w:val="bottom"/>
          </w:tcPr>
          <w:p>
            <w:pPr>
              <w:spacing w:after="0"/>
              <w:rPr>
                <w:sz w:val="17"/>
                <w:szCs w:val="17"/>
                <w:color w:val="auto"/>
              </w:rPr>
            </w:pPr>
          </w:p>
        </w:tc>
        <w:tc>
          <w:tcPr>
            <w:tcW w:w="22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900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93"/>
        </w:trPr>
        <w:tc>
          <w:tcPr>
            <w:tcW w:w="9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3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58 %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59 %</w:t>
            </w:r>
          </w:p>
        </w:tc>
      </w:tr>
      <w:tr>
        <w:trPr>
          <w:trHeight w:val="196"/>
        </w:trPr>
        <w:tc>
          <w:tcPr>
            <w:tcW w:w="9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3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13</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r>
      <w:tr>
        <w:trPr>
          <w:trHeight w:val="199"/>
        </w:trPr>
        <w:tc>
          <w:tcPr>
            <w:tcW w:w="9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3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71</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73</w:t>
            </w:r>
          </w:p>
        </w:tc>
      </w:tr>
      <w:tr>
        <w:trPr>
          <w:trHeight w:val="193"/>
        </w:trPr>
        <w:tc>
          <w:tcPr>
            <w:tcW w:w="9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32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9</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w:t>
            </w:r>
          </w:p>
        </w:tc>
      </w:tr>
      <w:tr>
        <w:trPr>
          <w:trHeight w:val="196"/>
        </w:trPr>
        <w:tc>
          <w:tcPr>
            <w:tcW w:w="9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3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20</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w:t>
            </w:r>
          </w:p>
        </w:tc>
      </w:tr>
      <w:tr>
        <w:trPr>
          <w:trHeight w:val="199"/>
        </w:trPr>
        <w:tc>
          <w:tcPr>
            <w:tcW w:w="9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3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29</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w:t>
            </w:r>
          </w:p>
        </w:tc>
      </w:tr>
      <w:tr>
        <w:trPr>
          <w:trHeight w:val="196"/>
        </w:trPr>
        <w:tc>
          <w:tcPr>
            <w:tcW w:w="90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3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records progress on satisfying performance obligations under contracts with customers and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Borders>
              <w:bottom w:val="single" w:sz="8" w:color="D7282F"/>
            </w:tcBorders>
          </w:tcPr>
          <w:p>
            <w:pPr>
              <w:spacing w:after="0"/>
              <w:rPr>
                <w:sz w:val="17"/>
                <w:szCs w:val="17"/>
                <w:color w:val="auto"/>
              </w:rPr>
            </w:pPr>
          </w:p>
        </w:tc>
        <w:tc>
          <w:tcPr>
            <w:tcW w:w="306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3"/>
        </w:trPr>
        <w:tc>
          <w:tcPr>
            <w:tcW w:w="6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2,294</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2,060</w:t>
            </w:r>
          </w:p>
        </w:tc>
      </w:tr>
      <w:tr>
        <w:trPr>
          <w:trHeight w:val="196"/>
        </w:trPr>
        <w:tc>
          <w:tcPr>
            <w:tcW w:w="6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assets—March 31</w:t>
            </w:r>
          </w:p>
        </w:tc>
        <w:tc>
          <w:tcPr>
            <w:tcW w:w="306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2,453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2,170</w:t>
            </w:r>
          </w:p>
        </w:tc>
      </w:tr>
      <w:tr>
        <w:trPr>
          <w:trHeight w:val="199"/>
        </w:trPr>
        <w:tc>
          <w:tcPr>
            <w:tcW w:w="6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Change in contract assets - increase</w:t>
            </w:r>
          </w:p>
        </w:tc>
        <w:tc>
          <w:tcPr>
            <w:tcW w:w="3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b w:val="1"/>
                <w:bCs w:val="1"/>
                <w:color w:val="auto"/>
              </w:rPr>
              <w:t>159</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110</w:t>
            </w:r>
          </w:p>
        </w:tc>
      </w:tr>
      <w:tr>
        <w:trPr>
          <w:trHeight w:val="193"/>
        </w:trPr>
        <w:tc>
          <w:tcPr>
            <w:tcW w:w="6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(4,583)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(4,290)</w:t>
            </w:r>
          </w:p>
        </w:tc>
      </w:tr>
      <w:tr>
        <w:trPr>
          <w:trHeight w:val="196"/>
        </w:trPr>
        <w:tc>
          <w:tcPr>
            <w:tcW w:w="6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liabilities—March 31</w:t>
            </w:r>
          </w:p>
        </w:tc>
        <w:tc>
          <w:tcPr>
            <w:tcW w:w="306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(4,291)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(4,323)</w:t>
            </w:r>
          </w:p>
        </w:tc>
      </w:tr>
      <w:tr>
        <w:trPr>
          <w:trHeight w:val="199"/>
        </w:trPr>
        <w:tc>
          <w:tcPr>
            <w:tcW w:w="6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 - decrease (increase)</w:t>
            </w:r>
          </w:p>
        </w:tc>
        <w:tc>
          <w:tcPr>
            <w:tcW w:w="3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w:t>
            </w:r>
          </w:p>
        </w:tc>
      </w:tr>
      <w:tr>
        <w:trPr>
          <w:trHeight w:val="196"/>
        </w:trPr>
        <w:tc>
          <w:tcPr>
            <w:tcW w:w="65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451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77</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March 31, 2023, and 2022, the Company recognized revenue of $953 million and $927 million, respectively, that was previously included in the beginning balance of contract liabilities.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Contract assets included $2,426 million and $2,265 million of unbilled balances under long-term contracts as of March 31, 2023, and December 31, 2022, respectively. These amounts are billed in accordance with the terms of customer contracts to which they relate.</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395"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jc w:val="center"/>
              <w:ind w:left="1804"/>
              <w:spacing w:after="0"/>
              <w:rPr>
                <w:sz w:val="20"/>
                <w:szCs w:val="20"/>
                <w:color w:val="auto"/>
              </w:rPr>
            </w:pPr>
            <w:r>
              <w:rPr>
                <w:rFonts w:ascii="Arial" w:cs="Arial" w:eastAsia="Arial" w:hAnsi="Arial"/>
                <w:sz w:val="16"/>
                <w:szCs w:val="16"/>
                <w:b w:val="1"/>
                <w:bCs w:val="1"/>
                <w:color w:val="auto"/>
              </w:rPr>
              <w:t>HONEYWELL INTERNATIONAL INC.</w:t>
            </w: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89"/>
        </w:trPr>
        <w:tc>
          <w:tcPr>
            <w:tcW w:w="9360" w:type="dxa"/>
            <w:vAlign w:val="bottom"/>
          </w:tcPr>
          <w:p>
            <w:pPr>
              <w:jc w:val="center"/>
              <w:ind w:left="1804"/>
              <w:spacing w:after="0"/>
              <w:rPr>
                <w:sz w:val="20"/>
                <w:szCs w:val="20"/>
                <w:color w:val="auto"/>
              </w:rPr>
            </w:pPr>
            <w:r>
              <w:rPr>
                <w:rFonts w:ascii="Arial" w:cs="Arial" w:eastAsia="Arial" w:hAnsi="Arial"/>
                <w:sz w:val="16"/>
                <w:szCs w:val="16"/>
                <w:b w:val="1"/>
                <w:bCs w:val="1"/>
                <w:color w:val="auto"/>
              </w:rPr>
              <w:t>NOTES TO CONSOLIDATED FINANCIAL STATEMENTS</w:t>
            </w: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9"/>
        </w:trPr>
        <w:tc>
          <w:tcPr>
            <w:tcW w:w="9360" w:type="dxa"/>
            <w:vAlign w:val="bottom"/>
          </w:tcPr>
          <w:p>
            <w:pPr>
              <w:jc w:val="center"/>
              <w:ind w:left="1824"/>
              <w:spacing w:after="0"/>
              <w:rPr>
                <w:sz w:val="20"/>
                <w:szCs w:val="20"/>
                <w:color w:val="auto"/>
              </w:rPr>
            </w:pPr>
            <w:r>
              <w:rPr>
                <w:rFonts w:ascii="Arial" w:cs="Arial" w:eastAsia="Arial" w:hAnsi="Arial"/>
                <w:sz w:val="16"/>
                <w:szCs w:val="16"/>
                <w:b w:val="1"/>
                <w:bCs w:val="1"/>
                <w:color w:val="auto"/>
              </w:rPr>
              <w:t>(Unaudited)</w:t>
            </w: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3"/>
        </w:trPr>
        <w:tc>
          <w:tcPr>
            <w:tcW w:w="9360" w:type="dxa"/>
            <w:vAlign w:val="bottom"/>
          </w:tcPr>
          <w:p>
            <w:pPr>
              <w:jc w:val="center"/>
              <w:ind w:left="1824"/>
              <w:spacing w:after="0"/>
              <w:rPr>
                <w:sz w:val="20"/>
                <w:szCs w:val="20"/>
                <w:color w:val="auto"/>
              </w:rPr>
            </w:pPr>
            <w:r>
              <w:rPr>
                <w:rFonts w:ascii="Arial" w:cs="Arial" w:eastAsia="Arial" w:hAnsi="Arial"/>
                <w:sz w:val="16"/>
                <w:szCs w:val="16"/>
                <w:b w:val="1"/>
                <w:bCs w:val="1"/>
                <w:color w:val="auto"/>
              </w:rPr>
              <w:t>(Dollars in tables in millions, except per share amounts)</w:t>
            </w: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613"/>
        </w:trPr>
        <w:tc>
          <w:tcPr>
            <w:tcW w:w="9360" w:type="dxa"/>
            <w:vAlign w:val="bottom"/>
          </w:tcPr>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reportable business segment:</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5"/>
        </w:trPr>
        <w:tc>
          <w:tcPr>
            <w:tcW w:w="9360" w:type="dxa"/>
            <w:vAlign w:val="bottom"/>
            <w:tcBorders>
              <w:bottom w:val="single" w:sz="8" w:color="D7282F"/>
            </w:tcBorders>
          </w:tcPr>
          <w:p>
            <w:pPr>
              <w:spacing w:after="0"/>
              <w:rPr>
                <w:sz w:val="24"/>
                <w:szCs w:val="24"/>
                <w:color w:val="auto"/>
              </w:rPr>
            </w:pPr>
          </w:p>
        </w:tc>
        <w:tc>
          <w:tcPr>
            <w:tcW w:w="400" w:type="dxa"/>
            <w:vAlign w:val="bottom"/>
            <w:tcBorders>
              <w:bottom w:val="single" w:sz="8" w:color="D7282F"/>
            </w:tcBorders>
          </w:tcPr>
          <w:p>
            <w:pPr>
              <w:spacing w:after="0"/>
              <w:rPr>
                <w:sz w:val="24"/>
                <w:szCs w:val="24"/>
                <w:color w:val="auto"/>
              </w:rPr>
            </w:pPr>
          </w:p>
        </w:tc>
        <w:tc>
          <w:tcPr>
            <w:tcW w:w="148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March 31, 2023</w:t>
            </w:r>
          </w:p>
        </w:tc>
      </w:tr>
      <w:tr>
        <w:trPr>
          <w:trHeight w:val="193"/>
        </w:trPr>
        <w:tc>
          <w:tcPr>
            <w:tcW w:w="9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12,592</w:t>
            </w:r>
          </w:p>
        </w:tc>
      </w:tr>
      <w:tr>
        <w:trPr>
          <w:trHeight w:val="196"/>
        </w:trPr>
        <w:tc>
          <w:tcPr>
            <w:tcW w:w="9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40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6,836</w:t>
            </w:r>
          </w:p>
        </w:tc>
      </w:tr>
      <w:tr>
        <w:trPr>
          <w:trHeight w:val="196"/>
        </w:trPr>
        <w:tc>
          <w:tcPr>
            <w:tcW w:w="9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40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8,381</w:t>
            </w:r>
          </w:p>
        </w:tc>
      </w:tr>
      <w:tr>
        <w:trPr>
          <w:trHeight w:val="196"/>
        </w:trPr>
        <w:tc>
          <w:tcPr>
            <w:tcW w:w="9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40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2,447</w:t>
            </w:r>
          </w:p>
        </w:tc>
      </w:tr>
      <w:tr>
        <w:trPr>
          <w:trHeight w:val="196"/>
        </w:trPr>
        <w:tc>
          <w:tcPr>
            <w:tcW w:w="9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r>
              <w:rPr>
                <w:rFonts w:ascii="Arial" w:cs="Arial" w:eastAsia="Arial" w:hAnsi="Arial"/>
                <w:sz w:val="9"/>
                <w:szCs w:val="9"/>
                <w:color w:val="auto"/>
              </w:rPr>
              <w:t>(1)</w:t>
            </w:r>
          </w:p>
        </w:tc>
        <w:tc>
          <w:tcPr>
            <w:tcW w:w="40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9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performance obligations</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30,260</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(1) The remaining performance obligations within Corporate and All Other relate to the Quantinuum business.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obligations recognized as of March 31, 2023,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61% and 39%, respectively.</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158"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D7282F"/>
              <w:bottom w:val="single" w:sz="8" w:color="D7282F"/>
            </w:tcBorders>
          </w:tcPr>
          <w:p>
            <w:pPr>
              <w:spacing w:after="0"/>
              <w:rPr>
                <w:sz w:val="17"/>
                <w:szCs w:val="17"/>
                <w:color w:val="auto"/>
              </w:rPr>
            </w:pPr>
          </w:p>
        </w:tc>
        <w:tc>
          <w:tcPr>
            <w:tcW w:w="22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2"/>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680" w:type="dxa"/>
            <w:vAlign w:val="bottom"/>
            <w:tcBorders>
              <w:bottom w:val="single" w:sz="8" w:color="61656A"/>
            </w:tcBorders>
          </w:tcPr>
          <w:p>
            <w:pPr>
              <w:jc w:val="right"/>
              <w:ind w:right="2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68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68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6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r>
      <w:tr>
        <w:trPr>
          <w:trHeight w:val="199"/>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w:t>
            </w:r>
          </w:p>
        </w:tc>
        <w:tc>
          <w:tcPr>
            <w:tcW w:w="6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98</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132</w:t>
            </w:r>
          </w:p>
        </w:tc>
      </w:tr>
      <w:tr>
        <w:trPr>
          <w:trHeight w:val="193"/>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680" w:type="dxa"/>
            <w:vAlign w:val="bottom"/>
            <w:tcBorders>
              <w:bottom w:val="single" w:sz="8" w:color="61656A"/>
            </w:tcBorders>
          </w:tcPr>
          <w:p>
            <w:pPr>
              <w:spacing w:after="0"/>
              <w:rPr>
                <w:sz w:val="16"/>
                <w:szCs w:val="16"/>
                <w:color w:val="auto"/>
              </w:rPr>
            </w:pPr>
          </w:p>
        </w:tc>
        <w:tc>
          <w:tcPr>
            <w:tcW w:w="4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68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6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195</w:t>
            </w:r>
          </w:p>
        </w:tc>
      </w:tr>
      <w:tr>
        <w:trPr>
          <w:trHeight w:val="199"/>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46"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D7282F"/>
              <w:bottom w:val="single" w:sz="8" w:color="D7282F"/>
            </w:tcBorders>
          </w:tcPr>
          <w:p>
            <w:pPr>
              <w:spacing w:after="0"/>
              <w:rPr>
                <w:sz w:val="17"/>
                <w:szCs w:val="17"/>
                <w:color w:val="auto"/>
              </w:rPr>
            </w:pPr>
          </w:p>
        </w:tc>
        <w:tc>
          <w:tcPr>
            <w:tcW w:w="22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2"/>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80" w:type="dxa"/>
            <w:vAlign w:val="bottom"/>
            <w:tcBorders>
              <w:bottom w:val="single" w:sz="8" w:color="61656A"/>
            </w:tcBorders>
          </w:tcPr>
          <w:p>
            <w:pPr>
              <w:jc w:val="right"/>
              <w:ind w:right="2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8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188</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387</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pre-tax amount of total net repositioning and other charges by reportable business segment. These amounts are excluded from segment profit as described in Note 17 Segment Financial Data:</w:t>
      </w:r>
    </w:p>
    <w:p>
      <w:pPr>
        <w:spacing w:after="0" w:line="94"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Borders>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D7282F"/>
              <w:bottom w:val="single" w:sz="8" w:color="D7282F"/>
            </w:tcBorders>
          </w:tcPr>
          <w:p>
            <w:pPr>
              <w:spacing w:after="0"/>
              <w:rPr>
                <w:sz w:val="17"/>
                <w:szCs w:val="17"/>
                <w:color w:val="auto"/>
              </w:rPr>
            </w:pPr>
          </w:p>
        </w:tc>
        <w:tc>
          <w:tcPr>
            <w:tcW w:w="24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3"/>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w:t>
            </w:r>
          </w:p>
        </w:tc>
        <w:tc>
          <w:tcPr>
            <w:tcW w:w="680" w:type="dxa"/>
            <w:vAlign w:val="bottom"/>
            <w:tcBorders>
              <w:bottom w:val="single" w:sz="8" w:color="61656A"/>
            </w:tcBorders>
          </w:tcPr>
          <w:p>
            <w:pPr>
              <w:jc w:val="right"/>
              <w:ind w:right="2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159</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127</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52</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w:t>
            </w:r>
          </w:p>
        </w:tc>
      </w:tr>
      <w:tr>
        <w:trPr>
          <w:trHeight w:val="199"/>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387</w:t>
            </w:r>
          </w:p>
        </w:tc>
      </w:tr>
    </w:tbl>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three months ended March 31, 2023, the Company recognized repositioning charges totaling $103 million, including severance costs of $67 million related to workforce reductions of 1,797 manufacturing and administrative positions mainly in the Company's Honeywell Building Technologies, Safety and Productivity Solutions, and Performance Materials and Technologies reportable business segments. The workforce reductions were related to our productivity and ongoing functional transformation initiatives. The repositioning charges included asset impairments of $12 million related to the write-down of certain assets within our Safety and Productivity Solutions reportable business segment. The repositioning charges also included exit costs of $24 million related to current period costs incurred for closure obligations associated with site transitions across all of the Company's reportable business segments.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three months ended March 31, 2022, the Company recognized repositioning charges totaling $147 million, primarily related to closing and relocating the production of certain respiratory manufacturing from a US.-based facility to a non-U.S. facility. The repositioning charges included asset impairments of $123 million primarily related to the write-down of certain manufacturing equipment, and exit costs of $17 million primarily for current period costs incurred for previously approved repositioning projects, closure obligations associated with site transitions, and lease obligations for equipment. These charges also included severance costs of $7 million related to workforce reductions of 1,196 manufacturing and administrative positions across all of the Company's reportable business segments.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Severance</w:t>
            </w:r>
          </w:p>
        </w:tc>
        <w:tc>
          <w:tcPr>
            <w:tcW w:w="300" w:type="dxa"/>
            <w:vAlign w:val="bottom"/>
          </w:tcPr>
          <w:p>
            <w:pPr>
              <w:spacing w:after="0"/>
              <w:rPr>
                <w:sz w:val="14"/>
                <w:szCs w:val="14"/>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Arial" w:cs="Arial" w:eastAsia="Arial" w:hAnsi="Arial"/>
                <w:sz w:val="14"/>
                <w:szCs w:val="14"/>
                <w:b w:val="1"/>
                <w:bCs w:val="1"/>
                <w:color w:val="auto"/>
              </w:rPr>
              <w:t>Exit</w:t>
            </w:r>
          </w:p>
        </w:tc>
        <w:tc>
          <w:tcPr>
            <w:tcW w:w="260" w:type="dxa"/>
            <w:vAlign w:val="bottom"/>
          </w:tcPr>
          <w:p>
            <w:pPr>
              <w:spacing w:after="0"/>
              <w:rPr>
                <w:sz w:val="14"/>
                <w:szCs w:val="14"/>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D7282F"/>
            </w:tcBorders>
          </w:tcPr>
          <w:p>
            <w:pPr>
              <w:spacing w:after="0"/>
              <w:rPr>
                <w:sz w:val="16"/>
                <w:szCs w:val="16"/>
                <w:color w:val="auto"/>
              </w:rPr>
            </w:pPr>
          </w:p>
        </w:tc>
        <w:tc>
          <w:tcPr>
            <w:tcW w:w="25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Costs</w:t>
            </w:r>
          </w:p>
        </w:tc>
        <w:tc>
          <w:tcPr>
            <w:tcW w:w="1220" w:type="dxa"/>
            <w:vAlign w:val="bottom"/>
            <w:tcBorders>
              <w:bottom w:val="single" w:sz="8" w:color="D7282F"/>
            </w:tcBorders>
            <w:gridSpan w:val="2"/>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Costs</w:t>
            </w: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235</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309</w:t>
            </w:r>
          </w:p>
        </w:tc>
        <w:tc>
          <w:tcPr>
            <w:tcW w:w="0" w:type="dxa"/>
            <w:vAlign w:val="bottom"/>
          </w:tcPr>
          <w:p>
            <w:pPr>
              <w:spacing w:after="0"/>
              <w:rPr>
                <w:sz w:val="1"/>
                <w:szCs w:val="1"/>
                <w:color w:val="auto"/>
              </w:rPr>
            </w:pPr>
          </w:p>
        </w:tc>
      </w:tr>
      <w:tr>
        <w:trPr>
          <w:trHeight w:val="193"/>
        </w:trPr>
        <w:tc>
          <w:tcPr>
            <w:tcW w:w="4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25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67</w:t>
            </w:r>
          </w:p>
        </w:tc>
        <w:tc>
          <w:tcPr>
            <w:tcW w:w="30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25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(54)</w:t>
            </w:r>
          </w:p>
        </w:tc>
        <w:tc>
          <w:tcPr>
            <w:tcW w:w="30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25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5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5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4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2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250</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three months ended March 31, 2023, and 2022, were $10 million and $11 million, respectively.</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three months ended March 31, 2022, Selling, general and administrative expenses on the Consolidated Statement of Operations and within Other charges on the table above included $183 million of reserves against outstanding accounts receivable, contract assets, and impairments of other assets due to the suspension of substantially all of the Company's sales, distribution and service activities in Russia and Belarus, sanctions, and deteriorating trade relations in Russia due to the Russia-Ukraine conflict. Based on available information to date, the Company’s estimate of potential future impairments on the Company's businesses in Russia would not be material with respect to the Company's consolidated financial position.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the wind down of our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14 Commitments and Contingencies for a discussion of the recognition and measurement of estimate for contingencies.</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effective tax rate was equal to the U.S. federal statutory rate of 21% and decreased during 2023 compared to 2022 primarily due to increased benefits from taxes on non-U.S. earnings, tax reserves, and the absence of restructuring related expenses, partially offset by tax expense from accrued withholding tax related to unremitted foreign earnings and decreased benefits from employee share-based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Borders>
              <w:bottom w:val="single" w:sz="8" w:color="D7282F"/>
            </w:tcBorders>
          </w:tcPr>
          <w:p>
            <w:pPr>
              <w:spacing w:after="0"/>
              <w:rPr>
                <w:sz w:val="17"/>
                <w:szCs w:val="17"/>
                <w:color w:val="auto"/>
              </w:rPr>
            </w:pPr>
          </w:p>
        </w:tc>
        <w:tc>
          <w:tcPr>
            <w:tcW w:w="338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2023</w:t>
            </w:r>
          </w:p>
        </w:tc>
        <w:tc>
          <w:tcPr>
            <w:tcW w:w="176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3"/>
        </w:trPr>
        <w:tc>
          <w:tcPr>
            <w:tcW w:w="4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3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1,496</w:t>
            </w:r>
          </w:p>
        </w:tc>
        <w:tc>
          <w:tcPr>
            <w:tcW w:w="78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1,407</w:t>
            </w:r>
          </w:p>
        </w:tc>
      </w:tr>
      <w:tr>
        <w:trPr>
          <w:trHeight w:val="196"/>
        </w:trPr>
        <w:tc>
          <w:tcPr>
            <w:tcW w:w="4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338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1,161</w:t>
            </w:r>
          </w:p>
        </w:tc>
        <w:tc>
          <w:tcPr>
            <w:tcW w:w="78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1,049</w:t>
            </w:r>
          </w:p>
        </w:tc>
      </w:tr>
      <w:tr>
        <w:trPr>
          <w:trHeight w:val="196"/>
        </w:trPr>
        <w:tc>
          <w:tcPr>
            <w:tcW w:w="45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38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3,119</w:t>
            </w:r>
          </w:p>
        </w:tc>
        <w:tc>
          <w:tcPr>
            <w:tcW w:w="7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3,082</w:t>
            </w:r>
          </w:p>
        </w:tc>
      </w:tr>
      <w:tr>
        <w:trPr>
          <w:trHeight w:val="199"/>
        </w:trPr>
        <w:tc>
          <w:tcPr>
            <w:tcW w:w="4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p>
        </w:tc>
        <w:tc>
          <w:tcPr>
            <w:tcW w:w="3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5,776</w:t>
            </w:r>
          </w:p>
        </w:tc>
        <w:tc>
          <w:tcPr>
            <w:tcW w:w="7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5,538</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8. LONG-TERM DEBT AND CREDIT AGREEMENTS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March 31, 2023</w:t>
            </w:r>
          </w:p>
        </w:tc>
        <w:tc>
          <w:tcPr>
            <w:tcW w:w="174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1.30% Euro notes due 2023</w:t>
            </w:r>
          </w:p>
        </w:tc>
        <w:tc>
          <w:tcPr>
            <w:tcW w:w="4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1,334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3.35% notes due 2023</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0.00% Euro notes due 2024</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543</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2.30% notes due 2024</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4.85% notes due 2024</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 notes due 2025</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814</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543</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1,085</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1,067</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445</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capitalized leases), 8.6% weighted average interest rate maturing at various dates through 2029</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232</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(287)</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44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(229)</w:t>
            </w:r>
          </w:p>
        </w:tc>
        <w:tc>
          <w:tcPr>
            <w:tcW w:w="72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w:t>
            </w:r>
          </w:p>
        </w:tc>
      </w:tr>
      <w:tr>
        <w:trPr>
          <w:trHeight w:val="199"/>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b w:val="1"/>
                <w:bCs w:val="1"/>
                <w:color w:val="auto"/>
              </w:rPr>
              <w:t>15,607</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16,853</w:t>
            </w:r>
          </w:p>
        </w:tc>
      </w:tr>
      <w:tr>
        <w:trPr>
          <w:trHeight w:val="193"/>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44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937</w:t>
            </w:r>
          </w:p>
        </w:tc>
        <w:tc>
          <w:tcPr>
            <w:tcW w:w="72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1,730</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14,670</w:t>
            </w:r>
          </w:p>
        </w:tc>
        <w:tc>
          <w:tcPr>
            <w:tcW w:w="7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15,123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February 22, 2023, the Company repaid its 1.30% Euro notes due 2023.</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March 20, 2023, the Company entered into a $1.5 billion 364-day credit agreement (the 364-Day Credit Agreement) and a $4.0 billion amended and restated five-year credit agreement (the 5-Year Credit Agreement). The 364-Day Credit Agreement replaced the $1.5 billion 364-day credit agreement dated as of March 24, 2022, which was terminated in accordance with its terms effective March 20, 2023. Amounts borrowed under the 364-Day Credit Agreement are required to be repaid no later than March 18, 2024, unless (i) Honeywell elects to convert all then outstanding amounts into a term loan, upon which such amounts shall be repaid in full on March 18, 2025, or (ii) the 364-Day Credit Agreement is terminated earlier pursuant to its terms. The 5-Year Credit Agreement amended and restated the previously reported $4.0 billion amended and restated five-year credit agreement dated as of March 24, 2022. Commitments under the 5-Year Credit Agreement can be increased pursuant to the terms of the 5-Year Credit Agreement to an aggregate amount not to exceed $4.5 billion. The 364-Day Credit Agreement and 5-Year Credit Agreement are maintained for general corporate purposes.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2023, there were no outstanding borrowings under the 364-Day Credit Agreement or the 5-Year Credit Agreement.</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9. LEASES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2022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8"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7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D7282F"/>
              <w:bottom w:val="single" w:sz="8" w:color="D7282F"/>
            </w:tcBorders>
          </w:tcPr>
          <w:p>
            <w:pPr>
              <w:spacing w:after="0"/>
              <w:rPr>
                <w:sz w:val="17"/>
                <w:szCs w:val="17"/>
                <w:color w:val="auto"/>
              </w:rPr>
            </w:pPr>
          </w:p>
        </w:tc>
        <w:tc>
          <w:tcPr>
            <w:tcW w:w="24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5"/>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7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3"/>
        </w:trPr>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Operating leases</w:t>
            </w:r>
          </w:p>
        </w:tc>
        <w:tc>
          <w:tcPr>
            <w:tcW w:w="7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r>
      <w:tr>
        <w:trPr>
          <w:trHeight w:val="196"/>
        </w:trPr>
        <w:tc>
          <w:tcPr>
            <w:tcW w:w="924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Finance leases</w:t>
            </w:r>
          </w:p>
        </w:tc>
        <w:tc>
          <w:tcPr>
            <w:tcW w:w="72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Borders>
              <w:bottom w:val="single" w:sz="8" w:color="D7282F"/>
            </w:tcBorders>
          </w:tcPr>
          <w:p>
            <w:pPr>
              <w:spacing w:after="0"/>
              <w:rPr>
                <w:sz w:val="17"/>
                <w:szCs w:val="17"/>
                <w:color w:val="auto"/>
              </w:rPr>
            </w:pPr>
          </w:p>
        </w:tc>
        <w:tc>
          <w:tcPr>
            <w:tcW w:w="3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March 31, 2023</w:t>
            </w:r>
          </w:p>
        </w:tc>
        <w:tc>
          <w:tcPr>
            <w:tcW w:w="5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378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r>
      <w:tr>
        <w:trPr>
          <w:trHeight w:val="193"/>
        </w:trPr>
        <w:tc>
          <w:tcPr>
            <w:tcW w:w="5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assets</w:t>
            </w:r>
          </w:p>
        </w:tc>
        <w:tc>
          <w:tcPr>
            <w:tcW w:w="3780" w:type="dxa"/>
            <w:vAlign w:val="bottom"/>
            <w:tcBorders>
              <w:bottom w:val="single" w:sz="8" w:color="D7282F"/>
            </w:tcBorders>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858</w:t>
            </w:r>
          </w:p>
        </w:tc>
        <w:tc>
          <w:tcPr>
            <w:tcW w:w="80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881</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378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193</w:t>
            </w:r>
          </w:p>
        </w:tc>
        <w:tc>
          <w:tcPr>
            <w:tcW w:w="80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192</w:t>
            </w:r>
          </w:p>
        </w:tc>
      </w:tr>
      <w:tr>
        <w:trPr>
          <w:trHeight w:val="196"/>
        </w:trPr>
        <w:tc>
          <w:tcPr>
            <w:tcW w:w="5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37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756</w:t>
            </w:r>
          </w:p>
        </w:tc>
        <w:tc>
          <w:tcPr>
            <w:tcW w:w="8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775</w:t>
            </w:r>
          </w:p>
        </w:tc>
      </w:tr>
      <w:tr>
        <w:trPr>
          <w:trHeight w:val="199"/>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p>
        </w:tc>
        <w:tc>
          <w:tcPr>
            <w:tcW w:w="37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949</w:t>
            </w:r>
          </w:p>
        </w:tc>
        <w:tc>
          <w:tcPr>
            <w:tcW w:w="8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967</w:t>
            </w:r>
          </w:p>
        </w:tc>
      </w:tr>
      <w:tr>
        <w:trPr>
          <w:trHeight w:val="196"/>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Financing leases</w:t>
            </w:r>
          </w:p>
        </w:tc>
        <w:tc>
          <w:tcPr>
            <w:tcW w:w="378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r>
      <w:tr>
        <w:trPr>
          <w:trHeight w:val="193"/>
        </w:trPr>
        <w:tc>
          <w:tcPr>
            <w:tcW w:w="52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37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388</w:t>
            </w:r>
          </w:p>
        </w:tc>
        <w:tc>
          <w:tcPr>
            <w:tcW w:w="80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383</w:t>
            </w:r>
          </w:p>
        </w:tc>
      </w:tr>
      <w:tr>
        <w:trPr>
          <w:trHeight w:val="196"/>
        </w:trPr>
        <w:tc>
          <w:tcPr>
            <w:tcW w:w="52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37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(170)</w:t>
            </w:r>
          </w:p>
        </w:tc>
        <w:tc>
          <w:tcPr>
            <w:tcW w:w="8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(161)</w:t>
            </w:r>
          </w:p>
        </w:tc>
      </w:tr>
      <w:tr>
        <w:trPr>
          <w:trHeight w:val="199"/>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37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218</w:t>
            </w:r>
          </w:p>
        </w:tc>
        <w:tc>
          <w:tcPr>
            <w:tcW w:w="8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222</w:t>
            </w:r>
          </w:p>
        </w:tc>
      </w:tr>
      <w:tr>
        <w:trPr>
          <w:trHeight w:val="193"/>
        </w:trPr>
        <w:tc>
          <w:tcPr>
            <w:tcW w:w="52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37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w:t>
            </w:r>
          </w:p>
        </w:tc>
        <w:tc>
          <w:tcPr>
            <w:tcW w:w="80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w:t>
            </w:r>
          </w:p>
        </w:tc>
      </w:tr>
      <w:tr>
        <w:trPr>
          <w:trHeight w:val="196"/>
        </w:trPr>
        <w:tc>
          <w:tcPr>
            <w:tcW w:w="52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37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135</w:t>
            </w:r>
          </w:p>
        </w:tc>
        <w:tc>
          <w:tcPr>
            <w:tcW w:w="8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r>
      <w:tr>
        <w:trPr>
          <w:trHeight w:val="199"/>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financing lease liabilities</w:t>
            </w:r>
          </w:p>
        </w:tc>
        <w:tc>
          <w:tcPr>
            <w:tcW w:w="3780" w:type="dxa"/>
            <w:vAlign w:val="bottom"/>
            <w:tcBorders>
              <w:bottom w:val="single" w:sz="8" w:color="D7282F"/>
            </w:tcBorders>
          </w:tcPr>
          <w:p>
            <w:pPr>
              <w:jc w:val="right"/>
              <w:ind w:right="10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215</w:t>
            </w:r>
          </w:p>
        </w:tc>
        <w:tc>
          <w:tcPr>
            <w:tcW w:w="80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222</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10. DERIVATIVE INSTRUMENTS AND HEDGING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2022 Annual Report on Form 10-K.</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 as of March 31, 2023, and December 31,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Notional</w:t>
            </w:r>
          </w:p>
        </w:tc>
        <w:tc>
          <w:tcPr>
            <w:tcW w:w="86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b w:val="1"/>
                <w:bCs w:val="1"/>
                <w:color w:val="auto"/>
              </w:rPr>
              <w:t>Fair Value Asset</w:t>
            </w:r>
          </w:p>
        </w:tc>
        <w:tc>
          <w:tcPr>
            <w:tcW w:w="3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Fair Value (Liability)</w:t>
            </w:r>
          </w:p>
        </w:tc>
        <w:tc>
          <w:tcPr>
            <w:tcW w:w="4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134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March 31, 2023</w:t>
            </w: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March 31, 2023</w:t>
            </w: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March 31, 2023</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1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gridSpan w:val="2"/>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gridSpan w:val="2"/>
            <w:vMerge w:val="continue"/>
          </w:tcPr>
          <w:p>
            <w:pPr>
              <w:spacing w:after="0"/>
              <w:rPr>
                <w:sz w:val="16"/>
                <w:szCs w:val="16"/>
                <w:color w:val="auto"/>
              </w:rPr>
            </w:pP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gridSpan w:val="2"/>
            <w:vMerge w:val="continue"/>
          </w:tcPr>
          <w:p>
            <w:pPr>
              <w:spacing w:after="0"/>
              <w:rPr>
                <w:sz w:val="16"/>
                <w:szCs w:val="16"/>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1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Derivatives in fair value hedging</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5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4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5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5,007</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4,984</w:t>
            </w:r>
          </w:p>
        </w:tc>
        <w:tc>
          <w:tcPr>
            <w:tcW w:w="22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31</w:t>
            </w:r>
          </w:p>
        </w:tc>
        <w:tc>
          <w:tcPr>
            <w:tcW w:w="82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61656A"/>
            </w:tcBorders>
          </w:tcPr>
          <w:p>
            <w:pPr>
              <w:spacing w:after="0"/>
              <w:rPr>
                <w:sz w:val="16"/>
                <w:szCs w:val="16"/>
                <w:color w:val="auto"/>
              </w:rPr>
            </w:pPr>
          </w:p>
        </w:tc>
        <w:tc>
          <w:tcPr>
            <w:tcW w:w="4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(251)</w:t>
            </w:r>
          </w:p>
        </w:tc>
        <w:tc>
          <w:tcPr>
            <w:tcW w:w="76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50"/>
        </w:trPr>
        <w:tc>
          <w:tcPr>
            <w:tcW w:w="316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Derivatives in cash flow hedging</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5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4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5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683</w:t>
            </w:r>
          </w:p>
        </w:tc>
        <w:tc>
          <w:tcPr>
            <w:tcW w:w="3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866</w:t>
            </w:r>
          </w:p>
        </w:tc>
        <w:tc>
          <w:tcPr>
            <w:tcW w:w="22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36</w:t>
            </w: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61656A"/>
            </w:tcBorders>
          </w:tcPr>
          <w:p>
            <w:pPr>
              <w:spacing w:after="0"/>
              <w:rPr>
                <w:sz w:val="16"/>
                <w:szCs w:val="16"/>
                <w:color w:val="auto"/>
              </w:rPr>
            </w:pPr>
          </w:p>
        </w:tc>
        <w:tc>
          <w:tcPr>
            <w:tcW w:w="4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56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7</w:t>
            </w:r>
          </w:p>
        </w:tc>
        <w:tc>
          <w:tcPr>
            <w:tcW w:w="3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0"/>
        </w:trPr>
        <w:tc>
          <w:tcPr>
            <w:tcW w:w="316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Derivatives in net investment hedging</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5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4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56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4,189</w:t>
            </w: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3,189</w:t>
            </w:r>
          </w:p>
        </w:tc>
        <w:tc>
          <w:tcPr>
            <w:tcW w:w="22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44</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w:t>
            </w:r>
          </w:p>
        </w:tc>
        <w:tc>
          <w:tcPr>
            <w:tcW w:w="220" w:type="dxa"/>
            <w:vAlign w:val="bottom"/>
            <w:tcBorders>
              <w:bottom w:val="single" w:sz="8" w:color="D7282F"/>
            </w:tcBorders>
          </w:tcPr>
          <w:p>
            <w:pPr>
              <w:spacing w:after="0"/>
              <w:rPr>
                <w:sz w:val="16"/>
                <w:szCs w:val="16"/>
                <w:color w:val="auto"/>
              </w:rPr>
            </w:pPr>
          </w:p>
        </w:tc>
        <w:tc>
          <w:tcPr>
            <w:tcW w:w="4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(12)</w:t>
            </w:r>
          </w:p>
        </w:tc>
        <w:tc>
          <w:tcPr>
            <w:tcW w:w="7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160" w:type="dxa"/>
            <w:vAlign w:val="bottom"/>
          </w:tcPr>
          <w:p>
            <w:pPr>
              <w:ind w:left="240"/>
              <w:spacing w:after="0" w:line="151" w:lineRule="exact"/>
              <w:rPr>
                <w:sz w:val="20"/>
                <w:szCs w:val="20"/>
                <w:color w:val="auto"/>
              </w:rPr>
            </w:pPr>
            <w:r>
              <w:rPr>
                <w:rFonts w:ascii="Arial" w:cs="Arial" w:eastAsia="Arial" w:hAnsi="Arial"/>
                <w:sz w:val="14"/>
                <w:szCs w:val="14"/>
                <w:b w:val="1"/>
                <w:bCs w:val="1"/>
                <w:color w:val="auto"/>
              </w:rPr>
              <w:t>Total derivatives designated as hedging</w:t>
            </w:r>
          </w:p>
        </w:tc>
        <w:tc>
          <w:tcPr>
            <w:tcW w:w="56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9,886</w:t>
            </w:r>
          </w:p>
        </w:tc>
        <w:tc>
          <w:tcPr>
            <w:tcW w:w="34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9,048</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111</w:t>
            </w:r>
          </w:p>
        </w:tc>
        <w:tc>
          <w:tcPr>
            <w:tcW w:w="8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(266)</w:t>
            </w:r>
          </w:p>
        </w:tc>
        <w:tc>
          <w:tcPr>
            <w:tcW w:w="76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(309)</w:t>
            </w:r>
          </w:p>
        </w:tc>
        <w:tc>
          <w:tcPr>
            <w:tcW w:w="0" w:type="dxa"/>
            <w:vAlign w:val="bottom"/>
          </w:tcPr>
          <w:p>
            <w:pPr>
              <w:spacing w:after="0"/>
              <w:rPr>
                <w:sz w:val="1"/>
                <w:szCs w:val="1"/>
                <w:color w:val="auto"/>
              </w:rPr>
            </w:pPr>
          </w:p>
        </w:tc>
      </w:tr>
      <w:tr>
        <w:trPr>
          <w:trHeight w:val="185"/>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56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1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Derivatives not designated as hedging</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instruments</w:t>
            </w:r>
          </w:p>
        </w:tc>
        <w:tc>
          <w:tcPr>
            <w:tcW w:w="5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4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56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8,454</w:t>
            </w: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9,679</w:t>
            </w:r>
          </w:p>
        </w:tc>
        <w:tc>
          <w:tcPr>
            <w:tcW w:w="22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w:t>
            </w:r>
          </w:p>
        </w:tc>
        <w:tc>
          <w:tcPr>
            <w:tcW w:w="220" w:type="dxa"/>
            <w:vAlign w:val="bottom"/>
            <w:tcBorders>
              <w:bottom w:val="single" w:sz="8" w:color="D7282F"/>
            </w:tcBorders>
          </w:tcPr>
          <w:p>
            <w:pPr>
              <w:spacing w:after="0"/>
              <w:rPr>
                <w:sz w:val="16"/>
                <w:szCs w:val="16"/>
                <w:color w:val="auto"/>
              </w:rPr>
            </w:pPr>
          </w:p>
        </w:tc>
        <w:tc>
          <w:tcPr>
            <w:tcW w:w="4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derivatives at fair value</w:t>
            </w:r>
          </w:p>
        </w:tc>
        <w:tc>
          <w:tcPr>
            <w:tcW w:w="5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18,340</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18,727</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113</w:t>
            </w:r>
          </w:p>
        </w:tc>
        <w:tc>
          <w:tcPr>
            <w:tcW w:w="8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199</w:t>
            </w:r>
          </w:p>
        </w:tc>
        <w:tc>
          <w:tcPr>
            <w:tcW w:w="22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(271)</w:t>
            </w:r>
          </w:p>
        </w:tc>
        <w:tc>
          <w:tcPr>
            <w:tcW w:w="7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$4,816 million and $3,836 million as of March 31, 2023, and December 31, 2022,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256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Carrying Amount of Hedged Item</w:t>
            </w:r>
          </w:p>
        </w:tc>
        <w:tc>
          <w:tcPr>
            <w:tcW w:w="240" w:type="dxa"/>
            <w:vAlign w:val="bottom"/>
            <w:vMerge w:val="restart"/>
          </w:tcPr>
          <w:p>
            <w:pPr>
              <w:spacing w:after="0"/>
              <w:rPr>
                <w:sz w:val="12"/>
                <w:szCs w:val="12"/>
                <w:color w:val="auto"/>
              </w:rPr>
            </w:pPr>
          </w:p>
        </w:tc>
        <w:tc>
          <w:tcPr>
            <w:tcW w:w="25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16"/>
                <w:szCs w:val="16"/>
                <w:color w:val="auto"/>
              </w:rPr>
            </w:pPr>
          </w:p>
        </w:tc>
        <w:tc>
          <w:tcPr>
            <w:tcW w:w="2560" w:type="dxa"/>
            <w:vAlign w:val="bottom"/>
            <w:tcBorders>
              <w:bottom w:val="single" w:sz="8" w:color="D7282F"/>
            </w:tcBorders>
            <w:gridSpan w:val="4"/>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560" w:type="dxa"/>
            <w:vAlign w:val="bottom"/>
            <w:tcBorders>
              <w:bottom w:val="single" w:sz="8" w:color="D7282F"/>
            </w:tcBorders>
            <w:gridSpan w:val="4"/>
          </w:tcPr>
          <w:p>
            <w:pPr>
              <w:jc w:val="right"/>
              <w:ind w:right="88"/>
              <w:spacing w:after="0"/>
              <w:rPr>
                <w:sz w:val="20"/>
                <w:szCs w:val="20"/>
                <w:color w:val="auto"/>
              </w:rPr>
            </w:pPr>
            <w:r>
              <w:rPr>
                <w:rFonts w:ascii="Arial" w:cs="Arial" w:eastAsia="Arial" w:hAnsi="Arial"/>
                <w:sz w:val="14"/>
                <w:szCs w:val="14"/>
                <w:b w:val="1"/>
                <w:bCs w:val="1"/>
                <w:color w:val="auto"/>
              </w:rPr>
              <w:t>Carrying Amount of Hedged Item</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36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March 31, 2023</w:t>
            </w:r>
          </w:p>
        </w:tc>
        <w:tc>
          <w:tcPr>
            <w:tcW w:w="14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March 31, 2023</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88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gridSpan w:val="2"/>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gridSpan w:val="2"/>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2"/>
        </w:trPr>
        <w:tc>
          <w:tcPr>
            <w:tcW w:w="5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6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4,787</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4,696</w:t>
            </w:r>
          </w:p>
        </w:tc>
        <w:tc>
          <w:tcPr>
            <w:tcW w:w="2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(220)</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spacing w:after="0"/>
              <w:rPr>
                <w:sz w:val="17"/>
                <w:szCs w:val="17"/>
                <w:color w:val="auto"/>
              </w:rPr>
            </w:pPr>
          </w:p>
        </w:tc>
        <w:tc>
          <w:tcPr>
            <w:tcW w:w="2700" w:type="dxa"/>
            <w:vAlign w:val="bottom"/>
            <w:tcBorders>
              <w:bottom w:val="single" w:sz="8" w:color="D7282F"/>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 2023</w:t>
            </w:r>
          </w:p>
        </w:tc>
        <w:tc>
          <w:tcPr>
            <w:tcW w:w="2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348"/>
              <w:spacing w:after="0" w:line="147" w:lineRule="exact"/>
              <w:rPr>
                <w:sz w:val="20"/>
                <w:szCs w:val="20"/>
                <w:color w:val="auto"/>
              </w:rPr>
            </w:pPr>
            <w:r>
              <w:rPr>
                <w:rFonts w:ascii="Arial" w:cs="Arial" w:eastAsia="Arial" w:hAnsi="Arial"/>
                <w:sz w:val="14"/>
                <w:szCs w:val="14"/>
                <w:b w:val="1"/>
                <w:bCs w:val="1"/>
                <w:color w:val="auto"/>
              </w:rPr>
              <w:t>Selling,</w:t>
            </w:r>
          </w:p>
        </w:tc>
        <w:tc>
          <w:tcPr>
            <w:tcW w:w="220" w:type="dxa"/>
            <w:vAlign w:val="bottom"/>
          </w:tcPr>
          <w:p>
            <w:pPr>
              <w:spacing w:after="0"/>
              <w:rPr>
                <w:sz w:val="12"/>
                <w:szCs w:val="12"/>
                <w:color w:val="auto"/>
              </w:rPr>
            </w:pPr>
          </w:p>
        </w:tc>
        <w:tc>
          <w:tcPr>
            <w:tcW w:w="104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auto"/>
              </w:rPr>
              <w:t>Other</w:t>
            </w:r>
          </w:p>
        </w:tc>
        <w:tc>
          <w:tcPr>
            <w:tcW w:w="1160" w:type="dxa"/>
            <w:vAlign w:val="bottom"/>
            <w:gridSpan w:val="2"/>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140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30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0" w:type="dxa"/>
            <w:vAlign w:val="bottom"/>
            <w:gridSpan w:val="2"/>
          </w:tcPr>
          <w:p>
            <w:pPr>
              <w:jc w:val="center"/>
              <w:ind w:right="88"/>
              <w:spacing w:after="0" w:line="145" w:lineRule="exact"/>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2"/>
                <w:szCs w:val="12"/>
                <w:color w:val="auto"/>
              </w:rPr>
            </w:pPr>
          </w:p>
        </w:tc>
        <w:tc>
          <w:tcPr>
            <w:tcW w:w="1040" w:type="dxa"/>
            <w:vAlign w:val="bottom"/>
          </w:tcPr>
          <w:p>
            <w:pPr>
              <w:jc w:val="center"/>
              <w:ind w:right="368"/>
              <w:spacing w:after="0" w:line="145"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48"/>
              <w:spacing w:after="0" w:line="145" w:lineRule="exact"/>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gridSpan w:val="2"/>
            <w:vMerge w:val="continue"/>
          </w:tcPr>
          <w:p>
            <w:pPr>
              <w:spacing w:after="0"/>
              <w:rPr>
                <w:sz w:val="16"/>
                <w:szCs w:val="16"/>
                <w:color w:val="auto"/>
              </w:rPr>
            </w:pPr>
          </w:p>
        </w:tc>
        <w:tc>
          <w:tcPr>
            <w:tcW w:w="1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3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center"/>
              <w:ind w:right="348"/>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b w:val="1"/>
                <w:bCs w:val="1"/>
                <w:color w:val="auto"/>
              </w:rPr>
              <w:t>Charges</w:t>
            </w:r>
          </w:p>
        </w:tc>
        <w:tc>
          <w:tcPr>
            <w:tcW w:w="3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tcBorders>
              <w:bottom w:val="single" w:sz="8" w:color="61656A"/>
            </w:tcBorders>
            <w:gridSpan w:val="2"/>
          </w:tcPr>
          <w:p>
            <w:pPr>
              <w:ind w:left="38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8,864</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4,068</w:t>
            </w: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1,430</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1,317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(260)</w:t>
            </w:r>
          </w:p>
        </w:tc>
        <w:tc>
          <w:tcPr>
            <w:tcW w:w="840" w:type="dxa"/>
            <w:vAlign w:val="bottom"/>
            <w:tcBorders>
              <w:bottom w:val="single" w:sz="8" w:color="61656A"/>
            </w:tcBorders>
          </w:tcPr>
          <w:p>
            <w:pPr>
              <w:jc w:val="right"/>
              <w:ind w:right="5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99"/>
        </w:trPr>
        <w:tc>
          <w:tcPr>
            <w:tcW w:w="420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20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3"/>
                <w:szCs w:val="13"/>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into income</w:t>
            </w:r>
          </w:p>
        </w:tc>
        <w:tc>
          <w:tcPr>
            <w:tcW w:w="72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vMerge w:val="continue"/>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vMerge w:val="continue"/>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0"/>
        </w:trPr>
        <w:tc>
          <w:tcPr>
            <w:tcW w:w="420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0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(80)</w:t>
            </w:r>
          </w:p>
        </w:tc>
        <w:tc>
          <w:tcPr>
            <w:tcW w:w="8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9"/>
        </w:trPr>
        <w:tc>
          <w:tcPr>
            <w:tcW w:w="3620" w:type="dxa"/>
            <w:vAlign w:val="bottom"/>
          </w:tcPr>
          <w:p>
            <w:pPr>
              <w:spacing w:after="0"/>
              <w:rPr>
                <w:sz w:val="24"/>
                <w:szCs w:val="24"/>
                <w:color w:val="auto"/>
              </w:rPr>
            </w:pPr>
          </w:p>
        </w:tc>
        <w:tc>
          <w:tcPr>
            <w:tcW w:w="580" w:type="dxa"/>
            <w:vAlign w:val="bottom"/>
            <w:tcBorders>
              <w:bottom w:val="single" w:sz="8" w:color="D7282F"/>
            </w:tcBorders>
          </w:tcPr>
          <w:p>
            <w:pPr>
              <w:spacing w:after="0"/>
              <w:rPr>
                <w:sz w:val="24"/>
                <w:szCs w:val="24"/>
                <w:color w:val="auto"/>
              </w:rPr>
            </w:pPr>
          </w:p>
        </w:tc>
        <w:tc>
          <w:tcPr>
            <w:tcW w:w="72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2700" w:type="dxa"/>
            <w:vAlign w:val="bottom"/>
            <w:tcBorders>
              <w:bottom w:val="single" w:sz="8" w:color="D7282F"/>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 2022</w:t>
            </w:r>
          </w:p>
        </w:tc>
        <w:tc>
          <w:tcPr>
            <w:tcW w:w="22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spacing w:after="0"/>
              <w:rPr>
                <w:sz w:val="24"/>
                <w:szCs w:val="24"/>
                <w:color w:val="auto"/>
              </w:rPr>
            </w:pPr>
          </w:p>
        </w:tc>
        <w:tc>
          <w:tcPr>
            <w:tcW w:w="84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348"/>
              <w:spacing w:after="0" w:line="147" w:lineRule="exact"/>
              <w:rPr>
                <w:sz w:val="20"/>
                <w:szCs w:val="20"/>
                <w:color w:val="auto"/>
              </w:rPr>
            </w:pPr>
            <w:r>
              <w:rPr>
                <w:rFonts w:ascii="Arial" w:cs="Arial" w:eastAsia="Arial" w:hAnsi="Arial"/>
                <w:sz w:val="14"/>
                <w:szCs w:val="14"/>
                <w:b w:val="1"/>
                <w:bCs w:val="1"/>
                <w:color w:val="auto"/>
              </w:rPr>
              <w:t>Selling,</w:t>
            </w:r>
          </w:p>
        </w:tc>
        <w:tc>
          <w:tcPr>
            <w:tcW w:w="220" w:type="dxa"/>
            <w:vAlign w:val="bottom"/>
          </w:tcPr>
          <w:p>
            <w:pPr>
              <w:spacing w:after="0"/>
              <w:rPr>
                <w:sz w:val="12"/>
                <w:szCs w:val="12"/>
                <w:color w:val="auto"/>
              </w:rPr>
            </w:pPr>
          </w:p>
        </w:tc>
        <w:tc>
          <w:tcPr>
            <w:tcW w:w="104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auto"/>
              </w:rPr>
              <w:t>Other</w:t>
            </w:r>
          </w:p>
        </w:tc>
        <w:tc>
          <w:tcPr>
            <w:tcW w:w="1160" w:type="dxa"/>
            <w:vAlign w:val="bottom"/>
            <w:gridSpan w:val="2"/>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1400" w:type="dxa"/>
            <w:vAlign w:val="bottom"/>
            <w:gridSpan w:val="2"/>
          </w:tcPr>
          <w:p>
            <w:pPr>
              <w:jc w:val="center"/>
              <w:ind w:right="68"/>
              <w:spacing w:after="0" w:line="145" w:lineRule="exact"/>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40" w:type="dxa"/>
            <w:vAlign w:val="bottom"/>
          </w:tcPr>
          <w:p>
            <w:pPr>
              <w:jc w:val="center"/>
              <w:ind w:left="148"/>
              <w:spacing w:after="0" w:line="145"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0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2"/>
                <w:szCs w:val="12"/>
                <w:color w:val="auto"/>
              </w:rPr>
            </w:pPr>
          </w:p>
        </w:tc>
        <w:tc>
          <w:tcPr>
            <w:tcW w:w="1040" w:type="dxa"/>
            <w:vAlign w:val="bottom"/>
          </w:tcPr>
          <w:p>
            <w:pPr>
              <w:jc w:val="center"/>
              <w:ind w:right="368"/>
              <w:spacing w:after="0" w:line="149"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gridSpan w:val="2"/>
            <w:vMerge w:val="continue"/>
          </w:tcPr>
          <w:p>
            <w:pPr>
              <w:spacing w:after="0"/>
              <w:rPr>
                <w:sz w:val="16"/>
                <w:szCs w:val="16"/>
                <w:color w:val="auto"/>
              </w:rPr>
            </w:pPr>
          </w:p>
        </w:tc>
        <w:tc>
          <w:tcPr>
            <w:tcW w:w="1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3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center"/>
              <w:ind w:right="348"/>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b w:val="1"/>
                <w:bCs w:val="1"/>
                <w:color w:val="auto"/>
              </w:rPr>
              <w:t>Charges</w:t>
            </w:r>
          </w:p>
        </w:tc>
        <w:tc>
          <w:tcPr>
            <w:tcW w:w="3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tcBorders>
              <w:bottom w:val="single" w:sz="8" w:color="61656A"/>
            </w:tcBorders>
            <w:gridSpan w:val="2"/>
          </w:tcPr>
          <w:p>
            <w:pPr>
              <w:ind w:left="38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8,376</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4,059</w:t>
            </w: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1,265</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1,431</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(319)</w:t>
            </w:r>
          </w:p>
        </w:tc>
        <w:tc>
          <w:tcPr>
            <w:tcW w:w="840" w:type="dxa"/>
            <w:vAlign w:val="bottom"/>
            <w:tcBorders>
              <w:bottom w:val="single" w:sz="8" w:color="61656A"/>
            </w:tcBorders>
          </w:tcPr>
          <w:p>
            <w:pPr>
              <w:jc w:val="right"/>
              <w:ind w:right="5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9"/>
        </w:trPr>
        <w:tc>
          <w:tcPr>
            <w:tcW w:w="420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20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into income</w:t>
            </w:r>
          </w:p>
        </w:tc>
        <w:tc>
          <w:tcPr>
            <w:tcW w:w="72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vMerge w:val="continue"/>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vMerge w:val="continue"/>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9"/>
        </w:trPr>
        <w:tc>
          <w:tcPr>
            <w:tcW w:w="420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20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excluded from effectiveness testing</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recognized in earnings using an amortization</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approach</w:t>
            </w:r>
          </w:p>
        </w:tc>
        <w:tc>
          <w:tcPr>
            <w:tcW w:w="72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vMerge w:val="continue"/>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vMerge w:val="continue"/>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Gain or (loss) on derivatives not designated as</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66</w:t>
            </w:r>
          </w:p>
        </w:tc>
        <w:tc>
          <w:tcPr>
            <w:tcW w:w="8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income (loss):</w:t>
      </w:r>
    </w:p>
    <w:p>
      <w:pPr>
        <w:spacing w:after="0" w:line="19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6350</wp:posOffset>
            </wp:positionV>
            <wp:extent cx="12687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Borders>
              <w:bottom w:val="single" w:sz="8" w:color="D7282F"/>
            </w:tcBorders>
          </w:tcPr>
          <w:p>
            <w:pPr>
              <w:spacing w:after="0"/>
              <w:rPr>
                <w:sz w:val="17"/>
                <w:szCs w:val="17"/>
                <w:color w:val="auto"/>
              </w:rPr>
            </w:pPr>
          </w:p>
        </w:tc>
        <w:tc>
          <w:tcPr>
            <w:tcW w:w="3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3"/>
        </w:trPr>
        <w:tc>
          <w:tcPr>
            <w:tcW w:w="59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3980" w:type="dxa"/>
            <w:vAlign w:val="bottom"/>
            <w:tcBorders>
              <w:bottom w:val="single" w:sz="8" w:color="61656A"/>
            </w:tcBorders>
          </w:tcPr>
          <w:p>
            <w:pPr>
              <w:jc w:val="right"/>
              <w:ind w:right="2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w:t>
            </w:r>
          </w:p>
        </w:tc>
      </w:tr>
      <w:tr>
        <w:trPr>
          <w:trHeight w:val="196"/>
        </w:trPr>
        <w:tc>
          <w:tcPr>
            <w:tcW w:w="59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398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5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39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11.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3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6"/>
        </w:trPr>
        <w:tc>
          <w:tcPr>
            <w:tcW w:w="3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6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D7282F"/>
            </w:tcBorders>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9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0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31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3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61656A"/>
            </w:tcBorders>
          </w:tcPr>
          <w:p>
            <w:pPr>
              <w:ind w:left="2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w:t>
            </w:r>
          </w:p>
        </w:tc>
        <w:tc>
          <w:tcPr>
            <w:tcW w:w="66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93</w:t>
            </w:r>
          </w:p>
        </w:tc>
        <w:tc>
          <w:tcPr>
            <w:tcW w:w="58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w:t>
            </w:r>
          </w:p>
        </w:tc>
      </w:tr>
      <w:tr>
        <w:trPr>
          <w:trHeight w:val="196"/>
        </w:trPr>
        <w:tc>
          <w:tcPr>
            <w:tcW w:w="3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7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64</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428</w:t>
            </w:r>
          </w:p>
        </w:tc>
        <w:tc>
          <w:tcPr>
            <w:tcW w:w="6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492</w:t>
            </w:r>
          </w:p>
        </w:tc>
        <w:tc>
          <w:tcPr>
            <w:tcW w:w="22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87</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559</w:t>
            </w:r>
          </w:p>
        </w:tc>
        <w:tc>
          <w:tcPr>
            <w:tcW w:w="5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646</w:t>
            </w:r>
          </w:p>
        </w:tc>
      </w:tr>
      <w:tr>
        <w:trPr>
          <w:trHeight w:val="196"/>
        </w:trPr>
        <w:tc>
          <w:tcPr>
            <w:tcW w:w="3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7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31</w:t>
            </w:r>
          </w:p>
        </w:tc>
        <w:tc>
          <w:tcPr>
            <w:tcW w:w="6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5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3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7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44</w:t>
            </w:r>
          </w:p>
        </w:tc>
        <w:tc>
          <w:tcPr>
            <w:tcW w:w="6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44</w:t>
            </w:r>
          </w:p>
        </w:tc>
        <w:tc>
          <w:tcPr>
            <w:tcW w:w="22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90</w:t>
            </w:r>
          </w:p>
        </w:tc>
        <w:tc>
          <w:tcPr>
            <w:tcW w:w="5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w:t>
            </w:r>
          </w:p>
        </w:tc>
      </w:tr>
      <w:tr>
        <w:trPr>
          <w:trHeight w:val="196"/>
        </w:trPr>
        <w:tc>
          <w:tcPr>
            <w:tcW w:w="3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7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32</w:t>
            </w:r>
          </w:p>
        </w:tc>
        <w:tc>
          <w:tcPr>
            <w:tcW w:w="6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54</w:t>
            </w:r>
          </w:p>
        </w:tc>
        <w:tc>
          <w:tcPr>
            <w:tcW w:w="22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32</w:t>
            </w:r>
          </w:p>
        </w:tc>
        <w:tc>
          <w:tcPr>
            <w:tcW w:w="5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r>
      <w:tr>
        <w:trPr>
          <w:trHeight w:val="196"/>
        </w:trPr>
        <w:tc>
          <w:tcPr>
            <w:tcW w:w="3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7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w w:val="89"/>
              </w:rPr>
              <w:t>39</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39</w:t>
            </w:r>
          </w:p>
        </w:tc>
        <w:tc>
          <w:tcPr>
            <w:tcW w:w="22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295</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295</w:t>
            </w:r>
          </w:p>
        </w:tc>
      </w:tr>
      <w:tr>
        <w:trPr>
          <w:trHeight w:val="199"/>
        </w:trPr>
        <w:tc>
          <w:tcPr>
            <w:tcW w:w="31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74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86</w:t>
            </w:r>
          </w:p>
        </w:tc>
        <w:tc>
          <w:tcPr>
            <w:tcW w:w="32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573</w:t>
            </w:r>
          </w:p>
        </w:tc>
        <w:tc>
          <w:tcPr>
            <w:tcW w:w="6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89"/>
              </w:rPr>
              <w:t>39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698</w:t>
            </w:r>
          </w:p>
        </w:tc>
        <w:tc>
          <w:tcPr>
            <w:tcW w:w="22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109</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790</w:t>
            </w:r>
          </w:p>
        </w:tc>
        <w:tc>
          <w:tcPr>
            <w:tcW w:w="58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1,194</w:t>
            </w:r>
          </w:p>
        </w:tc>
      </w:tr>
      <w:tr>
        <w:trPr>
          <w:trHeight w:val="196"/>
        </w:trPr>
        <w:tc>
          <w:tcPr>
            <w:tcW w:w="31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7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3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61656A"/>
            </w:tcBorders>
          </w:tcPr>
          <w:p>
            <w:pPr>
              <w:ind w:left="2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66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58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3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7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251</w:t>
            </w:r>
          </w:p>
        </w:tc>
        <w:tc>
          <w:tcPr>
            <w:tcW w:w="6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251</w:t>
            </w:r>
          </w:p>
        </w:tc>
        <w:tc>
          <w:tcPr>
            <w:tcW w:w="22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303</w:t>
            </w:r>
          </w:p>
        </w:tc>
        <w:tc>
          <w:tcPr>
            <w:tcW w:w="5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w:t>
            </w:r>
          </w:p>
        </w:tc>
      </w:tr>
      <w:tr>
        <w:trPr>
          <w:trHeight w:val="196"/>
        </w:trPr>
        <w:tc>
          <w:tcPr>
            <w:tcW w:w="3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7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5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3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7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w:t>
            </w:r>
          </w:p>
        </w:tc>
        <w:tc>
          <w:tcPr>
            <w:tcW w:w="6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31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74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271</w:t>
            </w:r>
          </w:p>
        </w:tc>
        <w:tc>
          <w:tcPr>
            <w:tcW w:w="6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99"/>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271</w:t>
            </w:r>
          </w:p>
        </w:tc>
        <w:tc>
          <w:tcPr>
            <w:tcW w:w="22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312</w:t>
            </w:r>
          </w:p>
        </w:tc>
        <w:tc>
          <w:tcPr>
            <w:tcW w:w="58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312</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foreign currency exchange contracts, interest rate swap agreements, cross currency swap agreements, and commodity contracts are valued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as well as investments in equity securities. These investments are valued using published prices based on observable market data. As such, these investments are classified within level 2.</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These investments are valued utilizing published prices based on quoted market pricing, which are classified within level 1.</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approximates fair value.</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part of the NARCO Buyout (see Note 14 Commitments and Contingencies for definition), Honeywell holds a right to proceeds from the definitive sale agreement pursuant to which HarbisonWalker International Holdings, Inc. (HWI), the reorganized and renamed entity that emerged from the NARCO Bankruptcy, was acquired by an affiliate of Platinum Equity, LLC (HWI Sale). The right to these proceeds is considered a financial instrument. The significant input for the valuation of this right is unobservable, and as such, is classified within level 3.</w:t>
      </w:r>
    </w:p>
    <w:p>
      <w:pPr>
        <w:spacing w:after="0" w:line="6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HWI Sale closed on February 16, 2023. In connection with the HWI Sale, Honeywell received initial cash proceeds of $256 million (HWI Net Sale Proceeds). The fair value of the remaining HWI Net Sale Proceeds as of March 31, 2023, represents contingent consideration to be paid in future periods if certain conditions under the definitive sale agreement for the HWI Sale are met.</w:t>
      </w:r>
    </w:p>
    <w:p>
      <w:pPr>
        <w:spacing w:after="0" w:line="395"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sets forth a reconciliation of beginning and ending balances of assets and liabilities that were accounted for at fair value using level 3 measurements: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48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March 31,</w:t>
            </w:r>
          </w:p>
        </w:tc>
      </w:tr>
      <w:tr>
        <w:trPr>
          <w:trHeight w:val="189"/>
        </w:trPr>
        <w:tc>
          <w:tcPr>
            <w:tcW w:w="6380" w:type="dxa"/>
            <w:vAlign w:val="bottom"/>
            <w:tcBorders>
              <w:bottom w:val="single" w:sz="8" w:color="D7282F"/>
            </w:tcBorders>
          </w:tcPr>
          <w:p>
            <w:pPr>
              <w:spacing w:after="0"/>
              <w:rPr>
                <w:sz w:val="16"/>
                <w:szCs w:val="16"/>
                <w:color w:val="auto"/>
              </w:rPr>
            </w:pPr>
          </w:p>
        </w:tc>
        <w:tc>
          <w:tcPr>
            <w:tcW w:w="420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2023</w:t>
            </w:r>
          </w:p>
        </w:tc>
      </w:tr>
      <w:tr>
        <w:trPr>
          <w:trHeight w:val="195"/>
        </w:trPr>
        <w:tc>
          <w:tcPr>
            <w:tcW w:w="63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4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295</w:t>
            </w:r>
          </w:p>
        </w:tc>
      </w:tr>
      <w:tr>
        <w:trPr>
          <w:trHeight w:val="193"/>
        </w:trPr>
        <w:tc>
          <w:tcPr>
            <w:tcW w:w="6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Receipt of HWI Net Sale Proceeds</w:t>
            </w:r>
          </w:p>
        </w:tc>
        <w:tc>
          <w:tcPr>
            <w:tcW w:w="420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(256)</w:t>
            </w:r>
          </w:p>
        </w:tc>
      </w:tr>
      <w:tr>
        <w:trPr>
          <w:trHeight w:val="199"/>
        </w:trPr>
        <w:tc>
          <w:tcPr>
            <w:tcW w:w="63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4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428"/>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3"/>
          </w:tcPr>
          <w:p>
            <w:pPr>
              <w:jc w:val="right"/>
              <w:ind w:right="288"/>
              <w:spacing w:after="0"/>
              <w:rPr>
                <w:sz w:val="20"/>
                <w:szCs w:val="20"/>
                <w:color w:val="auto"/>
              </w:rPr>
            </w:pPr>
            <w:r>
              <w:rPr>
                <w:rFonts w:ascii="Arial" w:cs="Arial" w:eastAsia="Arial" w:hAnsi="Arial"/>
                <w:sz w:val="14"/>
                <w:szCs w:val="14"/>
                <w:b w:val="1"/>
                <w:bCs w:val="1"/>
                <w:color w:val="auto"/>
              </w:rPr>
              <w:t>December 31, 2022</w:t>
            </w:r>
          </w:p>
        </w:tc>
      </w:tr>
      <w:tr>
        <w:trPr>
          <w:trHeight w:val="143"/>
        </w:trPr>
        <w:tc>
          <w:tcPr>
            <w:tcW w:w="7020" w:type="dxa"/>
            <w:vAlign w:val="bottom"/>
          </w:tcPr>
          <w:p>
            <w:pPr>
              <w:spacing w:after="0"/>
              <w:rPr>
                <w:sz w:val="12"/>
                <w:szCs w:val="12"/>
                <w:color w:val="auto"/>
              </w:rPr>
            </w:pPr>
          </w:p>
        </w:tc>
        <w:tc>
          <w:tcPr>
            <w:tcW w:w="1080" w:type="dxa"/>
            <w:vAlign w:val="bottom"/>
            <w:gridSpan w:val="2"/>
          </w:tcPr>
          <w:p>
            <w:pPr>
              <w:jc w:val="right"/>
              <w:ind w:right="208"/>
              <w:spacing w:after="0" w:line="143"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880" w:type="dxa"/>
            <w:vAlign w:val="bottom"/>
            <w:gridSpan w:val="2"/>
          </w:tcPr>
          <w:p>
            <w:pPr>
              <w:jc w:val="center"/>
              <w:ind w:right="580"/>
              <w:spacing w:after="0" w:line="143" w:lineRule="exact"/>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right"/>
              <w:ind w:right="228"/>
              <w:spacing w:after="0" w:line="14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660" w:type="dxa"/>
            <w:vAlign w:val="bottom"/>
          </w:tcPr>
          <w:p>
            <w:pPr>
              <w:jc w:val="right"/>
              <w:ind w:right="288"/>
              <w:spacing w:after="0" w:line="143" w:lineRule="exact"/>
              <w:rPr>
                <w:sz w:val="20"/>
                <w:szCs w:val="20"/>
                <w:color w:val="auto"/>
              </w:rPr>
            </w:pPr>
            <w:r>
              <w:rPr>
                <w:rFonts w:ascii="Arial" w:cs="Arial" w:eastAsia="Arial" w:hAnsi="Arial"/>
                <w:sz w:val="14"/>
                <w:szCs w:val="14"/>
                <w:b w:val="1"/>
                <w:bCs w:val="1"/>
                <w:color w:val="auto"/>
              </w:rPr>
              <w:t>Fair</w:t>
            </w:r>
          </w:p>
        </w:tc>
      </w:tr>
      <w:tr>
        <w:trPr>
          <w:trHeight w:val="189"/>
        </w:trPr>
        <w:tc>
          <w:tcPr>
            <w:tcW w:w="702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140" w:type="dxa"/>
            <w:vAlign w:val="bottom"/>
            <w:tcBorders>
              <w:bottom w:val="single" w:sz="8" w:color="D7282F"/>
            </w:tcBorders>
            <w:gridSpan w:val="3"/>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100" w:type="dxa"/>
            <w:vAlign w:val="bottom"/>
            <w:tcBorders>
              <w:bottom w:val="single" w:sz="8" w:color="D7282F"/>
            </w:tcBorders>
            <w:gridSpan w:val="2"/>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90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Value</w:t>
            </w:r>
          </w:p>
        </w:tc>
      </w:tr>
      <w:tr>
        <w:trPr>
          <w:trHeight w:val="195"/>
        </w:trPr>
        <w:tc>
          <w:tcPr>
            <w:tcW w:w="70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4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3"/>
        </w:trPr>
        <w:tc>
          <w:tcPr>
            <w:tcW w:w="7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4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177</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229</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183</w:t>
            </w:r>
          </w:p>
        </w:tc>
      </w:tr>
      <w:tr>
        <w:trPr>
          <w:trHeight w:val="199"/>
        </w:trPr>
        <w:tc>
          <w:tcPr>
            <w:tcW w:w="70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4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15,607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14,706</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16,853</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15,856</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D7282F"/>
        </w:rPr>
        <w:t>NOTE 12. EARNINGS PER SHARE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months ended March 31, 2023, and 2022, are as follows (shares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 March</w:t>
            </w:r>
          </w:p>
        </w:tc>
      </w:tr>
      <w:tr>
        <w:trPr>
          <w:trHeight w:val="189"/>
        </w:trPr>
        <w:tc>
          <w:tcPr>
            <w:tcW w:w="2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r>
      <w:tr>
        <w:trPr>
          <w:trHeight w:val="195"/>
        </w:trPr>
        <w:tc>
          <w:tcPr>
            <w:tcW w:w="20" w:type="dxa"/>
            <w:vAlign w:val="bottom"/>
            <w:tcBorders>
              <w:bottom w:val="single" w:sz="8" w:color="D7282F"/>
            </w:tcBorders>
          </w:tcPr>
          <w:p>
            <w:pPr>
              <w:spacing w:after="0"/>
              <w:rPr>
                <w:sz w:val="16"/>
                <w:szCs w:val="16"/>
                <w:color w:val="auto"/>
              </w:rPr>
            </w:pPr>
          </w:p>
        </w:tc>
        <w:tc>
          <w:tcPr>
            <w:tcW w:w="92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D7282F"/>
            </w:tcBorders>
          </w:tcPr>
          <w:p>
            <w:pPr>
              <w:spacing w:after="0"/>
              <w:rPr>
                <w:sz w:val="16"/>
                <w:szCs w:val="16"/>
                <w:color w:val="auto"/>
              </w:rPr>
            </w:pPr>
          </w:p>
        </w:tc>
      </w:tr>
      <w:tr>
        <w:trPr>
          <w:trHeight w:val="193"/>
        </w:trPr>
        <w:tc>
          <w:tcPr>
            <w:tcW w:w="20" w:type="dxa"/>
            <w:vAlign w:val="bottom"/>
            <w:tcBorders>
              <w:bottom w:val="single" w:sz="8" w:color="61656A"/>
            </w:tcBorders>
          </w:tcPr>
          <w:p>
            <w:pPr>
              <w:spacing w:after="0"/>
              <w:rPr>
                <w:sz w:val="16"/>
                <w:szCs w:val="16"/>
                <w:color w:val="auto"/>
              </w:rPr>
            </w:pPr>
          </w:p>
        </w:tc>
        <w:tc>
          <w:tcPr>
            <w:tcW w:w="922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1,394</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1,134</w:t>
            </w:r>
          </w:p>
        </w:tc>
        <w:tc>
          <w:tcPr>
            <w:tcW w:w="20" w:type="dxa"/>
            <w:vAlign w:val="bottom"/>
            <w:tcBorders>
              <w:bottom w:val="single" w:sz="8" w:color="61656A"/>
            </w:tcBorders>
          </w:tcPr>
          <w:p>
            <w:pPr>
              <w:spacing w:after="0"/>
              <w:rPr>
                <w:sz w:val="16"/>
                <w:szCs w:val="16"/>
                <w:color w:val="auto"/>
              </w:rPr>
            </w:pPr>
          </w:p>
        </w:tc>
      </w:tr>
      <w:tr>
        <w:trPr>
          <w:trHeight w:val="196"/>
        </w:trPr>
        <w:tc>
          <w:tcPr>
            <w:tcW w:w="20" w:type="dxa"/>
            <w:vAlign w:val="bottom"/>
            <w:tcBorders>
              <w:bottom w:val="single" w:sz="8" w:color="D7282F"/>
            </w:tcBorders>
          </w:tcPr>
          <w:p>
            <w:pPr>
              <w:spacing w:after="0"/>
              <w:rPr>
                <w:sz w:val="17"/>
                <w:szCs w:val="17"/>
                <w:color w:val="auto"/>
              </w:rPr>
            </w:pPr>
          </w:p>
        </w:tc>
        <w:tc>
          <w:tcPr>
            <w:tcW w:w="922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Weighted average shares outstanding</w:t>
            </w:r>
          </w:p>
        </w:tc>
        <w:tc>
          <w:tcPr>
            <w:tcW w:w="3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667.8</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684.7</w:t>
            </w:r>
          </w:p>
        </w:tc>
        <w:tc>
          <w:tcPr>
            <w:tcW w:w="20" w:type="dxa"/>
            <w:vAlign w:val="bottom"/>
            <w:tcBorders>
              <w:bottom w:val="single" w:sz="8" w:color="D7282F"/>
            </w:tcBorders>
          </w:tcPr>
          <w:p>
            <w:pPr>
              <w:spacing w:after="0"/>
              <w:rPr>
                <w:sz w:val="17"/>
                <w:szCs w:val="17"/>
                <w:color w:val="auto"/>
              </w:rPr>
            </w:pPr>
          </w:p>
        </w:tc>
      </w:tr>
      <w:tr>
        <w:trPr>
          <w:trHeight w:val="199"/>
        </w:trPr>
        <w:tc>
          <w:tcPr>
            <w:tcW w:w="20" w:type="dxa"/>
            <w:vAlign w:val="bottom"/>
            <w:tcBorders>
              <w:bottom w:val="single" w:sz="8" w:color="D7282F"/>
            </w:tcBorders>
          </w:tcPr>
          <w:p>
            <w:pPr>
              <w:spacing w:after="0"/>
              <w:rPr>
                <w:sz w:val="17"/>
                <w:szCs w:val="17"/>
                <w:color w:val="auto"/>
              </w:rPr>
            </w:pPr>
          </w:p>
        </w:tc>
        <w:tc>
          <w:tcPr>
            <w:tcW w:w="922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Earnings per share of common stock—basic</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2.09</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1.66</w:t>
            </w:r>
          </w:p>
        </w:tc>
        <w:tc>
          <w:tcPr>
            <w:tcW w:w="20" w:type="dxa"/>
            <w:vAlign w:val="bottom"/>
            <w:tcBorders>
              <w:bottom w:val="single" w:sz="8" w:color="D7282F"/>
            </w:tcBorders>
          </w:tcPr>
          <w:p>
            <w:pPr>
              <w:spacing w:after="0"/>
              <w:rPr>
                <w:sz w:val="17"/>
                <w:szCs w:val="17"/>
                <w:color w:val="auto"/>
              </w:rPr>
            </w:pPr>
          </w:p>
        </w:tc>
      </w:tr>
      <w:tr>
        <w:trPr>
          <w:trHeight w:val="363"/>
        </w:trPr>
        <w:tc>
          <w:tcPr>
            <w:tcW w:w="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2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92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34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1,394</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1,134</w:t>
            </w:r>
          </w:p>
        </w:tc>
        <w:tc>
          <w:tcPr>
            <w:tcW w:w="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3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3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667.8</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684.7</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9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3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5.2</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2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3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673.0</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691.3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2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2.07</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w:t>
            </w:r>
          </w:p>
        </w:tc>
        <w:tc>
          <w:tcPr>
            <w:tcW w:w="20" w:type="dxa"/>
            <w:vAlign w:val="bottom"/>
          </w:tcPr>
          <w:p>
            <w:pPr>
              <w:spacing w:after="0"/>
              <w:rPr>
                <w:sz w:val="17"/>
                <w:szCs w:val="17"/>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months ended March 31, 2023, and 2022, the weighted average number of stock options excluded from the computations were 4 million and 3 million, respectively.</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March 31, 2023, and 2022, the total shares outstanding were 665.7 million and 680.7 million, respectively, and as of March 31, 2023, and 2022, total shares issued were 957.6 million.</w:t>
      </w:r>
    </w:p>
    <w:p>
      <w:pPr>
        <w:spacing w:after="0" w:line="400"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13. ACCUMULATED OTHER COMPREHENSIVE INCOME (LOSS)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INCOME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40" w:type="dxa"/>
            <w:vAlign w:val="bottom"/>
            <w:gridSpan w:val="2"/>
            <w:vMerge w:val="restart"/>
          </w:tcPr>
          <w:p>
            <w:pPr>
              <w:jc w:val="center"/>
              <w:ind w:left="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060" w:type="dxa"/>
            <w:vAlign w:val="bottom"/>
          </w:tcPr>
          <w:p>
            <w:pPr>
              <w:jc w:val="center"/>
              <w:ind w:right="308"/>
              <w:spacing w:after="0"/>
              <w:rPr>
                <w:sz w:val="20"/>
                <w:szCs w:val="20"/>
                <w:color w:val="auto"/>
              </w:rPr>
            </w:pPr>
            <w:r>
              <w:rPr>
                <w:rFonts w:ascii="Arial" w:cs="Arial" w:eastAsia="Arial" w:hAnsi="Arial"/>
                <w:sz w:val="14"/>
                <w:szCs w:val="14"/>
                <w:b w:val="1"/>
                <w:bCs w:val="1"/>
                <w:color w:val="auto"/>
              </w:rPr>
              <w:t>Pension</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Changes in Fair</w:t>
            </w:r>
          </w:p>
        </w:tc>
        <w:tc>
          <w:tcPr>
            <w:tcW w:w="12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308"/>
              <w:spacing w:after="0" w:line="145" w:lineRule="exact"/>
              <w:rPr>
                <w:sz w:val="20"/>
                <w:szCs w:val="20"/>
                <w:color w:val="auto"/>
              </w:rPr>
            </w:pPr>
            <w:r>
              <w:rPr>
                <w:rFonts w:ascii="Arial" w:cs="Arial" w:eastAsia="Arial" w:hAnsi="Arial"/>
                <w:sz w:val="14"/>
                <w:szCs w:val="14"/>
                <w:b w:val="1"/>
                <w:bCs w:val="1"/>
                <w:color w:val="auto"/>
              </w:rPr>
              <w:t>and Other</w:t>
            </w:r>
          </w:p>
        </w:tc>
        <w:tc>
          <w:tcPr>
            <w:tcW w:w="320" w:type="dxa"/>
            <w:vAlign w:val="bottom"/>
          </w:tcPr>
          <w:p>
            <w:pPr>
              <w:spacing w:after="0"/>
              <w:rPr>
                <w:sz w:val="12"/>
                <w:szCs w:val="12"/>
                <w:color w:val="auto"/>
              </w:rPr>
            </w:pPr>
          </w:p>
        </w:tc>
        <w:tc>
          <w:tcPr>
            <w:tcW w:w="980" w:type="dxa"/>
            <w:vAlign w:val="bottom"/>
          </w:tcPr>
          <w:p>
            <w:pPr>
              <w:jc w:val="center"/>
              <w:ind w:right="348"/>
              <w:spacing w:after="0" w:line="145" w:lineRule="exact"/>
              <w:rPr>
                <w:sz w:val="20"/>
                <w:szCs w:val="20"/>
                <w:color w:val="auto"/>
              </w:rPr>
            </w:pPr>
            <w:r>
              <w:rPr>
                <w:rFonts w:ascii="Arial" w:cs="Arial" w:eastAsia="Arial" w:hAnsi="Arial"/>
                <w:sz w:val="14"/>
                <w:szCs w:val="14"/>
                <w:b w:val="1"/>
                <w:bCs w:val="1"/>
                <w:color w:val="auto"/>
              </w:rPr>
              <w:t>Value of</w:t>
            </w: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40" w:type="dxa"/>
            <w:vAlign w:val="bottom"/>
            <w:gridSpan w:val="2"/>
          </w:tcPr>
          <w:p>
            <w:pPr>
              <w:jc w:val="center"/>
              <w:ind w:left="88"/>
              <w:spacing w:after="0" w:line="135" w:lineRule="exact"/>
              <w:rPr>
                <w:sz w:val="20"/>
                <w:szCs w:val="20"/>
                <w:color w:val="auto"/>
              </w:rPr>
            </w:pPr>
            <w:r>
              <w:rPr>
                <w:rFonts w:ascii="Arial" w:cs="Arial" w:eastAsia="Arial" w:hAnsi="Arial"/>
                <w:sz w:val="14"/>
                <w:szCs w:val="14"/>
                <w:b w:val="1"/>
                <w:bCs w:val="1"/>
                <w:color w:val="auto"/>
              </w:rPr>
              <w:t>Exchange</w:t>
            </w:r>
          </w:p>
        </w:tc>
        <w:tc>
          <w:tcPr>
            <w:tcW w:w="1320" w:type="dxa"/>
            <w:vAlign w:val="bottom"/>
            <w:gridSpan w:val="2"/>
          </w:tcPr>
          <w:p>
            <w:pPr>
              <w:jc w:val="center"/>
              <w:ind w:right="28"/>
              <w:spacing w:after="0" w:line="135" w:lineRule="exact"/>
              <w:rPr>
                <w:sz w:val="20"/>
                <w:szCs w:val="20"/>
                <w:color w:val="auto"/>
              </w:rPr>
            </w:pPr>
            <w:r>
              <w:rPr>
                <w:rFonts w:ascii="Arial" w:cs="Arial" w:eastAsia="Arial" w:hAnsi="Arial"/>
                <w:sz w:val="14"/>
                <w:szCs w:val="14"/>
                <w:b w:val="1"/>
                <w:bCs w:val="1"/>
                <w:color w:val="auto"/>
              </w:rPr>
              <w:t>Postretirement</w:t>
            </w: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Available for</w:t>
            </w:r>
          </w:p>
        </w:tc>
        <w:tc>
          <w:tcPr>
            <w:tcW w:w="86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06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rPr>
              <w:t>Sale</w:t>
            </w:r>
          </w:p>
        </w:tc>
        <w:tc>
          <w:tcPr>
            <w:tcW w:w="12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Borders>
              <w:bottom w:val="single" w:sz="8" w:color="D7282F"/>
            </w:tcBorders>
          </w:tcPr>
          <w:p>
            <w:pPr>
              <w:spacing w:after="0"/>
              <w:rPr>
                <w:sz w:val="16"/>
                <w:szCs w:val="16"/>
                <w:color w:val="auto"/>
              </w:rPr>
            </w:pPr>
          </w:p>
        </w:tc>
        <w:tc>
          <w:tcPr>
            <w:tcW w:w="4900" w:type="dxa"/>
            <w:vAlign w:val="bottom"/>
            <w:tcBorders>
              <w:bottom w:val="single" w:sz="8" w:color="D7282F"/>
            </w:tcBorders>
          </w:tcPr>
          <w:p>
            <w:pPr>
              <w:spacing w:after="0"/>
              <w:rPr>
                <w:sz w:val="16"/>
                <w:szCs w:val="16"/>
                <w:color w:val="auto"/>
              </w:rPr>
            </w:pPr>
          </w:p>
        </w:tc>
        <w:tc>
          <w:tcPr>
            <w:tcW w:w="1440" w:type="dxa"/>
            <w:vAlign w:val="bottom"/>
            <w:tcBorders>
              <w:bottom w:val="single" w:sz="8" w:color="D7282F"/>
            </w:tcBorders>
            <w:gridSpan w:val="2"/>
          </w:tcPr>
          <w:p>
            <w:pPr>
              <w:jc w:val="center"/>
              <w:ind w:left="68"/>
              <w:spacing w:after="0"/>
              <w:rPr>
                <w:sz w:val="20"/>
                <w:szCs w:val="20"/>
                <w:color w:val="auto"/>
              </w:rPr>
            </w:pPr>
            <w:r>
              <w:rPr>
                <w:rFonts w:ascii="Arial" w:cs="Arial" w:eastAsia="Arial" w:hAnsi="Arial"/>
                <w:sz w:val="14"/>
                <w:szCs w:val="14"/>
                <w:b w:val="1"/>
                <w:bCs w:val="1"/>
                <w:color w:val="auto"/>
              </w:rPr>
              <w:t>Adjustment</w:t>
            </w:r>
          </w:p>
        </w:tc>
        <w:tc>
          <w:tcPr>
            <w:tcW w:w="1320" w:type="dxa"/>
            <w:vAlign w:val="bottom"/>
            <w:tcBorders>
              <w:bottom w:val="single" w:sz="8" w:color="D7282F"/>
            </w:tcBorders>
            <w:gridSpan w:val="2"/>
          </w:tcPr>
          <w:p>
            <w:pPr>
              <w:jc w:val="center"/>
              <w:ind w:right="28"/>
              <w:spacing w:after="0"/>
              <w:rPr>
                <w:sz w:val="20"/>
                <w:szCs w:val="20"/>
                <w:color w:val="auto"/>
              </w:rPr>
            </w:pPr>
            <w:r>
              <w:rPr>
                <w:rFonts w:ascii="Arial" w:cs="Arial" w:eastAsia="Arial" w:hAnsi="Arial"/>
                <w:sz w:val="14"/>
                <w:szCs w:val="14"/>
                <w:b w:val="1"/>
                <w:bCs w:val="1"/>
                <w:color w:val="auto"/>
              </w:rPr>
              <w:t>Adjustments</w:t>
            </w:r>
          </w:p>
        </w:tc>
        <w:tc>
          <w:tcPr>
            <w:tcW w:w="13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Investments</w:t>
            </w:r>
          </w:p>
        </w:tc>
        <w:tc>
          <w:tcPr>
            <w:tcW w:w="86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b w:val="1"/>
                <w:bCs w:val="1"/>
                <w:color w:val="auto"/>
              </w:rPr>
              <w:t>Hedges</w:t>
            </w:r>
          </w:p>
        </w:tc>
        <w:tc>
          <w:tcPr>
            <w:tcW w:w="34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4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(2,832)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(648)</w:t>
            </w:r>
          </w:p>
        </w:tc>
        <w:tc>
          <w:tcPr>
            <w:tcW w:w="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(7)</w:t>
            </w:r>
          </w:p>
        </w:tc>
        <w:tc>
          <w:tcPr>
            <w:tcW w:w="86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12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(3,475)</w:t>
            </w:r>
          </w:p>
        </w:tc>
        <w:tc>
          <w:tcPr>
            <w:tcW w:w="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bottom w:val="single" w:sz="8" w:color="61656A"/>
            </w:tcBorders>
          </w:tcPr>
          <w:p>
            <w:pPr>
              <w:spacing w:after="0"/>
              <w:rPr>
                <w:sz w:val="16"/>
                <w:szCs w:val="16"/>
                <w:color w:val="auto"/>
              </w:rPr>
            </w:pPr>
          </w:p>
        </w:tc>
        <w:tc>
          <w:tcPr>
            <w:tcW w:w="490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Other comprehensive income (loss) before reclassifications</w:t>
            </w:r>
          </w:p>
        </w:tc>
        <w:tc>
          <w:tcPr>
            <w:tcW w:w="72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(59)</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c>
          <w:tcPr>
            <w:tcW w:w="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D7282F"/>
            </w:tcBorders>
          </w:tcPr>
          <w:p>
            <w:pPr>
              <w:spacing w:after="0"/>
              <w:rPr>
                <w:sz w:val="17"/>
                <w:szCs w:val="17"/>
                <w:color w:val="auto"/>
              </w:rPr>
            </w:pPr>
          </w:p>
        </w:tc>
        <w:tc>
          <w:tcPr>
            <w:tcW w:w="4900" w:type="dxa"/>
            <w:vAlign w:val="bottom"/>
            <w:tcBorders>
              <w:bottom w:val="single" w:sz="8" w:color="D7282F"/>
            </w:tcBorders>
          </w:tcPr>
          <w:p>
            <w:pPr>
              <w:ind w:left="100"/>
              <w:spacing w:after="0"/>
              <w:rPr>
                <w:sz w:val="20"/>
                <w:szCs w:val="20"/>
                <w:color w:val="auto"/>
              </w:rPr>
            </w:pPr>
            <w:r>
              <w:rPr>
                <w:rFonts w:ascii="Arial" w:cs="Arial" w:eastAsia="Arial" w:hAnsi="Arial"/>
                <w:sz w:val="14"/>
                <w:szCs w:val="14"/>
                <w:color w:val="auto"/>
              </w:rPr>
              <w:t>Amounts reclassified from accumulated other comprehensive income</w:t>
            </w:r>
          </w:p>
        </w:tc>
        <w:tc>
          <w:tcPr>
            <w:tcW w:w="7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3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ind w:left="40"/>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Borders>
              <w:bottom w:val="single" w:sz="8" w:color="D7282F"/>
            </w:tcBorders>
          </w:tcPr>
          <w:p>
            <w:pPr>
              <w:spacing w:after="0"/>
              <w:rPr>
                <w:sz w:val="17"/>
                <w:szCs w:val="17"/>
                <w:color w:val="auto"/>
              </w:rPr>
            </w:pPr>
          </w:p>
        </w:tc>
        <w:tc>
          <w:tcPr>
            <w:tcW w:w="490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7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(59)</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c>
          <w:tcPr>
            <w:tcW w:w="3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(6)</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14</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w:t>
            </w:r>
          </w:p>
        </w:tc>
        <w:tc>
          <w:tcPr>
            <w:tcW w:w="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(2,891)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(660)</w:t>
            </w:r>
          </w:p>
        </w:tc>
        <w:tc>
          <w:tcPr>
            <w:tcW w:w="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(13)</w:t>
            </w:r>
          </w:p>
        </w:tc>
        <w:tc>
          <w:tcPr>
            <w:tcW w:w="86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26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(3,538)</w:t>
            </w:r>
          </w:p>
        </w:tc>
        <w:tc>
          <w:tcPr>
            <w:tcW w:w="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40" w:type="dxa"/>
            <w:vAlign w:val="bottom"/>
            <w:gridSpan w:val="2"/>
            <w:vMerge w:val="restart"/>
          </w:tcPr>
          <w:p>
            <w:pPr>
              <w:jc w:val="center"/>
              <w:ind w:left="10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060" w:type="dxa"/>
            <w:vAlign w:val="bottom"/>
          </w:tcPr>
          <w:p>
            <w:pPr>
              <w:jc w:val="center"/>
              <w:ind w:right="308"/>
              <w:spacing w:after="0"/>
              <w:rPr>
                <w:sz w:val="20"/>
                <w:szCs w:val="20"/>
                <w:color w:val="auto"/>
              </w:rPr>
            </w:pPr>
            <w:r>
              <w:rPr>
                <w:rFonts w:ascii="Arial" w:cs="Arial" w:eastAsia="Arial" w:hAnsi="Arial"/>
                <w:sz w:val="14"/>
                <w:szCs w:val="14"/>
                <w:b w:val="1"/>
                <w:bCs w:val="1"/>
                <w:color w:val="auto"/>
              </w:rPr>
              <w:t>Pension</w:t>
            </w:r>
          </w:p>
        </w:tc>
        <w:tc>
          <w:tcPr>
            <w:tcW w:w="13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Changes in Fair</w:t>
            </w:r>
          </w:p>
        </w:tc>
        <w:tc>
          <w:tcPr>
            <w:tcW w:w="12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268"/>
              <w:spacing w:after="0" w:line="135" w:lineRule="exact"/>
              <w:rPr>
                <w:sz w:val="20"/>
                <w:szCs w:val="20"/>
                <w:color w:val="auto"/>
              </w:rPr>
            </w:pPr>
            <w:r>
              <w:rPr>
                <w:rFonts w:ascii="Arial" w:cs="Arial" w:eastAsia="Arial" w:hAnsi="Arial"/>
                <w:sz w:val="14"/>
                <w:szCs w:val="14"/>
                <w:b w:val="1"/>
                <w:bCs w:val="1"/>
                <w:color w:val="auto"/>
              </w:rPr>
              <w:t>and Other</w:t>
            </w:r>
          </w:p>
        </w:tc>
        <w:tc>
          <w:tcPr>
            <w:tcW w:w="320" w:type="dxa"/>
            <w:vAlign w:val="bottom"/>
          </w:tcPr>
          <w:p>
            <w:pPr>
              <w:spacing w:after="0"/>
              <w:rPr>
                <w:sz w:val="11"/>
                <w:szCs w:val="11"/>
                <w:color w:val="auto"/>
              </w:rPr>
            </w:pPr>
          </w:p>
        </w:tc>
        <w:tc>
          <w:tcPr>
            <w:tcW w:w="980" w:type="dxa"/>
            <w:vAlign w:val="bottom"/>
          </w:tcPr>
          <w:p>
            <w:pPr>
              <w:jc w:val="center"/>
              <w:ind w:right="308"/>
              <w:spacing w:after="0" w:line="135" w:lineRule="exact"/>
              <w:rPr>
                <w:sz w:val="20"/>
                <w:szCs w:val="20"/>
                <w:color w:val="auto"/>
              </w:rPr>
            </w:pPr>
            <w:r>
              <w:rPr>
                <w:rFonts w:ascii="Arial" w:cs="Arial" w:eastAsia="Arial" w:hAnsi="Arial"/>
                <w:sz w:val="14"/>
                <w:szCs w:val="14"/>
                <w:b w:val="1"/>
                <w:bCs w:val="1"/>
                <w:color w:val="auto"/>
              </w:rPr>
              <w:t>Value of</w:t>
            </w:r>
          </w:p>
        </w:tc>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rPr>
              <w:t>Exchange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Postretirement</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Available for</w:t>
            </w:r>
          </w:p>
        </w:tc>
        <w:tc>
          <w:tcPr>
            <w:tcW w:w="8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0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98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rPr>
              <w:t>Sale</w:t>
            </w:r>
          </w:p>
        </w:tc>
        <w:tc>
          <w:tcPr>
            <w:tcW w:w="12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44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Adjustment</w:t>
            </w:r>
          </w:p>
        </w:tc>
        <w:tc>
          <w:tcPr>
            <w:tcW w:w="13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Adjustments</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Investments</w:t>
            </w:r>
          </w:p>
        </w:tc>
        <w:tc>
          <w:tcPr>
            <w:tcW w:w="860" w:type="dxa"/>
            <w:vAlign w:val="bottom"/>
          </w:tcPr>
          <w:p>
            <w:pPr>
              <w:jc w:val="center"/>
              <w:ind w:left="108"/>
              <w:spacing w:after="0"/>
              <w:rPr>
                <w:sz w:val="20"/>
                <w:szCs w:val="20"/>
                <w:color w:val="auto"/>
              </w:rPr>
            </w:pPr>
            <w:r>
              <w:rPr>
                <w:rFonts w:ascii="Arial" w:cs="Arial" w:eastAsia="Arial" w:hAnsi="Arial"/>
                <w:sz w:val="14"/>
                <w:szCs w:val="14"/>
                <w:b w:val="1"/>
                <w:bCs w:val="1"/>
                <w:color w:val="auto"/>
              </w:rPr>
              <w:t>Hedges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900" w:type="dxa"/>
            <w:vAlign w:val="bottom"/>
            <w:tcBorders>
              <w:top w:val="single" w:sz="8" w:color="D7282F"/>
              <w:bottom w:val="single" w:sz="8" w:color="D7282F"/>
            </w:tcBorders>
          </w:tcPr>
          <w:p>
            <w:pPr>
              <w:spacing w:after="0"/>
              <w:rPr>
                <w:sz w:val="20"/>
                <w:szCs w:val="20"/>
                <w:color w:val="auto"/>
              </w:rPr>
            </w:pPr>
            <w:r>
              <w:rPr>
                <w:rFonts w:ascii="Arial" w:cs="Arial" w:eastAsia="Arial" w:hAnsi="Arial"/>
                <w:sz w:val="14"/>
                <w:szCs w:val="14"/>
                <w:b w:val="1"/>
                <w:bCs w:val="1"/>
                <w:color w:val="auto"/>
              </w:rPr>
              <w:t>Balance at December 31, 2021</w:t>
            </w:r>
          </w:p>
        </w:tc>
        <w:tc>
          <w:tcPr>
            <w:tcW w:w="720" w:type="dxa"/>
            <w:vAlign w:val="bottom"/>
            <w:tcBorders>
              <w:top w:val="single" w:sz="8" w:color="D7282F"/>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D7282F"/>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(2,478)</w:t>
            </w:r>
          </w:p>
        </w:tc>
        <w:tc>
          <w:tcPr>
            <w:tcW w:w="2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(415)</w:t>
            </w:r>
          </w:p>
        </w:tc>
        <w:tc>
          <w:tcPr>
            <w:tcW w:w="320" w:type="dxa"/>
            <w:vAlign w:val="bottom"/>
            <w:tcBorders>
              <w:top w:val="single" w:sz="8" w:color="D7282F"/>
              <w:bottom w:val="single" w:sz="8" w:color="D7282F"/>
            </w:tcBorders>
          </w:tcPr>
          <w:p>
            <w:pPr>
              <w:ind w:left="24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D7282F"/>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86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(3)</w:t>
            </w:r>
          </w:p>
        </w:tc>
        <w:tc>
          <w:tcPr>
            <w:tcW w:w="2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900" w:type="dxa"/>
            <w:vAlign w:val="bottom"/>
            <w:tcBorders>
              <w:bottom w:val="single" w:sz="8" w:color="61656A"/>
            </w:tcBorders>
          </w:tcPr>
          <w:p>
            <w:pPr>
              <w:ind w:left="60"/>
              <w:spacing w:after="0"/>
              <w:rPr>
                <w:sz w:val="20"/>
                <w:szCs w:val="20"/>
                <w:color w:val="auto"/>
              </w:rPr>
            </w:pPr>
            <w:r>
              <w:rPr>
                <w:rFonts w:ascii="Arial" w:cs="Arial" w:eastAsia="Arial" w:hAnsi="Arial"/>
                <w:sz w:val="14"/>
                <w:szCs w:val="14"/>
                <w:color w:val="auto"/>
              </w:rPr>
              <w:t>Other comprehensive income (loss) before reclassifications</w:t>
            </w:r>
          </w:p>
        </w:tc>
        <w:tc>
          <w:tcPr>
            <w:tcW w:w="72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129</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900" w:type="dxa"/>
            <w:vAlign w:val="bottom"/>
            <w:tcBorders>
              <w:bottom w:val="single" w:sz="8" w:color="D7282F"/>
            </w:tcBorders>
          </w:tcPr>
          <w:p>
            <w:pPr>
              <w:ind w:left="60"/>
              <w:spacing w:after="0"/>
              <w:rPr>
                <w:sz w:val="20"/>
                <w:szCs w:val="20"/>
                <w:color w:val="auto"/>
              </w:rPr>
            </w:pPr>
            <w:r>
              <w:rPr>
                <w:rFonts w:ascii="Arial" w:cs="Arial" w:eastAsia="Arial" w:hAnsi="Arial"/>
                <w:sz w:val="14"/>
                <w:szCs w:val="14"/>
                <w:color w:val="auto"/>
              </w:rPr>
              <w:t>Amounts reclassified from accumulated other comprehensive income</w:t>
            </w:r>
          </w:p>
        </w:tc>
        <w:tc>
          <w:tcPr>
            <w:tcW w:w="7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90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7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126</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w:t>
            </w:r>
          </w:p>
        </w:tc>
        <w:tc>
          <w:tcPr>
            <w:tcW w:w="3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ind w:left="80"/>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90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Balance at March 31, 2022</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(2,352)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(432)</w:t>
            </w:r>
          </w:p>
        </w:tc>
        <w:tc>
          <w:tcPr>
            <w:tcW w:w="3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86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14.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Honeywell's environmental matters are described in Note 19 Commitments and Contingencies of Notes to Consolidated Financial Statements in the Company's 2022 Annual Report on Form 10-K.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920" w:type="dxa"/>
            <w:vAlign w:val="bottom"/>
            <w:tcBorders>
              <w:top w:val="single" w:sz="8" w:color="D7282F"/>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w:t>
            </w:r>
          </w:p>
        </w:tc>
      </w:tr>
      <w:tr>
        <w:trPr>
          <w:trHeight w:val="193"/>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20" w:type="dxa"/>
            <w:vAlign w:val="bottom"/>
            <w:tcBorders>
              <w:bottom w:val="single" w:sz="8" w:color="61656A"/>
            </w:tcBorders>
          </w:tcPr>
          <w:p>
            <w:pPr>
              <w:spacing w:after="0"/>
              <w:rPr>
                <w:sz w:val="16"/>
                <w:szCs w:val="16"/>
                <w:color w:val="auto"/>
              </w:rPr>
            </w:pPr>
          </w:p>
        </w:tc>
        <w:tc>
          <w:tcPr>
            <w:tcW w:w="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w:t>
            </w:r>
          </w:p>
        </w:tc>
      </w:tr>
      <w:tr>
        <w:trPr>
          <w:trHeight w:val="196"/>
        </w:trPr>
        <w:tc>
          <w:tcPr>
            <w:tcW w:w="7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2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w:t>
            </w:r>
          </w:p>
        </w:tc>
      </w:tr>
      <w:tr>
        <w:trPr>
          <w:trHeight w:val="199"/>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29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60" w:type="dxa"/>
            <w:vAlign w:val="bottom"/>
            <w:tcBorders>
              <w:bottom w:val="single" w:sz="8" w:color="D7282F"/>
            </w:tcBorders>
          </w:tcPr>
          <w:p>
            <w:pPr>
              <w:spacing w:after="0"/>
              <w:rPr>
                <w:sz w:val="17"/>
                <w:szCs w:val="17"/>
                <w:color w:val="auto"/>
              </w:rPr>
            </w:pPr>
          </w:p>
        </w:tc>
        <w:tc>
          <w:tcPr>
            <w:tcW w:w="4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March 31, 2023</w:t>
            </w:r>
          </w:p>
        </w:tc>
        <w:tc>
          <w:tcPr>
            <w:tcW w:w="44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3"/>
        </w:trPr>
        <w:tc>
          <w:tcPr>
            <w:tcW w:w="49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4080" w:type="dxa"/>
            <w:vAlign w:val="bottom"/>
            <w:tcBorders>
              <w:bottom w:val="single" w:sz="8" w:color="61656A"/>
            </w:tcBorders>
          </w:tcPr>
          <w:p>
            <w:pPr>
              <w:jc w:val="right"/>
              <w:ind w:right="1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222</w:t>
            </w:r>
          </w:p>
        </w:tc>
        <w:tc>
          <w:tcPr>
            <w:tcW w:w="84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222</w:t>
            </w:r>
          </w:p>
        </w:tc>
      </w:tr>
      <w:tr>
        <w:trPr>
          <w:trHeight w:val="196"/>
        </w:trPr>
        <w:tc>
          <w:tcPr>
            <w:tcW w:w="49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0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451</w:t>
            </w:r>
          </w:p>
        </w:tc>
        <w:tc>
          <w:tcPr>
            <w:tcW w:w="8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393</w:t>
            </w:r>
          </w:p>
        </w:tc>
      </w:tr>
      <w:tr>
        <w:trPr>
          <w:trHeight w:val="199"/>
        </w:trPr>
        <w:tc>
          <w:tcPr>
            <w:tcW w:w="49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4080" w:type="dxa"/>
            <w:vAlign w:val="bottom"/>
            <w:tcBorders>
              <w:bottom w:val="single" w:sz="8" w:color="D7282F"/>
            </w:tcBorders>
          </w:tcPr>
          <w:p>
            <w:pPr>
              <w:jc w:val="right"/>
              <w:ind w:right="110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673</w:t>
            </w:r>
          </w:p>
        </w:tc>
        <w:tc>
          <w:tcPr>
            <w:tcW w:w="84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associated with this agreement are collected from Resideo quarterly and was $35 million in the three months ended March 31, 2023,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three months ended March 31, 2023, was $59 million. As of March 31, 2023, Other current assets and Other assets included $140 million and $498 million, respectively, for the short-term and long-term portion of the receivable amount due from Resideo under the indemnification and reimbursement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Borders>
              <w:bottom w:val="single" w:sz="8" w:color="D7282F"/>
            </w:tcBorders>
          </w:tcPr>
          <w:p>
            <w:pPr>
              <w:spacing w:after="0"/>
              <w:rPr>
                <w:sz w:val="17"/>
                <w:szCs w:val="17"/>
                <w:color w:val="auto"/>
              </w:rPr>
            </w:pPr>
          </w:p>
        </w:tc>
        <w:tc>
          <w:tcPr>
            <w:tcW w:w="3700" w:type="dxa"/>
            <w:vAlign w:val="bottom"/>
            <w:tcBorders>
              <w:bottom w:val="single" w:sz="8" w:color="D7282F"/>
            </w:tcBorders>
            <w:gridSpan w:val="2"/>
          </w:tcPr>
          <w:p>
            <w:pPr>
              <w:ind w:left="2860"/>
              <w:spacing w:after="0"/>
              <w:rPr>
                <w:sz w:val="20"/>
                <w:szCs w:val="20"/>
                <w:color w:val="auto"/>
              </w:rPr>
            </w:pPr>
            <w:r>
              <w:rPr>
                <w:rFonts w:ascii="Arial" w:cs="Arial" w:eastAsia="Arial" w:hAnsi="Arial"/>
                <w:sz w:val="14"/>
                <w:szCs w:val="14"/>
                <w:b w:val="1"/>
                <w:bCs w:val="1"/>
                <w:color w:val="auto"/>
              </w:rPr>
              <w:t>Bendix</w:t>
            </w: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3060" w:type="dxa"/>
            <w:vAlign w:val="bottom"/>
            <w:tcBorders>
              <w:bottom w:val="single" w:sz="8" w:color="D7282F"/>
            </w:tcBorders>
          </w:tcPr>
          <w:p>
            <w:pPr>
              <w:ind w:left="28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1,291</w:t>
            </w:r>
          </w:p>
        </w:tc>
        <w:tc>
          <w:tcPr>
            <w:tcW w:w="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1,325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2,616</w:t>
            </w:r>
          </w:p>
        </w:tc>
      </w:tr>
      <w:tr>
        <w:trPr>
          <w:trHeight w:val="193"/>
        </w:trPr>
        <w:tc>
          <w:tcPr>
            <w:tcW w:w="56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306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56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 in estimated cost of future claims</w:t>
            </w:r>
          </w:p>
        </w:tc>
        <w:tc>
          <w:tcPr>
            <w:tcW w:w="306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56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306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(36)</w:t>
            </w: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5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NARCO Buyout</w:t>
            </w:r>
          </w:p>
        </w:tc>
        <w:tc>
          <w:tcPr>
            <w:tcW w:w="30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(1,325)</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r>
      <w:tr>
        <w:trPr>
          <w:trHeight w:val="199"/>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March 31, 2023</w:t>
            </w:r>
          </w:p>
        </w:tc>
        <w:tc>
          <w:tcPr>
            <w:tcW w:w="3060" w:type="dxa"/>
            <w:vAlign w:val="bottom"/>
            <w:tcBorders>
              <w:bottom w:val="single" w:sz="8" w:color="D7282F"/>
            </w:tcBorders>
          </w:tcPr>
          <w:p>
            <w:pPr>
              <w:ind w:left="28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1,274</w:t>
            </w:r>
          </w:p>
        </w:tc>
        <w:tc>
          <w:tcPr>
            <w:tcW w:w="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1,276</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gridSpan w:val="3"/>
          </w:tcPr>
          <w:p>
            <w:pPr>
              <w:ind w:left="20"/>
              <w:spacing w:after="0"/>
              <w:rPr>
                <w:sz w:val="20"/>
                <w:szCs w:val="20"/>
                <w:color w:val="auto"/>
              </w:rPr>
            </w:pPr>
            <w:r>
              <w:rPr>
                <w:rFonts w:ascii="Arial" w:cs="Arial" w:eastAsia="Arial" w:hAnsi="Arial"/>
                <w:sz w:val="14"/>
                <w:szCs w:val="14"/>
                <w:b w:val="1"/>
                <w:bCs w:val="1"/>
                <w:color w:val="auto"/>
              </w:rPr>
              <w:t>Bendix</w:t>
            </w:r>
          </w:p>
        </w:tc>
        <w:tc>
          <w:tcPr>
            <w:tcW w:w="1000" w:type="dxa"/>
            <w:vAlign w:val="bottom"/>
            <w:tcBorders>
              <w:bottom w:val="single" w:sz="8" w:color="D7282F"/>
            </w:tcBorders>
            <w:gridSpan w:val="3"/>
          </w:tcPr>
          <w:p>
            <w:pPr>
              <w:spacing w:after="0"/>
              <w:rPr>
                <w:sz w:val="20"/>
                <w:szCs w:val="20"/>
                <w:color w:val="auto"/>
              </w:rPr>
            </w:pPr>
            <w:r>
              <w:rPr>
                <w:rFonts w:ascii="Arial" w:cs="Arial" w:eastAsia="Arial" w:hAnsi="Arial"/>
                <w:sz w:val="14"/>
                <w:szCs w:val="14"/>
                <w:b w:val="1"/>
                <w:bCs w:val="1"/>
                <w:color w:val="auto"/>
              </w:rPr>
              <w:t>NARCO</w:t>
            </w: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130</w:t>
            </w:r>
          </w:p>
        </w:tc>
        <w:tc>
          <w:tcPr>
            <w:tcW w:w="240" w:type="dxa"/>
            <w:vAlign w:val="bottom"/>
            <w:tcBorders>
              <w:bottom w:val="single" w:sz="8" w:color="D7282F"/>
            </w:tcBorders>
          </w:tcPr>
          <w:p>
            <w:pPr>
              <w:spacing w:after="0"/>
              <w:rPr>
                <w:sz w:val="17"/>
                <w:szCs w:val="17"/>
                <w:color w:val="auto"/>
              </w:rPr>
            </w:pPr>
          </w:p>
        </w:tc>
        <w:tc>
          <w:tcPr>
            <w:tcW w:w="280" w:type="dxa"/>
            <w:vAlign w:val="bottom"/>
            <w:tcBorders>
              <w:bottom w:val="single" w:sz="8" w:color="DC202E"/>
            </w:tcBorders>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135</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265</w:t>
            </w:r>
          </w:p>
        </w:tc>
      </w:tr>
      <w:tr>
        <w:trPr>
          <w:trHeight w:val="193"/>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Probable insurance recoveries related to estimated liability</w:t>
            </w:r>
          </w:p>
        </w:tc>
        <w:tc>
          <w:tcPr>
            <w:tcW w:w="280" w:type="dxa"/>
            <w:vAlign w:val="bottom"/>
            <w:tcBorders>
              <w:bottom w:val="single" w:sz="8" w:color="61656A"/>
            </w:tcBorders>
          </w:tcPr>
          <w:p>
            <w:pPr>
              <w:spacing w:after="0"/>
              <w:rPr>
                <w:sz w:val="16"/>
                <w:szCs w:val="16"/>
                <w:color w:val="auto"/>
              </w:rPr>
            </w:pPr>
          </w:p>
        </w:tc>
        <w:tc>
          <w:tcPr>
            <w:tcW w:w="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2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132</w:t>
            </w:r>
          </w:p>
        </w:tc>
        <w:tc>
          <w:tcPr>
            <w:tcW w:w="2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128</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260</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Borders>
              <w:bottom w:val="single" w:sz="8" w:color="D7282F"/>
            </w:tcBorders>
          </w:tcPr>
          <w:p>
            <w:pPr>
              <w:spacing w:after="0"/>
              <w:rPr>
                <w:sz w:val="17"/>
                <w:szCs w:val="17"/>
                <w:color w:val="auto"/>
              </w:rPr>
            </w:pPr>
          </w:p>
        </w:tc>
        <w:tc>
          <w:tcPr>
            <w:tcW w:w="202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2023</w:t>
            </w:r>
          </w:p>
        </w:tc>
        <w:tc>
          <w:tcPr>
            <w:tcW w:w="176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3"/>
        </w:trPr>
        <w:tc>
          <w:tcPr>
            <w:tcW w:w="5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2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w:t>
            </w:r>
          </w:p>
        </w:tc>
        <w:tc>
          <w:tcPr>
            <w:tcW w:w="78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202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219</w:t>
            </w:r>
          </w:p>
        </w:tc>
        <w:tc>
          <w:tcPr>
            <w:tcW w:w="7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224</w:t>
            </w:r>
          </w:p>
        </w:tc>
      </w:tr>
      <w:tr>
        <w:trPr>
          <w:trHeight w:val="199"/>
        </w:trPr>
        <w:tc>
          <w:tcPr>
            <w:tcW w:w="5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2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260</w:t>
            </w:r>
          </w:p>
        </w:tc>
        <w:tc>
          <w:tcPr>
            <w:tcW w:w="7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265</w:t>
            </w:r>
          </w:p>
        </w:tc>
      </w:tr>
      <w:tr>
        <w:trPr>
          <w:trHeight w:val="193"/>
        </w:trPr>
        <w:tc>
          <w:tcPr>
            <w:tcW w:w="5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2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122</w:t>
            </w:r>
          </w:p>
        </w:tc>
        <w:tc>
          <w:tcPr>
            <w:tcW w:w="78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1,436</w:t>
            </w:r>
          </w:p>
        </w:tc>
      </w:tr>
      <w:tr>
        <w:trPr>
          <w:trHeight w:val="196"/>
        </w:trPr>
        <w:tc>
          <w:tcPr>
            <w:tcW w:w="5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202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1,154</w:t>
            </w:r>
          </w:p>
        </w:tc>
        <w:tc>
          <w:tcPr>
            <w:tcW w:w="7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1,180</w:t>
            </w:r>
          </w:p>
        </w:tc>
      </w:tr>
      <w:tr>
        <w:trPr>
          <w:trHeight w:val="199"/>
        </w:trPr>
        <w:tc>
          <w:tcPr>
            <w:tcW w:w="5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p>
        </w:tc>
        <w:tc>
          <w:tcPr>
            <w:tcW w:w="2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1,276</w:t>
            </w:r>
          </w:p>
        </w:tc>
        <w:tc>
          <w:tcPr>
            <w:tcW w:w="7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2,616</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NARCO ceased manufacturing asbestos containing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and the NARCO Trust Distribution Procedures set forth the structure and operating rules of the Trust, and established Honeywell’s evergreen funding obligations.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18, 2022, Honeywell entered into a definitive agreement with the Trust and certain other parties, which was subsequently amended on November 20, 2022 (Amended Buyout Agreement).</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(the Honeywell Obligations) (the NARCO Buyout). In accordance with the Amended Buyout Agreement, the economic rights of the Trust in respect of the net proceeds from the HWI Sale (as defined in Note 11 Fair Value Measurements) inure to the benefit of Honeywell.</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8, 2022, the Bankruptcy Court issued an order that (A) approved the Amended Buyout Agreement, and (B) declared that the Channeling Injunction will remain in full force and effect without modification, dissolution, or termination.</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December 14, 2022, HWI (as defined in Note 11 Fair Value Measurements) entered into a definitive sale agreement for the sale of HWI to an affiliate of Platinum Equity, LLC subject to the terms set forth in the agreement.</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January 30, 2023, the Company paid the Buyout Amount to the Trust, the parties closed the transactions contemplated in the Amended Buyout Agreement, and Honeywell was released from the Honeywell Obligations. Honeywell continues to have the right to collect proceeds in connection with its NARCO asbestos-related insurance policies.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16, 2023, the HWI Sale closed, and on March 17, 2023, pursuant to the terms of the Amended Buyout Agreement, Honeywell received initial proceeds from the HWI Sale in the amount of $256 million. See Note 11 Fair Value Measurements for further information on the related proceeds and remaining amount under the Amended Buyout Agreement.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see our Annual Report on Form 10-K, filed with the SEC on February 10, 2023, under Note 19 Commitments and Contingencies.</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72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40" w:type="dxa"/>
            <w:vAlign w:val="bottom"/>
          </w:tcPr>
          <w:p>
            <w:pPr>
              <w:ind w:left="400"/>
              <w:spacing w:after="0"/>
              <w:rPr>
                <w:sz w:val="20"/>
                <w:szCs w:val="20"/>
                <w:color w:val="auto"/>
              </w:rPr>
            </w:pPr>
            <w:r>
              <w:rPr>
                <w:rFonts w:ascii="Arial" w:cs="Arial" w:eastAsia="Arial" w:hAnsi="Arial"/>
                <w:sz w:val="14"/>
                <w:szCs w:val="14"/>
                <w:b w:val="1"/>
                <w:bCs w:val="1"/>
                <w:color w:val="auto"/>
              </w:rPr>
              <w:t>Years Ended</w:t>
            </w:r>
          </w:p>
        </w:tc>
        <w:tc>
          <w:tcPr>
            <w:tcW w:w="1180" w:type="dxa"/>
            <w:vAlign w:val="bottom"/>
          </w:tcPr>
          <w:p>
            <w:pPr>
              <w:spacing w:after="0"/>
              <w:rPr>
                <w:sz w:val="14"/>
                <w:szCs w:val="14"/>
                <w:color w:val="auto"/>
              </w:rPr>
            </w:pPr>
          </w:p>
        </w:tc>
      </w:tr>
      <w:tr>
        <w:trPr>
          <w:trHeight w:val="185"/>
        </w:trPr>
        <w:tc>
          <w:tcPr>
            <w:tcW w:w="5680" w:type="dxa"/>
            <w:vAlign w:val="bottom"/>
          </w:tcPr>
          <w:p>
            <w:pPr>
              <w:spacing w:after="0"/>
              <w:rPr>
                <w:sz w:val="16"/>
                <w:szCs w:val="16"/>
                <w:color w:val="auto"/>
              </w:rPr>
            </w:pPr>
          </w:p>
        </w:tc>
        <w:tc>
          <w:tcPr>
            <w:tcW w:w="272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spacing w:after="0"/>
              <w:rPr>
                <w:sz w:val="16"/>
                <w:szCs w:val="16"/>
                <w:color w:val="auto"/>
              </w:rPr>
            </w:pPr>
          </w:p>
        </w:tc>
      </w:tr>
      <w:tr>
        <w:trPr>
          <w:trHeight w:val="195"/>
        </w:trPr>
        <w:tc>
          <w:tcPr>
            <w:tcW w:w="5680" w:type="dxa"/>
            <w:vAlign w:val="bottom"/>
            <w:tcBorders>
              <w:bottom w:val="single" w:sz="8" w:color="D7282F"/>
            </w:tcBorders>
          </w:tcPr>
          <w:p>
            <w:pPr>
              <w:spacing w:after="0"/>
              <w:rPr>
                <w:sz w:val="16"/>
                <w:szCs w:val="16"/>
                <w:color w:val="auto"/>
              </w:rPr>
            </w:pPr>
          </w:p>
        </w:tc>
        <w:tc>
          <w:tcPr>
            <w:tcW w:w="1400" w:type="dxa"/>
            <w:vAlign w:val="bottom"/>
            <w:tcBorders>
              <w:top w:val="single" w:sz="8" w:color="D7282F"/>
              <w:bottom w:val="single" w:sz="8" w:color="D7282F"/>
            </w:tcBorders>
          </w:tcPr>
          <w:p>
            <w:pPr>
              <w:jc w:val="center"/>
              <w:ind w:left="288"/>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D7282F"/>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720" w:type="dxa"/>
            <w:vAlign w:val="bottom"/>
            <w:tcBorders>
              <w:top w:val="single" w:sz="8" w:color="D7282F"/>
              <w:bottom w:val="single" w:sz="8" w:color="D7282F"/>
            </w:tcBorders>
          </w:tcPr>
          <w:p>
            <w:pPr>
              <w:spacing w:after="0"/>
              <w:rPr>
                <w:sz w:val="16"/>
                <w:szCs w:val="16"/>
                <w:color w:val="auto"/>
              </w:rPr>
            </w:pPr>
          </w:p>
        </w:tc>
        <w:tc>
          <w:tcPr>
            <w:tcW w:w="1660" w:type="dxa"/>
            <w:vAlign w:val="bottom"/>
            <w:tcBorders>
              <w:top w:val="single" w:sz="8" w:color="D7282F"/>
              <w:bottom w:val="single" w:sz="8" w:color="D7282F"/>
            </w:tcBorders>
            <w:gridSpan w:val="2"/>
          </w:tcPr>
          <w:p>
            <w:pPr>
              <w:jc w:val="right"/>
              <w:ind w:right="1268"/>
              <w:spacing w:after="0"/>
              <w:rPr>
                <w:sz w:val="20"/>
                <w:szCs w:val="20"/>
                <w:color w:val="auto"/>
              </w:rPr>
            </w:pPr>
            <w:r>
              <w:rPr>
                <w:rFonts w:ascii="Arial" w:cs="Arial" w:eastAsia="Arial" w:hAnsi="Arial"/>
                <w:sz w:val="14"/>
                <w:szCs w:val="14"/>
                <w:b w:val="1"/>
                <w:bCs w:val="1"/>
                <w:color w:val="auto"/>
                <w:w w:val="96"/>
              </w:rPr>
              <w:t>2022</w:t>
            </w:r>
          </w:p>
        </w:tc>
        <w:tc>
          <w:tcPr>
            <w:tcW w:w="1180" w:type="dxa"/>
            <w:vAlign w:val="bottom"/>
            <w:tcBorders>
              <w:top w:val="single" w:sz="8" w:color="D7282F"/>
              <w:bottom w:val="single" w:sz="8" w:color="D7282F"/>
            </w:tcBorders>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196"/>
        </w:trPr>
        <w:tc>
          <w:tcPr>
            <w:tcW w:w="56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period</w:t>
            </w:r>
          </w:p>
        </w:tc>
        <w:tc>
          <w:tcPr>
            <w:tcW w:w="17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5,608</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gridSpan w:val="2"/>
          </w:tcPr>
          <w:p>
            <w:pPr>
              <w:ind w:left="640"/>
              <w:spacing w:after="0"/>
              <w:rPr>
                <w:sz w:val="20"/>
                <w:szCs w:val="20"/>
                <w:color w:val="auto"/>
              </w:rPr>
            </w:pPr>
            <w:r>
              <w:rPr>
                <w:rFonts w:ascii="Arial" w:cs="Arial" w:eastAsia="Arial" w:hAnsi="Arial"/>
                <w:sz w:val="14"/>
                <w:szCs w:val="14"/>
                <w:color w:val="auto"/>
              </w:rPr>
              <w:t>6,401</w:t>
            </w: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6,242</w:t>
            </w:r>
          </w:p>
        </w:tc>
      </w:tr>
      <w:tr>
        <w:trPr>
          <w:trHeight w:val="193"/>
        </w:trPr>
        <w:tc>
          <w:tcPr>
            <w:tcW w:w="56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17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400</w:t>
            </w:r>
          </w:p>
        </w:tc>
        <w:tc>
          <w:tcPr>
            <w:tcW w:w="24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gridSpan w:val="2"/>
          </w:tcPr>
          <w:p>
            <w:pPr>
              <w:ind w:left="640"/>
              <w:spacing w:after="0"/>
              <w:rPr>
                <w:sz w:val="20"/>
                <w:szCs w:val="20"/>
                <w:color w:val="auto"/>
              </w:rPr>
            </w:pPr>
            <w:r>
              <w:rPr>
                <w:rFonts w:ascii="Arial" w:cs="Arial" w:eastAsia="Arial" w:hAnsi="Arial"/>
                <w:sz w:val="14"/>
                <w:szCs w:val="14"/>
                <w:color w:val="auto"/>
              </w:rPr>
              <w:t>2,014</w:t>
            </w: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2,611</w:t>
            </w:r>
          </w:p>
        </w:tc>
      </w:tr>
      <w:tr>
        <w:trPr>
          <w:trHeight w:val="196"/>
        </w:trPr>
        <w:tc>
          <w:tcPr>
            <w:tcW w:w="56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17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(302)</w:t>
            </w:r>
          </w:p>
        </w:tc>
        <w:tc>
          <w:tcPr>
            <w:tcW w:w="2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2"/>
          </w:tcPr>
          <w:p>
            <w:pPr>
              <w:jc w:val="right"/>
              <w:ind w:right="548"/>
              <w:spacing w:after="0"/>
              <w:rPr>
                <w:sz w:val="20"/>
                <w:szCs w:val="20"/>
                <w:color w:val="auto"/>
              </w:rPr>
            </w:pPr>
            <w:r>
              <w:rPr>
                <w:rFonts w:ascii="Arial" w:cs="Arial" w:eastAsia="Arial" w:hAnsi="Arial"/>
                <w:sz w:val="14"/>
                <w:szCs w:val="14"/>
                <w:color w:val="auto"/>
              </w:rPr>
              <w:t>(2,807)</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(2,452)</w:t>
            </w:r>
          </w:p>
        </w:tc>
      </w:tr>
      <w:tr>
        <w:trPr>
          <w:trHeight w:val="199"/>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7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5,706</w:t>
            </w:r>
          </w:p>
        </w:tc>
        <w:tc>
          <w:tcPr>
            <w:tcW w:w="2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2"/>
          </w:tcPr>
          <w:p>
            <w:pPr>
              <w:ind w:left="640"/>
              <w:spacing w:after="0"/>
              <w:rPr>
                <w:sz w:val="20"/>
                <w:szCs w:val="20"/>
                <w:color w:val="auto"/>
              </w:rPr>
            </w:pPr>
            <w:r>
              <w:rPr>
                <w:rFonts w:ascii="Arial" w:cs="Arial" w:eastAsia="Arial" w:hAnsi="Arial"/>
                <w:sz w:val="14"/>
                <w:szCs w:val="14"/>
                <w:b w:val="1"/>
                <w:bCs w:val="1"/>
                <w:color w:val="auto"/>
              </w:rPr>
              <w:t>5,608</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6,401</w:t>
            </w:r>
          </w:p>
        </w:tc>
      </w:tr>
      <w:tr>
        <w:trPr>
          <w:trHeight w:val="424"/>
        </w:trPr>
        <w:tc>
          <w:tcPr>
            <w:tcW w:w="5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Borders>
              <w:bottom w:val="single" w:sz="8" w:color="D7282F"/>
            </w:tcBorders>
            <w:gridSpan w:val="3"/>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2620" w:type="dxa"/>
            <w:vAlign w:val="bottom"/>
            <w:tcBorders>
              <w:bottom w:val="single" w:sz="8" w:color="D7282F"/>
            </w:tcBorders>
            <w:gridSpan w:val="2"/>
          </w:tcPr>
          <w:p>
            <w:pPr>
              <w:jc w:val="right"/>
              <w:ind w:right="768"/>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2720" w:type="dxa"/>
            <w:vAlign w:val="bottom"/>
            <w:tcBorders>
              <w:bottom w:val="single" w:sz="8" w:color="D7282F"/>
            </w:tcBorders>
            <w:gridSpan w:val="4"/>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660" w:type="dxa"/>
            <w:vAlign w:val="bottom"/>
            <w:tcBorders>
              <w:bottom w:val="single" w:sz="8" w:color="D7282F"/>
            </w:tcBorders>
            <w:gridSpan w:val="2"/>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93"/>
        </w:trPr>
        <w:tc>
          <w:tcPr>
            <w:tcW w:w="5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2720" w:type="dxa"/>
            <w:vAlign w:val="bottom"/>
            <w:tcBorders>
              <w:bottom w:val="single" w:sz="8" w:color="61656A"/>
            </w:tcBorders>
            <w:gridSpan w:val="4"/>
          </w:tcPr>
          <w:p>
            <w:pPr>
              <w:jc w:val="right"/>
              <w:ind w:right="80"/>
              <w:spacing w:after="0"/>
              <w:rPr>
                <w:sz w:val="20"/>
                <w:szCs w:val="20"/>
                <w:color w:val="auto"/>
              </w:rPr>
            </w:pPr>
            <w:r>
              <w:rPr>
                <w:rFonts w:ascii="Arial" w:cs="Arial" w:eastAsia="Arial" w:hAnsi="Arial"/>
                <w:sz w:val="14"/>
                <w:szCs w:val="14"/>
                <w:color w:val="auto"/>
              </w:rPr>
              <w:t>3,442</w:t>
            </w:r>
          </w:p>
        </w:tc>
        <w:tc>
          <w:tcPr>
            <w:tcW w:w="1660" w:type="dxa"/>
            <w:vAlign w:val="bottom"/>
            <w:tcBorders>
              <w:bottom w:val="single" w:sz="8" w:color="61656A"/>
            </w:tcBorders>
            <w:gridSpan w:val="2"/>
          </w:tcPr>
          <w:p>
            <w:pPr>
              <w:jc w:val="right"/>
              <w:ind w:right="128"/>
              <w:spacing w:after="0"/>
              <w:rPr>
                <w:sz w:val="20"/>
                <w:szCs w:val="20"/>
                <w:color w:val="auto"/>
              </w:rPr>
            </w:pPr>
            <w:r>
              <w:rPr>
                <w:rFonts w:ascii="Arial" w:cs="Arial" w:eastAsia="Arial" w:hAnsi="Arial"/>
                <w:sz w:val="14"/>
                <w:szCs w:val="14"/>
                <w:color w:val="auto"/>
              </w:rPr>
              <w:t>3,283</w:t>
            </w: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3,760</w:t>
            </w:r>
          </w:p>
        </w:tc>
      </w:tr>
      <w:tr>
        <w:trPr>
          <w:trHeight w:val="196"/>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2720" w:type="dxa"/>
            <w:vAlign w:val="bottom"/>
            <w:tcBorders>
              <w:bottom w:val="single" w:sz="8" w:color="D7282F"/>
            </w:tcBorders>
            <w:gridSpan w:val="4"/>
          </w:tcPr>
          <w:p>
            <w:pPr>
              <w:jc w:val="right"/>
              <w:ind w:right="80"/>
              <w:spacing w:after="0"/>
              <w:rPr>
                <w:sz w:val="20"/>
                <w:szCs w:val="20"/>
                <w:color w:val="auto"/>
              </w:rPr>
            </w:pPr>
            <w:r>
              <w:rPr>
                <w:rFonts w:ascii="Arial" w:cs="Arial" w:eastAsia="Arial" w:hAnsi="Arial"/>
                <w:sz w:val="14"/>
                <w:szCs w:val="14"/>
                <w:color w:val="auto"/>
              </w:rPr>
              <w:t>2,264</w:t>
            </w:r>
          </w:p>
        </w:tc>
        <w:tc>
          <w:tcPr>
            <w:tcW w:w="166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color w:val="auto"/>
              </w:rPr>
              <w:t>2,325</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2,641</w:t>
            </w:r>
          </w:p>
        </w:tc>
      </w:tr>
      <w:tr>
        <w:trPr>
          <w:trHeight w:val="199"/>
        </w:trPr>
        <w:tc>
          <w:tcPr>
            <w:tcW w:w="56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2720" w:type="dxa"/>
            <w:vAlign w:val="bottom"/>
            <w:tcBorders>
              <w:bottom w:val="single" w:sz="8" w:color="D7282F"/>
            </w:tcBorders>
            <w:gridSpan w:val="4"/>
          </w:tcPr>
          <w:p>
            <w:pPr>
              <w:jc w:val="right"/>
              <w:ind w:right="80"/>
              <w:spacing w:after="0"/>
              <w:rPr>
                <w:sz w:val="20"/>
                <w:szCs w:val="20"/>
                <w:color w:val="auto"/>
              </w:rPr>
            </w:pPr>
            <w:r>
              <w:rPr>
                <w:rFonts w:ascii="Arial" w:cs="Arial" w:eastAsia="Arial" w:hAnsi="Arial"/>
                <w:sz w:val="14"/>
                <w:szCs w:val="14"/>
                <w:b w:val="1"/>
                <w:bCs w:val="1"/>
                <w:color w:val="auto"/>
              </w:rPr>
              <w:t>5,706</w:t>
            </w:r>
          </w:p>
        </w:tc>
        <w:tc>
          <w:tcPr>
            <w:tcW w:w="166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5,608</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6,401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2760" w:type="dxa"/>
            <w:vAlign w:val="bottom"/>
            <w:tcBorders>
              <w:bottom w:val="single" w:sz="8" w:color="D7282F"/>
            </w:tcBorders>
            <w:gridSpan w:val="5"/>
          </w:tcPr>
          <w:p>
            <w:pPr>
              <w:jc w:val="center"/>
              <w:ind w:right="368"/>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center"/>
              <w:ind w:right="4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2018</w:t>
            </w:r>
          </w:p>
        </w:tc>
      </w:tr>
      <w:tr>
        <w:trPr>
          <w:trHeight w:val="196"/>
        </w:trPr>
        <w:tc>
          <w:tcPr>
            <w:tcW w:w="6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center"/>
              <w:ind w:left="428"/>
              <w:spacing w:after="0"/>
              <w:rPr>
                <w:sz w:val="20"/>
                <w:szCs w:val="20"/>
                <w:color w:val="auto"/>
              </w:rPr>
            </w:pPr>
            <w:r>
              <w:rPr>
                <w:rFonts w:ascii="Arial" w:cs="Arial" w:eastAsia="Arial" w:hAnsi="Arial"/>
                <w:sz w:val="14"/>
                <w:szCs w:val="14"/>
                <w:b w:val="1"/>
                <w:bCs w:val="1"/>
                <w:color w:val="auto"/>
              </w:rPr>
              <w:t>(in whole dollars)</w:t>
            </w:r>
          </w:p>
        </w:tc>
        <w:tc>
          <w:tcPr>
            <w:tcW w:w="1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3"/>
        </w:trPr>
        <w:tc>
          <w:tcPr>
            <w:tcW w:w="6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Malignant claims</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59,200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56,000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61,500</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50,200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55,300</w:t>
            </w:r>
          </w:p>
        </w:tc>
      </w:tr>
      <w:tr>
        <w:trPr>
          <w:trHeight w:val="196"/>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520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550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3,900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predict whether resolution values for Bendix-related asbestos claims will increase, decrease, or stabilize in the future.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Securities and Exchange Commission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$202.7 million, which payment occurred in January 2023, to the DOJ, the SEC, and the Brazilian Authorities, collectively, in penalties, disgorgement, and prejudgment interest, (ii) the Company’s subsidiary, UOP, LLC (UOP), entered into a three-year Deferred Prosecution Agreement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uncertainty inherent in litigation and investigations, the Company does not believe it is possible to develop estimates of reasonably possible loss (or a range of possible loss) in excess of current accruals for commitment and contingency matters, including those discussed in this Note 14.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15. PENSION BENEFITS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3"/>
          </w:tcPr>
          <w:p>
            <w:pPr>
              <w:jc w:val="center"/>
              <w:ind w:right="268"/>
              <w:spacing w:after="0"/>
              <w:rPr>
                <w:sz w:val="20"/>
                <w:szCs w:val="20"/>
                <w:color w:val="auto"/>
              </w:rPr>
            </w:pPr>
            <w:r>
              <w:rPr>
                <w:rFonts w:ascii="Arial" w:cs="Arial" w:eastAsia="Arial" w:hAnsi="Arial"/>
                <w:sz w:val="14"/>
                <w:szCs w:val="14"/>
                <w:b w:val="1"/>
                <w:bCs w:val="1"/>
                <w:color w:val="auto"/>
              </w:rPr>
              <w:t>U.S. Plans</w:t>
            </w:r>
          </w:p>
        </w:tc>
      </w:tr>
      <w:tr>
        <w:trPr>
          <w:trHeight w:val="170"/>
        </w:trPr>
        <w:tc>
          <w:tcPr>
            <w:tcW w:w="9240" w:type="dxa"/>
            <w:vAlign w:val="bottom"/>
          </w:tcPr>
          <w:p>
            <w:pPr>
              <w:spacing w:after="0"/>
              <w:rPr>
                <w:sz w:val="14"/>
                <w:szCs w:val="14"/>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March</w:t>
            </w:r>
          </w:p>
        </w:tc>
      </w:tr>
      <w:tr>
        <w:trPr>
          <w:trHeight w:val="189"/>
        </w:trPr>
        <w:tc>
          <w:tcPr>
            <w:tcW w:w="924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r>
      <w:tr>
        <w:trPr>
          <w:trHeight w:val="236"/>
        </w:trPr>
        <w:tc>
          <w:tcPr>
            <w:tcW w:w="924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3"/>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161</w:t>
            </w:r>
          </w:p>
        </w:tc>
        <w:tc>
          <w:tcPr>
            <w:tcW w:w="1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(278)</w:t>
            </w:r>
          </w:p>
        </w:tc>
        <w:tc>
          <w:tcPr>
            <w:tcW w:w="1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(320)</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(120)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(214)</w:t>
            </w:r>
          </w:p>
        </w:tc>
      </w:tr>
      <w:tr>
        <w:trPr>
          <w:trHeight w:val="466"/>
        </w:trPr>
        <w:tc>
          <w:tcPr>
            <w:tcW w:w="9240" w:type="dxa"/>
            <w:vAlign w:val="bottom"/>
          </w:tcPr>
          <w:p>
            <w:pPr>
              <w:spacing w:after="0"/>
              <w:rPr>
                <w:sz w:val="24"/>
                <w:szCs w:val="24"/>
                <w:color w:val="auto"/>
              </w:rPr>
            </w:pPr>
          </w:p>
        </w:tc>
        <w:tc>
          <w:tcPr>
            <w:tcW w:w="340" w:type="dxa"/>
            <w:vAlign w:val="bottom"/>
            <w:tcBorders>
              <w:bottom w:val="single" w:sz="8" w:color="D7282F"/>
            </w:tcBorders>
          </w:tcPr>
          <w:p>
            <w:pPr>
              <w:spacing w:after="0"/>
              <w:rPr>
                <w:sz w:val="24"/>
                <w:szCs w:val="24"/>
                <w:color w:val="auto"/>
              </w:rPr>
            </w:pPr>
          </w:p>
        </w:tc>
        <w:tc>
          <w:tcPr>
            <w:tcW w:w="1660" w:type="dxa"/>
            <w:vAlign w:val="bottom"/>
            <w:tcBorders>
              <w:bottom w:val="single" w:sz="8" w:color="D7282F"/>
            </w:tcBorders>
            <w:gridSpan w:val="3"/>
          </w:tcPr>
          <w:p>
            <w:pPr>
              <w:jc w:val="center"/>
              <w:ind w:right="268"/>
              <w:spacing w:after="0"/>
              <w:rPr>
                <w:sz w:val="20"/>
                <w:szCs w:val="20"/>
                <w:color w:val="auto"/>
              </w:rPr>
            </w:pPr>
            <w:r>
              <w:rPr>
                <w:rFonts w:ascii="Arial" w:cs="Arial" w:eastAsia="Arial" w:hAnsi="Arial"/>
                <w:sz w:val="14"/>
                <w:szCs w:val="14"/>
                <w:b w:val="1"/>
                <w:bCs w:val="1"/>
                <w:color w:val="auto"/>
              </w:rPr>
              <w:t>Non-U.S. Plans</w:t>
            </w:r>
          </w:p>
        </w:tc>
      </w:tr>
      <w:tr>
        <w:trPr>
          <w:trHeight w:val="174"/>
        </w:trPr>
        <w:tc>
          <w:tcPr>
            <w:tcW w:w="9240" w:type="dxa"/>
            <w:vAlign w:val="bottom"/>
          </w:tcPr>
          <w:p>
            <w:pPr>
              <w:spacing w:after="0"/>
              <w:rPr>
                <w:sz w:val="15"/>
                <w:szCs w:val="15"/>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4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r>
      <w:tr>
        <w:trPr>
          <w:trHeight w:val="235"/>
        </w:trPr>
        <w:tc>
          <w:tcPr>
            <w:tcW w:w="924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3"/>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49</w:t>
            </w:r>
          </w:p>
        </w:tc>
        <w:tc>
          <w:tcPr>
            <w:tcW w:w="1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r>
      <w:tr>
        <w:trPr>
          <w:trHeight w:val="196"/>
        </w:trPr>
        <w:tc>
          <w:tcPr>
            <w:tcW w:w="9240" w:type="dxa"/>
            <w:vAlign w:val="bottom"/>
            <w:tcBorders>
              <w:bottom w:val="single" w:sz="8" w:color="DC202E"/>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340" w:type="dxa"/>
            <w:vAlign w:val="bottom"/>
            <w:tcBorders>
              <w:bottom w:val="single" w:sz="8" w:color="DC202E"/>
            </w:tcBorders>
          </w:tcPr>
          <w:p>
            <w:pPr>
              <w:spacing w:after="0"/>
              <w:rPr>
                <w:sz w:val="17"/>
                <w:szCs w:val="17"/>
                <w:color w:val="auto"/>
              </w:rPr>
            </w:pPr>
          </w:p>
        </w:tc>
        <w:tc>
          <w:tcPr>
            <w:tcW w:w="840" w:type="dxa"/>
            <w:vAlign w:val="bottom"/>
            <w:tcBorders>
              <w:bottom w:val="single" w:sz="8" w:color="DC202E"/>
            </w:tcBorders>
          </w:tcPr>
          <w:p>
            <w:pPr>
              <w:jc w:val="right"/>
              <w:ind w:right="128"/>
              <w:spacing w:after="0"/>
              <w:rPr>
                <w:sz w:val="20"/>
                <w:szCs w:val="20"/>
                <w:color w:val="auto"/>
              </w:rPr>
            </w:pPr>
            <w:r>
              <w:rPr>
                <w:rFonts w:ascii="Arial" w:cs="Arial" w:eastAsia="Arial" w:hAnsi="Arial"/>
                <w:sz w:val="14"/>
                <w:szCs w:val="14"/>
                <w:color w:val="auto"/>
              </w:rPr>
              <w:t>(67)</w:t>
            </w:r>
          </w:p>
        </w:tc>
        <w:tc>
          <w:tcPr>
            <w:tcW w:w="160" w:type="dxa"/>
            <w:vAlign w:val="bottom"/>
            <w:tcBorders>
              <w:bottom w:val="single" w:sz="8" w:color="DC202E"/>
            </w:tcBorders>
          </w:tcPr>
          <w:p>
            <w:pPr>
              <w:spacing w:after="0"/>
              <w:rPr>
                <w:sz w:val="17"/>
                <w:szCs w:val="17"/>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(75)</w:t>
            </w:r>
          </w:p>
        </w:tc>
      </w:tr>
      <w:tr>
        <w:trPr>
          <w:trHeight w:val="199"/>
        </w:trPr>
        <w:tc>
          <w:tcPr>
            <w:tcW w:w="9240" w:type="dxa"/>
            <w:vAlign w:val="bottom"/>
            <w:tcBorders>
              <w:bottom w:val="single" w:sz="8" w:color="DC202E"/>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C202E"/>
            </w:tcBorders>
          </w:tcPr>
          <w:p>
            <w:pPr>
              <w:jc w:val="right"/>
              <w:ind w:right="128"/>
              <w:spacing w:after="0"/>
              <w:rPr>
                <w:sz w:val="20"/>
                <w:szCs w:val="20"/>
                <w:color w:val="auto"/>
              </w:rPr>
            </w:pPr>
            <w:r>
              <w:rPr>
                <w:rFonts w:ascii="Arial" w:cs="Arial" w:eastAsia="Arial" w:hAnsi="Arial"/>
                <w:sz w:val="14"/>
                <w:szCs w:val="14"/>
                <w:b w:val="1"/>
                <w:bCs w:val="1"/>
                <w:color w:val="auto"/>
              </w:rPr>
              <w:t>(15)</w:t>
            </w: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(42)</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16. OTHER (INCOME) EXPENSE</w:t>
      </w:r>
    </w:p>
    <w:p>
      <w:pPr>
        <w:spacing w:after="0" w:line="297"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34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2"/>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 – non-service</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(146)</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(285)</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 – non-service</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Benefit related to Russia-Ukraine Conflict</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(260)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(319)</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17. SEGMENT FINANCIAL DATA</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395"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34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95"/>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1,672</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1,461</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1,439</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1,288</w:t>
            </w:r>
          </w:p>
        </w:tc>
      </w:tr>
      <w:tr>
        <w:trPr>
          <w:trHeight w:val="199"/>
        </w:trPr>
        <w:tc>
          <w:tcPr>
            <w:tcW w:w="9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sales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3,111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2,749</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Honeywell Building Technologies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1,132</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1,082</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355</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347</w:t>
            </w:r>
          </w:p>
        </w:tc>
      </w:tr>
      <w:tr>
        <w:trPr>
          <w:trHeight w:val="199"/>
        </w:trPr>
        <w:tc>
          <w:tcPr>
            <w:tcW w:w="924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Honeywell Building Technologies sales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1,487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1,429</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Performance Materials and Technologies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2,182</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1,956</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567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497</w:t>
            </w:r>
          </w:p>
        </w:tc>
      </w:tr>
      <w:tr>
        <w:trPr>
          <w:trHeight w:val="199"/>
        </w:trPr>
        <w:tc>
          <w:tcPr>
            <w:tcW w:w="924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Performance Materials and Technologies sales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2,749</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2,453</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Safety and Productivity Solutions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1,324</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1,633</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111</w:t>
            </w:r>
          </w:p>
        </w:tc>
      </w:tr>
      <w:tr>
        <w:trPr>
          <w:trHeight w:val="199"/>
        </w:trPr>
        <w:tc>
          <w:tcPr>
            <w:tcW w:w="924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Safety and Productivity Solutions sales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1,515</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1,744</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9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Corporate and All Other sales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w:t>
            </w:r>
          </w:p>
        </w:tc>
      </w:tr>
      <w:tr>
        <w:trPr>
          <w:trHeight w:val="196"/>
        </w:trPr>
        <w:tc>
          <w:tcPr>
            <w:tcW w:w="92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8,864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8,376</w:t>
            </w:r>
          </w:p>
        </w:tc>
      </w:tr>
      <w:tr>
        <w:trPr>
          <w:trHeight w:val="196"/>
        </w:trPr>
        <w:tc>
          <w:tcPr>
            <w:tcW w:w="9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827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753</w:t>
            </w:r>
          </w:p>
        </w:tc>
      </w:tr>
      <w:tr>
        <w:trPr>
          <w:trHeight w:val="196"/>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Honeywell Building Technologies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375</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336</w:t>
            </w:r>
          </w:p>
        </w:tc>
      </w:tr>
      <w:tr>
        <w:trPr>
          <w:trHeight w:val="196"/>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Performance Materials and Technologies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566</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510</w:t>
            </w:r>
          </w:p>
        </w:tc>
      </w:tr>
      <w:tr>
        <w:trPr>
          <w:trHeight w:val="196"/>
        </w:trPr>
        <w:tc>
          <w:tcPr>
            <w:tcW w:w="92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Safety and Productivity Solutions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260</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253</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(86)</w:t>
            </w:r>
          </w:p>
        </w:tc>
      </w:tr>
      <w:tr>
        <w:trPr>
          <w:trHeight w:val="199"/>
        </w:trPr>
        <w:tc>
          <w:tcPr>
            <w:tcW w:w="924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segment profit</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1,947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1,766</w:t>
            </w:r>
          </w:p>
        </w:tc>
      </w:tr>
      <w:tr>
        <w:trPr>
          <w:trHeight w:val="193"/>
        </w:trPr>
        <w:tc>
          <w:tcPr>
            <w:tcW w:w="924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and other financial charges</w:t>
            </w: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(170)</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w:t>
            </w:r>
          </w:p>
        </w:tc>
      </w:tr>
      <w:tr>
        <w:trPr>
          <w:trHeight w:val="200"/>
        </w:trPr>
        <w:tc>
          <w:tcPr>
            <w:tcW w:w="9240" w:type="dxa"/>
            <w:vAlign w:val="bottom"/>
            <w:tcBorders>
              <w:bottom w:val="single" w:sz="8" w:color="61656A"/>
            </w:tcBorders>
          </w:tcPr>
          <w:p>
            <w:pPr>
              <w:ind w:left="240"/>
              <w:spacing w:after="0" w:line="200"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(a)</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(59)</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924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(b)</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130</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251</w:t>
            </w:r>
          </w:p>
        </w:tc>
      </w:tr>
      <w:tr>
        <w:trPr>
          <w:trHeight w:val="196"/>
        </w:trPr>
        <w:tc>
          <w:tcPr>
            <w:tcW w:w="924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(b)</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924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(c)</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(141)</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(387)</w:t>
            </w:r>
          </w:p>
        </w:tc>
      </w:tr>
      <w:tr>
        <w:trPr>
          <w:trHeight w:val="196"/>
        </w:trPr>
        <w:tc>
          <w:tcPr>
            <w:tcW w:w="9240" w:type="dxa"/>
            <w:vAlign w:val="bottom"/>
            <w:tcBorders>
              <w:bottom w:val="single" w:sz="8" w:color="D7282F"/>
            </w:tcBorders>
          </w:tcPr>
          <w:p>
            <w:pPr>
              <w:ind w:left="240"/>
              <w:spacing w:after="0" w:line="196"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(d)</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69</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r>
      <w:tr>
        <w:trPr>
          <w:trHeight w:val="195"/>
        </w:trPr>
        <w:tc>
          <w:tcPr>
            <w:tcW w:w="92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Income before taxes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1,782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1,505</w:t>
            </w:r>
          </w:p>
        </w:tc>
      </w:tr>
    </w:tbl>
    <w:p>
      <w:pPr>
        <w:spacing w:after="0" w:line="225" w:lineRule="exact"/>
        <w:rPr>
          <w:sz w:val="20"/>
          <w:szCs w:val="20"/>
          <w:color w:val="auto"/>
        </w:rPr>
      </w:pPr>
    </w:p>
    <w:p>
      <w:pPr>
        <w:ind w:left="540" w:hanging="514"/>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Amounts included in Selling, general and administrative expenses.</w:t>
      </w:r>
    </w:p>
    <w:p>
      <w:pPr>
        <w:spacing w:after="0" w:line="26" w:lineRule="exact"/>
        <w:rPr>
          <w:rFonts w:ascii="Arial" w:cs="Arial" w:eastAsia="Arial" w:hAnsi="Arial"/>
          <w:sz w:val="13"/>
          <w:szCs w:val="13"/>
          <w:color w:val="auto"/>
        </w:rPr>
      </w:pPr>
    </w:p>
    <w:p>
      <w:pPr>
        <w:ind w:left="540" w:hanging="514"/>
        <w:spacing w:after="0"/>
        <w:tabs>
          <w:tab w:leader="none" w:pos="5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Amounts included in Cost of products and services sold, Selling, general and administrative expenses (service cost component) and Other (income) expense (non-service cost component).</w:t>
      </w:r>
    </w:p>
    <w:p>
      <w:pPr>
        <w:spacing w:after="0" w:line="37" w:lineRule="exact"/>
        <w:rPr>
          <w:rFonts w:ascii="Arial" w:cs="Arial" w:eastAsia="Arial" w:hAnsi="Arial"/>
          <w:sz w:val="12"/>
          <w:szCs w:val="12"/>
          <w:color w:val="auto"/>
        </w:rPr>
      </w:pPr>
    </w:p>
    <w:p>
      <w:pPr>
        <w:ind w:left="540" w:hanging="514"/>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26" w:lineRule="exact"/>
        <w:rPr>
          <w:rFonts w:ascii="Arial" w:cs="Arial" w:eastAsia="Arial" w:hAnsi="Arial"/>
          <w:sz w:val="13"/>
          <w:szCs w:val="13"/>
          <w:color w:val="auto"/>
        </w:rPr>
      </w:pPr>
    </w:p>
    <w:p>
      <w:pPr>
        <w:ind w:left="540" w:right="420" w:hanging="514"/>
        <w:spacing w:after="0" w:line="230" w:lineRule="auto"/>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15"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18. SUBSEQUENT EVENTS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See Note 3 Acquisitions and Divestitures for information related to a purchase agreement executed by the Company on April 22, 2023.</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April 24, 2023, the Board of Directors authorized the repurchase of up to $10 billion of the Company's common stock, including approximately $2.1 billion of remaining availability under the previously announced share repurchase program authorization. The repurchase authorization does not have an expiration date and may be amended or terminated by the Board of Directors at any time without prior notice.</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left="1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months ended March 31, 2023. The financial information as of March 31, 2023, should be read in conjunction with the Consolidated Financial Statements for the year ended December 31, 2022, contained in our 2022 Annual Report on Form 10-K. See Note 3 Acquisitions and Divestitures of Notes to Consolidated Financial Statements for a discussion of acquisition and divestiture activity during the three months ended March 31, 2023.</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12529"/>
        </w:rPr>
        <w:t>Historically, we included Company-sponsored costs and costs that relate to contracts with customers for research and development projects as a component of Cost of products and services sold on the Consolidated Statement of Operations. Effective January 1, 2023, we began classifying Company-sponsored costs for research and development projects as a separate financial statement line item, titled Research and development expenses, on the Consolidated Statement of Operations, and recast prior period results for this reclassification. This reclassification had no impact on net income, earnings per share, cash flows, segment reporting, or financial position. We revised historical periods to reflect this change in presentation.</w:t>
      </w:r>
    </w:p>
    <w:p>
      <w:pPr>
        <w:spacing w:after="0" w:line="8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July 2022, we realigned certain business units within the Safety and Productivity Solutions reportable business segment. The Safety and Retail business unit, which included our gas detection and safety business, combined with the Advanced Sensing Technologies business unit to form the Sensing and Safety Technologies business unit. This realignment provides opportunities to capitalize on shared synergies and core technologies resulting in greater value for our customers and the markets we serve. We recast historical periods to reflect this realignment.</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continued to experience supply chain constraints, inflationary cost pressures, and labor shortages throughout 2022. During the first quarter of 2023, material inflation moderated, but we continued to experience supply chain constraints, including labor shortages in the Aerospace supply base, and inflationary cost pressures in manufacturing labor. We continue with the short-term and long-term mitigation strategies implemented during 2022.</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mitigation strategies include pricing actions, material supply tracking tools, and direct engagement with key suppliers to meet customer demand. Our relationships with primary and secondary suppliers allow us to reliably source key components and raw materials. Where we cannot procure key components or raw materials, we consider altering existing products and develop new products to satisfy customer needs. Alterations to existing products and the development of new products undergo product quality controls and engineering qualification, prior to releasing to our customers. In addition, we assist our suppliers facing manufacturing challenges by committing our own resources to their sites and facilities. We believe these mitigation strategies enable us to reduce supply risk, accelerate new product innovation, and expand our penetration in the markets we serve. Additionally, due to the strenuous quality controls and product qualification we perform on a new or altered product, we do not expect these mitigation strategies to impact product quality or reliability.</w:t>
      </w:r>
    </w:p>
    <w:p>
      <w:pPr>
        <w:spacing w:after="0" w:line="2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Russia-Ukraine conflict continues to create volatility in global financial and energy markets and contribute to supply chain shortages adding to the inflationary pressures in the global economy. We actively collaborate with our suppliers to minimize impacts of supply shortages on our manufacturing capabilities and implement strategies to reduce our reliance on natural gas at critical sites in Europe.</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date, our strategies successfully mitigated our exposure to these conditions. However, if we are not successful in sustaining these strategies, these macroeconomic conditions could have a material adverse effect on our consolidated results of operations or operating cash flows.</w:t>
      </w:r>
    </w:p>
    <w:p>
      <w:pPr>
        <w:spacing w:after="0" w:line="400"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80645</wp:posOffset>
            </wp:positionV>
            <wp:extent cx="4714875" cy="257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149225</wp:posOffset>
            </wp:positionV>
            <wp:extent cx="3000375" cy="29146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0037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3051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037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640" w:type="dxa"/>
            <w:vAlign w:val="bottom"/>
            <w:tcBorders>
              <w:bottom w:val="single" w:sz="8" w:color="D7282F"/>
            </w:tcBorders>
          </w:tcPr>
          <w:p>
            <w:pPr>
              <w:spacing w:after="0"/>
              <w:rPr>
                <w:sz w:val="17"/>
                <w:szCs w:val="17"/>
                <w:color w:val="auto"/>
              </w:rPr>
            </w:pPr>
          </w:p>
        </w:tc>
        <w:tc>
          <w:tcPr>
            <w:tcW w:w="55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Q1 2023 vs. Q1 2022</w:t>
            </w:r>
          </w:p>
        </w:tc>
      </w:tr>
      <w:tr>
        <w:trPr>
          <w:trHeight w:val="193"/>
        </w:trPr>
        <w:tc>
          <w:tcPr>
            <w:tcW w:w="56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5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2 %</w:t>
            </w:r>
          </w:p>
        </w:tc>
      </w:tr>
      <w:tr>
        <w:trPr>
          <w:trHeight w:val="196"/>
        </w:trPr>
        <w:tc>
          <w:tcPr>
            <w:tcW w:w="56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Price</w:t>
            </w:r>
          </w:p>
        </w:tc>
        <w:tc>
          <w:tcPr>
            <w:tcW w:w="5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6 %</w:t>
            </w:r>
          </w:p>
        </w:tc>
      </w:tr>
      <w:tr>
        <w:trPr>
          <w:trHeight w:val="196"/>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5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564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5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with Q1 2022</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discussion of Net sales by reportable business segment can be found in the Review of Business Segments section of this Management's Discussion and Analysis.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27"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Increased pricing,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8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Partially offset by the unfavorable impact of foreign currency translation, driven by the strengthening of the U.S. Dollar against the currencies of the majority of our international markets, primarily the Euro, Chinese Renminbi, British Pound, and Canadian Dollar.</w:t>
      </w:r>
    </w:p>
    <w:p>
      <w:pPr>
        <w:spacing w:after="0" w:line="292"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with Q1 2022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with Q1 2022</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Gross margin increased by approximately $0.3 billion and gross margin percentage increased 160 basis points to 38.0% compared to 36.4% for the same period of 2022.</w:t>
      </w:r>
    </w:p>
    <w:p>
      <w:pPr>
        <w:spacing w:after="0" w:line="389"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with Q1 2022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change was flat.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with Q1 2022</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Selling, general and administrative expenses decreased primarily due to prior year charges attributable to suspending substantially all of our sales, distribution, and service activities in Russia (the Suspension) during the first quarter of 2022.</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58"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6350</wp:posOffset>
            </wp:positionV>
            <wp:extent cx="1268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8" w:lineRule="exact"/>
        <w:rPr>
          <w:sz w:val="20"/>
          <w:szCs w:val="20"/>
          <w:color w:val="auto"/>
        </w:rPr>
      </w:pPr>
    </w:p>
    <w:p>
      <w:pPr>
        <w:ind w:left="9580"/>
        <w:spacing w:after="0"/>
        <w:tabs>
          <w:tab w:leader="none" w:pos="105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460" w:val="left"/>
          <w:tab w:leader="none" w:pos="9860" w:val="left"/>
          <w:tab w:leader="none" w:pos="10460" w:val="left"/>
          <w:tab w:leader="none" w:pos="10860" w:val="left"/>
        </w:tabs>
        <w:rPr>
          <w:sz w:val="20"/>
          <w:szCs w:val="20"/>
          <w:color w:val="auto"/>
        </w:rPr>
      </w:pPr>
      <w:r>
        <w:rPr>
          <w:rFonts w:ascii="Arial" w:cs="Arial" w:eastAsia="Arial" w:hAnsi="Arial"/>
          <w:sz w:val="14"/>
          <w:szCs w:val="14"/>
          <w:color w:val="auto"/>
        </w:rPr>
        <w:t>Other (income)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(260)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with Q1 2022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lower pension and other postretirement income.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with Q1 2022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and was equal to the U.S. federal statutory rate of 21%, due to the following:</w:t>
      </w:r>
    </w:p>
    <w:p>
      <w:pPr>
        <w:spacing w:after="0" w:line="111"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6"/>
          <w:szCs w:val="16"/>
          <w:color w:val="DC202E"/>
        </w:rPr>
      </w:pPr>
      <w:r>
        <w:rPr>
          <w:rFonts w:ascii="Arial" w:cs="Arial" w:eastAsia="Arial" w:hAnsi="Arial"/>
          <w:sz w:val="16"/>
          <w:szCs w:val="16"/>
          <w:color w:val="auto"/>
        </w:rPr>
        <w:t>Benefits from taxes on non-U.S. earnings, tax reserves, and the absence of restructuring related expenses, representing a 500 basis-point decrease,</w:t>
      </w:r>
    </w:p>
    <w:p>
      <w:pPr>
        <w:spacing w:after="0" w:line="86" w:lineRule="exact"/>
        <w:rPr>
          <w:rFonts w:ascii="Arial" w:cs="Arial" w:eastAsia="Arial" w:hAnsi="Arial"/>
          <w:sz w:val="16"/>
          <w:szCs w:val="16"/>
          <w:color w:val="DC202E"/>
        </w:rPr>
      </w:pPr>
    </w:p>
    <w:p>
      <w:pPr>
        <w:ind w:left="200" w:right="20" w:hanging="192"/>
        <w:spacing w:after="0" w:line="286" w:lineRule="auto"/>
        <w:tabs>
          <w:tab w:leader="none" w:pos="197" w:val="left"/>
        </w:tabs>
        <w:numPr>
          <w:ilvl w:val="0"/>
          <w:numId w:val="33"/>
        </w:numPr>
        <w:rPr>
          <w:rFonts w:ascii="Arial" w:cs="Arial" w:eastAsia="Arial" w:hAnsi="Arial"/>
          <w:sz w:val="16"/>
          <w:szCs w:val="16"/>
          <w:color w:val="DC202E"/>
        </w:rPr>
      </w:pPr>
      <w:r>
        <w:rPr>
          <w:rFonts w:ascii="Arial" w:cs="Arial" w:eastAsia="Arial" w:hAnsi="Arial"/>
          <w:sz w:val="16"/>
          <w:szCs w:val="16"/>
          <w:color w:val="auto"/>
        </w:rPr>
        <w:t>Partially offset by tax expense from accrued withholding tax related to unremitted foreign earnings and decreased benefits from employee share-based compensation, representing a 130 basis-point increase.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89535</wp:posOffset>
            </wp:positionV>
            <wp:extent cx="2785745" cy="2143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to Q1 2022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97" w:lineRule="exact"/>
        <w:rPr>
          <w:sz w:val="20"/>
          <w:szCs w:val="20"/>
          <w:color w:val="auto"/>
        </w:rPr>
      </w:pPr>
    </w:p>
    <w:p>
      <w:pPr>
        <w:ind w:left="200" w:hanging="192"/>
        <w:spacing w:after="0" w:line="299" w:lineRule="auto"/>
        <w:tabs>
          <w:tab w:leader="none" w:pos="197" w:val="left"/>
        </w:tabs>
        <w:numPr>
          <w:ilvl w:val="0"/>
          <w:numId w:val="34"/>
        </w:numPr>
        <w:rPr>
          <w:rFonts w:ascii="Arial" w:cs="Arial" w:eastAsia="Arial" w:hAnsi="Arial"/>
          <w:sz w:val="16"/>
          <w:szCs w:val="16"/>
          <w:color w:val="DC202E"/>
        </w:rPr>
      </w:pPr>
      <w:r>
        <w:rPr>
          <w:rFonts w:ascii="Arial" w:cs="Arial" w:eastAsia="Arial" w:hAnsi="Arial"/>
          <w:sz w:val="16"/>
          <w:szCs w:val="16"/>
          <w:color w:val="auto"/>
        </w:rPr>
        <w:t>Lower repositioning and other charges, due to prior year charges attributable to the Suspension of our businesses and operations in Russia, impacted earnings per share by $0.34 after tax, and</w:t>
      </w:r>
    </w:p>
    <w:p>
      <w:pPr>
        <w:ind w:left="200" w:hanging="192"/>
        <w:spacing w:after="0"/>
        <w:tabs>
          <w:tab w:leader="none" w:pos="200" w:val="left"/>
        </w:tabs>
        <w:numPr>
          <w:ilvl w:val="0"/>
          <w:numId w:val="34"/>
        </w:numPr>
        <w:rPr>
          <w:rFonts w:ascii="Arial" w:cs="Arial" w:eastAsia="Arial" w:hAnsi="Arial"/>
          <w:sz w:val="16"/>
          <w:szCs w:val="16"/>
          <w:color w:val="DC202E"/>
        </w:rPr>
      </w:pPr>
      <w:r>
        <w:rPr>
          <w:rFonts w:ascii="Arial" w:cs="Arial" w:eastAsia="Arial" w:hAnsi="Arial"/>
          <w:sz w:val="16"/>
          <w:szCs w:val="16"/>
          <w:color w:val="auto"/>
        </w:rPr>
        <w:t>Higher segment profit from all of our reportable business segments impacted earnings per share by $0.21 after tax,</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34"/>
        </w:numPr>
        <w:rPr>
          <w:rFonts w:ascii="Arial" w:cs="Arial" w:eastAsia="Arial" w:hAnsi="Arial"/>
          <w:sz w:val="16"/>
          <w:szCs w:val="16"/>
          <w:color w:val="DC202E"/>
        </w:rPr>
      </w:pPr>
      <w:r>
        <w:rPr>
          <w:rFonts w:ascii="Arial" w:cs="Arial" w:eastAsia="Arial" w:hAnsi="Arial"/>
          <w:sz w:val="16"/>
          <w:szCs w:val="16"/>
          <w:color w:val="auto"/>
        </w:rPr>
        <w:t>Partially offset by lower pension income which impacted earnings per share by $0.15 after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Honeywell Building Technologies, Performance Materials and Technologies, and Safety and Productivity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57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100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w w:val="96"/>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D7282F"/>
            </w:tcBorders>
          </w:tcPr>
          <w:p>
            <w:pPr>
              <w:spacing w:after="0"/>
              <w:rPr>
                <w:sz w:val="16"/>
                <w:szCs w:val="16"/>
                <w:color w:val="auto"/>
              </w:rPr>
            </w:pPr>
          </w:p>
        </w:tc>
        <w:tc>
          <w:tcPr>
            <w:tcW w:w="81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1020" w:type="dxa"/>
            <w:vAlign w:val="bottom"/>
            <w:tcBorders>
              <w:bottom w:val="single" w:sz="8" w:color="D7282F"/>
            </w:tcBorders>
            <w:gridSpan w:val="2"/>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0" w:type="dxa"/>
            <w:vAlign w:val="bottom"/>
            <w:tcBorders>
              <w:bottom w:val="single" w:sz="8" w:color="61656A"/>
            </w:tcBorders>
          </w:tcPr>
          <w:p>
            <w:pPr>
              <w:spacing w:after="0"/>
              <w:rPr>
                <w:sz w:val="16"/>
                <w:szCs w:val="16"/>
                <w:color w:val="auto"/>
              </w:rPr>
            </w:pPr>
          </w:p>
        </w:tc>
        <w:tc>
          <w:tcPr>
            <w:tcW w:w="810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gridSpan w:val="2"/>
          </w:tcPr>
          <w:p>
            <w:pPr>
              <w:jc w:val="right"/>
              <w:ind w:right="140"/>
              <w:spacing w:after="0"/>
              <w:rPr>
                <w:sz w:val="20"/>
                <w:szCs w:val="20"/>
                <w:color w:val="auto"/>
              </w:rPr>
            </w:pPr>
            <w:r>
              <w:rPr>
                <w:rFonts w:ascii="Arial" w:cs="Arial" w:eastAsia="Arial" w:hAnsi="Arial"/>
                <w:sz w:val="14"/>
                <w:szCs w:val="14"/>
                <w:color w:val="auto"/>
              </w:rPr>
              <w:t>3,111</w:t>
            </w:r>
          </w:p>
        </w:tc>
        <w:tc>
          <w:tcPr>
            <w:tcW w:w="26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2,749</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13 %</w:t>
            </w:r>
          </w:p>
        </w:tc>
        <w:tc>
          <w:tcPr>
            <w:tcW w:w="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61656A"/>
            </w:tcBorders>
          </w:tcPr>
          <w:p>
            <w:pPr>
              <w:spacing w:after="0"/>
              <w:rPr>
                <w:sz w:val="17"/>
                <w:szCs w:val="17"/>
                <w:color w:val="auto"/>
              </w:rPr>
            </w:pPr>
          </w:p>
        </w:tc>
        <w:tc>
          <w:tcPr>
            <w:tcW w:w="810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Cost of products and services sold</w:t>
            </w:r>
          </w:p>
        </w:tc>
        <w:tc>
          <w:tcPr>
            <w:tcW w:w="3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gridSpan w:val="2"/>
          </w:tcPr>
          <w:p>
            <w:pPr>
              <w:jc w:val="right"/>
              <w:ind w:right="140"/>
              <w:spacing w:after="0"/>
              <w:rPr>
                <w:sz w:val="20"/>
                <w:szCs w:val="20"/>
                <w:color w:val="auto"/>
              </w:rPr>
            </w:pPr>
            <w:r>
              <w:rPr>
                <w:rFonts w:ascii="Arial" w:cs="Arial" w:eastAsia="Arial" w:hAnsi="Arial"/>
                <w:sz w:val="14"/>
                <w:szCs w:val="14"/>
                <w:color w:val="auto"/>
              </w:rPr>
              <w:t>1,936</w:t>
            </w:r>
          </w:p>
        </w:tc>
        <w:tc>
          <w:tcPr>
            <w:tcW w:w="2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1,634</w:t>
            </w:r>
          </w:p>
        </w:tc>
        <w:tc>
          <w:tcPr>
            <w:tcW w:w="1000" w:type="dxa"/>
            <w:vAlign w:val="bottom"/>
            <w:tcBorders>
              <w:bottom w:val="single" w:sz="8" w:color="61656A"/>
            </w:tcBorders>
          </w:tcPr>
          <w:p>
            <w:pPr>
              <w:spacing w:after="0"/>
              <w:rPr>
                <w:sz w:val="17"/>
                <w:szCs w:val="17"/>
                <w:color w:val="auto"/>
              </w:rPr>
            </w:pPr>
          </w:p>
        </w:tc>
        <w:tc>
          <w:tcPr>
            <w:tcW w:w="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7282F"/>
            </w:tcBorders>
          </w:tcPr>
          <w:p>
            <w:pPr>
              <w:spacing w:after="0"/>
              <w:rPr>
                <w:sz w:val="17"/>
                <w:szCs w:val="17"/>
                <w:color w:val="auto"/>
              </w:rPr>
            </w:pPr>
          </w:p>
        </w:tc>
        <w:tc>
          <w:tcPr>
            <w:tcW w:w="810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Selling, general and administrative and other expenses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color w:val="auto"/>
              </w:rPr>
              <w:t>348</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362</w:t>
            </w:r>
          </w:p>
        </w:tc>
        <w:tc>
          <w:tcPr>
            <w:tcW w:w="100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D7282F"/>
            </w:tcBorders>
          </w:tcPr>
          <w:p>
            <w:pPr>
              <w:spacing w:after="0"/>
              <w:rPr>
                <w:sz w:val="17"/>
                <w:szCs w:val="17"/>
                <w:color w:val="auto"/>
              </w:rPr>
            </w:pPr>
          </w:p>
        </w:tc>
        <w:tc>
          <w:tcPr>
            <w:tcW w:w="810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b w:val="1"/>
                <w:bCs w:val="1"/>
                <w:color w:val="auto"/>
              </w:rPr>
              <w:t>827</w:t>
            </w:r>
          </w:p>
        </w:tc>
        <w:tc>
          <w:tcPr>
            <w:tcW w:w="2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753</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760" w:type="dxa"/>
            <w:vAlign w:val="bottom"/>
            <w:tcBorders>
              <w:bottom w:val="single" w:sz="8" w:color="D7282F"/>
            </w:tcBorders>
            <w:gridSpan w:val="2"/>
          </w:tcPr>
          <w:p>
            <w:pPr>
              <w:jc w:val="center"/>
              <w:ind w:right="368"/>
              <w:spacing w:after="0"/>
              <w:rPr>
                <w:sz w:val="20"/>
                <w:szCs w:val="20"/>
                <w:color w:val="auto"/>
              </w:rPr>
            </w:pPr>
            <w:r>
              <w:rPr>
                <w:rFonts w:ascii="Arial" w:cs="Arial" w:eastAsia="Arial" w:hAnsi="Arial"/>
                <w:sz w:val="14"/>
                <w:szCs w:val="14"/>
                <w:b w:val="1"/>
                <w:bCs w:val="1"/>
                <w:color w:val="auto"/>
              </w:rPr>
              <w:t>2023 vs.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center"/>
              <w:ind w:right="368"/>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6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D7282F"/>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Organic</w:t>
            </w:r>
            <w:r>
              <w:rPr>
                <w:rFonts w:ascii="Arial" w:cs="Arial" w:eastAsia="Arial" w:hAnsi="Arial"/>
                <w:sz w:val="18"/>
                <w:szCs w:val="18"/>
                <w:color w:val="auto"/>
                <w:vertAlign w:val="superscript"/>
              </w:rPr>
              <w:t>(1)</w:t>
            </w:r>
          </w:p>
        </w:tc>
        <w:tc>
          <w:tcPr>
            <w:tcW w:w="340" w:type="dxa"/>
            <w:vAlign w:val="bottom"/>
            <w:tcBorders>
              <w:top w:val="single" w:sz="8" w:color="D7282F"/>
              <w:bottom w:val="single" w:sz="8" w:color="61656A"/>
            </w:tcBorders>
          </w:tcPr>
          <w:p>
            <w:pPr>
              <w:spacing w:after="0"/>
              <w:rPr>
                <w:sz w:val="17"/>
                <w:szCs w:val="17"/>
                <w:color w:val="auto"/>
              </w:rPr>
            </w:pPr>
          </w:p>
        </w:tc>
        <w:tc>
          <w:tcPr>
            <w:tcW w:w="560" w:type="dxa"/>
            <w:vAlign w:val="bottom"/>
            <w:tcBorders>
              <w:top w:val="single" w:sz="8" w:color="D7282F"/>
              <w:bottom w:val="single" w:sz="8" w:color="61656A"/>
            </w:tcBorders>
          </w:tcPr>
          <w:p>
            <w:pPr>
              <w:spacing w:after="0"/>
              <w:rPr>
                <w:sz w:val="17"/>
                <w:szCs w:val="17"/>
                <w:color w:val="auto"/>
              </w:rPr>
            </w:pPr>
          </w:p>
        </w:tc>
        <w:tc>
          <w:tcPr>
            <w:tcW w:w="180" w:type="dxa"/>
            <w:vAlign w:val="bottom"/>
            <w:tcBorders>
              <w:top w:val="single" w:sz="8" w:color="D7282F"/>
              <w:bottom w:val="single" w:sz="8" w:color="61656A"/>
            </w:tcBorders>
          </w:tcPr>
          <w:p>
            <w:pPr>
              <w:spacing w:after="0"/>
              <w:rPr>
                <w:sz w:val="17"/>
                <w:szCs w:val="17"/>
                <w:color w:val="auto"/>
              </w:rPr>
            </w:pPr>
          </w:p>
        </w:tc>
        <w:tc>
          <w:tcPr>
            <w:tcW w:w="260" w:type="dxa"/>
            <w:vAlign w:val="bottom"/>
            <w:tcBorders>
              <w:top w:val="single" w:sz="8" w:color="D7282F"/>
              <w:bottom w:val="single" w:sz="8" w:color="61656A"/>
            </w:tcBorders>
          </w:tcPr>
          <w:p>
            <w:pPr>
              <w:spacing w:after="0"/>
              <w:rPr>
                <w:sz w:val="17"/>
                <w:szCs w:val="17"/>
                <w:color w:val="auto"/>
              </w:rPr>
            </w:pPr>
          </w:p>
        </w:tc>
        <w:tc>
          <w:tcPr>
            <w:tcW w:w="760" w:type="dxa"/>
            <w:vAlign w:val="bottom"/>
            <w:tcBorders>
              <w:top w:val="single" w:sz="8" w:color="D7282F"/>
              <w:bottom w:val="single" w:sz="8" w:color="61656A"/>
            </w:tcBorders>
          </w:tcPr>
          <w:p>
            <w:pPr>
              <w:jc w:val="right"/>
              <w:ind w:right="68"/>
              <w:spacing w:after="0"/>
              <w:rPr>
                <w:sz w:val="20"/>
                <w:szCs w:val="20"/>
                <w:color w:val="auto"/>
              </w:rPr>
            </w:pPr>
            <w:r>
              <w:rPr>
                <w:rFonts w:ascii="Arial" w:cs="Arial" w:eastAsia="Arial" w:hAnsi="Arial"/>
                <w:sz w:val="14"/>
                <w:szCs w:val="14"/>
                <w:color w:val="auto"/>
              </w:rPr>
              <w:t>14 %</w:t>
            </w:r>
          </w:p>
        </w:tc>
        <w:tc>
          <w:tcPr>
            <w:tcW w:w="10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11 %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4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 %</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00" w:type="dxa"/>
            <w:vAlign w:val="bottom"/>
            <w:tcBorders>
              <w:top w:val="single" w:sz="8" w:color="D7282F"/>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Total % change</w:t>
            </w:r>
          </w:p>
        </w:tc>
        <w:tc>
          <w:tcPr>
            <w:tcW w:w="340" w:type="dxa"/>
            <w:vAlign w:val="bottom"/>
            <w:tcBorders>
              <w:top w:val="single" w:sz="8" w:color="D7282F"/>
              <w:bottom w:val="single" w:sz="8" w:color="D7282F"/>
            </w:tcBorders>
          </w:tcPr>
          <w:p>
            <w:pPr>
              <w:spacing w:after="0"/>
              <w:rPr>
                <w:sz w:val="17"/>
                <w:szCs w:val="17"/>
                <w:color w:val="auto"/>
              </w:rPr>
            </w:pPr>
          </w:p>
        </w:tc>
        <w:tc>
          <w:tcPr>
            <w:tcW w:w="560" w:type="dxa"/>
            <w:vAlign w:val="bottom"/>
            <w:tcBorders>
              <w:top w:val="single" w:sz="8" w:color="D7282F"/>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260" w:type="dxa"/>
            <w:vAlign w:val="bottom"/>
            <w:tcBorders>
              <w:top w:val="single" w:sz="8" w:color="D7282F"/>
              <w:bottom w:val="single" w:sz="8" w:color="D7282F"/>
            </w:tcBorders>
          </w:tcPr>
          <w:p>
            <w:pPr>
              <w:spacing w:after="0"/>
              <w:rPr>
                <w:sz w:val="17"/>
                <w:szCs w:val="17"/>
                <w:color w:val="auto"/>
              </w:rPr>
            </w:pPr>
          </w:p>
        </w:tc>
        <w:tc>
          <w:tcPr>
            <w:tcW w:w="760" w:type="dxa"/>
            <w:vAlign w:val="bottom"/>
            <w:tcBorders>
              <w:top w:val="single" w:sz="8" w:color="D7282F"/>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13 %</w:t>
            </w:r>
          </w:p>
        </w:tc>
        <w:tc>
          <w:tcPr>
            <w:tcW w:w="100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180" w:hanging="172"/>
        <w:spacing w:after="0" w:line="251" w:lineRule="auto"/>
        <w:tabs>
          <w:tab w:leader="none" w:pos="23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400"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to Q1 2022</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Sales increased $362 million due to higher organic sales of $262 million in Commercial Aviation Aftermarket primarily driven by higher volumes in air transport due to an increase in flight hours, higher organic sales of $67 million in Commercial Aviation Original Equipment primarily driven by higher volumes in business aviation due to increased shipments, and higher organic sales of $50 million in Defense and Space primarily driven by increased pricing.</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$74 million and segment margin percentage decreased 80 basis points to 26.6% compared to 27.4% for the same period of 2022.</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D7282F"/>
        </w:rPr>
        <w:t>HONEYWELL BUILDING TECHNOLOGIES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1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10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gridSpan w:val="2"/>
          </w:tcPr>
          <w:p>
            <w:pPr>
              <w:jc w:val="right"/>
              <w:ind w:right="140"/>
              <w:spacing w:after="0"/>
              <w:rPr>
                <w:sz w:val="20"/>
                <w:szCs w:val="20"/>
                <w:color w:val="auto"/>
              </w:rPr>
            </w:pPr>
            <w:r>
              <w:rPr>
                <w:rFonts w:ascii="Arial" w:cs="Arial" w:eastAsia="Arial" w:hAnsi="Arial"/>
                <w:sz w:val="14"/>
                <w:szCs w:val="14"/>
                <w:color w:val="auto"/>
              </w:rPr>
              <w:t>1,487</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1,429</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gridSpan w:val="2"/>
          </w:tcPr>
          <w:p>
            <w:pPr>
              <w:jc w:val="right"/>
              <w:ind w:right="140"/>
              <w:spacing w:after="0"/>
              <w:rPr>
                <w:sz w:val="20"/>
                <w:szCs w:val="20"/>
                <w:color w:val="auto"/>
              </w:rPr>
            </w:pPr>
            <w:r>
              <w:rPr>
                <w:rFonts w:ascii="Arial" w:cs="Arial" w:eastAsia="Arial" w:hAnsi="Arial"/>
                <w:sz w:val="14"/>
                <w:szCs w:val="14"/>
                <w:color w:val="auto"/>
              </w:rPr>
              <w:t>792</w:t>
            </w:r>
          </w:p>
        </w:tc>
        <w:tc>
          <w:tcPr>
            <w:tcW w:w="2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786</w:t>
            </w:r>
          </w:p>
        </w:tc>
        <w:tc>
          <w:tcPr>
            <w:tcW w:w="10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color w:val="auto"/>
              </w:rPr>
              <w:t>320</w:t>
            </w: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307</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b w:val="1"/>
                <w:bCs w:val="1"/>
                <w:color w:val="auto"/>
              </w:rPr>
              <w:t>375</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336</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12 %</w:t>
            </w:r>
          </w:p>
        </w:tc>
        <w:tc>
          <w:tcPr>
            <w:tcW w:w="0" w:type="dxa"/>
            <w:vAlign w:val="bottom"/>
          </w:tcPr>
          <w:p>
            <w:pPr>
              <w:spacing w:after="0"/>
              <w:rPr>
                <w:sz w:val="1"/>
                <w:szCs w:val="1"/>
                <w:color w:val="auto"/>
              </w:rPr>
            </w:pPr>
          </w:p>
        </w:tc>
      </w:tr>
      <w:tr>
        <w:trPr>
          <w:trHeight w:val="426"/>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800" w:type="dxa"/>
            <w:vAlign w:val="bottom"/>
            <w:tcBorders>
              <w:bottom w:val="single" w:sz="8" w:color="D7282F"/>
            </w:tcBorders>
            <w:gridSpan w:val="2"/>
          </w:tcPr>
          <w:p>
            <w:pPr>
              <w:jc w:val="center"/>
              <w:ind w:right="368"/>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143"/>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3"/>
          </w:tcPr>
          <w:p>
            <w:pPr>
              <w:jc w:val="center"/>
              <w:ind w:right="108"/>
              <w:spacing w:after="0" w:line="143"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80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488"/>
              <w:spacing w:after="0" w:line="142" w:lineRule="exact"/>
              <w:rPr>
                <w:sz w:val="20"/>
                <w:szCs w:val="20"/>
                <w:color w:val="auto"/>
              </w:rPr>
            </w:pPr>
            <w:r>
              <w:rPr>
                <w:rFonts w:ascii="Arial" w:cs="Arial" w:eastAsia="Arial" w:hAnsi="Arial"/>
                <w:sz w:val="14"/>
                <w:szCs w:val="14"/>
                <w:b w:val="1"/>
                <w:bCs w:val="1"/>
                <w:color w:val="auto"/>
                <w:w w:val="97"/>
              </w:rPr>
              <w:t>Net</w:t>
            </w:r>
          </w:p>
        </w:tc>
        <w:tc>
          <w:tcPr>
            <w:tcW w:w="100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812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w w:val="98"/>
              </w:rPr>
              <w:t>Profit</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34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4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38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to Q1 2022</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Sales increased $58 million due to higher organic sales of $72 million in Building Solutions primarily driven by higher sales volumes in building projects and services and higher organic sales of $60 million in Products primarily driven by increased pricing, partially offset by the unfavorable impact of foreign currency translation of $75 million.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$39 million and segment margin percentage increased 170 basis points to 25.2% compared to 23.5% for the same period of 2022.</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D7282F"/>
        </w:rPr>
        <w:t>PERFORMANCE MATERIALS AND TECHNOLOGIES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100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w w:val="96"/>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D7282F"/>
            </w:tcBorders>
          </w:tcPr>
          <w:p>
            <w:pPr>
              <w:spacing w:after="0"/>
              <w:rPr>
                <w:sz w:val="16"/>
                <w:szCs w:val="16"/>
                <w:color w:val="auto"/>
              </w:rPr>
            </w:pPr>
          </w:p>
        </w:tc>
        <w:tc>
          <w:tcPr>
            <w:tcW w:w="81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1020" w:type="dxa"/>
            <w:vAlign w:val="bottom"/>
            <w:tcBorders>
              <w:bottom w:val="single" w:sz="8" w:color="D7282F"/>
            </w:tcBorders>
            <w:gridSpan w:val="2"/>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0" w:type="dxa"/>
            <w:vAlign w:val="bottom"/>
            <w:tcBorders>
              <w:bottom w:val="single" w:sz="8" w:color="61656A"/>
            </w:tcBorders>
          </w:tcPr>
          <w:p>
            <w:pPr>
              <w:spacing w:after="0"/>
              <w:rPr>
                <w:sz w:val="16"/>
                <w:szCs w:val="16"/>
                <w:color w:val="auto"/>
              </w:rPr>
            </w:pPr>
          </w:p>
        </w:tc>
        <w:tc>
          <w:tcPr>
            <w:tcW w:w="810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gridSpan w:val="2"/>
          </w:tcPr>
          <w:p>
            <w:pPr>
              <w:jc w:val="right"/>
              <w:ind w:right="140"/>
              <w:spacing w:after="0"/>
              <w:rPr>
                <w:sz w:val="20"/>
                <w:szCs w:val="20"/>
                <w:color w:val="auto"/>
              </w:rPr>
            </w:pPr>
            <w:r>
              <w:rPr>
                <w:rFonts w:ascii="Arial" w:cs="Arial" w:eastAsia="Arial" w:hAnsi="Arial"/>
                <w:sz w:val="14"/>
                <w:szCs w:val="14"/>
                <w:color w:val="auto"/>
              </w:rPr>
              <w:t>2,749</w:t>
            </w:r>
          </w:p>
        </w:tc>
        <w:tc>
          <w:tcPr>
            <w:tcW w:w="26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2,453</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12 %</w:t>
            </w:r>
          </w:p>
        </w:tc>
        <w:tc>
          <w:tcPr>
            <w:tcW w:w="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61656A"/>
            </w:tcBorders>
          </w:tcPr>
          <w:p>
            <w:pPr>
              <w:spacing w:after="0"/>
              <w:rPr>
                <w:sz w:val="17"/>
                <w:szCs w:val="17"/>
                <w:color w:val="auto"/>
              </w:rPr>
            </w:pPr>
          </w:p>
        </w:tc>
        <w:tc>
          <w:tcPr>
            <w:tcW w:w="810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Cost of products and services sold</w:t>
            </w:r>
          </w:p>
        </w:tc>
        <w:tc>
          <w:tcPr>
            <w:tcW w:w="3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gridSpan w:val="2"/>
          </w:tcPr>
          <w:p>
            <w:pPr>
              <w:jc w:val="right"/>
              <w:ind w:right="140"/>
              <w:spacing w:after="0"/>
              <w:rPr>
                <w:sz w:val="20"/>
                <w:szCs w:val="20"/>
                <w:color w:val="auto"/>
              </w:rPr>
            </w:pPr>
            <w:r>
              <w:rPr>
                <w:rFonts w:ascii="Arial" w:cs="Arial" w:eastAsia="Arial" w:hAnsi="Arial"/>
                <w:sz w:val="14"/>
                <w:szCs w:val="14"/>
                <w:color w:val="auto"/>
              </w:rPr>
              <w:t>1,731</w:t>
            </w:r>
          </w:p>
        </w:tc>
        <w:tc>
          <w:tcPr>
            <w:tcW w:w="2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1,516</w:t>
            </w:r>
          </w:p>
        </w:tc>
        <w:tc>
          <w:tcPr>
            <w:tcW w:w="1000" w:type="dxa"/>
            <w:vAlign w:val="bottom"/>
            <w:tcBorders>
              <w:bottom w:val="single" w:sz="8" w:color="61656A"/>
            </w:tcBorders>
          </w:tcPr>
          <w:p>
            <w:pPr>
              <w:spacing w:after="0"/>
              <w:rPr>
                <w:sz w:val="17"/>
                <w:szCs w:val="17"/>
                <w:color w:val="auto"/>
              </w:rPr>
            </w:pPr>
          </w:p>
        </w:tc>
        <w:tc>
          <w:tcPr>
            <w:tcW w:w="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7282F"/>
            </w:tcBorders>
          </w:tcPr>
          <w:p>
            <w:pPr>
              <w:spacing w:after="0"/>
              <w:rPr>
                <w:sz w:val="17"/>
                <w:szCs w:val="17"/>
                <w:color w:val="auto"/>
              </w:rPr>
            </w:pPr>
          </w:p>
        </w:tc>
        <w:tc>
          <w:tcPr>
            <w:tcW w:w="810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Selling, general and administrative and other expenses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color w:val="auto"/>
              </w:rPr>
              <w:t>452</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427</w:t>
            </w:r>
          </w:p>
        </w:tc>
        <w:tc>
          <w:tcPr>
            <w:tcW w:w="100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D7282F"/>
            </w:tcBorders>
          </w:tcPr>
          <w:p>
            <w:pPr>
              <w:spacing w:after="0"/>
              <w:rPr>
                <w:sz w:val="17"/>
                <w:szCs w:val="17"/>
                <w:color w:val="auto"/>
              </w:rPr>
            </w:pPr>
          </w:p>
        </w:tc>
        <w:tc>
          <w:tcPr>
            <w:tcW w:w="810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b w:val="1"/>
                <w:bCs w:val="1"/>
                <w:color w:val="auto"/>
              </w:rPr>
              <w:t>566</w:t>
            </w:r>
          </w:p>
        </w:tc>
        <w:tc>
          <w:tcPr>
            <w:tcW w:w="2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510</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760" w:type="dxa"/>
            <w:vAlign w:val="bottom"/>
            <w:tcBorders>
              <w:bottom w:val="single" w:sz="8" w:color="D7282F"/>
            </w:tcBorders>
            <w:gridSpan w:val="2"/>
          </w:tcPr>
          <w:p>
            <w:pPr>
              <w:jc w:val="center"/>
              <w:ind w:right="368"/>
              <w:spacing w:after="0"/>
              <w:rPr>
                <w:sz w:val="20"/>
                <w:szCs w:val="20"/>
                <w:color w:val="auto"/>
              </w:rPr>
            </w:pPr>
            <w:r>
              <w:rPr>
                <w:rFonts w:ascii="Arial" w:cs="Arial" w:eastAsia="Arial" w:hAnsi="Arial"/>
                <w:sz w:val="14"/>
                <w:szCs w:val="14"/>
                <w:b w:val="1"/>
                <w:bCs w:val="1"/>
                <w:color w:val="auto"/>
              </w:rPr>
              <w:t>2023 vs.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4"/>
          </w:tcPr>
          <w:p>
            <w:pPr>
              <w:jc w:val="center"/>
              <w:ind w:right="200"/>
              <w:spacing w:after="0" w:line="143"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center"/>
              <w:ind w:right="368"/>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rPr>
              <w:t>Net</w:t>
            </w:r>
          </w:p>
        </w:tc>
        <w:tc>
          <w:tcPr>
            <w:tcW w:w="10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340" w:type="dxa"/>
            <w:vAlign w:val="bottom"/>
            <w:tcBorders>
              <w:top w:val="single" w:sz="8" w:color="D7282F"/>
              <w:bottom w:val="single" w:sz="8" w:color="61656A"/>
            </w:tcBorders>
          </w:tcPr>
          <w:p>
            <w:pPr>
              <w:spacing w:after="0"/>
              <w:rPr>
                <w:sz w:val="16"/>
                <w:szCs w:val="16"/>
                <w:color w:val="auto"/>
              </w:rPr>
            </w:pPr>
          </w:p>
        </w:tc>
        <w:tc>
          <w:tcPr>
            <w:tcW w:w="560" w:type="dxa"/>
            <w:vAlign w:val="bottom"/>
            <w:tcBorders>
              <w:top w:val="single" w:sz="8" w:color="D7282F"/>
              <w:bottom w:val="single" w:sz="8" w:color="61656A"/>
            </w:tcBorders>
          </w:tcPr>
          <w:p>
            <w:pPr>
              <w:spacing w:after="0"/>
              <w:rPr>
                <w:sz w:val="16"/>
                <w:szCs w:val="16"/>
                <w:color w:val="auto"/>
              </w:rPr>
            </w:pPr>
          </w:p>
        </w:tc>
        <w:tc>
          <w:tcPr>
            <w:tcW w:w="180" w:type="dxa"/>
            <w:vAlign w:val="bottom"/>
            <w:tcBorders>
              <w:top w:val="single" w:sz="8" w:color="D7282F"/>
              <w:bottom w:val="single" w:sz="8" w:color="61656A"/>
            </w:tcBorders>
          </w:tcPr>
          <w:p>
            <w:pPr>
              <w:spacing w:after="0"/>
              <w:rPr>
                <w:sz w:val="16"/>
                <w:szCs w:val="16"/>
                <w:color w:val="auto"/>
              </w:rPr>
            </w:pPr>
          </w:p>
        </w:tc>
        <w:tc>
          <w:tcPr>
            <w:tcW w:w="260" w:type="dxa"/>
            <w:vAlign w:val="bottom"/>
            <w:tcBorders>
              <w:top w:val="single" w:sz="8" w:color="D7282F"/>
              <w:bottom w:val="single" w:sz="8" w:color="61656A"/>
            </w:tcBorders>
          </w:tcPr>
          <w:p>
            <w:pPr>
              <w:spacing w:after="0"/>
              <w:rPr>
                <w:sz w:val="16"/>
                <w:szCs w:val="16"/>
                <w:color w:val="auto"/>
              </w:rPr>
            </w:pPr>
          </w:p>
        </w:tc>
        <w:tc>
          <w:tcPr>
            <w:tcW w:w="760" w:type="dxa"/>
            <w:vAlign w:val="bottom"/>
            <w:tcBorders>
              <w:top w:val="single" w:sz="8" w:color="D7282F"/>
              <w:bottom w:val="single" w:sz="8" w:color="61656A"/>
            </w:tcBorders>
          </w:tcPr>
          <w:p>
            <w:pPr>
              <w:jc w:val="right"/>
              <w:ind w:right="68"/>
              <w:spacing w:after="0"/>
              <w:rPr>
                <w:sz w:val="20"/>
                <w:szCs w:val="20"/>
                <w:color w:val="auto"/>
              </w:rPr>
            </w:pPr>
            <w:r>
              <w:rPr>
                <w:rFonts w:ascii="Arial" w:cs="Arial" w:eastAsia="Arial" w:hAnsi="Arial"/>
                <w:sz w:val="14"/>
                <w:szCs w:val="14"/>
                <w:color w:val="auto"/>
              </w:rPr>
              <w:t>15 %</w:t>
            </w:r>
          </w:p>
        </w:tc>
        <w:tc>
          <w:tcPr>
            <w:tcW w:w="10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14 %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4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 %</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00" w:type="dxa"/>
            <w:vAlign w:val="bottom"/>
            <w:tcBorders>
              <w:top w:val="single" w:sz="8" w:color="D7282F"/>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Total % change</w:t>
            </w:r>
          </w:p>
        </w:tc>
        <w:tc>
          <w:tcPr>
            <w:tcW w:w="340" w:type="dxa"/>
            <w:vAlign w:val="bottom"/>
            <w:tcBorders>
              <w:top w:val="single" w:sz="8" w:color="D7282F"/>
              <w:bottom w:val="single" w:sz="8" w:color="D7282F"/>
            </w:tcBorders>
          </w:tcPr>
          <w:p>
            <w:pPr>
              <w:spacing w:after="0"/>
              <w:rPr>
                <w:sz w:val="17"/>
                <w:szCs w:val="17"/>
                <w:color w:val="auto"/>
              </w:rPr>
            </w:pPr>
          </w:p>
        </w:tc>
        <w:tc>
          <w:tcPr>
            <w:tcW w:w="560" w:type="dxa"/>
            <w:vAlign w:val="bottom"/>
            <w:tcBorders>
              <w:top w:val="single" w:sz="8" w:color="D7282F"/>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260" w:type="dxa"/>
            <w:vAlign w:val="bottom"/>
            <w:tcBorders>
              <w:top w:val="single" w:sz="8" w:color="D7282F"/>
              <w:bottom w:val="single" w:sz="8" w:color="D7282F"/>
            </w:tcBorders>
          </w:tcPr>
          <w:p>
            <w:pPr>
              <w:spacing w:after="0"/>
              <w:rPr>
                <w:sz w:val="17"/>
                <w:szCs w:val="17"/>
                <w:color w:val="auto"/>
              </w:rPr>
            </w:pPr>
          </w:p>
        </w:tc>
        <w:tc>
          <w:tcPr>
            <w:tcW w:w="760" w:type="dxa"/>
            <w:vAlign w:val="bottom"/>
            <w:tcBorders>
              <w:top w:val="single" w:sz="8" w:color="D7282F"/>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12 %</w:t>
            </w:r>
          </w:p>
        </w:tc>
        <w:tc>
          <w:tcPr>
            <w:tcW w:w="100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39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to Q1 2022</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Sales increased $296 million due to higher organic sales of $178 million in Process Solutions primarily driven by increased demand in projects and smart energy, higher organic sales of $97 million in Advanced Materials primarily driven by increased pricing, and higher organic sales of $89 million in UOP primarily driven by growth in refining catalyst shipments, partially offset by the unfavorable impact of foreign currency translation of $68 million.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$56 million and segment margin percentage decreased 20 basis points to 20.6% compared to 20.8% for the same period of 2022.</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D7282F"/>
        </w:rPr>
        <w:t>SAFETY AND PRODUCTIVITY SOLUTIONS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1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10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gridSpan w:val="2"/>
          </w:tcPr>
          <w:p>
            <w:pPr>
              <w:jc w:val="right"/>
              <w:ind w:right="140"/>
              <w:spacing w:after="0"/>
              <w:rPr>
                <w:sz w:val="20"/>
                <w:szCs w:val="20"/>
                <w:color w:val="auto"/>
              </w:rPr>
            </w:pPr>
            <w:r>
              <w:rPr>
                <w:rFonts w:ascii="Arial" w:cs="Arial" w:eastAsia="Arial" w:hAnsi="Arial"/>
                <w:sz w:val="14"/>
                <w:szCs w:val="14"/>
                <w:color w:val="auto"/>
              </w:rPr>
              <w:t>1,515</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1,744</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gridSpan w:val="2"/>
          </w:tcPr>
          <w:p>
            <w:pPr>
              <w:jc w:val="right"/>
              <w:ind w:right="140"/>
              <w:spacing w:after="0"/>
              <w:rPr>
                <w:sz w:val="20"/>
                <w:szCs w:val="20"/>
                <w:color w:val="auto"/>
              </w:rPr>
            </w:pPr>
            <w:r>
              <w:rPr>
                <w:rFonts w:ascii="Arial" w:cs="Arial" w:eastAsia="Arial" w:hAnsi="Arial"/>
                <w:sz w:val="14"/>
                <w:szCs w:val="14"/>
                <w:color w:val="auto"/>
              </w:rPr>
              <w:t>943</w:t>
            </w:r>
          </w:p>
        </w:tc>
        <w:tc>
          <w:tcPr>
            <w:tcW w:w="2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1,151</w:t>
            </w:r>
          </w:p>
        </w:tc>
        <w:tc>
          <w:tcPr>
            <w:tcW w:w="10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color w:val="auto"/>
              </w:rPr>
              <w:t>312</w:t>
            </w: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340</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b w:val="1"/>
                <w:bCs w:val="1"/>
                <w:color w:val="auto"/>
              </w:rPr>
              <w:t>260</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253</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r>
        <w:trPr>
          <w:trHeight w:val="425"/>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800" w:type="dxa"/>
            <w:vAlign w:val="bottom"/>
            <w:tcBorders>
              <w:bottom w:val="single" w:sz="8" w:color="D7282F"/>
            </w:tcBorders>
            <w:gridSpan w:val="2"/>
          </w:tcPr>
          <w:p>
            <w:pPr>
              <w:jc w:val="center"/>
              <w:ind w:right="368"/>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143"/>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3"/>
          </w:tcPr>
          <w:p>
            <w:pPr>
              <w:jc w:val="center"/>
              <w:ind w:right="108"/>
              <w:spacing w:after="0" w:line="143"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80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488"/>
              <w:spacing w:after="0" w:line="142" w:lineRule="exact"/>
              <w:rPr>
                <w:sz w:val="20"/>
                <w:szCs w:val="20"/>
                <w:color w:val="auto"/>
              </w:rPr>
            </w:pPr>
            <w:r>
              <w:rPr>
                <w:rFonts w:ascii="Arial" w:cs="Arial" w:eastAsia="Arial" w:hAnsi="Arial"/>
                <w:sz w:val="14"/>
                <w:szCs w:val="14"/>
                <w:b w:val="1"/>
                <w:bCs w:val="1"/>
                <w:color w:val="auto"/>
                <w:w w:val="97"/>
              </w:rPr>
              <w:t>Net</w:t>
            </w:r>
          </w:p>
        </w:tc>
        <w:tc>
          <w:tcPr>
            <w:tcW w:w="100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812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w w:val="98"/>
              </w:rPr>
              <w:t>Profit</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34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4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40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2023 compared to Q1 2022</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Sales decreased $229 million due to lower organic sales of $127 million in Warehouse and Workflow Solutions primarily driven by lower demand for projects, lower organic sales of $44 million in Productivity Solutions and Services primarily driven by lower demand, and lower organic sales of $29 million in Sensing and Safety Technologies primarily driven by lower demand for personal protective equipment, and the unfavorable impact of foreign currency translation of $29 million.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$7 million and segment margin percentage increased 270 basis points to 17.2% compared to 14.5% for the same period in 2022.</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See Note 5 Repositioning and Other Charges of Notes to Consolidated Financial Statements for a discussion of our repositioning actions and related charges incurred in the three months ended March 31, 2023, and 2022. Cash spending related to our repositioning actions was $73 million in the three months ended March 31, 2023, and was funded through operating cash flows.</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balances.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 As of March 31, 2023, and December 31, 2022, we held $7.2 billion and $10.1 billion, respectively, of cash and cash equivalents, including our short-term investments.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2023, $5.4 billion of the Company’s cash, cash equivalents, and short-term investments were held by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leverage a variety of debt instruments to manage our overall borrowing costs. As of March 31, 2023, and December 31, 2022, our total borrowings were $19.2 billion and $19.6 billion,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Borders>
              <w:bottom w:val="single" w:sz="8" w:color="D7282F"/>
            </w:tcBorders>
          </w:tcPr>
          <w:p>
            <w:pPr>
              <w:spacing w:after="0"/>
              <w:rPr>
                <w:sz w:val="17"/>
                <w:szCs w:val="17"/>
                <w:color w:val="auto"/>
              </w:rPr>
            </w:pPr>
          </w:p>
        </w:tc>
        <w:tc>
          <w:tcPr>
            <w:tcW w:w="238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March 31, 2023</w:t>
            </w:r>
          </w:p>
        </w:tc>
        <w:tc>
          <w:tcPr>
            <w:tcW w:w="174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3"/>
        </w:trPr>
        <w:tc>
          <w:tcPr>
            <w:tcW w:w="5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 and other short-term borrowings</w:t>
            </w:r>
          </w:p>
        </w:tc>
        <w:tc>
          <w:tcPr>
            <w:tcW w:w="2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3,555</w:t>
            </w:r>
          </w:p>
        </w:tc>
        <w:tc>
          <w:tcPr>
            <w:tcW w:w="72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2,717</w:t>
            </w:r>
          </w:p>
        </w:tc>
      </w:tr>
      <w:tr>
        <w:trPr>
          <w:trHeight w:val="196"/>
        </w:trPr>
        <w:tc>
          <w:tcPr>
            <w:tcW w:w="5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3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5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3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15,802</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17,086</w:t>
            </w:r>
          </w:p>
        </w:tc>
      </w:tr>
      <w:tr>
        <w:trPr>
          <w:trHeight w:val="196"/>
        </w:trPr>
        <w:tc>
          <w:tcPr>
            <w:tcW w:w="5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3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232</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265</w:t>
            </w:r>
          </w:p>
        </w:tc>
      </w:tr>
      <w:tr>
        <w:trPr>
          <w:trHeight w:val="196"/>
        </w:trPr>
        <w:tc>
          <w:tcPr>
            <w:tcW w:w="5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3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(287)</w:t>
            </w:r>
          </w:p>
        </w:tc>
      </w:tr>
      <w:tr>
        <w:trPr>
          <w:trHeight w:val="196"/>
        </w:trPr>
        <w:tc>
          <w:tcPr>
            <w:tcW w:w="55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38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(229)</w:t>
            </w:r>
          </w:p>
        </w:tc>
        <w:tc>
          <w:tcPr>
            <w:tcW w:w="72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w:t>
            </w:r>
          </w:p>
        </w:tc>
      </w:tr>
      <w:tr>
        <w:trPr>
          <w:trHeight w:val="199"/>
        </w:trPr>
        <w:tc>
          <w:tcPr>
            <w:tcW w:w="5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19,162</w:t>
            </w:r>
          </w:p>
        </w:tc>
        <w:tc>
          <w:tcPr>
            <w:tcW w:w="7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19,570</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primary source of liquidity is our ability to access the corporate bond markets. Through these markets, we issue a variety of long-term fixed rate notes, in a variety of currencies, to manage our overall funding costs.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primary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revolving credit agreements:</w:t>
      </w:r>
    </w:p>
    <w:p>
      <w:pPr>
        <w:spacing w:after="0" w:line="113" w:lineRule="exact"/>
        <w:rPr>
          <w:sz w:val="20"/>
          <w:szCs w:val="20"/>
          <w:color w:val="auto"/>
        </w:rPr>
      </w:pPr>
    </w:p>
    <w:p>
      <w:pPr>
        <w:jc w:val="both"/>
        <w:ind w:left="200" w:hanging="192"/>
        <w:spacing w:after="0" w:line="261" w:lineRule="auto"/>
        <w:tabs>
          <w:tab w:leader="none" w:pos="197"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A $1.5 billion 364-day credit agreement (the 364-Day Credit Agreement) with a syndicate of banks, dated as of March 20, 2023. Amounts borrowed under the 364-Day Credit Agreement are required to be repaid no later than March 18, 2024, unless (i) we elect to convert all then outstanding amounts into a term loan, upon which such amounts shall be repaid in full on March 18, 2025, or (ii) the 364-Day Credit Agreement is terminated earlier pursuant to its terms. The 364-Day Credit Agreement replaced the previously reported $1.5 billion 364-day credit agreement dated as of March 24, 2022, which was terminated in accordance with its terms effective March 20, 2023. As of March 31, 2023, there were no outstanding borrowings under our 364-Day Credit Agreement.</w:t>
      </w:r>
    </w:p>
    <w:p>
      <w:pPr>
        <w:spacing w:after="0" w:line="41"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A $4.0 billion five-year credit agreement (the 5-Year Credit Agreement) with a syndicate of banks, dated as of March 20, 2023. Commitments under the 5-Year Credit Agreement can be increased pursuant to the terms of the 5-Year Credit Agreement to an aggregate amount not to exceed $4.5 billion. The 5-Year Credit Agreement amended and restated the previously reported $4.0 billion amended and restated five-year credit agreement dated as of March 24, 2022. As of March 31, 2023, there were no outstanding borrowings under our 5-Year Credit Agreement.</w:t>
      </w:r>
    </w:p>
    <w:p>
      <w:pPr>
        <w:spacing w:after="0" w:line="377"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also have a current shelf registration statement filed with the Securities and Exchange Commission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March 31, 2023, S&amp;P Global Inc. (S&amp;P), Fitch Ratings Inc. (Fitch), and Moody’s Investor Service (Moody's) have ratings on our debt set forth in the table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Moody's</w:t>
            </w:r>
          </w:p>
        </w:tc>
      </w:tr>
      <w:tr>
        <w:trPr>
          <w:trHeight w:val="193"/>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c>
          <w:tcPr>
            <w:tcW w:w="156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Stable</w:t>
            </w:r>
          </w:p>
        </w:tc>
      </w:tr>
      <w:tr>
        <w:trPr>
          <w:trHeight w:val="196"/>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7"/>
              </w:rPr>
              <w:t>F1</w:t>
            </w:r>
          </w:p>
        </w:tc>
        <w:tc>
          <w:tcPr>
            <w:tcW w:w="156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w w:val="93"/>
              </w:rPr>
              <w:t>P1</w:t>
            </w:r>
          </w:p>
        </w:tc>
      </w:tr>
      <w:tr>
        <w:trPr>
          <w:trHeight w:val="196"/>
        </w:trPr>
        <w:tc>
          <w:tcPr>
            <w:tcW w:w="3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w w:val="93"/>
              </w:rPr>
              <w:t>A2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27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0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92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Variance</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b w:val="1"/>
                <w:bCs w:val="1"/>
                <w:color w:val="auto"/>
              </w:rPr>
              <w:t>10,959</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(1,332)</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1,394</w:t>
            </w:r>
          </w:p>
        </w:tc>
        <w:tc>
          <w:tcPr>
            <w:tcW w:w="2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1,134</w:t>
            </w:r>
          </w:p>
        </w:tc>
        <w:tc>
          <w:tcPr>
            <w:tcW w:w="34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260</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572</w:t>
            </w:r>
          </w:p>
        </w:tc>
        <w:tc>
          <w:tcPr>
            <w:tcW w:w="2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537</w:t>
            </w:r>
          </w:p>
        </w:tc>
        <w:tc>
          <w:tcPr>
            <w:tcW w:w="34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(546)</w:t>
            </w:r>
          </w:p>
        </w:tc>
        <w:tc>
          <w:tcPr>
            <w:tcW w:w="2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(815)</w:t>
            </w:r>
          </w:p>
        </w:tc>
        <w:tc>
          <w:tcPr>
            <w:tcW w:w="34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269</w:t>
            </w:r>
          </w:p>
        </w:tc>
      </w:tr>
      <w:tr>
        <w:trPr>
          <w:trHeight w:val="196"/>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(2,204)</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(820)</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(1,384)</w:t>
            </w:r>
          </w:p>
        </w:tc>
      </w:tr>
      <w:tr>
        <w:trPr>
          <w:trHeight w:val="199"/>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cash provided by (used for) operating activities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(784)</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36</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(820)</w:t>
            </w:r>
          </w:p>
        </w:tc>
      </w:tr>
      <w:tr>
        <w:trPr>
          <w:trHeight w:val="193"/>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w:t>
            </w: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w:t>
            </w:r>
          </w:p>
        </w:tc>
        <w:tc>
          <w:tcPr>
            <w:tcW w:w="2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(10)</w:t>
            </w:r>
          </w:p>
        </w:tc>
        <w:tc>
          <w:tcPr>
            <w:tcW w:w="34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financing activities</w:t>
            </w: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(1,973)</w:t>
            </w:r>
          </w:p>
        </w:tc>
        <w:tc>
          <w:tcPr>
            <w:tcW w:w="2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(1,719)</w:t>
            </w:r>
          </w:p>
        </w:tc>
        <w:tc>
          <w:tcPr>
            <w:tcW w:w="34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(254)</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w:t>
            </w:r>
          </w:p>
        </w:tc>
      </w:tr>
      <w:tr>
        <w:trPr>
          <w:trHeight w:val="199"/>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(2,758)</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(1,678)</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(1,080)</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6,869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9,281</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(2,412)</w:t>
            </w:r>
          </w:p>
        </w:tc>
      </w:tr>
    </w:tbl>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Cash related to operating activities decreased by $820 million primarily driven by a decrease in cash from other operating activities, due to the payment pursuant to the North American Refractories Company (NARCO) Amended Buyout Agreement and payment for the settlement of UOP Matters, partially offset by HWI Net Sale Proceeds. The decrease in cash from other operating activities was further offset by the favorable impact of working capital, driven by a $313 million increase in Accounts Payable, primarily due to increased material receipts and lower disbursements. See Note 14 Commitments and Contingencies of Notes to the Consolidated Financial Statements for additional information on the NARCO Amended Buyout Agreement, HWI Net Sale Proceeds, and UOP Matters.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Cash related to investing activities decreased by $19 million primarily due to a $176 million decrease in cash paid for acquisitions and $79 million net decrease in investments, partially offset by $197 million cash receipts from Garrett Motion Inc. (Garrett) in 2022 and $68 million decrease in cash receipts from settlements of derivative contracts.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Cash related to financing activities decreased by $254 million primarily due to a $1,323 million increase in payments of long-term debt, partially offset by an $811 million increase in net proceeds from the issuance of commercial paper and other short-term borrowings and $319 million decrease in repurchases of common stock.</w:t>
      </w:r>
    </w:p>
    <w:p>
      <w:pPr>
        <w:spacing w:after="0" w:line="395"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normal operating cash requirements, our principal future cash requirements will be to fund capital expenditures, share repurchases, dividends, strategic acquisitions and debt repayments. On April 24, 2023, the Board of Directors authorized the repurchase of up to $10 billion of Honeywell common stock, including approximately $2.1 billion of remaining availability under the previously announced $10 billion share repurchase authorization. During the three months ended March 31, 2023, we repurchased common stock of $699 million. Refer to the section titled Liquidity and Capital Resources of our 2022 Form 10-K for a discussion of our expected capital expenditures, share repurchases, and dividends for 2023.</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continue to identify opportunities to improve our liquidity and working capital efficiency, which includes the extension of payment terms with our suppliers and sales of our trade receivables to unaffiliated financial institutions without recourse. The impact of these programs is not material to our overall liquidity.</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early 2023, we made payments of approximately $1.5 billion in connection with the NARCO Buyout and UOP Matters. During 2023, and pursuant to the NARCO Amended Buyout Agreement, we are entitled to receive approximately $295 million related to the HWI Sale. On March 17, 2023, we received initial proceeds from the HWI Sale in the amount of $256 million. These payments and receipts have not materially impacted our liquidity position.</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See Note 8 Long-term Debt and Credit Agreements of Notes to Consolidated Financial Statements for additional discussion of items impacting our liquidity.</w:t>
      </w:r>
    </w:p>
    <w:p>
      <w:pPr>
        <w:spacing w:after="0" w:line="3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 See Note 14 Commitments and Contingencies of Notes to Consolidated Financial Statements for further discussion of environmental, asbestos, and other litigation matters.</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have been no material changes to our Critical Accounting Estimates presented in our 2022 Annual Report on Form 10-K. For a discussion of the Company’s Critical Accounting Estimates, see the section titled Critical Accounting Estimates in our 2022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See Note 2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0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2022 Annual Report on Form 10-K. As of March 31, 2023, there has been no material change in this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3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See a discussion of environmental, asbestos, and other litigation matters in </w:t>
      </w:r>
      <w:r>
        <w:rPr>
          <w:rFonts w:ascii="Arial" w:cs="Arial" w:eastAsia="Arial" w:hAnsi="Arial"/>
          <w:sz w:val="16"/>
          <w:szCs w:val="16"/>
          <w:b w:val="1"/>
          <w:bCs w:val="1"/>
          <w:color w:val="auto"/>
        </w:rPr>
        <w:t>Note 14 Commitments and Contingencies of Notes to Consolidated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w:t>
      </w:r>
      <w:r>
        <w:rPr>
          <w:rFonts w:ascii="Arial" w:cs="Arial" w:eastAsia="Arial" w:hAnsi="Arial"/>
          <w:sz w:val="16"/>
          <w:szCs w:val="16"/>
          <w:color w:val="auto"/>
        </w:rPr>
        <w:t>.</w:t>
      </w:r>
    </w:p>
    <w:p>
      <w:pPr>
        <w:spacing w:after="0" w:line="4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material changes to our Risk Factors presented in our 2022 Annual Report on Form 10-K under the section titled Risk Factors. For further discussion of our Risk Factors, refer to the section titled Risk Factors in our 2022 Annual Report on Form 10-K.</w:t>
      </w:r>
    </w:p>
    <w:p>
      <w:pPr>
        <w:spacing w:after="0" w:line="294"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1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quarter ended March 31, 2023, Honeywell purchased 3,532,183 shares of its common stock, par value $1 per share. As of March 31, 2023, $2.2 billion remained available for additional share repurchases. The following table summarizes our purchases of Honeywell's common stock for the quarter ended March 31, 2023:</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80" w:type="dxa"/>
            <w:vAlign w:val="bottom"/>
            <w:tcBorders>
              <w:top w:val="single" w:sz="8" w:color="D7282F"/>
            </w:tcBorders>
          </w:tcPr>
          <w:p>
            <w:pPr>
              <w:spacing w:after="0"/>
              <w:rPr>
                <w:sz w:val="12"/>
                <w:szCs w:val="12"/>
                <w:color w:val="auto"/>
              </w:rPr>
            </w:pPr>
          </w:p>
        </w:tc>
        <w:tc>
          <w:tcPr>
            <w:tcW w:w="3240" w:type="dxa"/>
            <w:vAlign w:val="bottom"/>
            <w:tcBorders>
              <w:top w:val="single" w:sz="8" w:color="D7282F"/>
            </w:tcBorders>
          </w:tcPr>
          <w:p>
            <w:pPr>
              <w:spacing w:after="0"/>
              <w:rPr>
                <w:sz w:val="12"/>
                <w:szCs w:val="12"/>
                <w:color w:val="auto"/>
              </w:rPr>
            </w:pPr>
          </w:p>
        </w:tc>
        <w:tc>
          <w:tcPr>
            <w:tcW w:w="400" w:type="dxa"/>
            <w:vAlign w:val="bottom"/>
            <w:tcBorders>
              <w:top w:val="single" w:sz="8" w:color="D7282F"/>
            </w:tcBorders>
          </w:tcPr>
          <w:p>
            <w:pPr>
              <w:spacing w:after="0"/>
              <w:rPr>
                <w:sz w:val="12"/>
                <w:szCs w:val="12"/>
                <w:color w:val="auto"/>
              </w:rPr>
            </w:pPr>
          </w:p>
        </w:tc>
        <w:tc>
          <w:tcPr>
            <w:tcW w:w="740" w:type="dxa"/>
            <w:vAlign w:val="bottom"/>
            <w:tcBorders>
              <w:top w:val="single" w:sz="8" w:color="D7282F"/>
            </w:tcBorders>
          </w:tcPr>
          <w:p>
            <w:pPr>
              <w:spacing w:after="0"/>
              <w:rPr>
                <w:sz w:val="12"/>
                <w:szCs w:val="12"/>
                <w:color w:val="auto"/>
              </w:rPr>
            </w:pPr>
          </w:p>
        </w:tc>
        <w:tc>
          <w:tcPr>
            <w:tcW w:w="1500" w:type="dxa"/>
            <w:vAlign w:val="bottom"/>
            <w:tcBorders>
              <w:top w:val="single" w:sz="8" w:color="D7282F"/>
            </w:tcBorders>
          </w:tcPr>
          <w:p>
            <w:pPr>
              <w:jc w:val="center"/>
              <w:ind w:right="28"/>
              <w:spacing w:after="0" w:line="149" w:lineRule="exact"/>
              <w:rPr>
                <w:sz w:val="20"/>
                <w:szCs w:val="20"/>
                <w:color w:val="auto"/>
              </w:rPr>
            </w:pPr>
            <w:r>
              <w:rPr>
                <w:rFonts w:ascii="Arial" w:cs="Arial" w:eastAsia="Arial" w:hAnsi="Arial"/>
                <w:sz w:val="14"/>
                <w:szCs w:val="14"/>
                <w:b w:val="1"/>
                <w:bCs w:val="1"/>
                <w:color w:val="auto"/>
              </w:rPr>
              <w:t>Total Number</w:t>
            </w:r>
          </w:p>
        </w:tc>
        <w:tc>
          <w:tcPr>
            <w:tcW w:w="1780" w:type="dxa"/>
            <w:vAlign w:val="bottom"/>
            <w:tcBorders>
              <w:top w:val="single" w:sz="8" w:color="D7282F"/>
            </w:tcBorders>
            <w:gridSpan w:val="2"/>
          </w:tcPr>
          <w:p>
            <w:pPr>
              <w:ind w:left="220"/>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of Shares</w:t>
            </w: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3240" w:type="dxa"/>
            <w:vAlign w:val="bottom"/>
            <w:vMerge w:val="restart"/>
          </w:tcPr>
          <w:p>
            <w:pPr>
              <w:jc w:val="center"/>
              <w:ind w:left="194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Purchased as</w:t>
            </w:r>
          </w:p>
        </w:tc>
        <w:tc>
          <w:tcPr>
            <w:tcW w:w="420" w:type="dxa"/>
            <w:vAlign w:val="bottom"/>
          </w:tcPr>
          <w:p>
            <w:pPr>
              <w:spacing w:after="0"/>
              <w:rPr>
                <w:sz w:val="12"/>
                <w:szCs w:val="12"/>
                <w:color w:val="auto"/>
              </w:rPr>
            </w:pPr>
          </w:p>
        </w:tc>
        <w:tc>
          <w:tcPr>
            <w:tcW w:w="1360" w:type="dxa"/>
            <w:vAlign w:val="bottom"/>
          </w:tcPr>
          <w:p>
            <w:pPr>
              <w:jc w:val="center"/>
              <w:ind w:right="348"/>
              <w:spacing w:after="0" w:line="145"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3240" w:type="dxa"/>
            <w:vAlign w:val="bottom"/>
            <w:vMerge w:val="continue"/>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w:t>
            </w:r>
          </w:p>
        </w:tc>
        <w:tc>
          <w:tcPr>
            <w:tcW w:w="150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Part of Publicly</w:t>
            </w:r>
          </w:p>
        </w:tc>
        <w:tc>
          <w:tcPr>
            <w:tcW w:w="17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Purchased Under Plans</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24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rPr>
              <w:t>Number of</w:t>
            </w:r>
          </w:p>
        </w:tc>
        <w:tc>
          <w:tcPr>
            <w:tcW w:w="1140" w:type="dxa"/>
            <w:vAlign w:val="bottom"/>
            <w:gridSpan w:val="2"/>
            <w:vMerge w:val="continue"/>
          </w:tcPr>
          <w:p>
            <w:pPr>
              <w:spacing w:after="0"/>
              <w:rPr>
                <w:sz w:val="12"/>
                <w:szCs w:val="12"/>
                <w:color w:val="auto"/>
              </w:rPr>
            </w:pPr>
          </w:p>
        </w:tc>
        <w:tc>
          <w:tcPr>
            <w:tcW w:w="15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Announced</w:t>
            </w:r>
          </w:p>
        </w:tc>
        <w:tc>
          <w:tcPr>
            <w:tcW w:w="420" w:type="dxa"/>
            <w:vAlign w:val="bottom"/>
          </w:tcPr>
          <w:p>
            <w:pPr>
              <w:spacing w:after="0"/>
              <w:rPr>
                <w:sz w:val="12"/>
                <w:szCs w:val="12"/>
                <w:color w:val="auto"/>
              </w:rPr>
            </w:pPr>
          </w:p>
        </w:tc>
        <w:tc>
          <w:tcPr>
            <w:tcW w:w="136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4"/>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3240" w:type="dxa"/>
            <w:vAlign w:val="bottom"/>
          </w:tcPr>
          <w:p>
            <w:pPr>
              <w:jc w:val="center"/>
              <w:ind w:left="1968"/>
              <w:spacing w:after="0" w:line="145"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ind w:left="140"/>
              <w:spacing w:after="0" w:line="145" w:lineRule="exact"/>
              <w:rPr>
                <w:sz w:val="20"/>
                <w:szCs w:val="20"/>
                <w:color w:val="auto"/>
              </w:rPr>
            </w:pPr>
            <w:r>
              <w:rPr>
                <w:rFonts w:ascii="Arial" w:cs="Arial" w:eastAsia="Arial" w:hAnsi="Arial"/>
                <w:sz w:val="14"/>
                <w:szCs w:val="14"/>
                <w:b w:val="1"/>
                <w:bCs w:val="1"/>
                <w:color w:val="auto"/>
              </w:rPr>
              <w:t>Price Paid</w:t>
            </w:r>
          </w:p>
        </w:tc>
        <w:tc>
          <w:tcPr>
            <w:tcW w:w="150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Plans</w:t>
            </w:r>
          </w:p>
        </w:tc>
        <w:tc>
          <w:tcPr>
            <w:tcW w:w="420" w:type="dxa"/>
            <w:vAlign w:val="bottom"/>
          </w:tcPr>
          <w:p>
            <w:pPr>
              <w:spacing w:after="0"/>
              <w:rPr>
                <w:sz w:val="12"/>
                <w:szCs w:val="12"/>
                <w:color w:val="auto"/>
              </w:rPr>
            </w:pPr>
          </w:p>
        </w:tc>
        <w:tc>
          <w:tcPr>
            <w:tcW w:w="1360" w:type="dxa"/>
            <w:vAlign w:val="bottom"/>
          </w:tcPr>
          <w:p>
            <w:pPr>
              <w:jc w:val="center"/>
              <w:ind w:right="348"/>
              <w:spacing w:after="0" w:line="145"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D7282F"/>
            </w:tcBorders>
            <w:vMerge w:val="continue"/>
          </w:tcPr>
          <w:p>
            <w:pPr>
              <w:spacing w:after="0"/>
              <w:rPr>
                <w:sz w:val="16"/>
                <w:szCs w:val="16"/>
                <w:color w:val="auto"/>
              </w:rPr>
            </w:pPr>
          </w:p>
        </w:tc>
        <w:tc>
          <w:tcPr>
            <w:tcW w:w="3240" w:type="dxa"/>
            <w:vAlign w:val="bottom"/>
            <w:tcBorders>
              <w:bottom w:val="single" w:sz="8" w:color="D7282F"/>
            </w:tcBorders>
          </w:tcPr>
          <w:p>
            <w:pPr>
              <w:jc w:val="center"/>
              <w:ind w:left="1948"/>
              <w:spacing w:after="0"/>
              <w:rPr>
                <w:sz w:val="20"/>
                <w:szCs w:val="20"/>
                <w:color w:val="auto"/>
              </w:rPr>
            </w:pPr>
            <w:r>
              <w:rPr>
                <w:rFonts w:ascii="Arial" w:cs="Arial" w:eastAsia="Arial" w:hAnsi="Arial"/>
                <w:sz w:val="14"/>
                <w:szCs w:val="14"/>
                <w:b w:val="1"/>
                <w:bCs w:val="1"/>
                <w:color w:val="auto"/>
              </w:rPr>
              <w:t>Purchased</w:t>
            </w:r>
          </w:p>
        </w:tc>
        <w:tc>
          <w:tcPr>
            <w:tcW w:w="114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per Share</w:t>
            </w:r>
          </w:p>
        </w:tc>
        <w:tc>
          <w:tcPr>
            <w:tcW w:w="15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or Programs</w:t>
            </w:r>
          </w:p>
        </w:tc>
        <w:tc>
          <w:tcPr>
            <w:tcW w:w="17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January 1-31, 2023</w:t>
            </w:r>
          </w:p>
        </w:tc>
        <w:tc>
          <w:tcPr>
            <w:tcW w:w="32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602,153</w:t>
            </w:r>
          </w:p>
        </w:tc>
        <w:tc>
          <w:tcPr>
            <w:tcW w:w="400" w:type="dxa"/>
            <w:vAlign w:val="bottom"/>
            <w:tcBorders>
              <w:bottom w:val="single" w:sz="8" w:color="6165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209.23</w:t>
            </w:r>
          </w:p>
        </w:tc>
        <w:tc>
          <w:tcPr>
            <w:tcW w:w="1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602,153</w:t>
            </w:r>
          </w:p>
        </w:tc>
        <w:tc>
          <w:tcPr>
            <w:tcW w:w="4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2,780</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February 1-28, 2023</w:t>
            </w:r>
          </w:p>
        </w:tc>
        <w:tc>
          <w:tcPr>
            <w:tcW w:w="32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601,075</w:t>
            </w:r>
          </w:p>
        </w:tc>
        <w:tc>
          <w:tcPr>
            <w:tcW w:w="400" w:type="dxa"/>
            <w:vAlign w:val="bottom"/>
            <w:tcBorders>
              <w:bottom w:val="single" w:sz="8" w:color="6165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202.94</w:t>
            </w:r>
          </w:p>
        </w:tc>
        <w:tc>
          <w:tcPr>
            <w:tcW w:w="1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601,075</w:t>
            </w:r>
          </w:p>
        </w:tc>
        <w:tc>
          <w:tcPr>
            <w:tcW w:w="4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March 1-31, 2023</w:t>
            </w:r>
          </w:p>
        </w:tc>
        <w:tc>
          <w:tcPr>
            <w:tcW w:w="32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2,328,955</w:t>
            </w:r>
          </w:p>
        </w:tc>
        <w:tc>
          <w:tcPr>
            <w:tcW w:w="40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193.84</w:t>
            </w:r>
          </w:p>
        </w:tc>
        <w:tc>
          <w:tcPr>
            <w:tcW w:w="1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2,328,955</w:t>
            </w:r>
          </w:p>
        </w:tc>
        <w:tc>
          <w:tcPr>
            <w:tcW w:w="42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1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Exhibit No.</w:t>
            </w:r>
          </w:p>
        </w:tc>
        <w:tc>
          <w:tcPr>
            <w:tcW w:w="10060" w:type="dxa"/>
            <w:vAlign w:val="bottom"/>
            <w:tcBorders>
              <w:bottom w:val="single" w:sz="8" w:color="D7282F"/>
            </w:tcBorders>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10.1</w:t>
            </w:r>
          </w:p>
        </w:tc>
        <w:tc>
          <w:tcPr>
            <w:tcW w:w="10060" w:type="dxa"/>
            <w:vAlign w:val="bottom"/>
          </w:tcPr>
          <w:p>
            <w:pPr>
              <w:ind w:left="240"/>
              <w:spacing w:after="0" w:line="143" w:lineRule="exact"/>
              <w:rPr>
                <w:rFonts w:ascii="Arial" w:cs="Arial" w:eastAsia="Arial" w:hAnsi="Arial"/>
                <w:sz w:val="14"/>
                <w:szCs w:val="14"/>
                <w:color w:val="auto"/>
              </w:rPr>
            </w:pPr>
            <w:hyperlink r:id="rId78">
              <w:r>
                <w:rPr>
                  <w:rFonts w:ascii="Arial" w:cs="Arial" w:eastAsia="Arial" w:hAnsi="Arial"/>
                  <w:sz w:val="14"/>
                  <w:szCs w:val="14"/>
                  <w:color w:val="auto"/>
                </w:rPr>
                <w:t>364-Day Credit Agreement, dated as of March 20, 2023, among Honeywell International Inc., the banks, financial institutions, and other institutional</w:t>
              </w:r>
            </w:hyperlink>
          </w:p>
        </w:tc>
      </w:tr>
      <w:tr>
        <w:trPr>
          <w:trHeight w:val="139"/>
        </w:trPr>
        <w:tc>
          <w:tcPr>
            <w:tcW w:w="1140" w:type="dxa"/>
            <w:vAlign w:val="bottom"/>
          </w:tcPr>
          <w:p>
            <w:pPr>
              <w:spacing w:after="0"/>
              <w:rPr>
                <w:sz w:val="12"/>
                <w:szCs w:val="12"/>
                <w:color w:val="auto"/>
              </w:rPr>
            </w:pPr>
          </w:p>
        </w:tc>
        <w:tc>
          <w:tcPr>
            <w:tcW w:w="10060" w:type="dxa"/>
            <w:vAlign w:val="bottom"/>
          </w:tcPr>
          <w:p>
            <w:pPr>
              <w:ind w:left="240"/>
              <w:spacing w:after="0" w:line="139" w:lineRule="exact"/>
              <w:rPr>
                <w:rFonts w:ascii="Arial" w:cs="Arial" w:eastAsia="Arial" w:hAnsi="Arial"/>
                <w:sz w:val="14"/>
                <w:szCs w:val="14"/>
                <w:color w:val="auto"/>
              </w:rPr>
            </w:pPr>
            <w:hyperlink r:id="rId78">
              <w:r>
                <w:rPr>
                  <w:rFonts w:ascii="Arial" w:cs="Arial" w:eastAsia="Arial" w:hAnsi="Arial"/>
                  <w:sz w:val="14"/>
                  <w:szCs w:val="14"/>
                  <w:color w:val="auto"/>
                </w:rPr>
                <w:t>lenders parties thereto, Bank of America, N.A., as administrative agent, and JPMorgan Chase Bank, N.A. and Wells Fargo Bank, National Association, as</w:t>
              </w:r>
            </w:hyperlink>
          </w:p>
        </w:tc>
      </w:tr>
      <w:tr>
        <w:trPr>
          <w:trHeight w:val="194"/>
        </w:trPr>
        <w:tc>
          <w:tcPr>
            <w:tcW w:w="1140" w:type="dxa"/>
            <w:vAlign w:val="bottom"/>
            <w:tcBorders>
              <w:bottom w:val="single" w:sz="8" w:color="61656A"/>
            </w:tcBorders>
          </w:tcPr>
          <w:p>
            <w:pPr>
              <w:spacing w:after="0"/>
              <w:rPr>
                <w:sz w:val="16"/>
                <w:szCs w:val="16"/>
                <w:color w:val="auto"/>
              </w:rPr>
            </w:pPr>
          </w:p>
        </w:tc>
        <w:tc>
          <w:tcPr>
            <w:tcW w:w="10060" w:type="dxa"/>
            <w:vAlign w:val="bottom"/>
            <w:tcBorders>
              <w:bottom w:val="single" w:sz="8" w:color="61656A"/>
            </w:tcBorders>
          </w:tcPr>
          <w:p>
            <w:pPr>
              <w:ind w:left="240"/>
              <w:spacing w:after="0"/>
              <w:rPr>
                <w:rFonts w:ascii="Arial" w:cs="Arial" w:eastAsia="Arial" w:hAnsi="Arial"/>
                <w:sz w:val="14"/>
                <w:szCs w:val="14"/>
                <w:color w:val="auto"/>
              </w:rPr>
            </w:pPr>
            <w:hyperlink r:id="rId78">
              <w:r>
                <w:rPr>
                  <w:rFonts w:ascii="Arial" w:cs="Arial" w:eastAsia="Arial" w:hAnsi="Arial"/>
                  <w:sz w:val="14"/>
                  <w:szCs w:val="14"/>
                  <w:color w:val="auto"/>
                </w:rPr>
                <w:t>syndication agents (incorporated by reference to Exhibit 10.1 to Honeywell's Form 8-K filed March 21, 2023)</w:t>
              </w:r>
            </w:hyperlink>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10.2</w:t>
            </w:r>
          </w:p>
        </w:tc>
        <w:tc>
          <w:tcPr>
            <w:tcW w:w="10060" w:type="dxa"/>
            <w:vAlign w:val="bottom"/>
          </w:tcPr>
          <w:p>
            <w:pPr>
              <w:ind w:left="240"/>
              <w:spacing w:after="0" w:line="146" w:lineRule="exact"/>
              <w:rPr>
                <w:rFonts w:ascii="Arial" w:cs="Arial" w:eastAsia="Arial" w:hAnsi="Arial"/>
                <w:sz w:val="14"/>
                <w:szCs w:val="14"/>
                <w:color w:val="auto"/>
              </w:rPr>
            </w:pPr>
            <w:hyperlink r:id="rId79">
              <w:r>
                <w:rPr>
                  <w:rFonts w:ascii="Arial" w:cs="Arial" w:eastAsia="Arial" w:hAnsi="Arial"/>
                  <w:sz w:val="14"/>
                  <w:szCs w:val="14"/>
                  <w:color w:val="auto"/>
                </w:rPr>
                <w:t>Amended and Restated Five-Year Credit Agreement, dated as of March 20, 2023, among Honeywell International Inc., the banks, financial institutions,</w:t>
              </w:r>
            </w:hyperlink>
          </w:p>
        </w:tc>
      </w:tr>
      <w:tr>
        <w:trPr>
          <w:trHeight w:val="139"/>
        </w:trPr>
        <w:tc>
          <w:tcPr>
            <w:tcW w:w="1140" w:type="dxa"/>
            <w:vAlign w:val="bottom"/>
          </w:tcPr>
          <w:p>
            <w:pPr>
              <w:spacing w:after="0"/>
              <w:rPr>
                <w:sz w:val="12"/>
                <w:szCs w:val="12"/>
                <w:color w:val="auto"/>
              </w:rPr>
            </w:pPr>
          </w:p>
        </w:tc>
        <w:tc>
          <w:tcPr>
            <w:tcW w:w="10060" w:type="dxa"/>
            <w:vAlign w:val="bottom"/>
          </w:tcPr>
          <w:p>
            <w:pPr>
              <w:ind w:left="240"/>
              <w:spacing w:after="0" w:line="139" w:lineRule="exact"/>
              <w:rPr>
                <w:rFonts w:ascii="Arial" w:cs="Arial" w:eastAsia="Arial" w:hAnsi="Arial"/>
                <w:sz w:val="14"/>
                <w:szCs w:val="14"/>
                <w:color w:val="auto"/>
              </w:rPr>
            </w:pPr>
            <w:hyperlink r:id="rId79">
              <w:r>
                <w:rPr>
                  <w:rFonts w:ascii="Arial" w:cs="Arial" w:eastAsia="Arial" w:hAnsi="Arial"/>
                  <w:sz w:val="14"/>
                  <w:szCs w:val="14"/>
                  <w:color w:val="auto"/>
                </w:rPr>
                <w:t>and other institutional lenders parties thereto, Bank of America, N.A., as administrative agent and as swing line agent, and JPMorgan Chase Bank, N.A.</w:t>
              </w:r>
            </w:hyperlink>
          </w:p>
        </w:tc>
      </w:tr>
      <w:tr>
        <w:trPr>
          <w:trHeight w:val="148"/>
        </w:trPr>
        <w:tc>
          <w:tcPr>
            <w:tcW w:w="1140" w:type="dxa"/>
            <w:vAlign w:val="bottom"/>
          </w:tcPr>
          <w:p>
            <w:pPr>
              <w:spacing w:after="0"/>
              <w:rPr>
                <w:sz w:val="12"/>
                <w:szCs w:val="12"/>
                <w:color w:val="auto"/>
              </w:rPr>
            </w:pPr>
          </w:p>
        </w:tc>
        <w:tc>
          <w:tcPr>
            <w:tcW w:w="10060" w:type="dxa"/>
            <w:vAlign w:val="bottom"/>
          </w:tcPr>
          <w:p>
            <w:pPr>
              <w:ind w:left="240"/>
              <w:spacing w:after="0" w:line="149" w:lineRule="exact"/>
              <w:rPr>
                <w:rFonts w:ascii="Arial" w:cs="Arial" w:eastAsia="Arial" w:hAnsi="Arial"/>
                <w:sz w:val="14"/>
                <w:szCs w:val="14"/>
                <w:color w:val="auto"/>
              </w:rPr>
            </w:pPr>
            <w:hyperlink r:id="rId79">
              <w:r>
                <w:rPr>
                  <w:rFonts w:ascii="Arial" w:cs="Arial" w:eastAsia="Arial" w:hAnsi="Arial"/>
                  <w:sz w:val="14"/>
                  <w:szCs w:val="14"/>
                  <w:color w:val="auto"/>
                </w:rPr>
                <w:t>and Wells Fargo Bank, National Association, as syndication agents (incorporated by reference of Exhibit 10.2 of Honeywell's Form 8-K filed March 21,</w:t>
              </w:r>
            </w:hyperlink>
          </w:p>
        </w:tc>
      </w:tr>
      <w:tr>
        <w:trPr>
          <w:trHeight w:val="194"/>
        </w:trPr>
        <w:tc>
          <w:tcPr>
            <w:tcW w:w="1140" w:type="dxa"/>
            <w:vAlign w:val="bottom"/>
            <w:tcBorders>
              <w:bottom w:val="single" w:sz="8" w:color="61656A"/>
            </w:tcBorders>
          </w:tcPr>
          <w:p>
            <w:pPr>
              <w:spacing w:after="0"/>
              <w:rPr>
                <w:sz w:val="16"/>
                <w:szCs w:val="16"/>
                <w:color w:val="auto"/>
              </w:rPr>
            </w:pPr>
          </w:p>
        </w:tc>
        <w:tc>
          <w:tcPr>
            <w:tcW w:w="10060" w:type="dxa"/>
            <w:vAlign w:val="bottom"/>
            <w:tcBorders>
              <w:bottom w:val="single" w:sz="8" w:color="61656A"/>
            </w:tcBorders>
          </w:tcPr>
          <w:p>
            <w:pPr>
              <w:ind w:left="240"/>
              <w:spacing w:after="0"/>
              <w:rPr>
                <w:rFonts w:ascii="Arial" w:cs="Arial" w:eastAsia="Arial" w:hAnsi="Arial"/>
                <w:sz w:val="14"/>
                <w:szCs w:val="14"/>
                <w:color w:val="auto"/>
              </w:rPr>
            </w:pPr>
            <w:hyperlink r:id="rId79">
              <w:r>
                <w:rPr>
                  <w:rFonts w:ascii="Arial" w:cs="Arial" w:eastAsia="Arial" w:hAnsi="Arial"/>
                  <w:sz w:val="14"/>
                  <w:szCs w:val="14"/>
                  <w:color w:val="auto"/>
                </w:rPr>
                <w:t>2023)</w:t>
              </w:r>
            </w:hyperlink>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10.3*</w:t>
            </w:r>
          </w:p>
        </w:tc>
        <w:tc>
          <w:tcPr>
            <w:tcW w:w="10060" w:type="dxa"/>
            <w:vAlign w:val="bottom"/>
          </w:tcPr>
          <w:p>
            <w:pPr>
              <w:ind w:left="240"/>
              <w:spacing w:after="0" w:line="146" w:lineRule="exact"/>
              <w:rPr>
                <w:rFonts w:ascii="Arial" w:cs="Arial" w:eastAsia="Arial" w:hAnsi="Arial"/>
                <w:sz w:val="14"/>
                <w:szCs w:val="14"/>
                <w:color w:val="auto"/>
              </w:rPr>
            </w:pPr>
            <w:hyperlink r:id="rId80">
              <w:r>
                <w:rPr>
                  <w:rFonts w:ascii="Arial" w:cs="Arial" w:eastAsia="Arial" w:hAnsi="Arial"/>
                  <w:sz w:val="14"/>
                  <w:szCs w:val="14"/>
                  <w:color w:val="auto"/>
                </w:rPr>
                <w:t>Letter Agreement dated March 13, 2023, from Honeywell International Inc. to Darius Adamczyk (incorporated by reference to Exhibit 10.1 to Honeywell’s</w:t>
              </w:r>
            </w:hyperlink>
          </w:p>
        </w:tc>
      </w:tr>
      <w:tr>
        <w:trPr>
          <w:trHeight w:val="189"/>
        </w:trPr>
        <w:tc>
          <w:tcPr>
            <w:tcW w:w="1140" w:type="dxa"/>
            <w:vAlign w:val="bottom"/>
            <w:tcBorders>
              <w:bottom w:val="single" w:sz="8" w:color="61656A"/>
            </w:tcBorders>
          </w:tcPr>
          <w:p>
            <w:pPr>
              <w:spacing w:after="0"/>
              <w:rPr>
                <w:sz w:val="16"/>
                <w:szCs w:val="16"/>
                <w:color w:val="auto"/>
              </w:rPr>
            </w:pPr>
          </w:p>
        </w:tc>
        <w:tc>
          <w:tcPr>
            <w:tcW w:w="10060" w:type="dxa"/>
            <w:vAlign w:val="bottom"/>
            <w:tcBorders>
              <w:bottom w:val="single" w:sz="8" w:color="61656A"/>
            </w:tcBorders>
          </w:tcPr>
          <w:p>
            <w:pPr>
              <w:ind w:left="240"/>
              <w:spacing w:after="0"/>
              <w:rPr>
                <w:rFonts w:ascii="Arial" w:cs="Arial" w:eastAsia="Arial" w:hAnsi="Arial"/>
                <w:sz w:val="14"/>
                <w:szCs w:val="14"/>
                <w:color w:val="auto"/>
              </w:rPr>
            </w:pPr>
            <w:hyperlink r:id="rId80">
              <w:r>
                <w:rPr>
                  <w:rFonts w:ascii="Arial" w:cs="Arial" w:eastAsia="Arial" w:hAnsi="Arial"/>
                  <w:sz w:val="14"/>
                  <w:szCs w:val="14"/>
                  <w:color w:val="auto"/>
                </w:rPr>
                <w:t>Form 8-K filed March 14, 2023)</w:t>
              </w:r>
            </w:hyperlink>
          </w:p>
        </w:tc>
      </w:tr>
      <w:tr>
        <w:trPr>
          <w:trHeight w:val="142"/>
        </w:trPr>
        <w:tc>
          <w:tcPr>
            <w:tcW w:w="1140" w:type="dxa"/>
            <w:vAlign w:val="bottom"/>
          </w:tcPr>
          <w:p>
            <w:pPr>
              <w:ind w:left="20"/>
              <w:spacing w:after="0" w:line="142" w:lineRule="exact"/>
              <w:rPr>
                <w:sz w:val="20"/>
                <w:szCs w:val="20"/>
                <w:color w:val="auto"/>
              </w:rPr>
            </w:pPr>
            <w:r>
              <w:rPr>
                <w:rFonts w:ascii="Arial" w:cs="Arial" w:eastAsia="Arial" w:hAnsi="Arial"/>
                <w:sz w:val="14"/>
                <w:szCs w:val="14"/>
                <w:color w:val="auto"/>
              </w:rPr>
              <w:t>10.4*</w:t>
            </w:r>
          </w:p>
        </w:tc>
        <w:tc>
          <w:tcPr>
            <w:tcW w:w="10060" w:type="dxa"/>
            <w:vAlign w:val="bottom"/>
          </w:tcPr>
          <w:p>
            <w:pPr>
              <w:ind w:left="240"/>
              <w:spacing w:after="0" w:line="142" w:lineRule="exact"/>
              <w:rPr>
                <w:rFonts w:ascii="Arial" w:cs="Arial" w:eastAsia="Arial" w:hAnsi="Arial"/>
                <w:sz w:val="14"/>
                <w:szCs w:val="14"/>
                <w:color w:val="auto"/>
              </w:rPr>
            </w:pPr>
            <w:hyperlink r:id="rId81">
              <w:r>
                <w:rPr>
                  <w:rFonts w:ascii="Arial" w:cs="Arial" w:eastAsia="Arial" w:hAnsi="Arial"/>
                  <w:sz w:val="14"/>
                  <w:szCs w:val="14"/>
                  <w:color w:val="auto"/>
                </w:rPr>
                <w:t>Offer Letter dated March 13, 2023, from Honeywell International Inc. to Vimal Kapur (incorporated by reference to Exhibit 10.2 to Honeywell’s Form 8-K</w:t>
              </w:r>
            </w:hyperlink>
          </w:p>
        </w:tc>
      </w:tr>
      <w:tr>
        <w:trPr>
          <w:trHeight w:val="189"/>
        </w:trPr>
        <w:tc>
          <w:tcPr>
            <w:tcW w:w="1140" w:type="dxa"/>
            <w:vAlign w:val="bottom"/>
            <w:tcBorders>
              <w:bottom w:val="single" w:sz="8" w:color="61656A"/>
            </w:tcBorders>
          </w:tcPr>
          <w:p>
            <w:pPr>
              <w:spacing w:after="0"/>
              <w:rPr>
                <w:sz w:val="16"/>
                <w:szCs w:val="16"/>
                <w:color w:val="auto"/>
              </w:rPr>
            </w:pPr>
          </w:p>
        </w:tc>
        <w:tc>
          <w:tcPr>
            <w:tcW w:w="10060" w:type="dxa"/>
            <w:vAlign w:val="bottom"/>
            <w:tcBorders>
              <w:bottom w:val="single" w:sz="8" w:color="61656A"/>
            </w:tcBorders>
          </w:tcPr>
          <w:p>
            <w:pPr>
              <w:ind w:left="240"/>
              <w:spacing w:after="0"/>
              <w:rPr>
                <w:rFonts w:ascii="Arial" w:cs="Arial" w:eastAsia="Arial" w:hAnsi="Arial"/>
                <w:sz w:val="14"/>
                <w:szCs w:val="14"/>
                <w:color w:val="auto"/>
              </w:rPr>
            </w:pPr>
            <w:hyperlink r:id="rId81">
              <w:r>
                <w:rPr>
                  <w:rFonts w:ascii="Arial" w:cs="Arial" w:eastAsia="Arial" w:hAnsi="Arial"/>
                  <w:sz w:val="14"/>
                  <w:szCs w:val="14"/>
                  <w:color w:val="auto"/>
                </w:rPr>
                <w:t>filed March 14, 2023)</w:t>
              </w:r>
            </w:hyperlink>
          </w:p>
        </w:tc>
      </w:tr>
      <w:tr>
        <w:trPr>
          <w:trHeight w:val="192"/>
        </w:trPr>
        <w:tc>
          <w:tcPr>
            <w:tcW w:w="1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060" w:type="dxa"/>
            <w:vAlign w:val="bottom"/>
          </w:tcPr>
          <w:p>
            <w:pPr>
              <w:ind w:left="24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140" w:type="dxa"/>
            <w:vAlign w:val="bottom"/>
            <w:tcBorders>
              <w:bottom w:val="single" w:sz="8" w:color="61656A"/>
            </w:tcBorders>
          </w:tcPr>
          <w:p>
            <w:pPr>
              <w:spacing w:after="0"/>
              <w:rPr>
                <w:sz w:val="16"/>
                <w:szCs w:val="16"/>
                <w:color w:val="auto"/>
              </w:rPr>
            </w:pP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(furnished herewith)</w:t>
            </w:r>
          </w:p>
        </w:tc>
      </w:tr>
      <w:tr>
        <w:trPr>
          <w:trHeight w:val="142"/>
        </w:trPr>
        <w:tc>
          <w:tcPr>
            <w:tcW w:w="114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060" w:type="dxa"/>
            <w:vAlign w:val="bottom"/>
          </w:tcPr>
          <w:p>
            <w:pPr>
              <w:ind w:left="24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140" w:type="dxa"/>
            <w:vAlign w:val="bottom"/>
            <w:tcBorders>
              <w:bottom w:val="single" w:sz="8" w:color="61656A"/>
            </w:tcBorders>
          </w:tcPr>
          <w:p>
            <w:pPr>
              <w:spacing w:after="0"/>
              <w:rPr>
                <w:sz w:val="16"/>
                <w:szCs w:val="16"/>
                <w:color w:val="auto"/>
              </w:rPr>
            </w:pP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(furnished herewith)</w:t>
            </w:r>
          </w:p>
        </w:tc>
      </w:tr>
      <w:tr>
        <w:trPr>
          <w:trHeight w:val="192"/>
        </w:trPr>
        <w:tc>
          <w:tcPr>
            <w:tcW w:w="1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060" w:type="dxa"/>
            <w:vAlign w:val="bottom"/>
          </w:tcPr>
          <w:p>
            <w:pPr>
              <w:ind w:left="24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9"/>
        </w:trPr>
        <w:tc>
          <w:tcPr>
            <w:tcW w:w="1140" w:type="dxa"/>
            <w:vAlign w:val="bottom"/>
            <w:tcBorders>
              <w:bottom w:val="single" w:sz="8" w:color="61656A"/>
            </w:tcBorders>
          </w:tcPr>
          <w:p>
            <w:pPr>
              <w:spacing w:after="0"/>
              <w:rPr>
                <w:sz w:val="16"/>
                <w:szCs w:val="16"/>
                <w:color w:val="auto"/>
              </w:rPr>
            </w:pP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Inline XBRL document)</w:t>
            </w:r>
          </w:p>
        </w:tc>
      </w:tr>
      <w:tr>
        <w:trPr>
          <w:trHeight w:val="192"/>
        </w:trPr>
        <w:tc>
          <w:tcPr>
            <w:tcW w:w="1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101.PRE</w:t>
            </w: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104</w:t>
            </w:r>
          </w:p>
        </w:tc>
        <w:tc>
          <w:tcPr>
            <w:tcW w:w="100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Exhibits identified above with an asterisk (*) are 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April 27,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266" w:lineRule="exact"/>
        <w:rPr>
          <w:sz w:val="20"/>
          <w:szCs w:val="20"/>
          <w:color w:val="auto"/>
        </w:rPr>
      </w:pPr>
    </w:p>
    <w:p>
      <w:pPr>
        <w:ind w:left="360" w:hanging="334"/>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Darius Adamczyk</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2023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27, 2023</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Darius Adamczyk</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Darius Adamczyk</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2023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27, 2023</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March 31, 2023,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March 31, 2023,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bullet"/>
      <w:start w:val="1"/>
    </w:lvl>
  </w:abstractNum>
  <w:abstractNum w:abstractNumId="3">
    <w:nsid w:val="71F32454"/>
    <w:multiLevelType w:val="hybridMultilevel"/>
    <w:lvl w:ilvl="0">
      <w:lvlJc w:val="left"/>
      <w:lvlText w:val="2"/>
      <w:numFmt w:val="bullet"/>
      <w:start w:val="1"/>
    </w:lvl>
  </w:abstractNum>
  <w:abstractNum w:abstractNumId="4">
    <w:nsid w:val="2CA88611"/>
    <w:multiLevelType w:val="hybridMultilevel"/>
    <w:lvl w:ilvl="0">
      <w:lvlJc w:val="left"/>
      <w:lvlText w:val="3"/>
      <w:numFmt w:val="bullet"/>
      <w:start w:val="1"/>
    </w:lvl>
  </w:abstractNum>
  <w:abstractNum w:abstractNumId="5">
    <w:nsid w:val="836C40E"/>
    <w:multiLevelType w:val="hybridMultilevel"/>
    <w:lvl w:ilvl="0">
      <w:lvlJc w:val="left"/>
      <w:lvlText w:val="4"/>
      <w:numFmt w:val="bullet"/>
      <w:start w:val="1"/>
    </w:lvl>
  </w:abstractNum>
  <w:abstractNum w:abstractNumId="6">
    <w:nsid w:val="2901D82"/>
    <w:multiLevelType w:val="hybridMultilevel"/>
    <w:lvl w:ilvl="0">
      <w:lvlJc w:val="left"/>
      <w:lvlText w:val="5"/>
      <w:numFmt w:val="bullet"/>
      <w:start w:val="1"/>
    </w:lvl>
  </w:abstractNum>
  <w:abstractNum w:abstractNumId="7">
    <w:nsid w:val="3A95F874"/>
    <w:multiLevelType w:val="hybridMultilevel"/>
    <w:lvl w:ilvl="0">
      <w:lvlJc w:val="left"/>
      <w:lvlText w:val="6"/>
      <w:numFmt w:val="bullet"/>
      <w:start w:val="1"/>
    </w:lvl>
  </w:abstractNum>
  <w:abstractNum w:abstractNumId="8">
    <w:nsid w:val="8138641"/>
    <w:multiLevelType w:val="hybridMultilevel"/>
    <w:lvl w:ilvl="0">
      <w:lvlJc w:val="left"/>
      <w:lvlText w:val="7"/>
      <w:numFmt w:val="bullet"/>
      <w:start w:val="1"/>
    </w:lvl>
  </w:abstractNum>
  <w:abstractNum w:abstractNumId="9">
    <w:nsid w:val="1E7FF521"/>
    <w:multiLevelType w:val="hybridMultilevel"/>
    <w:lvl w:ilvl="0">
      <w:lvlJc w:val="left"/>
      <w:lvlText w:val="8"/>
      <w:numFmt w:val="bullet"/>
      <w:start w:val="1"/>
    </w:lvl>
  </w:abstractNum>
  <w:abstractNum w:abstractNumId="10">
    <w:nsid w:val="7C3DBD3D"/>
    <w:multiLevelType w:val="hybridMultilevel"/>
    <w:lvl w:ilvl="0">
      <w:lvlJc w:val="left"/>
      <w:lvlText w:val="9"/>
      <w:numFmt w:val="bullet"/>
      <w:start w:val="1"/>
    </w:lvl>
  </w:abstractNum>
  <w:abstractNum w:abstractNumId="11">
    <w:nsid w:val="737B8DDC"/>
    <w:multiLevelType w:val="hybridMultilevel"/>
    <w:lvl w:ilvl="0">
      <w:lvlJc w:val="left"/>
      <w:lvlText w:val="%1"/>
      <w:numFmt w:val="decimal"/>
      <w:start w:val="10"/>
    </w:lvl>
  </w:abstractNum>
  <w:abstractNum w:abstractNumId="12">
    <w:nsid w:val="6CEAF087"/>
    <w:multiLevelType w:val="hybridMultilevel"/>
    <w:lvl w:ilvl="0">
      <w:lvlJc w:val="left"/>
      <w:lvlText w:val="%1"/>
      <w:numFmt w:val="decimal"/>
      <w:start w:val="12"/>
    </w:lvl>
  </w:abstractNum>
  <w:abstractNum w:abstractNumId="13">
    <w:nsid w:val="22221A70"/>
    <w:multiLevelType w:val="hybridMultilevel"/>
    <w:lvl w:ilvl="0">
      <w:lvlJc w:val="left"/>
      <w:lvlText w:val="%1"/>
      <w:numFmt w:val="decimal"/>
      <w:start w:val="14"/>
    </w:lvl>
  </w:abstractNum>
  <w:abstractNum w:abstractNumId="14">
    <w:nsid w:val="4516DDE9"/>
    <w:multiLevelType w:val="hybridMultilevel"/>
    <w:lvl w:ilvl="0">
      <w:lvlJc w:val="left"/>
      <w:lvlText w:val="%1"/>
      <w:numFmt w:val="decimal"/>
      <w:start w:val="16"/>
    </w:lvl>
  </w:abstractNum>
  <w:abstractNum w:abstractNumId="15">
    <w:nsid w:val="3006C83E"/>
    <w:multiLevelType w:val="hybridMultilevel"/>
    <w:lvl w:ilvl="0">
      <w:lvlJc w:val="left"/>
      <w:lvlText w:val="%1"/>
      <w:numFmt w:val="decimal"/>
      <w:start w:val="18"/>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20"/>
    </w:lvl>
  </w:abstractNum>
  <w:abstractNum w:abstractNumId="18">
    <w:nsid w:val="5577F8E1"/>
    <w:multiLevelType w:val="hybridMultilevel"/>
    <w:lvl w:ilvl="0">
      <w:lvlJc w:val="left"/>
      <w:lvlText w:val="%1"/>
      <w:numFmt w:val="decimal"/>
      <w:start w:val="21"/>
    </w:lvl>
  </w:abstractNum>
  <w:abstractNum w:abstractNumId="19">
    <w:nsid w:val="440BADFC"/>
    <w:multiLevelType w:val="hybridMultilevel"/>
    <w:lvl w:ilvl="0">
      <w:lvlJc w:val="left"/>
      <w:lvlText w:val="%1"/>
      <w:numFmt w:val="decimal"/>
      <w:start w:val="24"/>
    </w:lvl>
  </w:abstractNum>
  <w:abstractNum w:abstractNumId="20">
    <w:nsid w:val="5072367"/>
    <w:multiLevelType w:val="hybridMultilevel"/>
    <w:lvl w:ilvl="0">
      <w:lvlJc w:val="left"/>
      <w:lvlText w:val="%1"/>
      <w:numFmt w:val="decimal"/>
      <w:start w:val="25"/>
    </w:lvl>
  </w:abstractNum>
  <w:abstractNum w:abstractNumId="21">
    <w:nsid w:val="3804823E"/>
    <w:multiLevelType w:val="hybridMultilevel"/>
    <w:lvl w:ilvl="0">
      <w:lvlJc w:val="left"/>
      <w:lvlText w:val="%1"/>
      <w:numFmt w:val="decimal"/>
      <w:start w:val="27"/>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decimal"/>
      <w:start w:val="28"/>
    </w:lvl>
  </w:abstractNum>
  <w:abstractNum w:abstractNumId="24">
    <w:nsid w:val="5C482A97"/>
    <w:multiLevelType w:val="hybridMultilevel"/>
    <w:lvl w:ilvl="0">
      <w:lvlJc w:val="left"/>
      <w:lvlText w:val="%1"/>
      <w:numFmt w:val="decimal"/>
      <w:start w:val="29"/>
    </w:lvl>
  </w:abstractNum>
  <w:abstractNum w:abstractNumId="25">
    <w:nsid w:val="2463B9EA"/>
    <w:multiLevelType w:val="hybridMultilevel"/>
    <w:lvl w:ilvl="0">
      <w:lvlJc w:val="left"/>
      <w:lvlText w:val="%1"/>
      <w:numFmt w:val="decimal"/>
      <w:start w:val="30"/>
    </w:lvl>
  </w:abstractNum>
  <w:abstractNum w:abstractNumId="26">
    <w:nsid w:val="5E884ADC"/>
    <w:multiLevelType w:val="hybridMultilevel"/>
    <w:lvl w:ilvl="0">
      <w:lvlJc w:val="left"/>
      <w:lvlText w:val="%1"/>
      <w:numFmt w:val="decimal"/>
      <w:start w:val="31"/>
    </w:lvl>
  </w:abstractNum>
  <w:abstractNum w:abstractNumId="27">
    <w:nsid w:val="51EAD36B"/>
    <w:multiLevelType w:val="hybridMultilevel"/>
    <w:lvl w:ilvl="0">
      <w:lvlJc w:val="left"/>
      <w:lvlText w:val="%1"/>
      <w:numFmt w:val="decimal"/>
      <w:start w:val="32"/>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33"/>
    </w:lvl>
  </w:abstractNum>
  <w:abstractNum w:abstractNumId="30">
    <w:nsid w:val="153EA438"/>
    <w:multiLevelType w:val="hybridMultilevel"/>
    <w:lvl w:ilvl="0">
      <w:lvlJc w:val="left"/>
      <w:lvlText w:val="%1"/>
      <w:numFmt w:val="decimal"/>
      <w:start w:val="34"/>
    </w:lvl>
  </w:abstractNum>
  <w:abstractNum w:abstractNumId="31">
    <w:nsid w:val="3855585C"/>
    <w:multiLevelType w:val="hybridMultilevel"/>
    <w:lvl w:ilvl="0">
      <w:lvlJc w:val="left"/>
      <w:lvlText w:val="%1"/>
      <w:numFmt w:val="decimal"/>
      <w:start w:val="35"/>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36"/>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37"/>
    </w:lvl>
  </w:abstractNum>
  <w:abstractNum w:abstractNumId="37">
    <w:nsid w:val="2CD89A32"/>
    <w:multiLevelType w:val="hybridMultilevel"/>
    <w:lvl w:ilvl="0">
      <w:lvlJc w:val="left"/>
      <w:lvlText w:val="%1"/>
      <w:numFmt w:val="decimal"/>
      <w:start w:val="4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42"/>
    </w:lvl>
  </w:abstractNum>
  <w:abstractNum w:abstractNumId="40">
    <w:nsid w:val="4B588F54"/>
    <w:multiLevelType w:val="hybridMultilevel"/>
    <w:lvl w:ilvl="0">
      <w:lvlJc w:val="left"/>
      <w:lvlText w:val="%1"/>
      <w:numFmt w:val="decimal"/>
      <w:start w:val="43"/>
    </w:lvl>
  </w:abstractNum>
  <w:abstractNum w:abstractNumId="41">
    <w:nsid w:val="542289EC"/>
    <w:multiLevelType w:val="hybridMultilevel"/>
    <w:lvl w:ilvl="0">
      <w:lvlJc w:val="left"/>
      <w:lvlText w:val="%1"/>
      <w:numFmt w:val="decimal"/>
      <w:start w:val="44"/>
    </w:lvl>
  </w:abstractNum>
  <w:abstractNum w:abstractNumId="42">
    <w:nsid w:val="6DE91B18"/>
    <w:multiLevelType w:val="hybridMultilevel"/>
    <w:lvl w:ilvl="0">
      <w:lvlJc w:val="left"/>
      <w:lvlText w:val="%1"/>
      <w:numFmt w:val="decimal"/>
      <w:start w:val="45"/>
    </w:lvl>
  </w:abstractNum>
  <w:abstractNum w:abstractNumId="43">
    <w:nsid w:val="38437FDB"/>
    <w:multiLevelType w:val="hybridMultilevel"/>
    <w:lvl w:ilvl="0">
      <w:lvlJc w:val="left"/>
      <w:lvlText w:val="%1"/>
      <w:numFmt w:val="decimal"/>
      <w:start w:val="46"/>
    </w:lvl>
  </w:abstractNum>
  <w:abstractNum w:abstractNumId="44">
    <w:nsid w:val="7644A45C"/>
    <w:multiLevelType w:val="hybridMultilevel"/>
    <w:lvl w:ilvl="0">
      <w:lvlJc w:val="left"/>
      <w:lvlText w:val="%1"/>
      <w:numFmt w:val="decimal"/>
      <w:start w:val="47"/>
    </w:lvl>
  </w:abstractNum>
  <w:abstractNum w:abstractNumId="45">
    <w:nsid w:val="32FFF902"/>
    <w:multiLevelType w:val="hybridMultilevel"/>
    <w:lvl w:ilvl="0">
      <w:lvlJc w:val="left"/>
      <w:lvlText w:val="%1"/>
      <w:numFmt w:val="decimal"/>
      <w:start w:val="48"/>
    </w:lvl>
  </w:abstractNum>
  <w:abstractNum w:abstractNumId="46">
    <w:nsid w:val="684A481A"/>
    <w:multiLevelType w:val="hybridMultilevel"/>
    <w:lvl w:ilvl="0">
      <w:lvlJc w:val="left"/>
      <w:lvlText w:val="%1"/>
      <w:numFmt w:val="decimal"/>
      <w:start w:val="49"/>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78" Type="http://schemas.openxmlformats.org/officeDocument/2006/relationships/hyperlink" Target="http://www.sec.gov/Archives/edgar/data/773840/000119312523075746/d426861dex101.htm" TargetMode="External"/><Relationship Id="rId79" Type="http://schemas.openxmlformats.org/officeDocument/2006/relationships/hyperlink" Target="http://www.sec.gov/Archives/edgar/data/773840/000119312523075746/d426861dex102.htm" TargetMode="External"/><Relationship Id="rId80" Type="http://schemas.openxmlformats.org/officeDocument/2006/relationships/hyperlink" Target="http://www.sec.gov/Archives/edgar/data/773840/000119312523069598/d780318dex101.htm" TargetMode="External"/><Relationship Id="rId81" Type="http://schemas.openxmlformats.org/officeDocument/2006/relationships/hyperlink" Target="http://www.sec.gov/Archives/edgar/data/773840/000119312523069598/d78031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2023-04-27T08:13:33Z</dcterms:created>
  <dcterms:modified xsi:type="dcterms:W3CDTF">2023-04-27T08:13:33Z</dcterms:modified>
</cp:coreProperties>
</file>