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Quantinuum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Honeywell International Inc.</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95,998,655.00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28,630,074.00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95,998,655.00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28,630,074.00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124,628,729.00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79.1 %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Honeywell Holdings International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28,630,074.00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28,630,074.00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28,630,074.00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Quantinuum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S Technology Court, Broomfield, CO, 80021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Honeywell International Inc. ("Honeywell Technologies") Honeywell Holdings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Honeywell International Inc., 855 S. Mint Street, Charlotte, NC 28202.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the shares of Class A Common Stock as of June 30, 2026, based upon 32,862,895 shares of Class A Common Stock outstanding at the completion of the Issuer's initial public offering on June 5, 2026, as disclosed in the Issuer's Prospectus on Form 424B4 filed with the Securities and Exchange Commission on June 5, 2026. The ownership information also assumes the redemption of the common unit of Quantinuum Holdings, LLC ("Common Units") into shares of Class A Common Stock of the Issuer on a one-to-one basis, as applicable. The amounts reported as beneficially owned consist of (i) 28,630,074 shares of Class A Common Stock underlying Common Units held directly by Honeywell Holdings International Inc. and (ii) 95,998,655 shares of Class A Common Stock underlying Common Units held directly by Honeywell Technologies. Honeywell Holdings International Inc. is a wholly owned subsidiary of Honeywell Technologies, which is a publicly traded company with securities listed on The Nasdaq Stock Market LLC.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Honeywell Technologies: 79.1% Honeywell Holdings International Inc.: 46.6%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Honeywell Technologies: 95,998,655 Honeywell Holdings International Inc.: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Honeywell Technologies: 28,630,074 Honeywell Holdings International Inc.: 28,630,074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Honeywell Technologies: 95,998,655 Honeywell Holdings International Inc.: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Honeywell Technologies: 28,630,074 Honeywell Holdings International Inc.: 28,630,074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Honeywell International Inc.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Su Ping Lu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Su Ping Lu, Senior Vice President, General Counsel and Corporate Secretary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Honeywell Holdings International Inc.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Jake Wasserman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Jake Wasserman, Secretary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283"/>
              <w:jc w:val="center"/>
              <w:rPr>
                <w:b/>
              </w:rPr>
            </w:pPr>
            <w:r>
              <w:rPr>
                <w:b/>
              </w:rPr>
              <w:t xml:space="preserve">Exhibit Information </w:t>
            </w:r>
          </w:p>
        </w:tc>
      </w:tr>
      <w:tr>
        <w:trPr/>
        <w:tc>
          <w:tcPr>
            <w:tcW w:w="3691" w:type="dxa"/>
            <w:tcBorders/>
            <w:vAlign w:val="center"/>
          </w:tcPr>
          <w:p>
            <w:pPr>
              <w:pStyle w:val="TableContents"/>
              <w:bidi w:val="0"/>
              <w:spacing w:before="0" w:after="283"/>
              <w:jc w:val="left"/>
              <w:rPr/>
            </w:pPr>
            <w:r>
              <w:rPr/>
              <w:t>Exhibit 99.1: Joint Filing Agreement.</w:t>
            </w:r>
          </w:p>
        </w:tc>
      </w:tr>
    </w:tbl>
    <w:p>
      <w:pPr>
        <w:pStyle w:val="TextBody"/>
        <w:bidi w:val="0"/>
        <w:jc w:val="left"/>
        <w:rPr>
          <w:caps w:val="false"/>
          <w:smallCaps w:val="false"/>
        </w:rPr>
      </w:pPr>
      <w:bookmarkStart w:id="20" w:name="ex99-1.htm"/>
      <w:bookmarkStart w:id="21" w:name="ksex99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August 13, 2026.</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590"/>
        <w:gridCol w:w="5210"/>
      </w:tblGrid>
      <w:tr>
        <w:trPr/>
        <w:tc>
          <w:tcPr>
            <w:tcW w:w="75" w:type="dxa"/>
            <w:tcBorders/>
            <w:vAlign w:val="center"/>
          </w:tcPr>
          <w:p>
            <w:pPr>
              <w:pStyle w:val="TableContents"/>
              <w:bidi w:val="0"/>
              <w:spacing w:before="0" w:after="283"/>
              <w:jc w:val="left"/>
              <w:rPr/>
            </w:pPr>
            <w:r>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Honeywell International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 Ping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 Ping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 and Corporate Secretary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Honeywell Holdings International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Jake Wasserman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Jake Wasserman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57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1190</Words>
  <Characters>6573</Characters>
  <CharactersWithSpaces>7742</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