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jc w:val="center"/>
        <w:spacing w:after="0"/>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199390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180" w:hanging="365"/>
        <w:spacing w:after="0"/>
        <w:tabs>
          <w:tab w:leader="none" w:pos="21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ANNUAL REPORT PURSUANT TO SECTION 15(d)</w:t>
      </w:r>
    </w:p>
    <w:p>
      <w:pPr>
        <w:spacing w:after="0" w:line="10" w:lineRule="exact"/>
        <w:rPr>
          <w:rFonts w:ascii="MS PGothic" w:cs="MS PGothic" w:eastAsia="MS PGothic" w:hAnsi="MS PGothic"/>
          <w:sz w:val="22"/>
          <w:szCs w:val="22"/>
          <w:color w:val="auto"/>
        </w:rPr>
      </w:pPr>
    </w:p>
    <w:p>
      <w:pPr>
        <w:ind w:left="2180"/>
        <w:spacing w:after="0"/>
        <w:rPr>
          <w:rFonts w:ascii="MS PGothic" w:cs="MS PGothic" w:eastAsia="MS PGothic" w:hAnsi="MS PGothic"/>
          <w:sz w:val="22"/>
          <w:szCs w:val="22"/>
          <w:color w:val="auto"/>
        </w:rPr>
      </w:pPr>
      <w:r>
        <w:rPr>
          <w:rFonts w:ascii="Arial" w:cs="Arial" w:eastAsia="Arial" w:hAnsi="Arial"/>
          <w:sz w:val="22"/>
          <w:szCs w:val="22"/>
          <w:color w:val="auto"/>
        </w:rPr>
        <w:t>OF THE 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For the fiscal year ended </w:t>
      </w:r>
      <w:r>
        <w:rPr>
          <w:rFonts w:ascii="Arial" w:cs="Arial" w:eastAsia="Arial" w:hAnsi="Arial"/>
          <w:sz w:val="22"/>
          <w:szCs w:val="22"/>
          <w:u w:val="single" w:color="auto"/>
          <w:color w:val="auto"/>
        </w:rPr>
        <w:t>December 31, 2025</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OR</w:t>
      </w:r>
    </w:p>
    <w:p>
      <w:pPr>
        <w:spacing w:after="0" w:line="247" w:lineRule="exact"/>
        <w:rPr>
          <w:sz w:val="24"/>
          <w:szCs w:val="24"/>
          <w:color w:val="auto"/>
        </w:rPr>
      </w:pPr>
    </w:p>
    <w:p>
      <w:pPr>
        <w:ind w:left="1960" w:hanging="425"/>
        <w:spacing w:after="0"/>
        <w:tabs>
          <w:tab w:leader="none" w:pos="1960" w:val="left"/>
        </w:tabs>
        <w:numPr>
          <w:ilvl w:val="0"/>
          <w:numId w:val="2"/>
        </w:numPr>
        <w:rPr>
          <w:rFonts w:ascii="MS PGothic" w:cs="MS PGothic" w:eastAsia="MS PGothic" w:hAnsi="MS PGothic"/>
          <w:sz w:val="21"/>
          <w:szCs w:val="21"/>
          <w:color w:val="auto"/>
        </w:rPr>
      </w:pPr>
      <w:r>
        <w:rPr>
          <w:rFonts w:ascii="Arial" w:cs="Arial" w:eastAsia="Arial" w:hAnsi="Arial"/>
          <w:sz w:val="21"/>
          <w:szCs w:val="21"/>
          <w:color w:val="auto"/>
        </w:rPr>
        <w:t>TRANSITION REPORT PURSUANT TO SECTION 15(d)</w:t>
      </w:r>
    </w:p>
    <w:p>
      <w:pPr>
        <w:spacing w:after="0" w:line="21" w:lineRule="exact"/>
        <w:rPr>
          <w:rFonts w:ascii="MS PGothic" w:cs="MS PGothic" w:eastAsia="MS PGothic" w:hAnsi="MS PGothic"/>
          <w:sz w:val="21"/>
          <w:szCs w:val="21"/>
          <w:color w:val="auto"/>
        </w:rPr>
      </w:pPr>
    </w:p>
    <w:p>
      <w:pPr>
        <w:ind w:left="2100"/>
        <w:spacing w:after="0"/>
        <w:rPr>
          <w:rFonts w:ascii="MS PGothic" w:cs="MS PGothic" w:eastAsia="MS PGothic" w:hAnsi="MS PGothic"/>
          <w:sz w:val="21"/>
          <w:szCs w:val="21"/>
          <w:color w:val="auto"/>
        </w:rPr>
      </w:pPr>
      <w:r>
        <w:rPr>
          <w:rFonts w:ascii="Arial" w:cs="Arial" w:eastAsia="Arial" w:hAnsi="Arial"/>
          <w:sz w:val="22"/>
          <w:szCs w:val="22"/>
          <w:color w:val="auto"/>
        </w:rPr>
        <w:t>OF THE SECURITIES EXCHANGE ACT OF 1934</w:t>
      </w:r>
    </w:p>
    <w:p>
      <w:pPr>
        <w:spacing w:after="0" w:line="321" w:lineRule="exact"/>
        <w:rPr>
          <w:sz w:val="24"/>
          <w:szCs w:val="24"/>
          <w:color w:val="auto"/>
        </w:rPr>
      </w:pPr>
    </w:p>
    <w:p>
      <w:pPr>
        <w:ind w:left="1580"/>
        <w:spacing w:after="0"/>
        <w:tabs>
          <w:tab w:leader="none" w:pos="5780" w:val="left"/>
        </w:tabs>
        <w:rPr>
          <w:sz w:val="20"/>
          <w:szCs w:val="20"/>
          <w:color w:val="auto"/>
        </w:rPr>
      </w:pPr>
      <w:r>
        <w:rPr>
          <w:rFonts w:ascii="Arial" w:cs="Arial" w:eastAsia="Arial" w:hAnsi="Arial"/>
          <w:sz w:val="22"/>
          <w:szCs w:val="22"/>
          <w:color w:val="auto"/>
        </w:rPr>
        <w:t>For the transition period from</w:t>
      </w:r>
      <w:r>
        <w:rPr>
          <w:sz w:val="20"/>
          <w:szCs w:val="20"/>
          <w:color w:val="auto"/>
        </w:rPr>
        <w:tab/>
      </w:r>
      <w:r>
        <w:rPr>
          <w:rFonts w:ascii="Arial" w:cs="Arial" w:eastAsia="Arial" w:hAnsi="Arial"/>
          <w:sz w:val="21"/>
          <w:szCs w:val="2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2806700</wp:posOffset>
            </wp:positionH>
            <wp:positionV relativeFrom="paragraph">
              <wp:posOffset>-14605</wp:posOffset>
            </wp:positionV>
            <wp:extent cx="18675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67535"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165100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Honeywell Puerto Rico Savings Plan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(Full Title of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152400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Honeywell International Inc.</w:t>
      </w:r>
    </w:p>
    <w:p>
      <w:pPr>
        <w:jc w:val="center"/>
        <w:spacing w:after="0"/>
        <w:rPr>
          <w:sz w:val="20"/>
          <w:szCs w:val="20"/>
          <w:color w:val="auto"/>
        </w:rPr>
      </w:pPr>
      <w:r>
        <w:rPr>
          <w:rFonts w:ascii="Arial" w:cs="Arial" w:eastAsia="Arial" w:hAnsi="Arial"/>
          <w:sz w:val="22"/>
          <w:szCs w:val="22"/>
          <w:color w:val="auto"/>
        </w:rPr>
        <w:t>855 S. Mint Street</w:t>
      </w:r>
    </w:p>
    <w:p>
      <w:pPr>
        <w:jc w:val="center"/>
        <w:spacing w:after="0"/>
        <w:rPr>
          <w:sz w:val="20"/>
          <w:szCs w:val="20"/>
          <w:color w:val="auto"/>
        </w:rPr>
      </w:pPr>
      <w:r>
        <w:rPr>
          <w:rFonts w:ascii="Arial" w:cs="Arial" w:eastAsia="Arial" w:hAnsi="Arial"/>
          <w:sz w:val="22"/>
          <w:szCs w:val="22"/>
          <w:color w:val="auto"/>
        </w:rPr>
        <w:t>Charlotte, NC 28202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(Name of Issuer of Securities Held Pursuant to the Plan and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152400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221"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Honeywell Puerto Rico Savings Plan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40" w:type="dxa"/>
            <w:vAlign w:val="bottom"/>
          </w:tcPr>
          <w:p>
            <w:pPr>
              <w:ind w:left="1220"/>
              <w:spacing w:after="0"/>
              <w:rPr>
                <w:sz w:val="20"/>
                <w:szCs w:val="20"/>
                <w:color w:val="auto"/>
              </w:rPr>
            </w:pPr>
            <w:r>
              <w:rPr>
                <w:rFonts w:ascii="Arial" w:cs="Arial" w:eastAsia="Arial" w:hAnsi="Arial"/>
                <w:sz w:val="18"/>
                <w:szCs w:val="18"/>
                <w:b w:val="1"/>
                <w:bCs w:val="1"/>
                <w:color w:val="auto"/>
              </w:rPr>
              <w:t>Page(s)</w:t>
            </w:r>
          </w:p>
        </w:tc>
      </w:tr>
      <w:tr>
        <w:trPr>
          <w:trHeight w:val="353"/>
        </w:trPr>
        <w:tc>
          <w:tcPr>
            <w:tcW w:w="50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9"/>
              </w:rPr>
              <w:t>Reports of Independent Registered Public Accounting Firm</w:t>
            </w:r>
          </w:p>
        </w:tc>
        <w:tc>
          <w:tcPr>
            <w:tcW w:w="4120" w:type="dxa"/>
            <w:vAlign w:val="bottom"/>
            <w:gridSpan w:val="4"/>
          </w:tcPr>
          <w:p>
            <w:pPr>
              <w:spacing w:after="0"/>
              <w:rPr>
                <w:sz w:val="24"/>
                <w:szCs w:val="24"/>
                <w:color w:val="auto"/>
              </w:rPr>
            </w:pPr>
          </w:p>
        </w:tc>
        <w:tc>
          <w:tcPr>
            <w:tcW w:w="2040" w:type="dxa"/>
            <w:vAlign w:val="bottom"/>
          </w:tcPr>
          <w:p>
            <w:pPr>
              <w:jc w:val="center"/>
              <w:ind w:left="970"/>
              <w:spacing w:after="0"/>
              <w:rPr>
                <w:sz w:val="20"/>
                <w:szCs w:val="20"/>
                <w:color w:val="auto"/>
              </w:rPr>
            </w:pPr>
            <w:r>
              <w:rPr>
                <w:rFonts w:ascii="Arial" w:cs="Arial" w:eastAsia="Arial" w:hAnsi="Arial"/>
                <w:sz w:val="18"/>
                <w:szCs w:val="18"/>
                <w:color w:val="auto"/>
                <w:w w:val="99"/>
              </w:rPr>
              <w:t>2</w:t>
            </w:r>
          </w:p>
        </w:tc>
      </w:tr>
      <w:tr>
        <w:trPr>
          <w:trHeight w:val="438"/>
        </w:trPr>
        <w:tc>
          <w:tcPr>
            <w:tcW w:w="9200" w:type="dxa"/>
            <w:vAlign w:val="bottom"/>
            <w:gridSpan w:val="8"/>
          </w:tcPr>
          <w:p>
            <w:pPr>
              <w:spacing w:after="0"/>
              <w:rPr>
                <w:sz w:val="20"/>
                <w:szCs w:val="20"/>
                <w:color w:val="auto"/>
              </w:rPr>
            </w:pPr>
            <w:r>
              <w:rPr>
                <w:rFonts w:ascii="Arial" w:cs="Arial" w:eastAsia="Arial" w:hAnsi="Arial"/>
                <w:sz w:val="18"/>
                <w:szCs w:val="18"/>
                <w:b w:val="1"/>
                <w:bCs w:val="1"/>
                <w:color w:val="auto"/>
              </w:rPr>
              <w:t>Financial Statements:</w:t>
            </w:r>
          </w:p>
        </w:tc>
        <w:tc>
          <w:tcPr>
            <w:tcW w:w="2040" w:type="dxa"/>
            <w:vAlign w:val="bottom"/>
          </w:tcPr>
          <w:p>
            <w:pPr>
              <w:spacing w:after="0"/>
              <w:rPr>
                <w:sz w:val="24"/>
                <w:szCs w:val="24"/>
                <w:color w:val="auto"/>
              </w:rPr>
            </w:pPr>
          </w:p>
        </w:tc>
      </w:tr>
      <w:tr>
        <w:trPr>
          <w:trHeight w:val="353"/>
        </w:trPr>
        <w:tc>
          <w:tcPr>
            <w:tcW w:w="180" w:type="dxa"/>
            <w:vAlign w:val="bottom"/>
          </w:tcPr>
          <w:p>
            <w:pPr>
              <w:spacing w:after="0"/>
              <w:rPr>
                <w:sz w:val="24"/>
                <w:szCs w:val="24"/>
                <w:color w:val="auto"/>
              </w:rPr>
            </w:pPr>
          </w:p>
        </w:tc>
        <w:tc>
          <w:tcPr>
            <w:tcW w:w="9020" w:type="dxa"/>
            <w:vAlign w:val="bottom"/>
            <w:gridSpan w:val="7"/>
          </w:tcPr>
          <w:p>
            <w:pPr>
              <w:spacing w:after="0"/>
              <w:rPr>
                <w:sz w:val="20"/>
                <w:szCs w:val="20"/>
                <w:color w:val="auto"/>
              </w:rPr>
            </w:pPr>
            <w:r>
              <w:rPr>
                <w:rFonts w:ascii="Arial" w:cs="Arial" w:eastAsia="Arial" w:hAnsi="Arial"/>
                <w:sz w:val="18"/>
                <w:szCs w:val="18"/>
                <w:color w:val="0000EE"/>
              </w:rPr>
              <w:t>Statements of Net Assets Available for Benefits at December 31, 2025 and 2024</w:t>
            </w:r>
          </w:p>
        </w:tc>
        <w:tc>
          <w:tcPr>
            <w:tcW w:w="2040" w:type="dxa"/>
            <w:vAlign w:val="bottom"/>
          </w:tcPr>
          <w:p>
            <w:pPr>
              <w:jc w:val="center"/>
              <w:ind w:left="970"/>
              <w:spacing w:after="0"/>
              <w:rPr>
                <w:sz w:val="20"/>
                <w:szCs w:val="20"/>
                <w:color w:val="auto"/>
              </w:rPr>
            </w:pPr>
            <w:r>
              <w:rPr>
                <w:rFonts w:ascii="Arial" w:cs="Arial" w:eastAsia="Arial" w:hAnsi="Arial"/>
                <w:sz w:val="18"/>
                <w:szCs w:val="18"/>
                <w:color w:val="auto"/>
                <w:w w:val="99"/>
              </w:rPr>
              <w:t>3</w:t>
            </w:r>
          </w:p>
        </w:tc>
      </w:tr>
      <w:tr>
        <w:trPr>
          <w:trHeight w:val="20"/>
        </w:trPr>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78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Statement of Changes in Net Assets Available for Benefits for the Year Ended December 31, 2025</w:t>
            </w:r>
          </w:p>
        </w:tc>
        <w:tc>
          <w:tcPr>
            <w:tcW w:w="1200" w:type="dxa"/>
            <w:vAlign w:val="bottom"/>
          </w:tcPr>
          <w:p>
            <w:pPr>
              <w:spacing w:after="0"/>
              <w:rPr>
                <w:sz w:val="24"/>
                <w:szCs w:val="24"/>
                <w:color w:val="auto"/>
              </w:rPr>
            </w:pPr>
          </w:p>
        </w:tc>
        <w:tc>
          <w:tcPr>
            <w:tcW w:w="2040" w:type="dxa"/>
            <w:vAlign w:val="bottom"/>
          </w:tcPr>
          <w:p>
            <w:pPr>
              <w:jc w:val="center"/>
              <w:ind w:left="970"/>
              <w:spacing w:after="0"/>
              <w:rPr>
                <w:sz w:val="20"/>
                <w:szCs w:val="20"/>
                <w:color w:val="auto"/>
              </w:rPr>
            </w:pPr>
            <w:r>
              <w:rPr>
                <w:rFonts w:ascii="Arial" w:cs="Arial" w:eastAsia="Arial" w:hAnsi="Arial"/>
                <w:sz w:val="18"/>
                <w:szCs w:val="18"/>
                <w:color w:val="auto"/>
                <w:w w:val="99"/>
              </w:rPr>
              <w:t>4</w:t>
            </w:r>
          </w:p>
        </w:tc>
      </w:tr>
      <w:tr>
        <w:trPr>
          <w:trHeight w:val="385"/>
        </w:trPr>
        <w:tc>
          <w:tcPr>
            <w:tcW w:w="180" w:type="dxa"/>
            <w:vAlign w:val="bottom"/>
          </w:tcPr>
          <w:p>
            <w:pPr>
              <w:spacing w:after="0"/>
              <w:rPr>
                <w:sz w:val="24"/>
                <w:szCs w:val="24"/>
                <w:color w:val="auto"/>
              </w:rPr>
            </w:pPr>
          </w:p>
        </w:tc>
        <w:tc>
          <w:tcPr>
            <w:tcW w:w="9020" w:type="dxa"/>
            <w:vAlign w:val="bottom"/>
            <w:gridSpan w:val="7"/>
          </w:tcPr>
          <w:p>
            <w:pPr>
              <w:spacing w:after="0"/>
              <w:rPr>
                <w:sz w:val="20"/>
                <w:szCs w:val="20"/>
                <w:color w:val="auto"/>
              </w:rPr>
            </w:pPr>
            <w:r>
              <w:rPr>
                <w:rFonts w:ascii="Arial" w:cs="Arial" w:eastAsia="Arial" w:hAnsi="Arial"/>
                <w:sz w:val="18"/>
                <w:szCs w:val="18"/>
                <w:color w:val="0000EE"/>
              </w:rPr>
              <w:t>Notes to Financial Statements</w:t>
            </w:r>
          </w:p>
        </w:tc>
        <w:tc>
          <w:tcPr>
            <w:tcW w:w="2040" w:type="dxa"/>
            <w:vAlign w:val="bottom"/>
          </w:tcPr>
          <w:p>
            <w:pPr>
              <w:jc w:val="center"/>
              <w:ind w:left="950"/>
              <w:spacing w:after="0"/>
              <w:rPr>
                <w:sz w:val="20"/>
                <w:szCs w:val="20"/>
                <w:color w:val="auto"/>
              </w:rPr>
            </w:pPr>
            <w:r>
              <w:rPr>
                <w:rFonts w:ascii="Arial" w:cs="Arial" w:eastAsia="Arial" w:hAnsi="Arial"/>
                <w:sz w:val="18"/>
                <w:szCs w:val="18"/>
                <w:color w:val="auto"/>
                <w:w w:val="97"/>
              </w:rPr>
              <w:t>5 -12</w:t>
            </w:r>
          </w:p>
        </w:tc>
      </w:tr>
      <w:tr>
        <w:trPr>
          <w:trHeight w:val="20"/>
        </w:trPr>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588"/>
        </w:trPr>
        <w:tc>
          <w:tcPr>
            <w:tcW w:w="9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8"/>
              </w:rPr>
              <w:t>Signatures</w:t>
            </w:r>
          </w:p>
        </w:tc>
        <w:tc>
          <w:tcPr>
            <w:tcW w:w="8260" w:type="dxa"/>
            <w:vAlign w:val="bottom"/>
            <w:gridSpan w:val="6"/>
          </w:tcPr>
          <w:p>
            <w:pPr>
              <w:spacing w:after="0"/>
              <w:rPr>
                <w:sz w:val="24"/>
                <w:szCs w:val="24"/>
                <w:color w:val="auto"/>
              </w:rPr>
            </w:pPr>
          </w:p>
        </w:tc>
        <w:tc>
          <w:tcPr>
            <w:tcW w:w="2040" w:type="dxa"/>
            <w:vAlign w:val="bottom"/>
          </w:tcPr>
          <w:p>
            <w:pPr>
              <w:jc w:val="center"/>
              <w:ind w:left="950"/>
              <w:spacing w:after="0"/>
              <w:rPr>
                <w:sz w:val="20"/>
                <w:szCs w:val="20"/>
                <w:color w:val="auto"/>
              </w:rPr>
            </w:pPr>
            <w:r>
              <w:rPr>
                <w:rFonts w:ascii="Arial" w:cs="Arial" w:eastAsia="Arial" w:hAnsi="Arial"/>
                <w:sz w:val="18"/>
                <w:szCs w:val="18"/>
                <w:color w:val="auto"/>
                <w:w w:val="99"/>
              </w:rPr>
              <w:t>13</w:t>
            </w:r>
          </w:p>
        </w:tc>
      </w:tr>
      <w:tr>
        <w:trPr>
          <w:trHeight w:val="438"/>
        </w:trPr>
        <w:tc>
          <w:tcPr>
            <w:tcW w:w="9200" w:type="dxa"/>
            <w:vAlign w:val="bottom"/>
            <w:gridSpan w:val="8"/>
          </w:tcPr>
          <w:p>
            <w:pPr>
              <w:spacing w:after="0"/>
              <w:rPr>
                <w:sz w:val="20"/>
                <w:szCs w:val="20"/>
                <w:color w:val="auto"/>
              </w:rPr>
            </w:pPr>
            <w:r>
              <w:rPr>
                <w:rFonts w:ascii="Arial" w:cs="Arial" w:eastAsia="Arial" w:hAnsi="Arial"/>
                <w:sz w:val="18"/>
                <w:szCs w:val="18"/>
                <w:b w:val="1"/>
                <w:bCs w:val="1"/>
                <w:color w:val="auto"/>
              </w:rPr>
              <w:t>Exhibits:</w:t>
            </w:r>
          </w:p>
        </w:tc>
        <w:tc>
          <w:tcPr>
            <w:tcW w:w="2040" w:type="dxa"/>
            <w:vAlign w:val="bottom"/>
          </w:tcPr>
          <w:p>
            <w:pPr>
              <w:spacing w:after="0"/>
              <w:rPr>
                <w:sz w:val="24"/>
                <w:szCs w:val="24"/>
                <w:color w:val="auto"/>
              </w:rPr>
            </w:pPr>
          </w:p>
        </w:tc>
      </w:tr>
      <w:tr>
        <w:trPr>
          <w:trHeight w:val="353"/>
        </w:trPr>
        <w:tc>
          <w:tcPr>
            <w:tcW w:w="180" w:type="dxa"/>
            <w:vAlign w:val="bottom"/>
          </w:tcPr>
          <w:p>
            <w:pPr>
              <w:spacing w:after="0"/>
              <w:rPr>
                <w:sz w:val="24"/>
                <w:szCs w:val="24"/>
                <w:color w:val="auto"/>
              </w:rPr>
            </w:pPr>
          </w:p>
        </w:tc>
        <w:tc>
          <w:tcPr>
            <w:tcW w:w="9020" w:type="dxa"/>
            <w:vAlign w:val="bottom"/>
            <w:gridSpan w:val="7"/>
          </w:tcPr>
          <w:p>
            <w:pPr>
              <w:spacing w:after="0"/>
              <w:rPr>
                <w:sz w:val="20"/>
                <w:szCs w:val="20"/>
                <w:color w:val="auto"/>
              </w:rPr>
            </w:pPr>
            <w:r>
              <w:rPr>
                <w:rFonts w:ascii="Arial" w:cs="Arial" w:eastAsia="Arial" w:hAnsi="Arial"/>
                <w:sz w:val="18"/>
                <w:szCs w:val="18"/>
                <w:color w:val="0000EE"/>
              </w:rPr>
              <w:t>Exhibit I – Consent of Independent Registered Public Accounting Firm</w:t>
            </w:r>
          </w:p>
        </w:tc>
        <w:tc>
          <w:tcPr>
            <w:tcW w:w="2040" w:type="dxa"/>
            <w:vAlign w:val="bottom"/>
          </w:tcPr>
          <w:p>
            <w:pPr>
              <w:jc w:val="center"/>
              <w:ind w:left="950"/>
              <w:spacing w:after="0"/>
              <w:rPr>
                <w:sz w:val="20"/>
                <w:szCs w:val="20"/>
                <w:color w:val="auto"/>
              </w:rPr>
            </w:pPr>
            <w:r>
              <w:rPr>
                <w:rFonts w:ascii="Arial" w:cs="Arial" w:eastAsia="Arial" w:hAnsi="Arial"/>
                <w:sz w:val="18"/>
                <w:szCs w:val="18"/>
                <w:color w:val="auto"/>
                <w:w w:val="99"/>
              </w:rPr>
              <w:t>14</w:t>
            </w:r>
          </w:p>
        </w:tc>
      </w:tr>
      <w:tr>
        <w:trPr>
          <w:trHeight w:val="284"/>
        </w:trPr>
        <w:tc>
          <w:tcPr>
            <w:tcW w:w="180" w:type="dxa"/>
            <w:vAlign w:val="bottom"/>
            <w:tcBorders>
              <w:bottom w:val="single" w:sz="8" w:color="C0C0C0"/>
            </w:tcBorders>
          </w:tcPr>
          <w:p>
            <w:pPr>
              <w:spacing w:after="0"/>
              <w:rPr>
                <w:sz w:val="24"/>
                <w:szCs w:val="24"/>
                <w:color w:val="auto"/>
              </w:rPr>
            </w:pPr>
          </w:p>
        </w:tc>
        <w:tc>
          <w:tcPr>
            <w:tcW w:w="760" w:type="dxa"/>
            <w:vAlign w:val="bottom"/>
            <w:tcBorders>
              <w:top w:val="single" w:sz="8" w:color="0000EE"/>
              <w:bottom w:val="single" w:sz="8" w:color="C0C0C0"/>
            </w:tcBorders>
          </w:tcPr>
          <w:p>
            <w:pPr>
              <w:spacing w:after="0"/>
              <w:rPr>
                <w:sz w:val="24"/>
                <w:szCs w:val="24"/>
                <w:color w:val="auto"/>
              </w:rPr>
            </w:pPr>
          </w:p>
        </w:tc>
        <w:tc>
          <w:tcPr>
            <w:tcW w:w="1640" w:type="dxa"/>
            <w:vAlign w:val="bottom"/>
            <w:tcBorders>
              <w:top w:val="single" w:sz="8" w:color="0000EE"/>
              <w:bottom w:val="single" w:sz="8" w:color="C0C0C0"/>
            </w:tcBorders>
          </w:tcPr>
          <w:p>
            <w:pPr>
              <w:spacing w:after="0"/>
              <w:rPr>
                <w:sz w:val="24"/>
                <w:szCs w:val="24"/>
                <w:color w:val="auto"/>
              </w:rPr>
            </w:pPr>
          </w:p>
        </w:tc>
        <w:tc>
          <w:tcPr>
            <w:tcW w:w="2500" w:type="dxa"/>
            <w:vAlign w:val="bottom"/>
            <w:tcBorders>
              <w:top w:val="single" w:sz="8" w:color="0000EE"/>
              <w:bottom w:val="single" w:sz="8" w:color="C0C0C0"/>
            </w:tcBorders>
          </w:tcPr>
          <w:p>
            <w:pPr>
              <w:spacing w:after="0"/>
              <w:rPr>
                <w:sz w:val="24"/>
                <w:szCs w:val="24"/>
                <w:color w:val="auto"/>
              </w:rPr>
            </w:pPr>
          </w:p>
        </w:tc>
        <w:tc>
          <w:tcPr>
            <w:tcW w:w="680" w:type="dxa"/>
            <w:vAlign w:val="bottom"/>
            <w:tcBorders>
              <w:top w:val="single" w:sz="8" w:color="0000EE"/>
              <w:bottom w:val="single" w:sz="8" w:color="C0C0C0"/>
            </w:tcBorders>
          </w:tcPr>
          <w:p>
            <w:pPr>
              <w:spacing w:after="0"/>
              <w:rPr>
                <w:sz w:val="24"/>
                <w:szCs w:val="24"/>
                <w:color w:val="auto"/>
              </w:rPr>
            </w:pPr>
          </w:p>
        </w:tc>
        <w:tc>
          <w:tcPr>
            <w:tcW w:w="820" w:type="dxa"/>
            <w:vAlign w:val="bottom"/>
            <w:tcBorders>
              <w:bottom w:val="single" w:sz="8" w:color="C0C0C0"/>
            </w:tcBorders>
          </w:tcPr>
          <w:p>
            <w:pPr>
              <w:spacing w:after="0"/>
              <w:rPr>
                <w:sz w:val="24"/>
                <w:szCs w:val="24"/>
                <w:color w:val="auto"/>
              </w:rPr>
            </w:pPr>
          </w:p>
        </w:tc>
        <w:tc>
          <w:tcPr>
            <w:tcW w:w="1420" w:type="dxa"/>
            <w:vAlign w:val="bottom"/>
            <w:tcBorders>
              <w:bottom w:val="single" w:sz="8" w:color="C0C0C0"/>
            </w:tcBorders>
          </w:tcPr>
          <w:p>
            <w:pPr>
              <w:spacing w:after="0"/>
              <w:rPr>
                <w:sz w:val="24"/>
                <w:szCs w:val="24"/>
                <w:color w:val="auto"/>
              </w:rPr>
            </w:pPr>
          </w:p>
        </w:tc>
        <w:tc>
          <w:tcPr>
            <w:tcW w:w="1200" w:type="dxa"/>
            <w:vAlign w:val="bottom"/>
            <w:tcBorders>
              <w:bottom w:val="single" w:sz="8" w:color="C0C0C0"/>
            </w:tcBorders>
          </w:tcPr>
          <w:p>
            <w:pPr>
              <w:spacing w:after="0"/>
              <w:rPr>
                <w:sz w:val="24"/>
                <w:szCs w:val="24"/>
                <w:color w:val="auto"/>
              </w:rPr>
            </w:pPr>
          </w:p>
        </w:tc>
        <w:tc>
          <w:tcPr>
            <w:tcW w:w="204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435" w:right="339" w:bottom="1440" w:gutter="0" w:footer="0" w:header="0"/>
        </w:sectPr>
      </w:pPr>
    </w:p>
    <w:bookmarkStart w:id="2" w:name="page3"/>
    <w:bookmarkEnd w:id="2"/>
    <w:p>
      <w:pPr>
        <w:ind w:right="2240" w:firstLine="2273"/>
        <w:spacing w:after="0" w:line="450" w:lineRule="auto"/>
        <w:rPr>
          <w:sz w:val="20"/>
          <w:szCs w:val="20"/>
          <w:color w:val="auto"/>
        </w:rPr>
      </w:pPr>
      <w:r>
        <w:rPr>
          <w:rFonts w:ascii="Arial" w:cs="Arial" w:eastAsia="Arial" w:hAnsi="Arial"/>
          <w:sz w:val="20"/>
          <w:szCs w:val="20"/>
          <w:color w:val="auto"/>
        </w:rPr>
        <w:t xml:space="preserve">REPORT OF INDEPENDENT REGISTERED PUBLIC ACCOUNTING FIRM To the Plan Participants and Plan Administrator of Honeywell Puerto Rico Savings Plan </w:t>
      </w:r>
      <w:r>
        <w:rPr>
          <w:rFonts w:ascii="Arial" w:cs="Arial" w:eastAsia="Arial" w:hAnsi="Arial"/>
          <w:sz w:val="20"/>
          <w:szCs w:val="20"/>
          <w:b w:val="1"/>
          <w:bCs w:val="1"/>
          <w:color w:val="auto"/>
        </w:rPr>
        <w:t>Opinion on the Financial Statements</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We have audited the accompanying statement of net assets available for benefits of Honeywell Puerto Rico Savings Plan (the “Plan”) as of December 31, 2025,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the changes in net assets available for benefits for the year ended December 31, 2025,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02" w:lineRule="exact"/>
        <w:rPr>
          <w:sz w:val="20"/>
          <w:szCs w:val="20"/>
          <w:color w:val="auto"/>
        </w:rPr>
      </w:pPr>
    </w:p>
    <w:p>
      <w:pPr>
        <w:ind w:right="40"/>
        <w:spacing w:after="0" w:line="235" w:lineRule="auto"/>
        <w:rPr>
          <w:sz w:val="20"/>
          <w:szCs w:val="20"/>
          <w:color w:val="auto"/>
        </w:rPr>
      </w:pPr>
      <w:r>
        <w:rPr>
          <w:rFonts w:ascii="Arial" w:cs="Arial" w:eastAsia="Arial" w:hAnsi="Arial"/>
          <w:sz w:val="20"/>
          <w:szCs w:val="20"/>
          <w:color w:val="auto"/>
        </w:rPr>
        <w:t>These financial statements are the responsibility of the Plan’s management. Our responsibility is to express an opinion on the Plan’s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 We conducted our audit in accordance with the standards of the PCAOB.</w:t>
      </w:r>
    </w:p>
    <w:p>
      <w:pPr>
        <w:spacing w:after="0" w:line="170"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2237105" cy="462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710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Charlotte, North Carolina</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333333"/>
        </w:rPr>
        <w:t>June 26, 2026</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333333"/>
        </w:rPr>
        <w:t>We have served as the auditor of the Plan since 2026.</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39" w:right="379" w:bottom="1440" w:gutter="0" w:footer="0" w:header="0"/>
        </w:sectPr>
      </w:pPr>
    </w:p>
    <w:bookmarkStart w:id="3" w:name="page4"/>
    <w:bookmarkEnd w:id="3"/>
    <w:p>
      <w:pPr>
        <w:ind w:left="60"/>
        <w:spacing w:after="0"/>
        <w:rPr>
          <w:sz w:val="20"/>
          <w:szCs w:val="20"/>
          <w:color w:val="auto"/>
        </w:rPr>
      </w:pPr>
      <w:r>
        <w:rPr>
          <w:rFonts w:ascii="Arial" w:cs="Arial" w:eastAsia="Arial" w:hAnsi="Arial"/>
          <w:sz w:val="22"/>
          <w:szCs w:val="22"/>
          <w:b w:val="1"/>
          <w:bCs w:val="1"/>
          <w:color w:val="auto"/>
        </w:rPr>
        <w:t>Honeywell Puerto Rico Savings Plan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Statements of Net Assets Available for Benefits</w:t>
      </w:r>
    </w:p>
    <w:p>
      <w:pPr>
        <w:ind w:left="60"/>
        <w:spacing w:after="0"/>
        <w:rPr>
          <w:sz w:val="20"/>
          <w:szCs w:val="20"/>
          <w:color w:val="auto"/>
        </w:rPr>
      </w:pPr>
      <w:r>
        <w:rPr>
          <w:rFonts w:ascii="Arial" w:cs="Arial" w:eastAsia="Arial" w:hAnsi="Arial"/>
          <w:sz w:val="22"/>
          <w:szCs w:val="22"/>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gridSpan w:val="4"/>
          </w:tcPr>
          <w:p>
            <w:pPr>
              <w:jc w:val="right"/>
              <w:ind w:right="650"/>
              <w:spacing w:after="0" w:line="196" w:lineRule="exact"/>
              <w:rPr>
                <w:sz w:val="20"/>
                <w:szCs w:val="20"/>
                <w:color w:val="auto"/>
              </w:rPr>
            </w:pPr>
            <w:r>
              <w:rPr>
                <w:rFonts w:ascii="Arial" w:cs="Arial" w:eastAsia="Arial" w:hAnsi="Arial"/>
                <w:sz w:val="18"/>
                <w:szCs w:val="18"/>
                <w:i w:val="1"/>
                <w:iCs w:val="1"/>
                <w:color w:val="auto"/>
              </w:rPr>
              <w:t>(dollars in thousands)</w:t>
            </w: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Plan interest in Honeywell Savings and Ownership Plan Master Trust, at fair value</w:t>
            </w:r>
          </w:p>
        </w:tc>
        <w:tc>
          <w:tcPr>
            <w:tcW w:w="300" w:type="dxa"/>
            <w:vAlign w:val="bottom"/>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110,798</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93,212</w:t>
            </w:r>
          </w:p>
        </w:tc>
        <w:tc>
          <w:tcPr>
            <w:tcW w:w="0" w:type="dxa"/>
            <w:vAlign w:val="bottom"/>
          </w:tcPr>
          <w:p>
            <w:pPr>
              <w:spacing w:after="0"/>
              <w:rPr>
                <w:sz w:val="1"/>
                <w:szCs w:val="1"/>
                <w:color w:val="auto"/>
              </w:rPr>
            </w:pPr>
          </w:p>
        </w:tc>
      </w:tr>
      <w:tr>
        <w:trPr>
          <w:trHeight w:val="405"/>
        </w:trPr>
        <w:tc>
          <w:tcPr>
            <w:tcW w:w="8160" w:type="dxa"/>
            <w:vAlign w:val="bottom"/>
          </w:tcPr>
          <w:p>
            <w:pPr>
              <w:spacing w:after="0"/>
              <w:rPr>
                <w:sz w:val="20"/>
                <w:szCs w:val="20"/>
                <w:color w:val="auto"/>
              </w:rPr>
            </w:pPr>
            <w:r>
              <w:rPr>
                <w:rFonts w:ascii="Arial" w:cs="Arial" w:eastAsia="Arial" w:hAnsi="Arial"/>
                <w:sz w:val="18"/>
                <w:szCs w:val="18"/>
                <w:color w:val="auto"/>
              </w:rPr>
              <w:t>Notes receivable from participants</w:t>
            </w:r>
          </w:p>
        </w:tc>
        <w:tc>
          <w:tcPr>
            <w:tcW w:w="3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Contributions receivable from the Company, net of forfeitures</w:t>
            </w:r>
          </w:p>
        </w:tc>
        <w:tc>
          <w:tcPr>
            <w:tcW w:w="30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2,345</w:t>
            </w:r>
          </w:p>
        </w:tc>
        <w:tc>
          <w:tcPr>
            <w:tcW w:w="32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196"/>
        </w:trPr>
        <w:tc>
          <w:tcPr>
            <w:tcW w:w="8160" w:type="dxa"/>
            <w:vAlign w:val="bottom"/>
          </w:tcPr>
          <w:p>
            <w:pPr>
              <w:ind w:left="360"/>
              <w:spacing w:after="0" w:line="196" w:lineRule="exact"/>
              <w:rPr>
                <w:sz w:val="20"/>
                <w:szCs w:val="20"/>
                <w:color w:val="auto"/>
              </w:rPr>
            </w:pPr>
            <w:r>
              <w:rPr>
                <w:rFonts w:ascii="Arial" w:cs="Arial" w:eastAsia="Arial" w:hAnsi="Arial"/>
                <w:sz w:val="18"/>
                <w:szCs w:val="18"/>
                <w:color w:val="auto"/>
              </w:rPr>
              <w:t>Total receivables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2,345</w:t>
            </w: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1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assets available for benefits</w:t>
            </w:r>
          </w:p>
        </w:tc>
        <w:tc>
          <w:tcPr>
            <w:tcW w:w="300" w:type="dxa"/>
            <w:vAlign w:val="bottom"/>
            <w:tcBorders>
              <w:bottom w:val="single" w:sz="8" w:color="auto"/>
            </w:tcBorders>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113,143</w:t>
            </w:r>
          </w:p>
        </w:tc>
        <w:tc>
          <w:tcPr>
            <w:tcW w:w="320" w:type="dxa"/>
            <w:vAlign w:val="bottom"/>
            <w:tcBorders>
              <w:bottom w:val="single" w:sz="8" w:color="E5FFFF"/>
            </w:tcBorders>
            <w:shd w:val="clear" w:color="auto" w:fill="E5FFFF"/>
          </w:tcPr>
          <w:p>
            <w:pPr>
              <w:spacing w:after="0"/>
              <w:rPr>
                <w:sz w:val="21"/>
                <w:szCs w:val="21"/>
                <w:color w:val="auto"/>
              </w:rPr>
            </w:pPr>
          </w:p>
        </w:tc>
        <w:tc>
          <w:tcPr>
            <w:tcW w:w="300" w:type="dxa"/>
            <w:vAlign w:val="bottom"/>
            <w:tcBorders>
              <w:bottom w:val="single" w:sz="8" w:color="auto"/>
            </w:tcBorders>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95,514</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5580"/>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860" w:type="dxa"/>
            <w:vAlign w:val="bottom"/>
            <w:gridSpan w:val="4"/>
          </w:tcPr>
          <w:p>
            <w:pPr>
              <w:ind w:left="2640"/>
              <w:spacing w:after="0"/>
              <w:rPr>
                <w:sz w:val="20"/>
                <w:szCs w:val="20"/>
                <w:color w:val="auto"/>
              </w:rPr>
            </w:pPr>
            <w:r>
              <w:rPr>
                <w:rFonts w:ascii="Arial" w:cs="Arial" w:eastAsia="Arial" w:hAnsi="Arial"/>
                <w:sz w:val="18"/>
                <w:szCs w:val="18"/>
                <w:color w:val="auto"/>
              </w:rPr>
              <w:t>The accompanying notes are an integral part of these financial statements.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816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c>
          <w:tcPr>
            <w:tcW w:w="1080" w:type="dxa"/>
            <w:vAlign w:val="bottom"/>
            <w:tcBorders>
              <w:bottom w:val="single" w:sz="8" w:color="C0C0C0"/>
            </w:tcBorders>
          </w:tcPr>
          <w:p>
            <w:pPr>
              <w:spacing w:after="0"/>
              <w:rPr>
                <w:sz w:val="22"/>
                <w:szCs w:val="22"/>
                <w:color w:val="auto"/>
              </w:rPr>
            </w:pPr>
          </w:p>
        </w:tc>
        <w:tc>
          <w:tcPr>
            <w:tcW w:w="32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c>
          <w:tcPr>
            <w:tcW w:w="108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5" w:right="339" w:bottom="1440" w:gutter="0" w:footer="0" w:header="0"/>
        </w:sectPr>
      </w:pPr>
    </w:p>
    <w:bookmarkStart w:id="4" w:name="page5"/>
    <w:bookmarkEnd w:id="4"/>
    <w:p>
      <w:pPr>
        <w:ind w:left="60"/>
        <w:spacing w:after="0"/>
        <w:rPr>
          <w:sz w:val="20"/>
          <w:szCs w:val="20"/>
          <w:color w:val="auto"/>
        </w:rPr>
      </w:pPr>
      <w:r>
        <w:rPr>
          <w:rFonts w:ascii="Arial" w:cs="Arial" w:eastAsia="Arial" w:hAnsi="Arial"/>
          <w:sz w:val="22"/>
          <w:szCs w:val="22"/>
          <w:b w:val="1"/>
          <w:bCs w:val="1"/>
          <w:color w:val="auto"/>
        </w:rPr>
        <w:t>Honeywell Puerto Rico Savings Plan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Statement of Changes in Net Assets Available for Benefits</w:t>
      </w:r>
    </w:p>
    <w:p>
      <w:pPr>
        <w:ind w:left="60"/>
        <w:spacing w:after="0"/>
        <w:rPr>
          <w:sz w:val="20"/>
          <w:szCs w:val="20"/>
          <w:color w:val="auto"/>
        </w:rPr>
      </w:pPr>
      <w:r>
        <w:rPr>
          <w:rFonts w:ascii="Arial" w:cs="Arial" w:eastAsia="Arial" w:hAnsi="Arial"/>
          <w:sz w:val="22"/>
          <w:szCs w:val="22"/>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4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19"/>
                <w:szCs w:val="19"/>
                <w:color w:val="auto"/>
              </w:rPr>
            </w:pPr>
          </w:p>
        </w:tc>
        <w:tc>
          <w:tcPr>
            <w:tcW w:w="180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thousands)</w:t>
            </w:r>
          </w:p>
        </w:tc>
        <w:tc>
          <w:tcPr>
            <w:tcW w:w="0" w:type="dxa"/>
            <w:vAlign w:val="bottom"/>
          </w:tcPr>
          <w:p>
            <w:pPr>
              <w:spacing w:after="0"/>
              <w:rPr>
                <w:sz w:val="1"/>
                <w:szCs w:val="1"/>
                <w:color w:val="auto"/>
              </w:rPr>
            </w:pPr>
          </w:p>
        </w:tc>
      </w:tr>
      <w:tr>
        <w:trPr>
          <w:trHeight w:val="243"/>
        </w:trPr>
        <w:tc>
          <w:tcPr>
            <w:tcW w:w="94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Additions to net assets attributable to:</w:t>
            </w:r>
          </w:p>
        </w:tc>
        <w:tc>
          <w:tcPr>
            <w:tcW w:w="420" w:type="dxa"/>
            <w:vAlign w:val="bottom"/>
            <w:shd w:val="clear" w:color="auto" w:fill="E5FFFF"/>
          </w:tcPr>
          <w:p>
            <w:pPr>
              <w:spacing w:after="0"/>
              <w:rPr>
                <w:sz w:val="21"/>
                <w:szCs w:val="21"/>
                <w:color w:val="auto"/>
              </w:rPr>
            </w:pPr>
          </w:p>
        </w:tc>
        <w:tc>
          <w:tcPr>
            <w:tcW w:w="13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40" w:type="dxa"/>
            <w:vAlign w:val="bottom"/>
          </w:tcPr>
          <w:p>
            <w:pPr>
              <w:spacing w:after="0" w:line="202" w:lineRule="exact"/>
              <w:rPr>
                <w:sz w:val="20"/>
                <w:szCs w:val="20"/>
                <w:color w:val="auto"/>
              </w:rPr>
            </w:pPr>
            <w:r>
              <w:rPr>
                <w:rFonts w:ascii="Arial" w:cs="Arial" w:eastAsia="Arial" w:hAnsi="Arial"/>
                <w:sz w:val="18"/>
                <w:szCs w:val="18"/>
                <w:color w:val="auto"/>
              </w:rPr>
              <w:t>Investment gain from Plan interest in Honeywell Savings and Ownership Plan Master Trust</w:t>
            </w:r>
          </w:p>
        </w:tc>
        <w:tc>
          <w:tcPr>
            <w:tcW w:w="4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11,044</w:t>
            </w:r>
          </w:p>
        </w:tc>
        <w:tc>
          <w:tcPr>
            <w:tcW w:w="0" w:type="dxa"/>
            <w:vAlign w:val="bottom"/>
          </w:tcPr>
          <w:p>
            <w:pPr>
              <w:spacing w:after="0"/>
              <w:rPr>
                <w:sz w:val="1"/>
                <w:szCs w:val="1"/>
                <w:color w:val="auto"/>
              </w:rPr>
            </w:pPr>
          </w:p>
        </w:tc>
      </w:tr>
      <w:tr>
        <w:trPr>
          <w:trHeight w:val="243"/>
        </w:trPr>
        <w:tc>
          <w:tcPr>
            <w:tcW w:w="9440" w:type="dxa"/>
            <w:vAlign w:val="bottom"/>
            <w:shd w:val="clear" w:color="auto" w:fill="E5FFFF"/>
          </w:tcPr>
          <w:p>
            <w:pPr>
              <w:spacing w:after="0"/>
              <w:rPr>
                <w:sz w:val="20"/>
                <w:szCs w:val="20"/>
                <w:color w:val="auto"/>
              </w:rPr>
            </w:pPr>
            <w:r>
              <w:rPr>
                <w:rFonts w:ascii="Arial" w:cs="Arial" w:eastAsia="Arial" w:hAnsi="Arial"/>
                <w:sz w:val="18"/>
                <w:szCs w:val="18"/>
                <w:color w:val="auto"/>
              </w:rPr>
              <w:t>Contributions:</w:t>
            </w:r>
          </w:p>
        </w:tc>
        <w:tc>
          <w:tcPr>
            <w:tcW w:w="420" w:type="dxa"/>
            <w:vAlign w:val="bottom"/>
            <w:shd w:val="clear" w:color="auto" w:fill="E5FFFF"/>
          </w:tcPr>
          <w:p>
            <w:pPr>
              <w:spacing w:after="0"/>
              <w:rPr>
                <w:sz w:val="21"/>
                <w:szCs w:val="21"/>
                <w:color w:val="auto"/>
              </w:rPr>
            </w:pPr>
          </w:p>
        </w:tc>
        <w:tc>
          <w:tcPr>
            <w:tcW w:w="13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40" w:type="dxa"/>
            <w:vAlign w:val="bottom"/>
          </w:tcPr>
          <w:p>
            <w:pPr>
              <w:ind w:left="180"/>
              <w:spacing w:after="0" w:line="202" w:lineRule="exact"/>
              <w:rPr>
                <w:sz w:val="20"/>
                <w:szCs w:val="20"/>
                <w:color w:val="auto"/>
              </w:rPr>
            </w:pPr>
            <w:r>
              <w:rPr>
                <w:rFonts w:ascii="Arial" w:cs="Arial" w:eastAsia="Arial" w:hAnsi="Arial"/>
                <w:sz w:val="18"/>
                <w:szCs w:val="18"/>
                <w:color w:val="auto"/>
              </w:rPr>
              <w:t>Participating employees</w:t>
            </w:r>
          </w:p>
        </w:tc>
        <w:tc>
          <w:tcPr>
            <w:tcW w:w="42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8,155</w:t>
            </w:r>
          </w:p>
        </w:tc>
        <w:tc>
          <w:tcPr>
            <w:tcW w:w="0" w:type="dxa"/>
            <w:vAlign w:val="bottom"/>
          </w:tcPr>
          <w:p>
            <w:pPr>
              <w:spacing w:after="0"/>
              <w:rPr>
                <w:sz w:val="1"/>
                <w:szCs w:val="1"/>
                <w:color w:val="auto"/>
              </w:rPr>
            </w:pPr>
          </w:p>
        </w:tc>
      </w:tr>
      <w:tr>
        <w:trPr>
          <w:trHeight w:val="203"/>
        </w:trPr>
        <w:tc>
          <w:tcPr>
            <w:tcW w:w="94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The Company, net of forfeitures</w:t>
            </w:r>
          </w:p>
        </w:tc>
        <w:tc>
          <w:tcPr>
            <w:tcW w:w="420" w:type="dxa"/>
            <w:vAlign w:val="bottom"/>
            <w:shd w:val="clear" w:color="auto" w:fill="E5FFFF"/>
          </w:tcPr>
          <w:p>
            <w:pPr>
              <w:spacing w:after="0"/>
              <w:rPr>
                <w:sz w:val="17"/>
                <w:szCs w:val="17"/>
                <w:color w:val="auto"/>
              </w:rPr>
            </w:pPr>
          </w:p>
        </w:tc>
        <w:tc>
          <w:tcPr>
            <w:tcW w:w="13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03"/>
        </w:trPr>
        <w:tc>
          <w:tcPr>
            <w:tcW w:w="9440" w:type="dxa"/>
            <w:vAlign w:val="bottom"/>
            <w:tcBorders>
              <w:bottom w:val="single" w:sz="8" w:color="E5FFFF"/>
            </w:tcBorders>
          </w:tcPr>
          <w:p>
            <w:pPr>
              <w:ind w:left="180"/>
              <w:spacing w:after="0" w:line="202" w:lineRule="exact"/>
              <w:rPr>
                <w:sz w:val="20"/>
                <w:szCs w:val="20"/>
                <w:color w:val="auto"/>
              </w:rPr>
            </w:pPr>
            <w:r>
              <w:rPr>
                <w:rFonts w:ascii="Arial" w:cs="Arial" w:eastAsia="Arial" w:hAnsi="Arial"/>
                <w:sz w:val="18"/>
                <w:szCs w:val="18"/>
                <w:color w:val="auto"/>
              </w:rPr>
              <w:t>Roll-over contributions</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196"/>
        </w:trPr>
        <w:tc>
          <w:tcPr>
            <w:tcW w:w="9440" w:type="dxa"/>
            <w:vAlign w:val="bottom"/>
            <w:shd w:val="clear" w:color="auto" w:fill="E5FFFF"/>
          </w:tcPr>
          <w:p>
            <w:pPr>
              <w:ind w:left="360"/>
              <w:spacing w:after="0" w:line="196" w:lineRule="exact"/>
              <w:rPr>
                <w:sz w:val="20"/>
                <w:szCs w:val="20"/>
                <w:color w:val="auto"/>
              </w:rPr>
            </w:pPr>
            <w:r>
              <w:rPr>
                <w:rFonts w:ascii="Arial" w:cs="Arial" w:eastAsia="Arial" w:hAnsi="Arial"/>
                <w:sz w:val="18"/>
                <w:szCs w:val="18"/>
                <w:color w:val="auto"/>
              </w:rPr>
              <w:t>Total contributions</w:t>
            </w:r>
          </w:p>
        </w:tc>
        <w:tc>
          <w:tcPr>
            <w:tcW w:w="420" w:type="dxa"/>
            <w:vAlign w:val="bottom"/>
            <w:shd w:val="clear" w:color="auto" w:fill="E5FFFF"/>
          </w:tcPr>
          <w:p>
            <w:pPr>
              <w:spacing w:after="0"/>
              <w:rPr>
                <w:sz w:val="17"/>
                <w:szCs w:val="17"/>
                <w:color w:val="auto"/>
              </w:rPr>
            </w:pPr>
          </w:p>
        </w:tc>
        <w:tc>
          <w:tcPr>
            <w:tcW w:w="138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10,948</w:t>
            </w:r>
          </w:p>
        </w:tc>
        <w:tc>
          <w:tcPr>
            <w:tcW w:w="0" w:type="dxa"/>
            <w:vAlign w:val="bottom"/>
          </w:tcPr>
          <w:p>
            <w:pPr>
              <w:spacing w:after="0"/>
              <w:rPr>
                <w:sz w:val="1"/>
                <w:szCs w:val="1"/>
                <w:color w:val="auto"/>
              </w:rPr>
            </w:pPr>
          </w:p>
        </w:tc>
      </w:tr>
      <w:tr>
        <w:trPr>
          <w:trHeight w:val="445"/>
        </w:trPr>
        <w:tc>
          <w:tcPr>
            <w:tcW w:w="9440" w:type="dxa"/>
            <w:vAlign w:val="bottom"/>
          </w:tcPr>
          <w:p>
            <w:pPr>
              <w:ind w:left="360"/>
              <w:spacing w:after="0"/>
              <w:rPr>
                <w:sz w:val="20"/>
                <w:szCs w:val="20"/>
                <w:color w:val="auto"/>
              </w:rPr>
            </w:pPr>
            <w:r>
              <w:rPr>
                <w:rFonts w:ascii="Arial" w:cs="Arial" w:eastAsia="Arial" w:hAnsi="Arial"/>
                <w:sz w:val="18"/>
                <w:szCs w:val="18"/>
                <w:color w:val="auto"/>
              </w:rPr>
              <w:t>Total additions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21,992</w:t>
            </w:r>
          </w:p>
        </w:tc>
        <w:tc>
          <w:tcPr>
            <w:tcW w:w="0" w:type="dxa"/>
            <w:vAlign w:val="bottom"/>
          </w:tcPr>
          <w:p>
            <w:pPr>
              <w:spacing w:after="0"/>
              <w:rPr>
                <w:sz w:val="1"/>
                <w:szCs w:val="1"/>
                <w:color w:val="auto"/>
              </w:rPr>
            </w:pPr>
          </w:p>
        </w:tc>
      </w:tr>
      <w:tr>
        <w:trPr>
          <w:trHeight w:val="237"/>
        </w:trPr>
        <w:tc>
          <w:tcPr>
            <w:tcW w:w="9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4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Deductions from net assets attributable to:</w:t>
            </w:r>
          </w:p>
        </w:tc>
        <w:tc>
          <w:tcPr>
            <w:tcW w:w="420" w:type="dxa"/>
            <w:vAlign w:val="bottom"/>
            <w:shd w:val="clear" w:color="auto" w:fill="E5FFFF"/>
          </w:tcPr>
          <w:p>
            <w:pPr>
              <w:spacing w:after="0"/>
              <w:rPr>
                <w:sz w:val="21"/>
                <w:szCs w:val="21"/>
                <w:color w:val="auto"/>
              </w:rPr>
            </w:pPr>
          </w:p>
        </w:tc>
        <w:tc>
          <w:tcPr>
            <w:tcW w:w="13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40" w:type="dxa"/>
            <w:vAlign w:val="bottom"/>
          </w:tcPr>
          <w:p>
            <w:pPr>
              <w:spacing w:after="0" w:line="202" w:lineRule="exact"/>
              <w:rPr>
                <w:sz w:val="20"/>
                <w:szCs w:val="20"/>
                <w:color w:val="auto"/>
              </w:rPr>
            </w:pPr>
            <w:r>
              <w:rPr>
                <w:rFonts w:ascii="Arial" w:cs="Arial" w:eastAsia="Arial" w:hAnsi="Arial"/>
                <w:sz w:val="18"/>
                <w:szCs w:val="18"/>
                <w:color w:val="auto"/>
              </w:rPr>
              <w:t>Benefits paid to participants</w:t>
            </w:r>
          </w:p>
        </w:tc>
        <w:tc>
          <w:tcPr>
            <w:tcW w:w="4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03"/>
        </w:trPr>
        <w:tc>
          <w:tcPr>
            <w:tcW w:w="94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Plan expenses</w:t>
            </w:r>
          </w:p>
        </w:tc>
        <w:tc>
          <w:tcPr>
            <w:tcW w:w="420" w:type="dxa"/>
            <w:vAlign w:val="bottom"/>
            <w:tcBorders>
              <w:bottom w:val="single" w:sz="8" w:color="auto"/>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440" w:type="dxa"/>
            <w:vAlign w:val="bottom"/>
          </w:tcPr>
          <w:p>
            <w:pPr>
              <w:ind w:left="180"/>
              <w:spacing w:after="0" w:line="196" w:lineRule="exact"/>
              <w:rPr>
                <w:sz w:val="20"/>
                <w:szCs w:val="20"/>
                <w:color w:val="auto"/>
              </w:rPr>
            </w:pPr>
            <w:r>
              <w:rPr>
                <w:rFonts w:ascii="Arial" w:cs="Arial" w:eastAsia="Arial" w:hAnsi="Arial"/>
                <w:sz w:val="18"/>
                <w:szCs w:val="18"/>
                <w:color w:val="auto"/>
              </w:rPr>
              <w:t>Total deductions</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36"/>
        </w:trPr>
        <w:tc>
          <w:tcPr>
            <w:tcW w:w="9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4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increase in net assets during year</w:t>
            </w:r>
          </w:p>
        </w:tc>
        <w:tc>
          <w:tcPr>
            <w:tcW w:w="420" w:type="dxa"/>
            <w:vAlign w:val="bottom"/>
            <w:shd w:val="clear" w:color="auto" w:fill="E5FFFF"/>
          </w:tcPr>
          <w:p>
            <w:pPr>
              <w:spacing w:after="0"/>
              <w:rPr>
                <w:sz w:val="17"/>
                <w:szCs w:val="17"/>
                <w:color w:val="auto"/>
              </w:rPr>
            </w:pPr>
          </w:p>
        </w:tc>
        <w:tc>
          <w:tcPr>
            <w:tcW w:w="13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17,629</w:t>
            </w:r>
          </w:p>
        </w:tc>
        <w:tc>
          <w:tcPr>
            <w:tcW w:w="0" w:type="dxa"/>
            <w:vAlign w:val="bottom"/>
          </w:tcPr>
          <w:p>
            <w:pPr>
              <w:spacing w:after="0"/>
              <w:rPr>
                <w:sz w:val="1"/>
                <w:szCs w:val="1"/>
                <w:color w:val="auto"/>
              </w:rPr>
            </w:pPr>
          </w:p>
        </w:tc>
      </w:tr>
      <w:tr>
        <w:trPr>
          <w:trHeight w:val="486"/>
        </w:trPr>
        <w:tc>
          <w:tcPr>
            <w:tcW w:w="9440" w:type="dxa"/>
            <w:vAlign w:val="bottom"/>
          </w:tcPr>
          <w:p>
            <w:pPr>
              <w:spacing w:after="0"/>
              <w:rPr>
                <w:sz w:val="20"/>
                <w:szCs w:val="20"/>
                <w:color w:val="auto"/>
              </w:rPr>
            </w:pPr>
            <w:r>
              <w:rPr>
                <w:rFonts w:ascii="Arial" w:cs="Arial" w:eastAsia="Arial" w:hAnsi="Arial"/>
                <w:sz w:val="18"/>
                <w:szCs w:val="18"/>
                <w:b w:val="1"/>
                <w:bCs w:val="1"/>
                <w:color w:val="auto"/>
              </w:rPr>
              <w:t>Net assets available for benefits: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4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Beginning of year</w:t>
            </w:r>
          </w:p>
        </w:tc>
        <w:tc>
          <w:tcPr>
            <w:tcW w:w="420" w:type="dxa"/>
            <w:vAlign w:val="bottom"/>
            <w:tcBorders>
              <w:bottom w:val="single" w:sz="8" w:color="auto"/>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95,514</w:t>
            </w:r>
          </w:p>
        </w:tc>
        <w:tc>
          <w:tcPr>
            <w:tcW w:w="0" w:type="dxa"/>
            <w:vAlign w:val="bottom"/>
          </w:tcPr>
          <w:p>
            <w:pPr>
              <w:spacing w:after="0"/>
              <w:rPr>
                <w:sz w:val="1"/>
                <w:szCs w:val="1"/>
                <w:color w:val="auto"/>
              </w:rPr>
            </w:pPr>
          </w:p>
        </w:tc>
      </w:tr>
      <w:tr>
        <w:trPr>
          <w:trHeight w:val="196"/>
        </w:trPr>
        <w:tc>
          <w:tcPr>
            <w:tcW w:w="9440" w:type="dxa"/>
            <w:vAlign w:val="bottom"/>
          </w:tcPr>
          <w:p>
            <w:pPr>
              <w:spacing w:after="0" w:line="196" w:lineRule="exact"/>
              <w:rPr>
                <w:sz w:val="20"/>
                <w:szCs w:val="20"/>
                <w:color w:val="auto"/>
              </w:rPr>
            </w:pPr>
            <w:r>
              <w:rPr>
                <w:rFonts w:ascii="Arial" w:cs="Arial" w:eastAsia="Arial" w:hAnsi="Arial"/>
                <w:sz w:val="18"/>
                <w:szCs w:val="18"/>
                <w:color w:val="auto"/>
              </w:rPr>
              <w:t>End of year</w:t>
            </w:r>
          </w:p>
        </w:tc>
        <w:tc>
          <w:tcPr>
            <w:tcW w:w="4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113,143</w:t>
            </w:r>
          </w:p>
        </w:tc>
        <w:tc>
          <w:tcPr>
            <w:tcW w:w="0" w:type="dxa"/>
            <w:vAlign w:val="bottom"/>
          </w:tcPr>
          <w:p>
            <w:pPr>
              <w:spacing w:after="0"/>
              <w:rPr>
                <w:sz w:val="1"/>
                <w:szCs w:val="1"/>
                <w:color w:val="auto"/>
              </w:rPr>
            </w:pPr>
          </w:p>
        </w:tc>
      </w:tr>
      <w:tr>
        <w:trPr>
          <w:trHeight w:val="20"/>
        </w:trPr>
        <w:tc>
          <w:tcPr>
            <w:tcW w:w="9440" w:type="dxa"/>
            <w:vAlign w:val="bottom"/>
            <w:vMerge w:val="restart"/>
          </w:tcPr>
          <w:p>
            <w:pPr>
              <w:ind w:left="5580"/>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4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440" w:type="dxa"/>
            <w:vAlign w:val="bottom"/>
          </w:tcPr>
          <w:p>
            <w:pPr>
              <w:ind w:left="2640"/>
              <w:spacing w:after="0"/>
              <w:rPr>
                <w:sz w:val="20"/>
                <w:szCs w:val="20"/>
                <w:color w:val="auto"/>
              </w:rPr>
            </w:pPr>
            <w:r>
              <w:rPr>
                <w:rFonts w:ascii="Arial" w:cs="Arial" w:eastAsia="Arial" w:hAnsi="Arial"/>
                <w:sz w:val="18"/>
                <w:szCs w:val="18"/>
                <w:color w:val="auto"/>
              </w:rPr>
              <w:t>The accompanying notes are an integral part of these financial statements.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944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tcBorders>
          </w:tcPr>
          <w:p>
            <w:pPr>
              <w:spacing w:after="0"/>
              <w:rPr>
                <w:sz w:val="22"/>
                <w:szCs w:val="22"/>
                <w:color w:val="auto"/>
              </w:rPr>
            </w:pPr>
          </w:p>
        </w:tc>
        <w:tc>
          <w:tcPr>
            <w:tcW w:w="138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35"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22"/>
          <w:szCs w:val="22"/>
          <w:b w:val="1"/>
          <w:bCs w:val="1"/>
          <w:color w:val="auto"/>
        </w:rPr>
        <w:t>Honeywell Puerto Rico Savings Plan</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4"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Plan</w:t>
      </w:r>
    </w:p>
    <w:p>
      <w:pPr>
        <w:spacing w:after="0" w:line="198"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 w:lineRule="exact"/>
        <w:rPr>
          <w:rFonts w:ascii="Arial" w:cs="Arial" w:eastAsia="Arial" w:hAnsi="Arial"/>
          <w:sz w:val="18"/>
          <w:szCs w:val="18"/>
          <w:b w:val="1"/>
          <w:bCs w:val="1"/>
          <w:color w:val="auto"/>
        </w:rPr>
      </w:pPr>
    </w:p>
    <w:p>
      <w:pPr>
        <w:jc w:val="both"/>
        <w:ind w:left="40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Honeywell Puerto Rico Savings Plan (the “Plan”) is a defined contribution plan for certain employees of Honeywell International Inc. (“Honeywell” or the “Company”), ADI of Puerto Rico, Inc. and Honeywell Aerospace de Puerto Rico, Inc. (together with the Company, the “Employer”). It is subject to the provisions of the Employee Retirement Income Security Act of 1974, as amended, (“ERISA”) and the Puerto Rico (“PR”) Internal Revenue Code of 2011, as amended in Section 1081.01 (“PR Code”). The following represents a summary of key provisions of the Plan but does not purport to be complete and is qualified in its entirety by the terms of the Plan. Participants should refer to the Plan document for a more complete description of the Plan’s provisions.</w:t>
      </w:r>
    </w:p>
    <w:p>
      <w:pPr>
        <w:spacing w:after="0" w:line="167"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3" w:lineRule="exact"/>
        <w:rPr>
          <w:rFonts w:ascii="Arial" w:cs="Arial" w:eastAsia="Arial" w:hAnsi="Arial"/>
          <w:sz w:val="18"/>
          <w:szCs w:val="18"/>
          <w:b w:val="1"/>
          <w:bCs w:val="1"/>
          <w:color w:val="auto"/>
        </w:rPr>
      </w:pPr>
    </w:p>
    <w:p>
      <w:pPr>
        <w:jc w:val="both"/>
        <w:ind w:left="40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Company’s Vice President – Global Total Rewards is the Plan Administrator and has full discretionary authority and power to control and manage the administrative aspects of the Plan, including, but not limited to, the power to adopt rules of procedure and regulations necessary for the proper and efficient administration of the Plan and the power to enforce the terms of the Plan it adopts. The Savings Plan Investment Committee has the full power and discretionary authority to manage the investments of the Plan, including but not limited to the power to appoint and remove trustees and monitor trustee performance. The trustee and custodian of the Plan is The Northern Trust Company (the “Trustee”). The trustee of the Plan is Banco Popular de Puerto Rico (the “Trustee”) and the custodian of the Plan is The Northern Trust Company (the “Custodian”). Administration services for the Plan are provided by Fidelity Investments Institutional Operations Company. The Plan has a Puerto Rico based trust (“the Honeywell Puerto Rico Savings Plan Trust”) that participates and invests the Plan’s assets in the Honeywell Savings and Ownership Plan Master Trust.</w:t>
      </w:r>
    </w:p>
    <w:p>
      <w:pPr>
        <w:spacing w:after="0" w:line="167"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Contributions and Vesting</w:t>
      </w:r>
    </w:p>
    <w:p>
      <w:pPr>
        <w:spacing w:after="0" w:line="13" w:lineRule="exact"/>
        <w:rPr>
          <w:rFonts w:ascii="Arial" w:cs="Arial" w:eastAsia="Arial" w:hAnsi="Arial"/>
          <w:sz w:val="18"/>
          <w:szCs w:val="18"/>
          <w:b w:val="1"/>
          <w:bCs w:val="1"/>
          <w:color w:val="auto"/>
        </w:rPr>
      </w:pPr>
    </w:p>
    <w:p>
      <w:pPr>
        <w:jc w:val="both"/>
        <w:ind w:left="400"/>
        <w:spacing w:after="0" w:line="226" w:lineRule="auto"/>
        <w:rPr>
          <w:rFonts w:ascii="Arial" w:cs="Arial" w:eastAsia="Arial" w:hAnsi="Arial"/>
          <w:sz w:val="18"/>
          <w:szCs w:val="18"/>
          <w:b w:val="1"/>
          <w:bCs w:val="1"/>
          <w:color w:val="auto"/>
        </w:rPr>
      </w:pPr>
      <w:r>
        <w:rPr>
          <w:rFonts w:ascii="Arial" w:cs="Arial" w:eastAsia="Arial" w:hAnsi="Arial"/>
          <w:sz w:val="18"/>
          <w:szCs w:val="18"/>
          <w:color w:val="auto"/>
        </w:rPr>
        <w:t>Participants may elect to contribute from 1 percent to 30 percent before-tax of their “base pay” and also 1 percent to 10 percent after-tax of their “base pay” as defined in the Plan document during each pay period, subject to certain restrictions for “highly compensated employees”, as defined in the Plan document. Contributions are permitted to be made either on a before-tax or after-tax basis, or a combination of both, and may be directed into any investment option available within the Plan. The investment options for participants consist of white-labeled, multi-managed funds that are proprietary to the Plan. In addition to regular before-tax or after-tax contributions, eligible participants may also contribute up to $1,500 per year in catch-up contributions if they are or will attain age 50 by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respective plan year and are contributing at least 10 percent on a before-tax basis to the Plan or have contributed the maximum regular before-tax contributions to the Plan.</w:t>
      </w:r>
    </w:p>
    <w:p>
      <w:pPr>
        <w:spacing w:after="0" w:line="166" w:lineRule="exact"/>
        <w:rPr>
          <w:rFonts w:ascii="Arial" w:cs="Arial" w:eastAsia="Arial" w:hAnsi="Arial"/>
          <w:sz w:val="18"/>
          <w:szCs w:val="18"/>
          <w:b w:val="1"/>
          <w:bCs w:val="1"/>
          <w:color w:val="auto"/>
        </w:rPr>
      </w:pPr>
    </w:p>
    <w:p>
      <w:pPr>
        <w:jc w:val="both"/>
        <w:ind w:left="4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matches up to 52.50 percent of the first 6 percent of base pay that the participant contributes to the Plan (excluding rollover and catch-up contributions). The Company’s matching contributions are initially invested in the Honeywell Common Stock Fund. Vested participants may subsequently direct such matching contributions into any investment option available within the Plan.</w:t>
      </w:r>
    </w:p>
    <w:p>
      <w:pPr>
        <w:spacing w:after="0" w:line="155" w:lineRule="exact"/>
        <w:rPr>
          <w:rFonts w:ascii="Arial" w:cs="Arial" w:eastAsia="Arial" w:hAnsi="Arial"/>
          <w:sz w:val="18"/>
          <w:szCs w:val="18"/>
          <w:b w:val="1"/>
          <w:bCs w:val="1"/>
          <w:color w:val="auto"/>
        </w:rPr>
      </w:pPr>
    </w:p>
    <w:p>
      <w:pPr>
        <w:jc w:val="both"/>
        <w:ind w:left="400"/>
        <w:spacing w:after="0" w:line="225" w:lineRule="auto"/>
        <w:rPr>
          <w:rFonts w:ascii="Arial" w:cs="Arial" w:eastAsia="Arial" w:hAnsi="Arial"/>
          <w:sz w:val="18"/>
          <w:szCs w:val="18"/>
          <w:b w:val="1"/>
          <w:bCs w:val="1"/>
          <w:color w:val="auto"/>
        </w:rPr>
      </w:pPr>
      <w:r>
        <w:rPr>
          <w:rFonts w:ascii="Arial" w:cs="Arial" w:eastAsia="Arial" w:hAnsi="Arial"/>
          <w:sz w:val="18"/>
          <w:szCs w:val="18"/>
          <w:color w:val="auto"/>
        </w:rPr>
        <w:t>Employer matching contributions are made annually in a lump sum by the end of the January following the calendar year-end. Participants must be actively employed on December 15</w:t>
      </w:r>
      <w:r>
        <w:rPr>
          <w:rFonts w:ascii="Arial" w:cs="Arial" w:eastAsia="Arial" w:hAnsi="Arial"/>
          <w:sz w:val="29"/>
          <w:szCs w:val="29"/>
          <w:color w:val="auto"/>
          <w:vertAlign w:val="superscript"/>
        </w:rPr>
        <w:t>th</w:t>
      </w:r>
      <w:r>
        <w:rPr>
          <w:rFonts w:ascii="Arial" w:cs="Arial" w:eastAsia="Arial" w:hAnsi="Arial"/>
          <w:sz w:val="18"/>
          <w:szCs w:val="18"/>
          <w:color w:val="auto"/>
        </w:rPr>
        <w:t>, and if not, disabled or deceased to receive the annual match. There is no minimum service requirement to receive the annual match. Accordingly, the Statement of Net Assets Available for Benefits at December 31, 2025 and Statement of Changes in Net Assets Available for Benefits for the year ended December 31, 2025 include $2,345,000 for company matching contributions earned in 2025 and paid by the Company to the Plan in January 2026.</w:t>
      </w:r>
    </w:p>
    <w:p>
      <w:pPr>
        <w:spacing w:after="0" w:line="167" w:lineRule="exact"/>
        <w:rPr>
          <w:sz w:val="20"/>
          <w:szCs w:val="20"/>
          <w:color w:val="auto"/>
        </w:rPr>
      </w:pPr>
    </w:p>
    <w:p>
      <w:pPr>
        <w:jc w:val="both"/>
        <w:ind w:left="400"/>
        <w:spacing w:after="0" w:line="244" w:lineRule="auto"/>
        <w:rPr>
          <w:sz w:val="20"/>
          <w:szCs w:val="20"/>
          <w:color w:val="auto"/>
        </w:rPr>
      </w:pPr>
      <w:r>
        <w:rPr>
          <w:rFonts w:ascii="Arial" w:cs="Arial" w:eastAsia="Arial" w:hAnsi="Arial"/>
          <w:sz w:val="18"/>
          <w:szCs w:val="18"/>
          <w:color w:val="auto"/>
        </w:rPr>
        <w:t>Participants have a full and immediate vested interest in the portion of their accounts contributed by them and the earnings on such contributions. A participant will become 100 percent vested in any Employer contributions upon completion of three years of vesting service or upon attainment of age 65 while an employee of the Employer or an affiliated company. In addition, a participant’s account will become 100 percent vested if the participant’s termination with the Employer or an affiliated company was due to any one of the following (i) retirement under the terms of an Employer pension plan in which</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Honeywell Puerto Rico Savings Plan</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participant participates; (ii) disability (as defined under the plan provisions); (iii) death; (iv) a reduction in force or layoff (as determined by the Employer); or (v) a participant’s business unit is sold or divested (in the Plan Administrator’s sole discretion). A participant will also become 100 percent vested in any Employer contributions in the event the Employer permanently discontinues contributions to or terminates the Plan.</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Participant Accounts</w:t>
      </w:r>
    </w:p>
    <w:p>
      <w:pPr>
        <w:spacing w:after="0" w:line="14"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Each participant’s account is credited with the participant’s contribution and allocations of (1) the Employer’s matching contribution, if applicable, and (2) investment earnings, and charged with an allocation of investment losses and certain administrative expenses that are not paid by the Company. The allocation is based on participants’ account balances as defined in the Plan document. The benefit to which a participant is entitled is the benefit that can be provided from the participant’s vested account.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Notes Receivable from Participants</w:t>
      </w:r>
    </w:p>
    <w:p>
      <w:pPr>
        <w:spacing w:after="0" w:line="14" w:lineRule="exact"/>
        <w:rPr>
          <w:sz w:val="20"/>
          <w:szCs w:val="20"/>
          <w:color w:val="auto"/>
        </w:rPr>
      </w:pPr>
    </w:p>
    <w:p>
      <w:pPr>
        <w:jc w:val="both"/>
        <w:ind w:left="340"/>
        <w:spacing w:after="0" w:line="250" w:lineRule="auto"/>
        <w:rPr>
          <w:sz w:val="20"/>
          <w:szCs w:val="20"/>
          <w:color w:val="auto"/>
        </w:rPr>
      </w:pPr>
      <w:r>
        <w:rPr>
          <w:rFonts w:ascii="Arial" w:cs="Arial" w:eastAsia="Arial" w:hAnsi="Arial"/>
          <w:sz w:val="18"/>
          <w:szCs w:val="18"/>
          <w:color w:val="auto"/>
        </w:rPr>
        <w:t>No new loans are permitted from the Plan. There were no loans outstanding at December 31, 2025. Interest rates for loans outstanding at December 31, 2024 were approximately 4.25%.</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Termination</w:t>
      </w:r>
    </w:p>
    <w:p>
      <w:pPr>
        <w:spacing w:after="0" w:line="14"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Although it has not expressed any intent to do so, the Employer has the right under the Plan document to discontinue its contributions at any time and to terminate the Plan subject to the provisions of ERISA. In the event of a partial or full Plan termination, all Plan funds must be used in accordance with the terms of the Plan.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Distribution of Benefits</w:t>
      </w:r>
    </w:p>
    <w:p>
      <w:pPr>
        <w:spacing w:after="0" w:line="14"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Upon termination of service with the Employer, if a participant’s vested account balance is $1,000 or less (including any rollover contributions), the entire vested amount in the participant’s account shall be distributed to the participant in a single payment, without his or her consent, unless the participant affirmatively elects to have the benefit rolled over to an eligible retirement plan.</w:t>
      </w:r>
    </w:p>
    <w:p>
      <w:pPr>
        <w:spacing w:after="0" w:line="166"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If the participant’s vested account balance exceeds $1,000 (excluding any rollover contributions), the balance in the account will remain in the Plan and shall be distributed (1) at the participant’s request, or (2) upon the participant’s death, whichever is earlier.</w:t>
      </w:r>
    </w:p>
    <w:p>
      <w:pPr>
        <w:spacing w:after="0" w:line="140"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When a participant dies, if his or her spouse is the beneficiary, the spouse may remain in the Plan until December 31 of the calendar year following the calendar year of the participant’s death. If the value of the participant’s account is $1,000 or less, the entire amount in the participant’s account is distributed in a single payment to the participant’s beneficiary(ies) as soon as administratively practicable following confirmation of the participant’s death.</w:t>
      </w:r>
    </w:p>
    <w:p>
      <w:pPr>
        <w:spacing w:after="0" w:line="160"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Plan has implemented certain requirements by the Puerto Rico Internal Revenue Code of 2011, which laws change the Plan to, among others, allow certain eligible individuals to receive coronavirus-related relief for Disaster Relief Distributions. Written amendments to the Plan to reflect these operational changes will be adopted at a later date in accordance with applicable law and Internal Revenue Service guidance.</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Forfeitures</w:t>
      </w:r>
    </w:p>
    <w:p>
      <w:pPr>
        <w:spacing w:after="0" w:line="14"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Forfeitures of the Employer’s contributions and earnings thereon due to terminations and withdrawals reduce contributions otherwise due from the Employer, as permitted by the Plan. Employer contributions made to the Plan were reduced by approximately $43,800 for the year ended December 31, 2025, due to forfeited nonvested accounts. The balance of forfeitures was $43,547 and $32,886 at December 31, 2025 and 2024 respectively.</w:t>
      </w:r>
    </w:p>
    <w:p>
      <w:pPr>
        <w:spacing w:after="0" w:line="15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80" w:top="395" w:right="339" w:bottom="1440" w:gutter="0" w:footer="0" w:header="0"/>
        </w:sectPr>
      </w:pPr>
    </w:p>
    <w:bookmarkStart w:id="7" w:name="page8"/>
    <w:bookmarkEnd w:id="7"/>
    <w:p>
      <w:pPr>
        <w:ind w:left="60"/>
        <w:spacing w:after="0"/>
        <w:rPr>
          <w:sz w:val="20"/>
          <w:szCs w:val="20"/>
          <w:color w:val="auto"/>
        </w:rPr>
      </w:pPr>
      <w:r>
        <w:rPr>
          <w:rFonts w:ascii="Arial" w:cs="Arial" w:eastAsia="Arial" w:hAnsi="Arial"/>
          <w:sz w:val="22"/>
          <w:szCs w:val="22"/>
          <w:b w:val="1"/>
          <w:bCs w:val="1"/>
          <w:color w:val="auto"/>
        </w:rPr>
        <w:t>Honeywell Puerto Rico Savings Plan</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98"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Basis of Accounting</w:t>
      </w:r>
    </w:p>
    <w:p>
      <w:pPr>
        <w:spacing w:after="0" w:line="13" w:lineRule="exact"/>
        <w:rPr>
          <w:rFonts w:ascii="Arial" w:cs="Arial" w:eastAsia="Arial" w:hAnsi="Arial"/>
          <w:sz w:val="18"/>
          <w:szCs w:val="18"/>
          <w:b w:val="1"/>
          <w:bCs w:val="1"/>
          <w:color w:val="auto"/>
        </w:rPr>
      </w:pPr>
    </w:p>
    <w:p>
      <w:pPr>
        <w:ind w:left="40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of the Plan are prepared in accordance with accounting principles generally accepted in the United States of America (“U.S. GAAP”) using the accrual basis of accounting.</w:t>
      </w:r>
    </w:p>
    <w:p>
      <w:pPr>
        <w:spacing w:after="0" w:line="158"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3" w:lineRule="exact"/>
        <w:rPr>
          <w:rFonts w:ascii="Arial" w:cs="Arial" w:eastAsia="Arial" w:hAnsi="Arial"/>
          <w:sz w:val="18"/>
          <w:szCs w:val="18"/>
          <w:b w:val="1"/>
          <w:bCs w:val="1"/>
          <w:color w:val="auto"/>
        </w:rPr>
      </w:pPr>
    </w:p>
    <w:p>
      <w:pPr>
        <w:jc w:val="both"/>
        <w:ind w:left="40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changes therein, and disclosure of contingent assets and liabilities. Actual results could differ from those estimates.</w:t>
      </w:r>
    </w:p>
    <w:p>
      <w:pPr>
        <w:spacing w:after="0" w:line="165"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Investment Valuation</w:t>
      </w:r>
    </w:p>
    <w:p>
      <w:pPr>
        <w:spacing w:after="0" w:line="13" w:lineRule="exact"/>
        <w:rPr>
          <w:rFonts w:ascii="Arial" w:cs="Arial" w:eastAsia="Arial" w:hAnsi="Arial"/>
          <w:sz w:val="18"/>
          <w:szCs w:val="18"/>
          <w:b w:val="1"/>
          <w:bCs w:val="1"/>
          <w:color w:val="auto"/>
        </w:rPr>
      </w:pPr>
    </w:p>
    <w:p>
      <w:pPr>
        <w:jc w:val="both"/>
        <w:ind w:left="400"/>
        <w:spacing w:after="0"/>
        <w:rPr>
          <w:rFonts w:ascii="Arial" w:cs="Arial" w:eastAsia="Arial" w:hAnsi="Arial"/>
          <w:sz w:val="18"/>
          <w:szCs w:val="18"/>
          <w:b w:val="1"/>
          <w:bCs w:val="1"/>
          <w:color w:val="auto"/>
        </w:rPr>
      </w:pPr>
      <w:r>
        <w:rPr>
          <w:rFonts w:ascii="Arial" w:cs="Arial" w:eastAsia="Arial" w:hAnsi="Arial"/>
          <w:sz w:val="18"/>
          <w:szCs w:val="18"/>
          <w:color w:val="auto"/>
        </w:rPr>
        <w:t>The Plan’s assets are held in the Honeywell Savings and Ownership Plan Master Trust (“Master Trust”) along with the assets of the Honeywell 401(k) Plan, the Honeywell Secured Benefit Plan and the Intermec FSSP Spinoff Plan. The Plan’s investment in the Master Trust represents the Plan’s interest in the net assets of the Master Trust for investment and administrative purposes. The Plan’s interest in the Master Trust is stated at fair value.</w:t>
      </w:r>
    </w:p>
    <w:p>
      <w:pPr>
        <w:spacing w:after="0" w:line="166"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Notes Receivable from Participants</w:t>
      </w:r>
    </w:p>
    <w:p>
      <w:pPr>
        <w:spacing w:after="0" w:line="13"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Notes receivable from participants are valued at unpaid principal balance cost plus accrued unpaid interest.</w:t>
      </w:r>
    </w:p>
    <w:p>
      <w:pPr>
        <w:spacing w:after="0" w:line="180"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Contributions</w:t>
      </w:r>
    </w:p>
    <w:p>
      <w:pPr>
        <w:spacing w:after="0" w:line="13"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Employee contributions are recorded when withheld and employer matching contributions when earned</w:t>
      </w:r>
    </w:p>
    <w:p>
      <w:pPr>
        <w:spacing w:after="0" w:line="180"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Payment of Benefits</w:t>
      </w:r>
    </w:p>
    <w:p>
      <w:pPr>
        <w:spacing w:after="0" w:line="13"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Withdrawals and distributions to participants are recorded when paid.</w:t>
      </w:r>
    </w:p>
    <w:p>
      <w:pPr>
        <w:spacing w:after="0" w:line="180"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13" w:lineRule="exact"/>
        <w:rPr>
          <w:rFonts w:ascii="Arial" w:cs="Arial" w:eastAsia="Arial" w:hAnsi="Arial"/>
          <w:sz w:val="18"/>
          <w:szCs w:val="18"/>
          <w:b w:val="1"/>
          <w:bCs w:val="1"/>
          <w:color w:val="auto"/>
        </w:rPr>
      </w:pPr>
    </w:p>
    <w:p>
      <w:pPr>
        <w:jc w:val="both"/>
        <w:ind w:left="400"/>
        <w:spacing w:after="0"/>
        <w:rPr>
          <w:rFonts w:ascii="Arial" w:cs="Arial" w:eastAsia="Arial" w:hAnsi="Arial"/>
          <w:sz w:val="18"/>
          <w:szCs w:val="18"/>
          <w:b w:val="1"/>
          <w:bCs w:val="1"/>
          <w:color w:val="auto"/>
        </w:rPr>
      </w:pPr>
      <w:r>
        <w:rPr>
          <w:rFonts w:ascii="Arial" w:cs="Arial" w:eastAsia="Arial" w:hAnsi="Arial"/>
          <w:sz w:val="18"/>
          <w:szCs w:val="18"/>
          <w:color w:val="auto"/>
        </w:rPr>
        <w:t>Certain expenses relating to the administration of the Master Trust and managing the investment funds established thereunder are borne by certain businesses of the Employer, not by the participating Plan. Administrative expenses of the Plan are paid by the Plan or the plan sponsor, as provided in the Plan document. Participants pay administrative costs for loans, distributions and qualified domestic relation orders.</w:t>
      </w:r>
    </w:p>
    <w:p>
      <w:pPr>
        <w:spacing w:after="0" w:line="166" w:lineRule="exact"/>
        <w:rPr>
          <w:rFonts w:ascii="Arial" w:cs="Arial" w:eastAsia="Arial" w:hAnsi="Arial"/>
          <w:sz w:val="18"/>
          <w:szCs w:val="18"/>
          <w:b w:val="1"/>
          <w:bCs w:val="1"/>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Separately Managed Portfolios</w:t>
      </w:r>
    </w:p>
    <w:p>
      <w:pPr>
        <w:spacing w:after="0" w:line="198" w:lineRule="exact"/>
        <w:rPr>
          <w:rFonts w:ascii="Arial" w:cs="Arial" w:eastAsia="Arial" w:hAnsi="Arial"/>
          <w:sz w:val="18"/>
          <w:szCs w:val="18"/>
          <w:b w:val="1"/>
          <w:bCs w:val="1"/>
          <w:color w:val="auto"/>
        </w:rPr>
      </w:pPr>
    </w:p>
    <w:p>
      <w:pPr>
        <w:jc w:val="both"/>
        <w:ind w:left="4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individual assets of the Master Trust’s separately managed portfolios and multi-manager funds are held in the name of the Master Trust (i.e., the Master Trust owns the underlying securities) and are considered separately as individual investments for accounting and financial statement reporting purposes.</w:t>
      </w:r>
    </w:p>
    <w:p>
      <w:pPr>
        <w:spacing w:after="0" w:line="155" w:lineRule="exact"/>
        <w:rPr>
          <w:sz w:val="20"/>
          <w:szCs w:val="20"/>
          <w:color w:val="auto"/>
        </w:rPr>
      </w:pPr>
    </w:p>
    <w:p>
      <w:pPr>
        <w:ind w:left="400" w:right="20"/>
        <w:spacing w:after="0" w:line="271" w:lineRule="auto"/>
        <w:rPr>
          <w:sz w:val="20"/>
          <w:szCs w:val="20"/>
          <w:color w:val="auto"/>
        </w:rPr>
      </w:pPr>
      <w:r>
        <w:rPr>
          <w:rFonts w:ascii="Arial" w:cs="Arial" w:eastAsia="Arial" w:hAnsi="Arial"/>
          <w:sz w:val="18"/>
          <w:szCs w:val="18"/>
          <w:color w:val="auto"/>
        </w:rPr>
        <w:t>The Master Trust owns 100% of the underlying assets of the following separately managed portfolios and multi-manager funds and the underlying investments of each are included in Note 4:</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Global REIT Fund</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Growth Equity Fund</w:t>
      </w:r>
    </w:p>
    <w:p>
      <w:pPr>
        <w:ind w:left="780"/>
        <w:spacing w:after="0" w:line="234" w:lineRule="auto"/>
        <w:rPr>
          <w:sz w:val="20"/>
          <w:szCs w:val="20"/>
          <w:color w:val="auto"/>
        </w:rPr>
      </w:pPr>
      <w:r>
        <w:rPr>
          <w:rFonts w:ascii="Arial" w:cs="Arial" w:eastAsia="Arial" w:hAnsi="Arial"/>
          <w:sz w:val="18"/>
          <w:szCs w:val="18"/>
          <w:color w:val="auto"/>
        </w:rPr>
        <w:t>International Stock Fund</w:t>
      </w:r>
    </w:p>
    <w:p>
      <w:pPr>
        <w:ind w:left="780"/>
        <w:spacing w:after="0" w:line="235" w:lineRule="auto"/>
        <w:rPr>
          <w:sz w:val="20"/>
          <w:szCs w:val="20"/>
          <w:color w:val="auto"/>
        </w:rPr>
      </w:pPr>
      <w:r>
        <w:rPr>
          <w:rFonts w:ascii="Arial" w:cs="Arial" w:eastAsia="Arial" w:hAnsi="Arial"/>
          <w:sz w:val="18"/>
          <w:szCs w:val="18"/>
          <w:color w:val="auto"/>
        </w:rPr>
        <w:t>Investment Grade Bond Fund</w:t>
      </w:r>
    </w:p>
    <w:p>
      <w:pPr>
        <w:ind w:left="780"/>
        <w:spacing w:after="0" w:line="235" w:lineRule="auto"/>
        <w:rPr>
          <w:sz w:val="20"/>
          <w:szCs w:val="20"/>
          <w:color w:val="auto"/>
        </w:rPr>
      </w:pPr>
      <w:r>
        <w:rPr>
          <w:rFonts w:ascii="Arial" w:cs="Arial" w:eastAsia="Arial" w:hAnsi="Arial"/>
          <w:sz w:val="18"/>
          <w:szCs w:val="18"/>
          <w:color w:val="auto"/>
        </w:rPr>
        <w:t>Short-Term Fixed Income Fund</w:t>
      </w:r>
    </w:p>
    <w:p>
      <w:pPr>
        <w:ind w:left="780"/>
        <w:spacing w:after="0" w:line="235" w:lineRule="auto"/>
        <w:rPr>
          <w:sz w:val="20"/>
          <w:szCs w:val="20"/>
          <w:color w:val="auto"/>
        </w:rPr>
      </w:pPr>
      <w:r>
        <w:rPr>
          <w:rFonts w:ascii="Arial" w:cs="Arial" w:eastAsia="Arial" w:hAnsi="Arial"/>
          <w:sz w:val="18"/>
          <w:szCs w:val="18"/>
          <w:color w:val="auto"/>
        </w:rPr>
        <w:t>Small to Mid-Cap Stock Fund</w:t>
      </w:r>
    </w:p>
    <w:p>
      <w:pPr>
        <w:ind w:left="780"/>
        <w:spacing w:after="0" w:line="235" w:lineRule="auto"/>
        <w:rPr>
          <w:sz w:val="20"/>
          <w:szCs w:val="20"/>
          <w:color w:val="auto"/>
        </w:rPr>
      </w:pPr>
      <w:r>
        <w:rPr>
          <w:rFonts w:ascii="Arial" w:cs="Arial" w:eastAsia="Arial" w:hAnsi="Arial"/>
          <w:sz w:val="18"/>
          <w:szCs w:val="18"/>
          <w:color w:val="auto"/>
        </w:rPr>
        <w:t>Value/Yield Equity Fund</w:t>
      </w:r>
    </w:p>
    <w:p>
      <w:pPr>
        <w:ind w:left="780"/>
        <w:spacing w:after="0"/>
        <w:rPr>
          <w:sz w:val="20"/>
          <w:szCs w:val="20"/>
          <w:color w:val="auto"/>
        </w:rPr>
      </w:pPr>
      <w:r>
        <w:rPr>
          <w:rFonts w:ascii="Arial" w:cs="Arial" w:eastAsia="Arial" w:hAnsi="Arial"/>
          <w:sz w:val="18"/>
          <w:szCs w:val="18"/>
          <w:color w:val="auto"/>
        </w:rPr>
        <w:t>Honeywell Common Stock Fund</w:t>
      </w:r>
    </w:p>
    <w:p>
      <w:pPr>
        <w:spacing w:after="0" w:line="180"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Interest in Honeywell Savings and Ownership Plan Master Trust</w:t>
      </w:r>
    </w:p>
    <w:p>
      <w:pPr>
        <w:spacing w:after="0" w:line="198" w:lineRule="exact"/>
        <w:rPr>
          <w:sz w:val="20"/>
          <w:szCs w:val="20"/>
          <w:color w:val="auto"/>
        </w:rPr>
      </w:pPr>
    </w:p>
    <w:p>
      <w:pPr>
        <w:jc w:val="both"/>
        <w:ind w:left="400"/>
        <w:spacing w:after="0"/>
        <w:rPr>
          <w:sz w:val="20"/>
          <w:szCs w:val="20"/>
          <w:color w:val="auto"/>
        </w:rPr>
      </w:pPr>
      <w:r>
        <w:rPr>
          <w:rFonts w:ascii="Arial" w:cs="Arial" w:eastAsia="Arial" w:hAnsi="Arial"/>
          <w:sz w:val="18"/>
          <w:szCs w:val="18"/>
          <w:color w:val="auto"/>
        </w:rPr>
        <w:t>The Plan’s investments are held in the Master Trust, which is commingled with the assets of the Honeywell 401(k) Plan, the Honeywell Secured Benefit Plan and the Intermec FSSP Spinoff Plan. Each participating plan’s interest in the Master Trust is divided based on the participants’ investment elections. The allocation of income and expenses is based upon each plan’s specific interests in the underlying plan investments, which are based upon participant-direction and Company direction of the investments. The interest and dividends and the net depreciation or appreciation in the fair value of investments are allocated to the individual accounts on a daily basis based upon the individual accounts’ equitable share of the various investment funds that comprise the Master Trust. The total interest of the Plan is determined as the sum of the individual account balances of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 w:name="page9"/>
    <w:bookmarkEnd w:id="8"/>
    <w:p>
      <w:pPr>
        <w:ind w:left="60"/>
        <w:spacing w:after="0"/>
        <w:rPr>
          <w:sz w:val="20"/>
          <w:szCs w:val="20"/>
          <w:color w:val="auto"/>
        </w:rPr>
      </w:pPr>
      <w:r>
        <w:rPr>
          <w:rFonts w:ascii="Arial" w:cs="Arial" w:eastAsia="Arial" w:hAnsi="Arial"/>
          <w:sz w:val="22"/>
          <w:szCs w:val="22"/>
          <w:b w:val="1"/>
          <w:bCs w:val="1"/>
          <w:color w:val="auto"/>
        </w:rPr>
        <w:t>Honeywell Puerto Rico Savings Plan</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Master Trust and the Plan’s interest in the Master Trust is comprised of the following types of investments, at fair value, as of</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December 31, 2025:</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4"/>
              </w:rPr>
              <w:t>2025</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center"/>
              <w:ind w:right="50"/>
              <w:spacing w:after="0" w:line="177" w:lineRule="exact"/>
              <w:rPr>
                <w:sz w:val="20"/>
                <w:szCs w:val="20"/>
                <w:color w:val="auto"/>
              </w:rPr>
            </w:pPr>
            <w:r>
              <w:rPr>
                <w:rFonts w:ascii="Arial" w:cs="Arial" w:eastAsia="Arial" w:hAnsi="Arial"/>
                <w:sz w:val="18"/>
                <w:szCs w:val="18"/>
                <w:b w:val="1"/>
                <w:bCs w:val="1"/>
                <w:color w:val="auto"/>
                <w:w w:val="99"/>
              </w:rPr>
              <w:t>Plan’s Interest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rPr>
              <w:t>in Master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126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Master Trust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7"/>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Balances</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rPr>
              <w:t>Balances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5"/>
          </w:tcPr>
          <w:p>
            <w:pPr>
              <w:jc w:val="right"/>
              <w:ind w:right="690"/>
              <w:spacing w:after="0"/>
              <w:rPr>
                <w:sz w:val="20"/>
                <w:szCs w:val="20"/>
                <w:color w:val="auto"/>
              </w:rPr>
            </w:pPr>
            <w:r>
              <w:rPr>
                <w:rFonts w:ascii="Arial" w:cs="Arial" w:eastAsia="Arial" w:hAnsi="Arial"/>
                <w:sz w:val="18"/>
                <w:szCs w:val="18"/>
                <w:i w:val="1"/>
                <w:iCs w:val="1"/>
                <w:color w:val="auto"/>
              </w:rPr>
              <w:t>(dollars in millions)</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Collective Trust Funds</w:t>
            </w:r>
          </w:p>
        </w:tc>
        <w:tc>
          <w:tcPr>
            <w:tcW w:w="2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10,416</w:t>
            </w:r>
          </w:p>
        </w:tc>
        <w:tc>
          <w:tcPr>
            <w:tcW w:w="600" w:type="dxa"/>
            <w:vAlign w:val="bottom"/>
            <w:gridSpan w:val="3"/>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spacing w:after="0" w:line="202" w:lineRule="exact"/>
              <w:rPr>
                <w:sz w:val="20"/>
                <w:szCs w:val="20"/>
                <w:color w:val="auto"/>
              </w:rPr>
            </w:pPr>
            <w:r>
              <w:rPr>
                <w:rFonts w:ascii="Arial" w:cs="Arial" w:eastAsia="Arial" w:hAnsi="Arial"/>
                <w:sz w:val="18"/>
                <w:szCs w:val="18"/>
                <w:color w:val="auto"/>
              </w:rPr>
              <w:t>Exchange Traded Funds</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Honeywell Common Stock</w:t>
            </w:r>
          </w:p>
        </w:tc>
        <w:tc>
          <w:tcPr>
            <w:tcW w:w="2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3,315</w:t>
            </w: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spacing w:after="0" w:line="202" w:lineRule="exact"/>
              <w:rPr>
                <w:sz w:val="20"/>
                <w:szCs w:val="20"/>
                <w:color w:val="auto"/>
              </w:rPr>
            </w:pPr>
            <w:r>
              <w:rPr>
                <w:rFonts w:ascii="Arial" w:cs="Arial" w:eastAsia="Arial" w:hAnsi="Arial"/>
                <w:sz w:val="18"/>
                <w:szCs w:val="18"/>
                <w:color w:val="auto"/>
              </w:rPr>
              <w:t>Common Stocks (Separately Managed Portfolios)</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1,234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Asset Backed Securities</w:t>
            </w:r>
          </w:p>
        </w:tc>
        <w:tc>
          <w:tcPr>
            <w:tcW w:w="2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279</w:t>
            </w: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spacing w:after="0" w:line="202" w:lineRule="exact"/>
              <w:rPr>
                <w:sz w:val="20"/>
                <w:szCs w:val="20"/>
                <w:color w:val="auto"/>
              </w:rPr>
            </w:pPr>
            <w:r>
              <w:rPr>
                <w:rFonts w:ascii="Arial" w:cs="Arial" w:eastAsia="Arial" w:hAnsi="Arial"/>
                <w:sz w:val="18"/>
                <w:szCs w:val="18"/>
                <w:color w:val="auto"/>
              </w:rPr>
              <w:t>Bank Deposits</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311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Commercial Mortgage Backed Securities</w:t>
            </w:r>
          </w:p>
        </w:tc>
        <w:tc>
          <w:tcPr>
            <w:tcW w:w="2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spacing w:after="0" w:line="202" w:lineRule="exact"/>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571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U.S. Government and Federal Agencies</w:t>
            </w:r>
          </w:p>
        </w:tc>
        <w:tc>
          <w:tcPr>
            <w:tcW w:w="2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174</w:t>
            </w: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spacing w:after="0" w:line="202" w:lineRule="exact"/>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Non-US Government</w:t>
            </w:r>
          </w:p>
        </w:tc>
        <w:tc>
          <w:tcPr>
            <w:tcW w:w="2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47</w:t>
            </w: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Borders>
              <w:bottom w:val="single" w:sz="8" w:color="E5FFFF"/>
            </w:tcBorders>
          </w:tcPr>
          <w:p>
            <w:pPr>
              <w:spacing w:after="0" w:line="202" w:lineRule="exact"/>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w:t>
            </w: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Cash &amp; Cash Equivalents</w:t>
            </w:r>
          </w:p>
        </w:tc>
        <w:tc>
          <w:tcPr>
            <w:tcW w:w="200" w:type="dxa"/>
            <w:vAlign w:val="bottom"/>
            <w:shd w:val="clear" w:color="auto" w:fill="E5FFFF"/>
          </w:tcPr>
          <w:p>
            <w:pPr>
              <w:spacing w:after="0"/>
              <w:rPr>
                <w:sz w:val="20"/>
                <w:szCs w:val="20"/>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18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Total Investments, at fair value</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16,707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Net assets of the Master Trust</w:t>
            </w:r>
          </w:p>
        </w:tc>
        <w:tc>
          <w:tcPr>
            <w:tcW w:w="2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16,707</w:t>
            </w:r>
          </w:p>
        </w:tc>
        <w:tc>
          <w:tcPr>
            <w:tcW w:w="600" w:type="dxa"/>
            <w:vAlign w:val="bottom"/>
            <w:gridSpan w:val="3"/>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Master Trust and the Plan’s interest in the Master Trust is comprised of the following types of investments, at fair value, as of</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December 31,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4"/>
              </w:rPr>
              <w:t>2024</w:t>
            </w: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3"/>
          </w:tcPr>
          <w:p>
            <w:pPr>
              <w:jc w:val="center"/>
              <w:ind w:right="140"/>
              <w:spacing w:after="0" w:line="177" w:lineRule="exact"/>
              <w:rPr>
                <w:sz w:val="20"/>
                <w:szCs w:val="20"/>
                <w:color w:val="auto"/>
              </w:rPr>
            </w:pPr>
            <w:r>
              <w:rPr>
                <w:rFonts w:ascii="Arial" w:cs="Arial" w:eastAsia="Arial" w:hAnsi="Arial"/>
                <w:sz w:val="18"/>
                <w:szCs w:val="18"/>
                <w:b w:val="1"/>
                <w:bCs w:val="1"/>
                <w:color w:val="auto"/>
                <w:w w:val="99"/>
              </w:rPr>
              <w:t>Plan’s Interest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rPr>
              <w:t>in Master</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6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Master Trust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w w:val="97"/>
              </w:rPr>
              <w:t>Trust</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Balances</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rPr>
              <w:t>Balances</w:t>
            </w: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4"/>
          </w:tcPr>
          <w:p>
            <w:pPr>
              <w:jc w:val="right"/>
              <w:ind w:right="350"/>
              <w:spacing w:after="0"/>
              <w:rPr>
                <w:sz w:val="20"/>
                <w:szCs w:val="20"/>
                <w:color w:val="auto"/>
              </w:rPr>
            </w:pPr>
            <w:r>
              <w:rPr>
                <w:rFonts w:ascii="Arial" w:cs="Arial" w:eastAsia="Arial" w:hAnsi="Arial"/>
                <w:sz w:val="18"/>
                <w:szCs w:val="18"/>
                <w:i w:val="1"/>
                <w:iCs w:val="1"/>
                <w:color w:val="auto"/>
              </w:rPr>
              <w:t>(dollars in millions)</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0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4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Collective Trust Funds</w:t>
            </w:r>
          </w:p>
        </w:tc>
        <w:tc>
          <w:tcPr>
            <w:tcW w:w="35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8,922</w:t>
            </w:r>
          </w:p>
        </w:tc>
        <w:tc>
          <w:tcPr>
            <w:tcW w:w="1440" w:type="dxa"/>
            <w:vAlign w:val="bottom"/>
            <w:gridSpan w:val="3"/>
            <w:shd w:val="clear" w:color="auto" w:fill="E5FFFF"/>
          </w:tcPr>
          <w:p>
            <w:pPr>
              <w:jc w:val="right"/>
              <w:ind w:right="79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52</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Exchange Traded Funds</w:t>
            </w: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Honeywell Common Stock</w:t>
            </w:r>
          </w:p>
        </w:tc>
        <w:tc>
          <w:tcPr>
            <w:tcW w:w="3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3,804</w:t>
            </w: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22</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Common Stocks (Separately Managed Portfolios)</w:t>
            </w: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Asset Backed Securities</w:t>
            </w:r>
          </w:p>
        </w:tc>
        <w:tc>
          <w:tcPr>
            <w:tcW w:w="3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293</w:t>
            </w: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Bank Deposits</w:t>
            </w: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Commercial Mortgage Backed Securities</w:t>
            </w:r>
          </w:p>
        </w:tc>
        <w:tc>
          <w:tcPr>
            <w:tcW w:w="3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Corporate Bonds</w:t>
            </w: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U.S. Government and Federal Agencies</w:t>
            </w:r>
          </w:p>
        </w:tc>
        <w:tc>
          <w:tcPr>
            <w:tcW w:w="3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58</w:t>
            </w: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Non-US Government</w:t>
            </w: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Commercial Paper</w:t>
            </w:r>
          </w:p>
        </w:tc>
        <w:tc>
          <w:tcPr>
            <w:tcW w:w="330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256</w:t>
            </w:r>
          </w:p>
        </w:tc>
        <w:tc>
          <w:tcPr>
            <w:tcW w:w="80" w:type="dxa"/>
            <w:vAlign w:val="bottom"/>
            <w:tcBorders>
              <w:bottom w:val="single" w:sz="8" w:color="auto"/>
            </w:tcBorders>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20" w:type="dxa"/>
            <w:vAlign w:val="bottom"/>
            <w:tcBorders>
              <w:bottom w:val="single" w:sz="8" w:color="auto"/>
            </w:tcBorders>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Total Investments, at fair value</w:t>
            </w:r>
          </w:p>
        </w:tc>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60" w:type="dxa"/>
            <w:vAlign w:val="bottom"/>
            <w:shd w:val="clear" w:color="auto" w:fill="E5FFFF"/>
          </w:tcPr>
          <w:p>
            <w:pPr>
              <w:ind w:left="200"/>
              <w:spacing w:after="0" w:line="202" w:lineRule="exact"/>
              <w:rPr>
                <w:sz w:val="20"/>
                <w:szCs w:val="20"/>
                <w:color w:val="auto"/>
              </w:rPr>
            </w:pPr>
            <w:r>
              <w:rPr>
                <w:rFonts w:ascii="Arial" w:cs="Arial" w:eastAsia="Arial" w:hAnsi="Arial"/>
                <w:sz w:val="18"/>
                <w:szCs w:val="18"/>
                <w:color w:val="auto"/>
              </w:rPr>
              <w:t>Net assets of the Master Trust</w:t>
            </w:r>
          </w:p>
        </w:tc>
        <w:tc>
          <w:tcPr>
            <w:tcW w:w="35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16,223</w:t>
            </w:r>
          </w:p>
        </w:tc>
        <w:tc>
          <w:tcPr>
            <w:tcW w:w="1440" w:type="dxa"/>
            <w:vAlign w:val="bottom"/>
            <w:gridSpan w:val="3"/>
            <w:shd w:val="clear" w:color="auto" w:fill="E5FFFF"/>
          </w:tcPr>
          <w:p>
            <w:pPr>
              <w:jc w:val="right"/>
              <w:ind w:right="79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93</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560" w:type="dxa"/>
            <w:vAlign w:val="bottom"/>
            <w:tcBorders>
              <w:top w:val="single" w:sz="8" w:color="E5FFFF"/>
            </w:tcBorders>
          </w:tcPr>
          <w:p>
            <w:pPr>
              <w:spacing w:after="0" w:line="20" w:lineRule="exact"/>
              <w:rPr>
                <w:sz w:val="1"/>
                <w:szCs w:val="1"/>
                <w:color w:val="auto"/>
              </w:rPr>
            </w:pPr>
          </w:p>
        </w:tc>
        <w:tc>
          <w:tcPr>
            <w:tcW w:w="3300" w:type="dxa"/>
            <w:vAlign w:val="bottom"/>
            <w:tcBorders>
              <w:top w:val="single" w:sz="8" w:color="E5FFFF"/>
              <w:bottom w:val="single" w:sz="8" w:color="E5FFFF"/>
            </w:tcBorders>
            <w:vMerge w:val="restart"/>
          </w:tcPr>
          <w:p>
            <w:pPr>
              <w:jc w:val="right"/>
              <w:ind w:right="2490"/>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00" w:type="dxa"/>
            <w:vAlign w:val="bottom"/>
            <w:tcBorders>
              <w:bottom w:val="single" w:sz="8" w:color="C0C0C0"/>
            </w:tcBorders>
          </w:tcPr>
          <w:p>
            <w:pPr>
              <w:spacing w:after="0"/>
              <w:rPr>
                <w:sz w:val="20"/>
                <w:szCs w:val="20"/>
                <w:color w:val="auto"/>
              </w:rPr>
            </w:pPr>
          </w:p>
        </w:tc>
        <w:tc>
          <w:tcPr>
            <w:tcW w:w="4560" w:type="dxa"/>
            <w:vAlign w:val="bottom"/>
            <w:tcBorders>
              <w:bottom w:val="single" w:sz="8" w:color="C0C0C0"/>
            </w:tcBorders>
          </w:tcPr>
          <w:p>
            <w:pPr>
              <w:spacing w:after="0"/>
              <w:rPr>
                <w:sz w:val="20"/>
                <w:szCs w:val="20"/>
                <w:color w:val="auto"/>
              </w:rPr>
            </w:pPr>
          </w:p>
        </w:tc>
        <w:tc>
          <w:tcPr>
            <w:tcW w:w="330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395" w:right="27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Honeywell Puerto Rico Savings Plan</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9560" w:type="dxa"/>
            <w:vAlign w:val="bottom"/>
            <w:gridSpan w:val="2"/>
          </w:tcPr>
          <w:p>
            <w:pPr>
              <w:spacing w:after="0"/>
              <w:rPr>
                <w:sz w:val="20"/>
                <w:szCs w:val="20"/>
                <w:color w:val="auto"/>
              </w:rPr>
            </w:pPr>
            <w:r>
              <w:rPr>
                <w:rFonts w:ascii="Arial" w:cs="Arial" w:eastAsia="Arial" w:hAnsi="Arial"/>
                <w:sz w:val="18"/>
                <w:szCs w:val="18"/>
                <w:color w:val="auto"/>
              </w:rPr>
              <w:t>The Master Trust’s net appreciation and investment income for the year-ended December 31, 2025 is as follows: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9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190"/>
              <w:spacing w:after="0" w:line="179" w:lineRule="exact"/>
              <w:rPr>
                <w:sz w:val="20"/>
                <w:szCs w:val="20"/>
                <w:color w:val="auto"/>
              </w:rPr>
            </w:pPr>
            <w:r>
              <w:rPr>
                <w:rFonts w:ascii="Arial" w:cs="Arial" w:eastAsia="Arial" w:hAnsi="Arial"/>
                <w:sz w:val="18"/>
                <w:szCs w:val="18"/>
                <w:i w:val="1"/>
                <w:iCs w:val="1"/>
                <w:color w:val="auto"/>
              </w:rPr>
              <w:t>(dollars in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i w:val="1"/>
                <w:iCs w:val="1"/>
                <w:color w:val="auto"/>
              </w:rPr>
              <w:t>millions)</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9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5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appreciation in fair value of investments</w:t>
            </w:r>
          </w:p>
        </w:tc>
        <w:tc>
          <w:tcPr>
            <w:tcW w:w="2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tcBorders>
              <w:bottom w:val="single" w:sz="8" w:color="E5FFFF"/>
            </w:tcBorders>
          </w:tcPr>
          <w:p>
            <w:pPr>
              <w:spacing w:after="0" w:line="202" w:lineRule="exact"/>
              <w:rPr>
                <w:sz w:val="20"/>
                <w:szCs w:val="20"/>
                <w:color w:val="auto"/>
              </w:rPr>
            </w:pPr>
            <w:r>
              <w:rPr>
                <w:rFonts w:ascii="Arial" w:cs="Arial" w:eastAsia="Arial" w:hAnsi="Arial"/>
                <w:sz w:val="18"/>
                <w:szCs w:val="18"/>
                <w:color w:val="auto"/>
              </w:rPr>
              <w:t>Dividend and interest income</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tcBorders>
              <w:bottom w:val="single" w:sz="8" w:color="E5FFFF"/>
            </w:tcBorders>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investment income and net appreciation</w:t>
            </w:r>
          </w:p>
        </w:tc>
        <w:tc>
          <w:tcPr>
            <w:tcW w:w="2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 Valuation and Income Recognition – Master Trust</w:t>
      </w:r>
    </w:p>
    <w:p>
      <w:pPr>
        <w:spacing w:after="0" w:line="14" w:lineRule="exact"/>
        <w:rPr>
          <w:sz w:val="20"/>
          <w:szCs w:val="20"/>
          <w:color w:val="auto"/>
        </w:rPr>
      </w:pPr>
    </w:p>
    <w:p>
      <w:pPr>
        <w:jc w:val="both"/>
        <w:ind w:left="340" w:right="60"/>
        <w:spacing w:after="0"/>
        <w:rPr>
          <w:sz w:val="20"/>
          <w:szCs w:val="20"/>
          <w:color w:val="auto"/>
        </w:rPr>
      </w:pPr>
      <w:r>
        <w:rPr>
          <w:rFonts w:ascii="Arial" w:cs="Arial" w:eastAsia="Arial" w:hAnsi="Arial"/>
          <w:sz w:val="18"/>
          <w:szCs w:val="18"/>
          <w:color w:val="auto"/>
        </w:rPr>
        <w:t>Master Trust investments are stated at fair value. Interest income is recorded on the accrual basis, and dividend income is recorded on the ex-dividend date. Purchases and sales of securities are recorded on a trade-date basis. Net appreciation/(depreciation) consists of both realized gains/(losses) on investments bought, sold and matured, as well as the change in unrealized gains/(losses) on investments held during the year.</w:t>
      </w:r>
    </w:p>
    <w:p>
      <w:pPr>
        <w:spacing w:after="0" w:line="167" w:lineRule="exact"/>
        <w:rPr>
          <w:sz w:val="20"/>
          <w:szCs w:val="20"/>
          <w:color w:val="auto"/>
        </w:rPr>
      </w:pPr>
    </w:p>
    <w:p>
      <w:pPr>
        <w:jc w:val="both"/>
        <w:ind w:left="340" w:right="60"/>
        <w:spacing w:after="0" w:line="247" w:lineRule="auto"/>
        <w:rPr>
          <w:sz w:val="20"/>
          <w:szCs w:val="20"/>
          <w:color w:val="auto"/>
        </w:rPr>
      </w:pPr>
      <w:r>
        <w:rPr>
          <w:rFonts w:ascii="Arial" w:cs="Arial" w:eastAsia="Arial" w:hAnsi="Arial"/>
          <w:sz w:val="18"/>
          <w:szCs w:val="18"/>
          <w:color w:val="auto"/>
        </w:rPr>
        <w:t>From time to time, investment managers may use derivative financial instruments including foreign exchange forward and futures contracts. Derivative instruments are used primarily to mitigate exposure to foreign exchange rate and interest rate fluctuations as well as manage the investment composition in the portfolio. The Master Trust held no derivative instruments as of December 31, 2025 and 2024.</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Determination of Fair Value</w:t>
      </w:r>
    </w:p>
    <w:p>
      <w:pPr>
        <w:spacing w:after="0" w:line="14" w:lineRule="exact"/>
        <w:rPr>
          <w:sz w:val="20"/>
          <w:szCs w:val="20"/>
          <w:color w:val="auto"/>
        </w:rPr>
      </w:pPr>
    </w:p>
    <w:p>
      <w:pPr>
        <w:jc w:val="both"/>
        <w:ind w:left="340" w:right="60"/>
        <w:spacing w:after="0" w:line="250" w:lineRule="auto"/>
        <w:rPr>
          <w:sz w:val="20"/>
          <w:szCs w:val="20"/>
          <w:color w:val="auto"/>
        </w:rPr>
      </w:pPr>
      <w:r>
        <w:rPr>
          <w:rFonts w:ascii="Arial" w:cs="Arial" w:eastAsia="Arial" w:hAnsi="Arial"/>
          <w:sz w:val="18"/>
          <w:szCs w:val="18"/>
          <w:color w:val="auto"/>
        </w:rPr>
        <w:t>The accounting guidance defines fair value as the price that would be received to sell an asset or paid to transfer a liability in an orderly transaction between market participants at the measurement date and establishes a framework for measuring fair value.</w:t>
      </w:r>
    </w:p>
    <w:p>
      <w:pPr>
        <w:spacing w:after="0" w:line="158" w:lineRule="exact"/>
        <w:rPr>
          <w:sz w:val="20"/>
          <w:szCs w:val="20"/>
          <w:color w:val="auto"/>
        </w:rPr>
      </w:pPr>
    </w:p>
    <w:p>
      <w:pPr>
        <w:jc w:val="both"/>
        <w:ind w:left="340" w:right="60"/>
        <w:spacing w:after="0" w:line="244" w:lineRule="auto"/>
        <w:rPr>
          <w:sz w:val="20"/>
          <w:szCs w:val="20"/>
          <w:color w:val="auto"/>
        </w:rPr>
      </w:pPr>
      <w:r>
        <w:rPr>
          <w:rFonts w:ascii="Arial" w:cs="Arial" w:eastAsia="Arial" w:hAnsi="Arial"/>
          <w:sz w:val="18"/>
          <w:szCs w:val="18"/>
          <w:color w:val="auto"/>
        </w:rPr>
        <w:t>The Master Trust valuation methodologies for assets and liabilities measured at fair value are described below. The methods described as follows may produce a fair value calculation that may not be indicative of net realizable value or reflective of future fair values. Furthermore, while the Master Trust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Valuation Hierarchy</w:t>
      </w:r>
    </w:p>
    <w:p>
      <w:pPr>
        <w:spacing w:after="0" w:line="14" w:lineRule="exact"/>
        <w:rPr>
          <w:sz w:val="20"/>
          <w:szCs w:val="20"/>
          <w:color w:val="auto"/>
        </w:rPr>
      </w:pPr>
    </w:p>
    <w:p>
      <w:pPr>
        <w:jc w:val="both"/>
        <w:ind w:left="340" w:right="60"/>
        <w:spacing w:after="0" w:line="242"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provides a framework for measuring fair value. The valuation hierarchy is based upon the transparency of inputs to the valuation of an asset or liability as of the measurement date. The three levels are defined as follows:</w:t>
      </w:r>
    </w:p>
    <w:p>
      <w:pPr>
        <w:spacing w:after="0" w:line="166" w:lineRule="exact"/>
        <w:rPr>
          <w:sz w:val="20"/>
          <w:szCs w:val="20"/>
          <w:color w:val="auto"/>
        </w:rPr>
      </w:pPr>
    </w:p>
    <w:p>
      <w:pPr>
        <w:ind w:left="660" w:hanging="32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prices (unadjusted) for identical assets or liabilities in active markets.</w:t>
      </w:r>
    </w:p>
    <w:p>
      <w:pPr>
        <w:spacing w:after="0" w:line="13" w:lineRule="exact"/>
        <w:rPr>
          <w:rFonts w:ascii="Arial" w:cs="Arial" w:eastAsia="Arial" w:hAnsi="Arial"/>
          <w:sz w:val="18"/>
          <w:szCs w:val="18"/>
          <w:color w:val="auto"/>
        </w:rPr>
      </w:pPr>
    </w:p>
    <w:p>
      <w:pPr>
        <w:ind w:left="660" w:hanging="323"/>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 quoted prices for similar assets or liabilities in active markets, and inputs that are observable for the asset or liability, either directly or indirectly, for substantially the full term of the financial instrument.</w:t>
      </w:r>
    </w:p>
    <w:p>
      <w:pPr>
        <w:spacing w:after="0" w:line="1" w:lineRule="exact"/>
        <w:rPr>
          <w:rFonts w:ascii="Arial" w:cs="Arial" w:eastAsia="Arial" w:hAnsi="Arial"/>
          <w:sz w:val="18"/>
          <w:szCs w:val="18"/>
          <w:color w:val="auto"/>
        </w:rPr>
      </w:pPr>
    </w:p>
    <w:p>
      <w:pPr>
        <w:ind w:left="660" w:hanging="32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and significant to the fair value measurement.</w:t>
      </w:r>
    </w:p>
    <w:p>
      <w:pPr>
        <w:spacing w:after="0" w:line="180" w:lineRule="exact"/>
        <w:rPr>
          <w:sz w:val="20"/>
          <w:szCs w:val="20"/>
          <w:color w:val="auto"/>
        </w:rPr>
      </w:pPr>
    </w:p>
    <w:p>
      <w:pPr>
        <w:jc w:val="both"/>
        <w:ind w:left="340" w:right="60"/>
        <w:spacing w:after="0" w:line="24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Valuation techniques used need to maximize the use of observable inputs and minimize the use of unobservable inputs. The hierarchy gives the highest priority to unadjusted quoted prices in active markets for identical assets or liabilities (Level 1 measurements) and the lowest priority to unobservable inputs (Level 3 measurements).</w:t>
      </w:r>
    </w:p>
    <w:p>
      <w:pPr>
        <w:spacing w:after="0" w:line="160" w:lineRule="exact"/>
        <w:rPr>
          <w:sz w:val="20"/>
          <w:szCs w:val="20"/>
          <w:color w:val="auto"/>
        </w:rPr>
      </w:pPr>
    </w:p>
    <w:p>
      <w:pPr>
        <w:jc w:val="both"/>
        <w:ind w:left="340" w:right="60"/>
        <w:spacing w:after="0" w:line="271" w:lineRule="auto"/>
        <w:rPr>
          <w:sz w:val="20"/>
          <w:szCs w:val="20"/>
          <w:color w:val="auto"/>
        </w:rPr>
      </w:pPr>
      <w:r>
        <w:rPr>
          <w:rFonts w:ascii="Arial" w:cs="Arial" w:eastAsia="Arial" w:hAnsi="Arial"/>
          <w:sz w:val="18"/>
          <w:szCs w:val="18"/>
          <w:color w:val="auto"/>
        </w:rPr>
        <w:t>The following is a description of the valuation methodologies used for financial instruments measured at fair value. There have been no changes in the methodologies used at December 31, 2025 and 2024.</w:t>
      </w:r>
    </w:p>
    <w:p>
      <w:pPr>
        <w:spacing w:after="0" w:line="12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80" w:top="395" w:right="279" w:bottom="1440" w:gutter="0" w:footer="0" w:header="0"/>
        </w:sectPr>
      </w:pPr>
    </w:p>
    <w:bookmarkStart w:id="10" w:name="page11"/>
    <w:bookmarkEnd w:id="10"/>
    <w:p>
      <w:pPr>
        <w:ind w:left="60"/>
        <w:spacing w:after="0"/>
        <w:rPr>
          <w:sz w:val="20"/>
          <w:szCs w:val="20"/>
          <w:color w:val="auto"/>
        </w:rPr>
      </w:pPr>
      <w:r>
        <w:rPr>
          <w:rFonts w:ascii="Arial" w:cs="Arial" w:eastAsia="Arial" w:hAnsi="Arial"/>
          <w:sz w:val="22"/>
          <w:szCs w:val="22"/>
          <w:b w:val="1"/>
          <w:bCs w:val="1"/>
          <w:color w:val="auto"/>
        </w:rPr>
        <w:t>Honeywell Puerto Rico Savings Plan</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Collective Trust Funds</w:t>
      </w:r>
    </w:p>
    <w:p>
      <w:pPr>
        <w:spacing w:after="0" w:line="12" w:lineRule="exact"/>
        <w:rPr>
          <w:sz w:val="20"/>
          <w:szCs w:val="20"/>
          <w:color w:val="auto"/>
        </w:rPr>
      </w:pPr>
    </w:p>
    <w:p>
      <w:pPr>
        <w:jc w:val="both"/>
        <w:ind w:left="400" w:right="60"/>
        <w:spacing w:after="0"/>
        <w:rPr>
          <w:sz w:val="20"/>
          <w:szCs w:val="20"/>
          <w:color w:val="auto"/>
        </w:rPr>
      </w:pPr>
      <w:r>
        <w:rPr>
          <w:rFonts w:ascii="Arial" w:cs="Arial" w:eastAsia="Arial" w:hAnsi="Arial"/>
          <w:sz w:val="18"/>
          <w:szCs w:val="18"/>
          <w:color w:val="auto"/>
        </w:rPr>
        <w:t>Collective Trust funds are investment vehicles utilized as or within the target date funds, equity index funds, investment grade bond fund, and global REIT fund. These funds permit daily subscriptions and redemption of units. These investments are valued using net asset values (“NAV”) provided by the administrator of the underlying fund. The NAV is based on the value of the underlying assets owned by the fund, less its liabilities, divided by the number of units outstanding.</w:t>
      </w:r>
    </w:p>
    <w:p>
      <w:pPr>
        <w:spacing w:after="0" w:line="167" w:lineRule="exact"/>
        <w:rPr>
          <w:sz w:val="20"/>
          <w:szCs w:val="20"/>
          <w:color w:val="auto"/>
        </w:rPr>
      </w:pPr>
    </w:p>
    <w:p>
      <w:pPr>
        <w:jc w:val="both"/>
        <w:ind w:left="400" w:right="60"/>
        <w:spacing w:after="0" w:line="253" w:lineRule="auto"/>
        <w:rPr>
          <w:sz w:val="20"/>
          <w:szCs w:val="20"/>
          <w:color w:val="auto"/>
        </w:rPr>
      </w:pPr>
      <w:r>
        <w:rPr>
          <w:rFonts w:ascii="Arial" w:cs="Arial" w:eastAsia="Arial" w:hAnsi="Arial"/>
          <w:sz w:val="18"/>
          <w:szCs w:val="18"/>
          <w:color w:val="auto"/>
        </w:rPr>
        <w:t>Collective Trust funds measured at fair value using NAV per share (or its equivalent) as a practical expedient have not been classified in the fair value hierarchy. The fair value amounts presented in the hierarchy tables for Collective Trust funds are intended to permit reconciliation of the Master Trust’s total investments, at fair value.</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Cash &amp; Cash Equivalents</w:t>
      </w:r>
    </w:p>
    <w:p>
      <w:pPr>
        <w:spacing w:after="0" w:line="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Cash &amp; cash equivalents represent interest-bearing cash amounts valued at cash plus interest earned.</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Honeywell International Inc. Common Stock, other Common Stocks and Exchange Traded Funds</w:t>
      </w:r>
    </w:p>
    <w:p>
      <w:pPr>
        <w:spacing w:after="0" w:line="12" w:lineRule="exact"/>
        <w:rPr>
          <w:sz w:val="20"/>
          <w:szCs w:val="20"/>
          <w:color w:val="auto"/>
        </w:rPr>
      </w:pPr>
    </w:p>
    <w:p>
      <w:pPr>
        <w:jc w:val="both"/>
        <w:ind w:left="400" w:right="60"/>
        <w:spacing w:after="0"/>
        <w:rPr>
          <w:sz w:val="20"/>
          <w:szCs w:val="20"/>
          <w:color w:val="auto"/>
        </w:rPr>
      </w:pPr>
      <w:r>
        <w:rPr>
          <w:rFonts w:ascii="Arial" w:cs="Arial" w:eastAsia="Arial" w:hAnsi="Arial"/>
          <w:sz w:val="18"/>
          <w:szCs w:val="18"/>
          <w:color w:val="auto"/>
        </w:rPr>
        <w:t>Honeywell International Inc. common stock is valued at the closing price reported on the National Association of Securities Dealers Automated Quotations (“NASDAQ”) Composite Transaction Tape. Other common stocks and exchange traded funds are valued at the closing price reported on the principal market on which the respective securities are traded. Honeywell International Inc. common stock, other common stocks and exchange traded funds are all classified within level 1 of the valuation hierarchy.</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Fixed Income Investments</w:t>
      </w:r>
    </w:p>
    <w:p>
      <w:pPr>
        <w:spacing w:after="0" w:line="12" w:lineRule="exact"/>
        <w:rPr>
          <w:sz w:val="20"/>
          <w:szCs w:val="20"/>
          <w:color w:val="auto"/>
        </w:rPr>
      </w:pPr>
    </w:p>
    <w:p>
      <w:pPr>
        <w:jc w:val="both"/>
        <w:ind w:left="400" w:right="60"/>
        <w:spacing w:after="0" w:line="238" w:lineRule="auto"/>
        <w:rPr>
          <w:sz w:val="20"/>
          <w:szCs w:val="20"/>
          <w:color w:val="auto"/>
        </w:rPr>
      </w:pPr>
      <w:r>
        <w:rPr>
          <w:rFonts w:ascii="Arial" w:cs="Arial" w:eastAsia="Arial" w:hAnsi="Arial"/>
          <w:sz w:val="18"/>
          <w:szCs w:val="18"/>
          <w:color w:val="auto"/>
        </w:rPr>
        <w:t>Fixed income securities (other than commercial mortgage backed securities) are valued at the regular close of trading on each valuation date at the evaluated bid prices supplied by pricing vendors or brokers, if any, whose prices reflect broker/dealer supplied valuations and electronic data processing techniques. Commercial mortgage backed securities are valued using pool-specific pricing. The pool-specific pricing is provided by the pricing vendors and typically they use Interactive Data for these investments. Fixed income securities, including corporate bonds, U.S. government and federal agencies, municipal bonds, Non-U.S. government, commercial paper, bank deposits, asset-backed securities and commercial mortgage backed securities are classified within Level 2 of the valuation hierarchy.</w:t>
      </w:r>
    </w:p>
    <w:p>
      <w:pPr>
        <w:spacing w:after="0" w:line="168" w:lineRule="exact"/>
        <w:rPr>
          <w:sz w:val="20"/>
          <w:szCs w:val="20"/>
          <w:color w:val="auto"/>
        </w:rPr>
      </w:pPr>
    </w:p>
    <w:p>
      <w:pPr>
        <w:jc w:val="both"/>
        <w:ind w:left="400" w:right="60"/>
        <w:spacing w:after="0" w:line="271" w:lineRule="auto"/>
        <w:rPr>
          <w:sz w:val="20"/>
          <w:szCs w:val="20"/>
          <w:color w:val="auto"/>
        </w:rPr>
      </w:pPr>
      <w:r>
        <w:rPr>
          <w:rFonts w:ascii="Arial" w:cs="Arial" w:eastAsia="Arial" w:hAnsi="Arial"/>
          <w:sz w:val="18"/>
          <w:szCs w:val="18"/>
          <w:color w:val="auto"/>
        </w:rPr>
        <w:t>The following tables present the Master Trust’s assets measured at fair value as of December 31, 2025 and 2024, by the fair value hierarchy.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4"/>
              </w:rPr>
              <w:t>2025</w:t>
            </w: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80"/>
              <w:spacing w:after="0" w:line="196" w:lineRule="exact"/>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Level 3</w:t>
            </w: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40"/>
              <w:spacing w:after="0" w:line="196"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4"/>
          </w:tcPr>
          <w:p>
            <w:pPr>
              <w:jc w:val="right"/>
              <w:ind w:right="370"/>
              <w:spacing w:after="0"/>
              <w:rPr>
                <w:sz w:val="20"/>
                <w:szCs w:val="20"/>
                <w:color w:val="auto"/>
              </w:rPr>
            </w:pPr>
            <w:r>
              <w:rPr>
                <w:rFonts w:ascii="Arial" w:cs="Arial" w:eastAsia="Arial" w:hAnsi="Arial"/>
                <w:sz w:val="18"/>
                <w:szCs w:val="18"/>
                <w:i w:val="1"/>
                <w:iCs w:val="1"/>
                <w:color w:val="auto"/>
              </w:rPr>
              <w:t>(dollars in millions)</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00" w:type="dxa"/>
            <w:vAlign w:val="bottom"/>
            <w:vMerge w:val="restart"/>
          </w:tcPr>
          <w:p>
            <w:pPr>
              <w:spacing w:after="0"/>
              <w:rPr>
                <w:sz w:val="14"/>
                <w:szCs w:val="14"/>
                <w:color w:val="auto"/>
              </w:rPr>
            </w:pPr>
          </w:p>
        </w:tc>
        <w:tc>
          <w:tcPr>
            <w:tcW w:w="4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45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37</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E5FFFF"/>
          </w:tcPr>
          <w:p>
            <w:pPr>
              <w:jc w:val="right"/>
              <w:ind w:right="81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37</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Common Stocks</w:t>
            </w:r>
          </w:p>
        </w:tc>
        <w:tc>
          <w:tcPr>
            <w:tcW w:w="22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4,549</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4,549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Exchange Traded Funds</w:t>
            </w: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18</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Fixed Income Investments: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80" w:type="dxa"/>
            <w:vAlign w:val="bottom"/>
            <w:shd w:val="clear" w:color="auto" w:fill="E5FFFF"/>
          </w:tcPr>
          <w:p>
            <w:pPr>
              <w:ind w:left="200"/>
              <w:spacing w:after="0" w:line="202" w:lineRule="exact"/>
              <w:rPr>
                <w:sz w:val="20"/>
                <w:szCs w:val="20"/>
                <w:color w:val="auto"/>
              </w:rPr>
            </w:pPr>
            <w:r>
              <w:rPr>
                <w:rFonts w:ascii="Arial" w:cs="Arial" w:eastAsia="Arial" w:hAnsi="Arial"/>
                <w:sz w:val="18"/>
                <w:szCs w:val="18"/>
                <w:color w:val="auto"/>
              </w:rPr>
              <w:t>Asset Backed Securities</w:t>
            </w: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279</w:t>
            </w:r>
          </w:p>
        </w:tc>
        <w:tc>
          <w:tcPr>
            <w:tcW w:w="1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279</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80" w:type="dxa"/>
            <w:vAlign w:val="bottom"/>
          </w:tcPr>
          <w:p>
            <w:pPr>
              <w:ind w:left="200"/>
              <w:spacing w:after="0" w:line="202" w:lineRule="exact"/>
              <w:rPr>
                <w:sz w:val="20"/>
                <w:szCs w:val="20"/>
                <w:color w:val="auto"/>
              </w:rPr>
            </w:pPr>
            <w:r>
              <w:rPr>
                <w:rFonts w:ascii="Arial" w:cs="Arial" w:eastAsia="Arial" w:hAnsi="Arial"/>
                <w:sz w:val="18"/>
                <w:szCs w:val="18"/>
                <w:color w:val="auto"/>
              </w:rPr>
              <w:t>Bank Deposits</w:t>
            </w:r>
          </w:p>
        </w:tc>
        <w:tc>
          <w:tcPr>
            <w:tcW w:w="22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80" w:type="dxa"/>
            <w:vAlign w:val="bottom"/>
            <w:shd w:val="clear" w:color="auto" w:fill="E5FFFF"/>
          </w:tcPr>
          <w:p>
            <w:pPr>
              <w:ind w:left="200"/>
              <w:spacing w:after="0" w:line="202" w:lineRule="exact"/>
              <w:rPr>
                <w:sz w:val="20"/>
                <w:szCs w:val="20"/>
                <w:color w:val="auto"/>
              </w:rPr>
            </w:pPr>
            <w:r>
              <w:rPr>
                <w:rFonts w:ascii="Arial" w:cs="Arial" w:eastAsia="Arial" w:hAnsi="Arial"/>
                <w:sz w:val="18"/>
                <w:szCs w:val="18"/>
                <w:color w:val="auto"/>
              </w:rPr>
              <w:t>Commercial Mortgage Backed Securities</w:t>
            </w: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80" w:type="dxa"/>
            <w:vAlign w:val="bottom"/>
          </w:tcPr>
          <w:p>
            <w:pPr>
              <w:ind w:left="20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80" w:type="dxa"/>
            <w:vAlign w:val="bottom"/>
            <w:shd w:val="clear" w:color="auto" w:fill="E5FFFF"/>
          </w:tcPr>
          <w:p>
            <w:pPr>
              <w:ind w:left="200"/>
              <w:spacing w:after="0" w:line="202" w:lineRule="exact"/>
              <w:rPr>
                <w:sz w:val="20"/>
                <w:szCs w:val="20"/>
                <w:color w:val="auto"/>
              </w:rPr>
            </w:pPr>
            <w:r>
              <w:rPr>
                <w:rFonts w:ascii="Arial" w:cs="Arial" w:eastAsia="Arial" w:hAnsi="Arial"/>
                <w:sz w:val="18"/>
                <w:szCs w:val="18"/>
                <w:color w:val="auto"/>
              </w:rPr>
              <w:t>U.S. Government and Federal Agencies</w:t>
            </w: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174</w:t>
            </w:r>
          </w:p>
        </w:tc>
        <w:tc>
          <w:tcPr>
            <w:tcW w:w="1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174</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80" w:type="dxa"/>
            <w:vAlign w:val="bottom"/>
          </w:tcPr>
          <w:p>
            <w:pPr>
              <w:ind w:left="200"/>
              <w:spacing w:after="0" w:line="202" w:lineRule="exact"/>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80" w:type="dxa"/>
            <w:vAlign w:val="bottom"/>
            <w:shd w:val="clear" w:color="auto" w:fill="E5FFFF"/>
          </w:tcPr>
          <w:p>
            <w:pPr>
              <w:ind w:left="200"/>
              <w:spacing w:after="0" w:line="202" w:lineRule="exact"/>
              <w:rPr>
                <w:sz w:val="20"/>
                <w:szCs w:val="20"/>
                <w:color w:val="auto"/>
              </w:rPr>
            </w:pPr>
            <w:r>
              <w:rPr>
                <w:rFonts w:ascii="Arial" w:cs="Arial" w:eastAsia="Arial" w:hAnsi="Arial"/>
                <w:sz w:val="18"/>
                <w:szCs w:val="18"/>
                <w:color w:val="auto"/>
              </w:rPr>
              <w:t>Non-US Government</w:t>
            </w: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47</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580" w:type="dxa"/>
            <w:vAlign w:val="bottom"/>
            <w:tcBorders>
              <w:bottom w:val="single" w:sz="8" w:color="E5FFFF"/>
            </w:tcBorders>
          </w:tcPr>
          <w:p>
            <w:pPr>
              <w:ind w:left="200"/>
              <w:spacing w:after="0" w:line="202" w:lineRule="exact"/>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E5FF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7"/>
                <w:szCs w:val="17"/>
                <w:color w:val="auto"/>
              </w:rPr>
            </w:pPr>
          </w:p>
        </w:tc>
        <w:tc>
          <w:tcPr>
            <w:tcW w:w="260" w:type="dxa"/>
            <w:vAlign w:val="bottom"/>
            <w:tcBorders>
              <w:bottom w:val="single" w:sz="8" w:color="E5FFFF"/>
            </w:tcBorders>
          </w:tcPr>
          <w:p>
            <w:pPr>
              <w:spacing w:after="0"/>
              <w:rPr>
                <w:sz w:val="17"/>
                <w:szCs w:val="17"/>
                <w:color w:val="auto"/>
              </w:rPr>
            </w:pPr>
          </w:p>
        </w:tc>
        <w:tc>
          <w:tcPr>
            <w:tcW w:w="1020" w:type="dxa"/>
            <w:vAlign w:val="bottom"/>
            <w:tcBorders>
              <w:bottom w:val="single" w:sz="8" w:color="E5FFFF"/>
            </w:tcBorders>
          </w:tcPr>
          <w:p>
            <w:pPr>
              <w:jc w:val="right"/>
              <w:spacing w:after="0" w:line="202" w:lineRule="exact"/>
              <w:rPr>
                <w:sz w:val="20"/>
                <w:szCs w:val="20"/>
                <w:color w:val="auto"/>
              </w:rPr>
            </w:pPr>
            <w:r>
              <w:rPr>
                <w:rFonts w:ascii="Arial" w:cs="Arial" w:eastAsia="Arial" w:hAnsi="Arial"/>
                <w:sz w:val="18"/>
                <w:szCs w:val="18"/>
                <w:color w:val="auto"/>
              </w:rPr>
              <w:t>292</w:t>
            </w:r>
          </w:p>
        </w:tc>
        <w:tc>
          <w:tcPr>
            <w:tcW w:w="6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458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4,604</w:t>
            </w:r>
          </w:p>
        </w:tc>
        <w:tc>
          <w:tcPr>
            <w:tcW w:w="32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1,687</w:t>
            </w:r>
          </w:p>
        </w:tc>
        <w:tc>
          <w:tcPr>
            <w:tcW w:w="100" w:type="dxa"/>
            <w:vAlign w:val="bottom"/>
            <w:tcBorders>
              <w:bottom w:val="single" w:sz="8" w:color="auto"/>
            </w:tcBorders>
            <w:shd w:val="clear" w:color="auto" w:fill="E5FFFF"/>
          </w:tcPr>
          <w:p>
            <w:pPr>
              <w:spacing w:after="0"/>
              <w:rPr>
                <w:sz w:val="17"/>
                <w:szCs w:val="17"/>
                <w:color w:val="auto"/>
              </w:rPr>
            </w:pPr>
          </w:p>
        </w:tc>
        <w:tc>
          <w:tcPr>
            <w:tcW w:w="320" w:type="dxa"/>
            <w:vAlign w:val="bottom"/>
            <w:tcBorders>
              <w:bottom w:val="single" w:sz="8" w:color="E5FFFF"/>
            </w:tcBorders>
            <w:shd w:val="clear" w:color="auto" w:fill="E5FFFF"/>
          </w:tcPr>
          <w:p>
            <w:pPr>
              <w:spacing w:after="0"/>
              <w:rPr>
                <w:sz w:val="17"/>
                <w:szCs w:val="17"/>
                <w:color w:val="auto"/>
              </w:rPr>
            </w:pPr>
          </w:p>
        </w:tc>
        <w:tc>
          <w:tcPr>
            <w:tcW w:w="1040" w:type="dxa"/>
            <w:vAlign w:val="bottom"/>
            <w:tcBorders>
              <w:bottom w:val="single" w:sz="8" w:color="auto"/>
            </w:tcBorders>
            <w:shd w:val="clear" w:color="auto" w:fill="E5FFFF"/>
          </w:tcPr>
          <w:p>
            <w:pPr>
              <w:jc w:val="right"/>
              <w:ind w:right="81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E5FFFF"/>
            </w:tcBorders>
            <w:shd w:val="clear" w:color="auto" w:fill="E5FFFF"/>
          </w:tcPr>
          <w:p>
            <w:pPr>
              <w:spacing w:after="0"/>
              <w:rPr>
                <w:sz w:val="17"/>
                <w:szCs w:val="17"/>
                <w:color w:val="auto"/>
              </w:rPr>
            </w:pPr>
          </w:p>
        </w:tc>
        <w:tc>
          <w:tcPr>
            <w:tcW w:w="1020" w:type="dxa"/>
            <w:vAlign w:val="bottom"/>
            <w:tcBorders>
              <w:bottom w:val="single" w:sz="8" w:color="E5FFFF"/>
            </w:tcBorders>
            <w:shd w:val="clear" w:color="auto" w:fill="E5FFFF"/>
          </w:tcPr>
          <w:p>
            <w:pPr>
              <w:spacing w:after="0"/>
              <w:rPr>
                <w:sz w:val="17"/>
                <w:szCs w:val="17"/>
                <w:color w:val="auto"/>
              </w:rPr>
            </w:pPr>
          </w:p>
        </w:tc>
        <w:tc>
          <w:tcPr>
            <w:tcW w:w="6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400"/>
              <w:spacing w:after="0"/>
              <w:rPr>
                <w:sz w:val="20"/>
                <w:szCs w:val="20"/>
                <w:color w:val="auto"/>
              </w:rPr>
            </w:pPr>
            <w:r>
              <w:rPr>
                <w:rFonts w:ascii="Arial" w:cs="Arial" w:eastAsia="Arial" w:hAnsi="Arial"/>
                <w:sz w:val="18"/>
                <w:szCs w:val="18"/>
                <w:color w:val="auto"/>
              </w:rPr>
              <w:t>Collective Trust Funds</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10,154</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4580" w:type="dxa"/>
            <w:vAlign w:val="bottom"/>
            <w:tcBorders>
              <w:top w:val="single" w:sz="8" w:color="E5FFFF"/>
              <w:bottom w:val="single" w:sz="8" w:color="E5FFFF"/>
            </w:tcBorders>
            <w:shd w:val="clear" w:color="auto" w:fill="E5FFFF"/>
          </w:tcPr>
          <w:p>
            <w:pPr>
              <w:ind w:left="540"/>
              <w:spacing w:after="0" w:line="196" w:lineRule="exact"/>
              <w:rPr>
                <w:sz w:val="20"/>
                <w:szCs w:val="20"/>
                <w:color w:val="auto"/>
              </w:rPr>
            </w:pPr>
            <w:r>
              <w:rPr>
                <w:rFonts w:ascii="Arial" w:cs="Arial" w:eastAsia="Arial" w:hAnsi="Arial"/>
                <w:sz w:val="18"/>
                <w:szCs w:val="18"/>
                <w:b w:val="1"/>
                <w:bCs w:val="1"/>
                <w:color w:val="auto"/>
              </w:rPr>
              <w:t>Total Investments</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120" w:type="dxa"/>
            <w:vAlign w:val="bottom"/>
            <w:tcBorders>
              <w:top w:val="single" w:sz="8" w:color="E5FFFF"/>
              <w:bottom w:val="single" w:sz="8" w:color="E5FFFF"/>
            </w:tcBorders>
            <w:shd w:val="clear" w:color="auto" w:fill="E5FFFF"/>
          </w:tcPr>
          <w:p>
            <w:pPr>
              <w:spacing w:after="0"/>
              <w:rPr>
                <w:sz w:val="17"/>
                <w:szCs w:val="17"/>
                <w:color w:val="auto"/>
              </w:rPr>
            </w:pPr>
          </w:p>
        </w:tc>
        <w:tc>
          <w:tcPr>
            <w:tcW w:w="320" w:type="dxa"/>
            <w:vAlign w:val="bottom"/>
            <w:tcBorders>
              <w:top w:val="single" w:sz="8" w:color="E5FFFF"/>
              <w:bottom w:val="single" w:sz="8" w:color="E5FFFF"/>
            </w:tcBorders>
            <w:shd w:val="clear" w:color="auto" w:fill="E5FFFF"/>
          </w:tcPr>
          <w:p>
            <w:pPr>
              <w:spacing w:after="0"/>
              <w:rPr>
                <w:sz w:val="17"/>
                <w:szCs w:val="17"/>
                <w:color w:val="auto"/>
              </w:rPr>
            </w:pP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02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320" w:type="dxa"/>
            <w:vAlign w:val="bottom"/>
            <w:tcBorders>
              <w:top w:val="single" w:sz="8" w:color="E5FFFF"/>
              <w:bottom w:val="single" w:sz="8" w:color="E5FFFF"/>
            </w:tcBorders>
            <w:shd w:val="clear" w:color="auto" w:fill="E5FFFF"/>
          </w:tcPr>
          <w:p>
            <w:pPr>
              <w:spacing w:after="0"/>
              <w:rPr>
                <w:sz w:val="17"/>
                <w:szCs w:val="17"/>
                <w:color w:val="auto"/>
              </w:rPr>
            </w:pPr>
          </w:p>
        </w:tc>
        <w:tc>
          <w:tcPr>
            <w:tcW w:w="1040" w:type="dxa"/>
            <w:vAlign w:val="bottom"/>
            <w:tcBorders>
              <w:top w:val="single" w:sz="8" w:color="E5FFFF"/>
              <w:bottom w:val="single" w:sz="8" w:color="E5FFFF"/>
            </w:tcBorders>
            <w:shd w:val="clear" w:color="auto" w:fill="E5FFFF"/>
          </w:tcPr>
          <w:p>
            <w:pPr>
              <w:spacing w:after="0"/>
              <w:rPr>
                <w:sz w:val="17"/>
                <w:szCs w:val="17"/>
                <w:color w:val="auto"/>
              </w:rPr>
            </w:pP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320" w:type="dxa"/>
            <w:vAlign w:val="bottom"/>
            <w:tcBorders>
              <w:top w:val="single" w:sz="8" w:color="E5FFFF"/>
              <w:bottom w:val="single" w:sz="8" w:color="E5FFFF"/>
            </w:tcBorders>
            <w:shd w:val="clear" w:color="auto" w:fill="E5FFFF"/>
          </w:tcPr>
          <w:p>
            <w:pPr>
              <w:spacing w:after="0"/>
              <w:rPr>
                <w:sz w:val="17"/>
                <w:szCs w:val="17"/>
                <w:color w:val="auto"/>
              </w:rPr>
            </w:pPr>
          </w:p>
        </w:tc>
        <w:tc>
          <w:tcPr>
            <w:tcW w:w="260" w:type="dxa"/>
            <w:vAlign w:val="bottom"/>
            <w:tcBorders>
              <w:top w:val="single" w:sz="8" w:color="auto"/>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16,707</w:t>
            </w:r>
          </w:p>
        </w:tc>
        <w:tc>
          <w:tcPr>
            <w:tcW w:w="60" w:type="dxa"/>
            <w:vAlign w:val="bottom"/>
            <w:tcBorders>
              <w:top w:val="single" w:sz="8" w:color="auto"/>
              <w:bottom w:val="single" w:sz="8" w:color="auto"/>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vMerge w:val="restart"/>
          </w:tcPr>
          <w:p>
            <w:pPr>
              <w:jc w:val="right"/>
              <w:ind w:right="51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00" w:type="dxa"/>
            <w:vAlign w:val="bottom"/>
            <w:tcBorders>
              <w:bottom w:val="single" w:sz="8" w:color="C0C0C0"/>
            </w:tcBorders>
          </w:tcPr>
          <w:p>
            <w:pPr>
              <w:spacing w:after="0"/>
              <w:rPr>
                <w:sz w:val="20"/>
                <w:szCs w:val="20"/>
                <w:color w:val="auto"/>
              </w:rPr>
            </w:pPr>
          </w:p>
        </w:tc>
        <w:tc>
          <w:tcPr>
            <w:tcW w:w="458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1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04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395" w:right="279" w:bottom="1440" w:gutter="0" w:footer="0" w:header="0"/>
        </w:sectPr>
      </w:pPr>
    </w:p>
    <w:bookmarkStart w:id="11" w:name="page12"/>
    <w:bookmarkEnd w:id="11"/>
    <w:p>
      <w:pPr>
        <w:ind w:left="60"/>
        <w:spacing w:after="0"/>
        <w:rPr>
          <w:sz w:val="20"/>
          <w:szCs w:val="20"/>
          <w:color w:val="auto"/>
        </w:rPr>
      </w:pPr>
      <w:r>
        <w:rPr>
          <w:rFonts w:ascii="Arial" w:cs="Arial" w:eastAsia="Arial" w:hAnsi="Arial"/>
          <w:sz w:val="22"/>
          <w:szCs w:val="22"/>
          <w:b w:val="1"/>
          <w:bCs w:val="1"/>
          <w:color w:val="auto"/>
        </w:rPr>
        <w:t>Honeywell Puerto Rico Savings Plan</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4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4"/>
              </w:rPr>
              <w:t>2024</w:t>
            </w: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80"/>
              <w:spacing w:after="0" w:line="196" w:lineRule="exact"/>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Level 3</w:t>
            </w: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4"/>
          </w:tcPr>
          <w:p>
            <w:pPr>
              <w:jc w:val="right"/>
              <w:ind w:right="370"/>
              <w:spacing w:after="0"/>
              <w:rPr>
                <w:sz w:val="20"/>
                <w:szCs w:val="20"/>
                <w:color w:val="auto"/>
              </w:rPr>
            </w:pPr>
            <w:r>
              <w:rPr>
                <w:rFonts w:ascii="Arial" w:cs="Arial" w:eastAsia="Arial" w:hAnsi="Arial"/>
                <w:sz w:val="18"/>
                <w:szCs w:val="18"/>
                <w:i w:val="1"/>
                <w:iCs w:val="1"/>
                <w:color w:val="auto"/>
              </w:rPr>
              <w:t>(dollars in millions)</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Common Stocks</w:t>
            </w:r>
          </w:p>
        </w:tc>
        <w:tc>
          <w:tcPr>
            <w:tcW w:w="2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5,228</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E5FFFF"/>
          </w:tcPr>
          <w:p>
            <w:pPr>
              <w:jc w:val="right"/>
              <w:ind w:right="81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Exchange Traded Funds</w:t>
            </w:r>
          </w:p>
        </w:tc>
        <w:tc>
          <w:tcPr>
            <w:tcW w:w="22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305</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Fixed Income Investments:</w:t>
            </w: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180"/>
              <w:spacing w:after="0" w:line="202" w:lineRule="exact"/>
              <w:rPr>
                <w:sz w:val="20"/>
                <w:szCs w:val="20"/>
                <w:color w:val="auto"/>
              </w:rPr>
            </w:pPr>
            <w:r>
              <w:rPr>
                <w:rFonts w:ascii="Arial" w:cs="Arial" w:eastAsia="Arial" w:hAnsi="Arial"/>
                <w:sz w:val="18"/>
                <w:szCs w:val="18"/>
                <w:color w:val="auto"/>
              </w:rPr>
              <w:t>Asset Backed Securities</w:t>
            </w:r>
          </w:p>
        </w:tc>
        <w:tc>
          <w:tcPr>
            <w:tcW w:w="22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Bank Deposits</w:t>
            </w: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425</w:t>
            </w:r>
          </w:p>
        </w:tc>
        <w:tc>
          <w:tcPr>
            <w:tcW w:w="1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180"/>
              <w:spacing w:after="0" w:line="202" w:lineRule="exact"/>
              <w:rPr>
                <w:sz w:val="20"/>
                <w:szCs w:val="20"/>
                <w:color w:val="auto"/>
              </w:rPr>
            </w:pPr>
            <w:r>
              <w:rPr>
                <w:rFonts w:ascii="Arial" w:cs="Arial" w:eastAsia="Arial" w:hAnsi="Arial"/>
                <w:sz w:val="18"/>
                <w:szCs w:val="18"/>
                <w:color w:val="auto"/>
              </w:rPr>
              <w:t>Commercial Mortgage Backed Securities</w:t>
            </w:r>
          </w:p>
        </w:tc>
        <w:tc>
          <w:tcPr>
            <w:tcW w:w="22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602</w:t>
            </w:r>
          </w:p>
        </w:tc>
        <w:tc>
          <w:tcPr>
            <w:tcW w:w="1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180"/>
              <w:spacing w:after="0" w:line="202" w:lineRule="exact"/>
              <w:rPr>
                <w:sz w:val="20"/>
                <w:szCs w:val="20"/>
                <w:color w:val="auto"/>
              </w:rPr>
            </w:pPr>
            <w:r>
              <w:rPr>
                <w:rFonts w:ascii="Arial" w:cs="Arial" w:eastAsia="Arial" w:hAnsi="Arial"/>
                <w:sz w:val="18"/>
                <w:szCs w:val="18"/>
                <w:color w:val="auto"/>
              </w:rPr>
              <w:t>U.S. Government and Federal Agencies</w:t>
            </w:r>
          </w:p>
        </w:tc>
        <w:tc>
          <w:tcPr>
            <w:tcW w:w="22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Non-US Government</w:t>
            </w: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127</w:t>
            </w:r>
          </w:p>
        </w:tc>
        <w:tc>
          <w:tcPr>
            <w:tcW w:w="1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Borders>
              <w:bottom w:val="single" w:sz="8" w:color="E5FFFF"/>
            </w:tcBorders>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256</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E5FF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7"/>
                <w:szCs w:val="17"/>
                <w:color w:val="auto"/>
              </w:rPr>
            </w:pPr>
          </w:p>
        </w:tc>
        <w:tc>
          <w:tcPr>
            <w:tcW w:w="260" w:type="dxa"/>
            <w:vAlign w:val="bottom"/>
            <w:tcBorders>
              <w:bottom w:val="single" w:sz="8" w:color="E5FFFF"/>
            </w:tcBorders>
          </w:tcPr>
          <w:p>
            <w:pPr>
              <w:spacing w:after="0"/>
              <w:rPr>
                <w:sz w:val="17"/>
                <w:szCs w:val="17"/>
                <w:color w:val="auto"/>
              </w:rPr>
            </w:pPr>
          </w:p>
        </w:tc>
        <w:tc>
          <w:tcPr>
            <w:tcW w:w="1080" w:type="dxa"/>
            <w:vAlign w:val="bottom"/>
            <w:tcBorders>
              <w:bottom w:val="single" w:sz="8" w:color="E5FFFF"/>
            </w:tcBorders>
          </w:tcPr>
          <w:p>
            <w:pPr>
              <w:jc w:val="right"/>
              <w:ind w:right="30"/>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5,533</w:t>
            </w:r>
          </w:p>
        </w:tc>
        <w:tc>
          <w:tcPr>
            <w:tcW w:w="32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1,768</w:t>
            </w:r>
          </w:p>
        </w:tc>
        <w:tc>
          <w:tcPr>
            <w:tcW w:w="100" w:type="dxa"/>
            <w:vAlign w:val="bottom"/>
            <w:tcBorders>
              <w:bottom w:val="single" w:sz="8" w:color="auto"/>
            </w:tcBorders>
            <w:shd w:val="clear" w:color="auto" w:fill="E5FFFF"/>
          </w:tcPr>
          <w:p>
            <w:pPr>
              <w:spacing w:after="0"/>
              <w:rPr>
                <w:sz w:val="17"/>
                <w:szCs w:val="17"/>
                <w:color w:val="auto"/>
              </w:rPr>
            </w:pPr>
          </w:p>
        </w:tc>
        <w:tc>
          <w:tcPr>
            <w:tcW w:w="320" w:type="dxa"/>
            <w:vAlign w:val="bottom"/>
            <w:tcBorders>
              <w:bottom w:val="single" w:sz="8" w:color="E5FFFF"/>
            </w:tcBorders>
            <w:shd w:val="clear" w:color="auto" w:fill="E5FFFF"/>
          </w:tcPr>
          <w:p>
            <w:pPr>
              <w:spacing w:after="0"/>
              <w:rPr>
                <w:sz w:val="17"/>
                <w:szCs w:val="17"/>
                <w:color w:val="auto"/>
              </w:rPr>
            </w:pPr>
          </w:p>
        </w:tc>
        <w:tc>
          <w:tcPr>
            <w:tcW w:w="1040" w:type="dxa"/>
            <w:vAlign w:val="bottom"/>
            <w:tcBorders>
              <w:bottom w:val="single" w:sz="8" w:color="auto"/>
            </w:tcBorders>
            <w:shd w:val="clear" w:color="auto" w:fill="E5FFFF"/>
          </w:tcPr>
          <w:p>
            <w:pPr>
              <w:jc w:val="right"/>
              <w:ind w:right="81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E5FFFF"/>
            </w:tcBorders>
            <w:shd w:val="clear" w:color="auto" w:fill="E5FFFF"/>
          </w:tcPr>
          <w:p>
            <w:pPr>
              <w:spacing w:after="0"/>
              <w:rPr>
                <w:sz w:val="17"/>
                <w:szCs w:val="17"/>
                <w:color w:val="auto"/>
              </w:rPr>
            </w:pPr>
          </w:p>
        </w:tc>
        <w:tc>
          <w:tcPr>
            <w:tcW w:w="10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Collective Trust Funds</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8,922</w:t>
            </w:r>
          </w:p>
        </w:tc>
        <w:tc>
          <w:tcPr>
            <w:tcW w:w="0" w:type="dxa"/>
            <w:vAlign w:val="bottom"/>
          </w:tcPr>
          <w:p>
            <w:pPr>
              <w:spacing w:after="0" w:line="20" w:lineRule="exact"/>
              <w:rPr>
                <w:sz w:val="1"/>
                <w:szCs w:val="1"/>
                <w:color w:val="auto"/>
              </w:rPr>
            </w:pPr>
          </w:p>
        </w:tc>
      </w:tr>
      <w:tr>
        <w:trPr>
          <w:trHeight w:val="386"/>
        </w:trPr>
        <w:tc>
          <w:tcPr>
            <w:tcW w:w="45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E5FFFF"/>
              <w:bottom w:val="single" w:sz="8" w:color="E5FFFF"/>
            </w:tcBorders>
            <w:shd w:val="clear" w:color="auto" w:fill="E5FFFF"/>
          </w:tcPr>
          <w:p>
            <w:pPr>
              <w:ind w:left="520"/>
              <w:spacing w:after="0" w:line="196" w:lineRule="exact"/>
              <w:rPr>
                <w:sz w:val="20"/>
                <w:szCs w:val="20"/>
                <w:color w:val="auto"/>
              </w:rPr>
            </w:pPr>
            <w:r>
              <w:rPr>
                <w:rFonts w:ascii="Arial" w:cs="Arial" w:eastAsia="Arial" w:hAnsi="Arial"/>
                <w:sz w:val="18"/>
                <w:szCs w:val="18"/>
                <w:b w:val="1"/>
                <w:bCs w:val="1"/>
                <w:color w:val="auto"/>
              </w:rPr>
              <w:t>Total Investments</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120" w:type="dxa"/>
            <w:vAlign w:val="bottom"/>
            <w:tcBorders>
              <w:top w:val="single" w:sz="8" w:color="E5FFFF"/>
              <w:bottom w:val="single" w:sz="8" w:color="E5FFFF"/>
            </w:tcBorders>
            <w:shd w:val="clear" w:color="auto" w:fill="E5FFFF"/>
          </w:tcPr>
          <w:p>
            <w:pPr>
              <w:spacing w:after="0"/>
              <w:rPr>
                <w:sz w:val="17"/>
                <w:szCs w:val="17"/>
                <w:color w:val="auto"/>
              </w:rPr>
            </w:pPr>
          </w:p>
        </w:tc>
        <w:tc>
          <w:tcPr>
            <w:tcW w:w="320" w:type="dxa"/>
            <w:vAlign w:val="bottom"/>
            <w:tcBorders>
              <w:top w:val="single" w:sz="8" w:color="E5FFFF"/>
              <w:bottom w:val="single" w:sz="8" w:color="E5FFFF"/>
            </w:tcBorders>
            <w:shd w:val="clear" w:color="auto" w:fill="E5FFFF"/>
          </w:tcPr>
          <w:p>
            <w:pPr>
              <w:spacing w:after="0"/>
              <w:rPr>
                <w:sz w:val="17"/>
                <w:szCs w:val="17"/>
                <w:color w:val="auto"/>
              </w:rPr>
            </w:pP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02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320" w:type="dxa"/>
            <w:vAlign w:val="bottom"/>
            <w:tcBorders>
              <w:top w:val="single" w:sz="8" w:color="E5FFFF"/>
              <w:bottom w:val="single" w:sz="8" w:color="E5FFFF"/>
            </w:tcBorders>
            <w:shd w:val="clear" w:color="auto" w:fill="E5FFFF"/>
          </w:tcPr>
          <w:p>
            <w:pPr>
              <w:spacing w:after="0"/>
              <w:rPr>
                <w:sz w:val="17"/>
                <w:szCs w:val="17"/>
                <w:color w:val="auto"/>
              </w:rPr>
            </w:pPr>
          </w:p>
        </w:tc>
        <w:tc>
          <w:tcPr>
            <w:tcW w:w="1040" w:type="dxa"/>
            <w:vAlign w:val="bottom"/>
            <w:tcBorders>
              <w:top w:val="single" w:sz="8" w:color="E5FFFF"/>
              <w:bottom w:val="single" w:sz="8" w:color="E5FFFF"/>
            </w:tcBorders>
            <w:shd w:val="clear" w:color="auto" w:fill="E5FFFF"/>
          </w:tcPr>
          <w:p>
            <w:pPr>
              <w:spacing w:after="0"/>
              <w:rPr>
                <w:sz w:val="17"/>
                <w:szCs w:val="17"/>
                <w:color w:val="auto"/>
              </w:rPr>
            </w:pP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320" w:type="dxa"/>
            <w:vAlign w:val="bottom"/>
            <w:tcBorders>
              <w:top w:val="single" w:sz="8" w:color="E5FFFF"/>
              <w:bottom w:val="single" w:sz="8" w:color="E5FFFF"/>
            </w:tcBorders>
            <w:shd w:val="clear" w:color="auto" w:fill="E5FFFF"/>
          </w:tcPr>
          <w:p>
            <w:pPr>
              <w:spacing w:after="0"/>
              <w:rPr>
                <w:sz w:val="17"/>
                <w:szCs w:val="17"/>
                <w:color w:val="auto"/>
              </w:rPr>
            </w:pPr>
          </w:p>
        </w:tc>
        <w:tc>
          <w:tcPr>
            <w:tcW w:w="260" w:type="dxa"/>
            <w:vAlign w:val="bottom"/>
            <w:tcBorders>
              <w:top w:val="single" w:sz="8" w:color="auto"/>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16,223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5.</w:t>
        <w:tab/>
        <w:t>Nonparticipant-Directed Investments</w:t>
      </w:r>
    </w:p>
    <w:p>
      <w:pPr>
        <w:spacing w:after="0" w:line="198" w:lineRule="exact"/>
        <w:rPr>
          <w:sz w:val="20"/>
          <w:szCs w:val="20"/>
          <w:color w:val="auto"/>
        </w:rPr>
      </w:pPr>
    </w:p>
    <w:p>
      <w:pPr>
        <w:jc w:val="both"/>
        <w:ind w:left="420" w:right="60"/>
        <w:spacing w:after="0" w:line="253" w:lineRule="auto"/>
        <w:rPr>
          <w:sz w:val="20"/>
          <w:szCs w:val="20"/>
          <w:color w:val="auto"/>
        </w:rPr>
      </w:pPr>
      <w:r>
        <w:rPr>
          <w:rFonts w:ascii="Arial" w:cs="Arial" w:eastAsia="Arial" w:hAnsi="Arial"/>
          <w:sz w:val="18"/>
          <w:szCs w:val="18"/>
          <w:color w:val="auto"/>
        </w:rPr>
        <w:t>The Plan provides for both participant-directed and nonparticipant-directed investment programs. Employer matching contributions are initially invested in the Company’s common stock, which is a nonparticipant-directed investment option. Participants may subsequently transfer these amounts to other investment options at their discretion once vested.</w:t>
      </w:r>
    </w:p>
    <w:p>
      <w:pPr>
        <w:spacing w:after="0" w:line="155" w:lineRule="exact"/>
        <w:rPr>
          <w:sz w:val="20"/>
          <w:szCs w:val="20"/>
          <w:color w:val="auto"/>
        </w:rPr>
      </w:pPr>
    </w:p>
    <w:p>
      <w:pPr>
        <w:jc w:val="both"/>
        <w:ind w:left="420" w:right="60"/>
        <w:spacing w:after="0" w:line="271" w:lineRule="auto"/>
        <w:rPr>
          <w:sz w:val="20"/>
          <w:szCs w:val="20"/>
          <w:color w:val="auto"/>
        </w:rPr>
      </w:pPr>
      <w:r>
        <w:rPr>
          <w:rFonts w:ascii="Arial" w:cs="Arial" w:eastAsia="Arial" w:hAnsi="Arial"/>
          <w:sz w:val="18"/>
          <w:szCs w:val="18"/>
          <w:color w:val="auto"/>
        </w:rPr>
        <w:t>Information about the net assets and the significant components of the changes in net assets relating to the nonparticipant-directed investments as of and for the year ended December 31, 2025, is as follows:</w:t>
      </w:r>
    </w:p>
    <w:p>
      <w:pPr>
        <w:spacing w:after="0" w:line="140" w:lineRule="exact"/>
        <w:rPr>
          <w:sz w:val="20"/>
          <w:szCs w:val="20"/>
          <w:color w:val="auto"/>
        </w:rPr>
      </w:pPr>
    </w:p>
    <w:tbl>
      <w:tblPr>
        <w:tblLayout w:type="fixed"/>
        <w:tblInd w:w="4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9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30"/>
              <w:spacing w:after="0" w:line="179" w:lineRule="exact"/>
              <w:rPr>
                <w:sz w:val="20"/>
                <w:szCs w:val="20"/>
                <w:color w:val="auto"/>
              </w:rPr>
            </w:pPr>
            <w:r>
              <w:rPr>
                <w:rFonts w:ascii="Arial" w:cs="Arial" w:eastAsia="Arial" w:hAnsi="Arial"/>
                <w:sz w:val="18"/>
                <w:szCs w:val="18"/>
                <w:i w:val="1"/>
                <w:iCs w:val="1"/>
                <w:color w:val="auto"/>
                <w:w w:val="99"/>
              </w:rPr>
              <w:t>(dollars in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rPr>
              <w:t>thousands)</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9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58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Net assets:</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Honeywell Common Stock Fund</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22,820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9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58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Changes in net assets:</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80" w:type="dxa"/>
            <w:vAlign w:val="bottom"/>
          </w:tcPr>
          <w:p>
            <w:pPr>
              <w:spacing w:after="0" w:line="202" w:lineRule="exact"/>
              <w:rPr>
                <w:sz w:val="20"/>
                <w:szCs w:val="20"/>
                <w:color w:val="auto"/>
              </w:rPr>
            </w:pPr>
            <w:r>
              <w:rPr>
                <w:rFonts w:ascii="Arial" w:cs="Arial" w:eastAsia="Arial" w:hAnsi="Arial"/>
                <w:sz w:val="18"/>
                <w:szCs w:val="18"/>
                <w:color w:val="auto"/>
              </w:rPr>
              <w:t>Net (depreciation)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Dividends</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502</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80" w:type="dxa"/>
            <w:vAlign w:val="bottom"/>
          </w:tcPr>
          <w:p>
            <w:pPr>
              <w:spacing w:after="0" w:line="202" w:lineRule="exact"/>
              <w:rPr>
                <w:sz w:val="20"/>
                <w:szCs w:val="20"/>
                <w:color w:val="auto"/>
              </w:rPr>
            </w:pPr>
            <w:r>
              <w:rPr>
                <w:rFonts w:ascii="Arial" w:cs="Arial" w:eastAsia="Arial" w:hAnsi="Arial"/>
                <w:sz w:val="18"/>
                <w:szCs w:val="18"/>
                <w:color w:val="auto"/>
              </w:rPr>
              <w:t>Employer Contributions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2,293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Participant Contributions</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788</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80" w:type="dxa"/>
            <w:vAlign w:val="bottom"/>
          </w:tcPr>
          <w:p>
            <w:pPr>
              <w:spacing w:after="0" w:line="202" w:lineRule="exact"/>
              <w:rPr>
                <w:sz w:val="20"/>
                <w:szCs w:val="20"/>
                <w:color w:val="auto"/>
              </w:rPr>
            </w:pPr>
            <w:r>
              <w:rPr>
                <w:rFonts w:ascii="Arial" w:cs="Arial" w:eastAsia="Arial" w:hAnsi="Arial"/>
                <w:sz w:val="18"/>
                <w:szCs w:val="18"/>
                <w:color w:val="auto"/>
              </w:rPr>
              <w:t>Roll-over Contributions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Benefits Paid to Participants</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80" w:type="dxa"/>
            <w:vAlign w:val="bottom"/>
          </w:tcPr>
          <w:p>
            <w:pPr>
              <w:spacing w:after="0" w:line="202" w:lineRule="exact"/>
              <w:rPr>
                <w:sz w:val="20"/>
                <w:szCs w:val="20"/>
                <w:color w:val="auto"/>
              </w:rPr>
            </w:pPr>
            <w:r>
              <w:rPr>
                <w:rFonts w:ascii="Arial" w:cs="Arial" w:eastAsia="Arial" w:hAnsi="Arial"/>
                <w:sz w:val="18"/>
                <w:szCs w:val="18"/>
                <w:color w:val="auto"/>
              </w:rPr>
              <w:t>Plan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E5FFFF"/>
          </w:tcPr>
          <w:p>
            <w:pPr>
              <w:spacing w:after="0"/>
              <w:rPr>
                <w:sz w:val="20"/>
                <w:szCs w:val="20"/>
                <w:color w:val="auto"/>
              </w:rPr>
            </w:pPr>
            <w:r>
              <w:rPr>
                <w:rFonts w:ascii="Arial" w:cs="Arial" w:eastAsia="Arial" w:hAnsi="Arial"/>
                <w:sz w:val="18"/>
                <w:szCs w:val="18"/>
                <w:color w:val="auto"/>
              </w:rPr>
              <w:t>Net transfers to participant-directed investments</w:t>
            </w:r>
          </w:p>
        </w:tc>
        <w:tc>
          <w:tcPr>
            <w:tcW w:w="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118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Net change</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and Exempt Party-In-Interest Transactions</w:t>
      </w:r>
    </w:p>
    <w:p>
      <w:pPr>
        <w:spacing w:after="0" w:line="198" w:lineRule="exact"/>
        <w:rPr>
          <w:rFonts w:ascii="Arial" w:cs="Arial" w:eastAsia="Arial" w:hAnsi="Arial"/>
          <w:sz w:val="18"/>
          <w:szCs w:val="18"/>
          <w:b w:val="1"/>
          <w:bCs w:val="1"/>
          <w:color w:val="auto"/>
        </w:rPr>
      </w:pPr>
    </w:p>
    <w:p>
      <w:pPr>
        <w:jc w:val="both"/>
        <w:ind w:left="400" w:right="6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The Master Trust is invested in the Company’s common stock which qualifies as an exempt party-in-interest transaction. During the year ended December 31, 2025, the Master Trust’s investment in the Company’s common stock included purchases of approximately $187 million, sales of approximately $516 million, realized gains of approximately $241 million (realized gains of approximately $2 million by the Plan), unrealized gain of approximately $579 million and dividend income of approximately $79 million. The Master Trust invests in short term investment funds managed by the Custodian. These related transactions qualify as an exempt party-in-interest transactions.</w:t>
      </w:r>
    </w:p>
    <w:p>
      <w:pPr>
        <w:spacing w:after="0" w:line="162" w:lineRule="exact"/>
        <w:rPr>
          <w:rFonts w:ascii="Arial" w:cs="Arial" w:eastAsia="Arial" w:hAnsi="Arial"/>
          <w:sz w:val="18"/>
          <w:szCs w:val="18"/>
          <w:b w:val="1"/>
          <w:bCs w:val="1"/>
          <w:color w:val="auto"/>
        </w:rPr>
      </w:pPr>
    </w:p>
    <w:p>
      <w:pPr>
        <w:jc w:val="both"/>
        <w:ind w:left="400"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is both the plan sponsor and a party to the Master Trust, therefore the Master Trust investment and the Plan’s interest of $23 million in the Company’s common stock qualifies as a related party transaction, along with the dividend income of $502 thousand earned by the Plan on this investment.</w:t>
      </w:r>
    </w:p>
    <w:p>
      <w:pPr>
        <w:spacing w:after="0" w:line="155" w:lineRule="exact"/>
        <w:rPr>
          <w:rFonts w:ascii="Arial" w:cs="Arial" w:eastAsia="Arial" w:hAnsi="Arial"/>
          <w:sz w:val="18"/>
          <w:szCs w:val="18"/>
          <w:b w:val="1"/>
          <w:bCs w:val="1"/>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98" w:lineRule="exact"/>
        <w:rPr>
          <w:rFonts w:ascii="Arial" w:cs="Arial" w:eastAsia="Arial" w:hAnsi="Arial"/>
          <w:sz w:val="18"/>
          <w:szCs w:val="18"/>
          <w:b w:val="1"/>
          <w:bCs w:val="1"/>
          <w:color w:val="auto"/>
        </w:rPr>
      </w:pPr>
    </w:p>
    <w:p>
      <w:pPr>
        <w:jc w:val="both"/>
        <w:ind w:left="400" w:right="60"/>
        <w:spacing w:after="0"/>
        <w:rPr>
          <w:rFonts w:ascii="Arial" w:cs="Arial" w:eastAsia="Arial" w:hAnsi="Arial"/>
          <w:sz w:val="18"/>
          <w:szCs w:val="18"/>
          <w:b w:val="1"/>
          <w:bCs w:val="1"/>
          <w:color w:val="auto"/>
        </w:rPr>
      </w:pPr>
      <w:r>
        <w:rPr>
          <w:rFonts w:ascii="Arial" w:cs="Arial" w:eastAsia="Arial" w:hAnsi="Arial"/>
          <w:sz w:val="18"/>
          <w:szCs w:val="18"/>
          <w:color w:val="auto"/>
        </w:rPr>
        <w:t>The Plan provides for various investment options. Investment securities are exposed to certain risks, such as interest rate, market, liquidity and credit risks. Due to the level of risk associated with certain investment securities, it is at least reasonably possible that changes in the value of investment securities will occur in the near term and that such changes could materially affect participants’ account balances and the amounts reported in the statements of net assets available for benefits and the statement of changes in net assets available for benefits. The Plan’s exposure to a concentration of credit risk is limited by the opportunity to diversify investments across multiple participant-directed fund elections including active and passively managed funds covering multiple asset classes. Additionally, the investments within each participant-directed fund election are further diversified into varied financial instruments, with the exception of the Honeywell Common Stock Fund, which primarily invests in a single security.</w:t>
      </w:r>
    </w:p>
    <w:p>
      <w:pPr>
        <w:spacing w:after="0" w:line="166" w:lineRule="exact"/>
        <w:rPr>
          <w:rFonts w:ascii="Arial" w:cs="Arial" w:eastAsia="Arial" w:hAnsi="Arial"/>
          <w:sz w:val="18"/>
          <w:szCs w:val="18"/>
          <w:b w:val="1"/>
          <w:bCs w:val="1"/>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198" w:lineRule="exact"/>
        <w:rPr>
          <w:rFonts w:ascii="Arial" w:cs="Arial" w:eastAsia="Arial" w:hAnsi="Arial"/>
          <w:sz w:val="18"/>
          <w:szCs w:val="18"/>
          <w:b w:val="1"/>
          <w:bCs w:val="1"/>
          <w:color w:val="auto"/>
        </w:rPr>
      </w:pPr>
    </w:p>
    <w:p>
      <w:pPr>
        <w:jc w:val="both"/>
        <w:ind w:left="400" w:right="6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Plan is designed and intended to be qualified under Section 1165 of the Puerto Rico Internal Revenue Code of 1994, as amended (the “1994 PR Code”), and Section 1081.01(a) of the Internal Revenue Code for a New Puerto Rico, Act No. 1 of January 14, 2011, as amended from time to time (the “2011 PR Code”). The Plan has received a favorable determination letter from the Puerto Rico Treasury Department as to its qualified status under the 1994 PR Code and the 2011 PR Code. The Trust associated with the Plan is intended to</w:t>
      </w:r>
    </w:p>
    <w:p>
      <w:pPr>
        <w:sectPr>
          <w:pgSz w:w="11900" w:h="16838" w:orient="portrait"/>
          <w:cols w:equalWidth="0" w:num="1">
            <w:col w:w="11300"/>
          </w:cols>
          <w:pgMar w:left="320" w:top="395" w:right="279" w:bottom="0" w:gutter="0" w:footer="0" w:header="0"/>
        </w:sectPr>
      </w:pPr>
    </w:p>
    <w:bookmarkStart w:id="12" w:name="page13"/>
    <w:bookmarkEnd w:id="12"/>
    <w:p>
      <w:pPr>
        <w:spacing w:after="0" w:line="270" w:lineRule="auto"/>
        <w:rPr>
          <w:sz w:val="20"/>
          <w:szCs w:val="20"/>
          <w:color w:val="auto"/>
        </w:rPr>
      </w:pPr>
      <w:r>
        <w:rPr>
          <w:rFonts w:ascii="Arial" w:cs="Arial" w:eastAsia="Arial" w:hAnsi="Arial"/>
          <w:sz w:val="18"/>
          <w:szCs w:val="18"/>
          <w:color w:val="auto"/>
        </w:rPr>
        <w:t>be exempt from Puerto Rico income taxation. Pursuant to the provisions of Section 1165(a) of the 1994 PR Code and Section 1081.01(a) of the 2011 PR Code,</w:t>
      </w:r>
    </w:p>
    <w:p>
      <w:pPr>
        <w:spacing w:after="0" w:line="11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146050</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720" w:top="122" w:right="359" w:bottom="1440" w:gutter="0" w:footer="0" w:header="0"/>
        </w:sectPr>
      </w:pPr>
    </w:p>
    <w:bookmarkStart w:id="13" w:name="page14"/>
    <w:bookmarkEnd w:id="13"/>
    <w:p>
      <w:pPr>
        <w:ind w:left="60"/>
        <w:spacing w:after="0"/>
        <w:rPr>
          <w:sz w:val="20"/>
          <w:szCs w:val="20"/>
          <w:color w:val="auto"/>
        </w:rPr>
      </w:pPr>
      <w:r>
        <w:rPr>
          <w:rFonts w:ascii="Arial" w:cs="Arial" w:eastAsia="Arial" w:hAnsi="Arial"/>
          <w:sz w:val="22"/>
          <w:szCs w:val="22"/>
          <w:b w:val="1"/>
          <w:bCs w:val="1"/>
          <w:color w:val="auto"/>
        </w:rPr>
        <w:t>Honeywell Puerto Rico Savings Plan</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pursuant to Section 1022(i)(1) of ERISA, for United States income tax purposes, the Plan’s Master Trust is to be considered as an organization as described in Section 401(a) of the U.S. Internal Revenue Code of 1986, as amended (the “U.S. Code”), and exempt under Section 501(a) of the U.S. Code. Accordingly, no provision for income taxes has been made.</w:t>
      </w:r>
    </w:p>
    <w:p>
      <w:pPr>
        <w:spacing w:after="0" w:line="155" w:lineRule="exact"/>
        <w:rPr>
          <w:sz w:val="20"/>
          <w:szCs w:val="20"/>
          <w:color w:val="auto"/>
        </w:rPr>
      </w:pPr>
    </w:p>
    <w:p>
      <w:pPr>
        <w:jc w:val="both"/>
        <w:ind w:left="400"/>
        <w:spacing w:after="0" w:line="244" w:lineRule="auto"/>
        <w:rPr>
          <w:sz w:val="20"/>
          <w:szCs w:val="20"/>
          <w:color w:val="auto"/>
        </w:rPr>
      </w:pPr>
      <w:r>
        <w:rPr>
          <w:rFonts w:ascii="Arial" w:cs="Arial" w:eastAsia="Arial" w:hAnsi="Arial"/>
          <w:sz w:val="18"/>
          <w:szCs w:val="18"/>
          <w:color w:val="auto"/>
        </w:rPr>
        <w:t>U.S. GAAP requires plan management to evaluate tax positions taken by the Plan and recognize a tax liability if the Plan has taken an uncertain position that more likely than not would not be sustained upon examination by the Puerto Rico Treasury Department. As of December 31, 2025 and 2024, the Company has analyzed the tax positions by the Plan and has concluded that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w:t>
      </w:r>
    </w:p>
    <w:p>
      <w:pPr>
        <w:spacing w:after="0" w:line="163"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(Unaudited)</w:t>
      </w:r>
    </w:p>
    <w:p>
      <w:pPr>
        <w:spacing w:after="0" w:line="198" w:lineRule="exact"/>
        <w:rPr>
          <w:sz w:val="20"/>
          <w:szCs w:val="20"/>
          <w:color w:val="auto"/>
        </w:rPr>
      </w:pPr>
    </w:p>
    <w:p>
      <w:pPr>
        <w:jc w:val="both"/>
        <w:ind w:left="400"/>
        <w:spacing w:after="0" w:line="242" w:lineRule="auto"/>
        <w:rPr>
          <w:sz w:val="20"/>
          <w:szCs w:val="20"/>
          <w:color w:val="auto"/>
        </w:rPr>
      </w:pPr>
      <w:r>
        <w:rPr>
          <w:rFonts w:ascii="Arial" w:cs="Arial" w:eastAsia="Arial" w:hAnsi="Arial"/>
          <w:sz w:val="18"/>
          <w:szCs w:val="18"/>
          <w:color w:val="auto"/>
        </w:rPr>
        <w:t>The Plan has evaluated subsequent events through the date the financial statements were issued and has identified the following events requiring disclosure. Effective April 1, 2026, in anticipation of the spin-off of Honeywell Aerospace Inc. from the Company, which is expected to be finalized on June 29, 2026, active participants expected to be employed by the new Honeywell Aerospace Inc. entity (or its Puerto Rican subsidiary) following the spin-off ceased participation in the Plan and became participants of the Honeywell Aerospace Puerto Rico Savings Plan (the “Aerospace PR Plan”). In connection with this transfer, $83,125 thousand of account balances of such participants will transfer from the Master Trust to the master trust of the Aerospace PR Plan.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Plan Administrator has duly caused this Annual Report to be signed on its behalf by the undersigned hereunto duly authorized.</w:t>
      </w:r>
    </w:p>
    <w:p>
      <w:pPr>
        <w:spacing w:after="0" w:line="140"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Honeywell Puerto Rico Savings Plan</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/s/Clifford Kenyon</w:t>
      </w:r>
    </w:p>
    <w:p>
      <w:pPr>
        <w:spacing w:after="0" w:line="14"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Clifford Kenyon</w:t>
      </w:r>
    </w:p>
    <w:p>
      <w:pPr>
        <w:spacing w:after="0" w:line="180"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Vice President, Total Rewards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2026</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I</w:t>
      </w:r>
    </w:p>
    <w:p>
      <w:pPr>
        <w:spacing w:after="0" w:line="207"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Deloitte &amp; Touche LLP</w:t>
      </w:r>
    </w:p>
    <w:p>
      <w:pPr>
        <w:spacing w:after="0" w:line="15" w:lineRule="exact"/>
        <w:rPr>
          <w:sz w:val="20"/>
          <w:szCs w:val="20"/>
          <w:color w:val="auto"/>
        </w:rPr>
      </w:pPr>
    </w:p>
    <w:p>
      <w:pPr>
        <w:ind w:left="9000"/>
        <w:spacing w:after="0"/>
        <w:rPr>
          <w:sz w:val="20"/>
          <w:szCs w:val="20"/>
          <w:color w:val="auto"/>
        </w:rPr>
      </w:pPr>
      <w:r>
        <w:rPr>
          <w:rFonts w:ascii="Arial" w:cs="Arial" w:eastAsia="Arial" w:hAnsi="Arial"/>
          <w:sz w:val="14"/>
          <w:szCs w:val="14"/>
          <w:color w:val="041218"/>
        </w:rPr>
        <w:t>650 S. Tryon Street</w:t>
      </w:r>
    </w:p>
    <w:p>
      <w:pPr>
        <w:spacing w:after="0" w:line="1" w:lineRule="exact"/>
        <w:rPr>
          <w:sz w:val="20"/>
          <w:szCs w:val="20"/>
          <w:color w:val="auto"/>
        </w:rPr>
      </w:pPr>
    </w:p>
    <w:p>
      <w:pPr>
        <w:ind w:left="9000"/>
        <w:spacing w:after="0"/>
        <w:rPr>
          <w:sz w:val="20"/>
          <w:szCs w:val="20"/>
          <w:color w:val="auto"/>
        </w:rPr>
      </w:pPr>
      <w:r>
        <w:rPr>
          <w:rFonts w:ascii="Arial" w:cs="Arial" w:eastAsia="Arial" w:hAnsi="Arial"/>
          <w:sz w:val="14"/>
          <w:szCs w:val="14"/>
          <w:color w:val="041218"/>
        </w:rPr>
        <w:t>Suite 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705610" cy="360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05610" cy="360045"/>
                    </a:xfrm>
                    <a:prstGeom prst="rect">
                      <a:avLst/>
                    </a:prstGeom>
                    <a:noFill/>
                  </pic:spPr>
                </pic:pic>
              </a:graphicData>
            </a:graphic>
          </wp:anchor>
        </w:drawing>
      </w:r>
    </w:p>
    <w:p>
      <w:pPr>
        <w:ind w:left="9000"/>
        <w:spacing w:after="0"/>
        <w:rPr>
          <w:sz w:val="20"/>
          <w:szCs w:val="20"/>
          <w:color w:val="auto"/>
        </w:rPr>
      </w:pPr>
      <w:r>
        <w:rPr>
          <w:rFonts w:ascii="Arial" w:cs="Arial" w:eastAsia="Arial" w:hAnsi="Arial"/>
          <w:sz w:val="14"/>
          <w:szCs w:val="14"/>
          <w:color w:val="041218"/>
        </w:rPr>
        <w:t>Charlotte, NC 28202</w:t>
      </w:r>
    </w:p>
    <w:p>
      <w:pPr>
        <w:spacing w:after="0" w:line="1" w:lineRule="exact"/>
        <w:rPr>
          <w:sz w:val="20"/>
          <w:szCs w:val="20"/>
          <w:color w:val="auto"/>
        </w:rPr>
      </w:pPr>
    </w:p>
    <w:p>
      <w:pPr>
        <w:ind w:left="9000"/>
        <w:spacing w:after="0"/>
        <w:rPr>
          <w:sz w:val="20"/>
          <w:szCs w:val="20"/>
          <w:color w:val="auto"/>
        </w:rPr>
      </w:pPr>
      <w:r>
        <w:rPr>
          <w:rFonts w:ascii="Arial" w:cs="Arial" w:eastAsia="Arial" w:hAnsi="Arial"/>
          <w:sz w:val="14"/>
          <w:szCs w:val="14"/>
          <w:color w:val="041218"/>
        </w:rPr>
        <w:t>USA</w:t>
      </w:r>
    </w:p>
    <w:p>
      <w:pPr>
        <w:spacing w:after="0" w:line="149" w:lineRule="exact"/>
        <w:rPr>
          <w:sz w:val="20"/>
          <w:szCs w:val="20"/>
          <w:color w:val="auto"/>
        </w:rPr>
      </w:pPr>
    </w:p>
    <w:p>
      <w:pPr>
        <w:ind w:left="9000"/>
        <w:spacing w:after="0"/>
        <w:tabs>
          <w:tab w:leader="none" w:pos="9320" w:val="left"/>
        </w:tabs>
        <w:rPr>
          <w:sz w:val="20"/>
          <w:szCs w:val="20"/>
          <w:color w:val="auto"/>
        </w:rPr>
      </w:pPr>
      <w:r>
        <w:rPr>
          <w:rFonts w:ascii="Arial" w:cs="Arial" w:eastAsia="Arial" w:hAnsi="Arial"/>
          <w:sz w:val="14"/>
          <w:szCs w:val="14"/>
          <w:color w:val="041218"/>
        </w:rPr>
        <w:t>Tel:</w:t>
        <w:tab/>
        <w:t>(704) 887-1500</w:t>
      </w:r>
    </w:p>
    <w:p>
      <w:pPr>
        <w:spacing w:after="0" w:line="15" w:lineRule="exact"/>
        <w:rPr>
          <w:sz w:val="20"/>
          <w:szCs w:val="20"/>
          <w:color w:val="auto"/>
        </w:rPr>
      </w:pPr>
    </w:p>
    <w:p>
      <w:pPr>
        <w:ind w:left="9000"/>
        <w:spacing w:after="0"/>
        <w:rPr>
          <w:sz w:val="20"/>
          <w:szCs w:val="20"/>
          <w:color w:val="auto"/>
        </w:rPr>
      </w:pPr>
      <w:r>
        <w:rPr>
          <w:rFonts w:ascii="Arial" w:cs="Arial" w:eastAsia="Arial" w:hAnsi="Arial"/>
          <w:sz w:val="14"/>
          <w:szCs w:val="14"/>
          <w:color w:val="041218"/>
        </w:rPr>
        <w:t>Fax: (704) 887-1631</w:t>
      </w:r>
    </w:p>
    <w:p>
      <w:pPr>
        <w:spacing w:after="0" w:line="1" w:lineRule="exact"/>
        <w:rPr>
          <w:sz w:val="20"/>
          <w:szCs w:val="20"/>
          <w:color w:val="auto"/>
        </w:rPr>
      </w:pPr>
    </w:p>
    <w:p>
      <w:pPr>
        <w:ind w:left="9000"/>
        <w:spacing w:after="0"/>
        <w:rPr>
          <w:sz w:val="20"/>
          <w:szCs w:val="20"/>
          <w:color w:val="auto"/>
        </w:rPr>
      </w:pPr>
      <w:r>
        <w:rPr>
          <w:rFonts w:ascii="Arial" w:cs="Arial" w:eastAsia="Arial" w:hAnsi="Arial"/>
          <w:sz w:val="14"/>
          <w:szCs w:val="14"/>
          <w:u w:val="single" w:color="auto"/>
          <w:color w:val="0563C2"/>
        </w:rPr>
        <w:t>www.deloitte.com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16" w:lineRule="exact"/>
        <w:rPr>
          <w:sz w:val="20"/>
          <w:szCs w:val="20"/>
          <w:color w:val="auto"/>
        </w:rPr>
      </w:pPr>
    </w:p>
    <w:p>
      <w:pPr>
        <w:jc w:val="both"/>
        <w:ind w:right="140"/>
        <w:spacing w:after="0" w:line="243" w:lineRule="auto"/>
        <w:rPr>
          <w:sz w:val="20"/>
          <w:szCs w:val="20"/>
          <w:color w:val="auto"/>
        </w:rPr>
      </w:pPr>
      <w:r>
        <w:rPr>
          <w:rFonts w:ascii="Arial" w:cs="Arial" w:eastAsia="Arial" w:hAnsi="Arial"/>
          <w:sz w:val="20"/>
          <w:szCs w:val="20"/>
          <w:color w:val="auto"/>
        </w:rPr>
        <w:t>We consent to the incorporation by reference in Registration Statement No. 333-228733 on Form S-8 of our report dated June 26, 2026, relating to the financial statements of Honeywell Puerto Rico Savings Plan, appearing in this Annual Report on Form 11-K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2237105" cy="462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3710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color w:val="auto"/>
        </w:rPr>
        <w:t>June 26, 2026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6" w:name="page17"/>
    <w:bookmarkEnd w:id="16"/>
    <w:p>
      <w:pPr>
        <w:ind w:left="9000"/>
        <w:spacing w:after="0"/>
        <w:rPr>
          <w:sz w:val="20"/>
          <w:szCs w:val="20"/>
          <w:color w:val="auto"/>
        </w:rPr>
      </w:pPr>
      <w:r>
        <w:rPr>
          <w:rFonts w:ascii="Arial" w:cs="Arial" w:eastAsia="Arial" w:hAnsi="Arial"/>
          <w:sz w:val="13"/>
          <w:szCs w:val="13"/>
          <w:b w:val="1"/>
          <w:bCs w:val="1"/>
          <w:color w:val="002D62"/>
        </w:rPr>
        <w:drawing>
          <wp:anchor simplePos="0" relativeHeight="251657728" behindDoc="1" locked="0" layoutInCell="0" allowOverlap="1">
            <wp:simplePos x="0" y="0"/>
            <wp:positionH relativeFrom="page">
              <wp:posOffset>208280</wp:posOffset>
            </wp:positionH>
            <wp:positionV relativeFrom="page">
              <wp:posOffset>269240</wp:posOffset>
            </wp:positionV>
            <wp:extent cx="1294130" cy="360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60045"/>
                    </a:xfrm>
                    <a:prstGeom prst="rect">
                      <a:avLst/>
                    </a:prstGeom>
                    <a:noFill/>
                  </pic:spPr>
                </pic:pic>
              </a:graphicData>
            </a:graphic>
          </wp:anchor>
        </w:drawing>
        <w:t>Crowe LLP</w:t>
      </w:r>
    </w:p>
    <w:p>
      <w:pPr>
        <w:spacing w:after="0" w:line="10" w:lineRule="exact"/>
        <w:rPr>
          <w:sz w:val="20"/>
          <w:szCs w:val="20"/>
          <w:color w:val="auto"/>
        </w:rPr>
      </w:pPr>
    </w:p>
    <w:p>
      <w:pPr>
        <w:ind w:left="9000"/>
        <w:spacing w:after="0"/>
        <w:rPr>
          <w:sz w:val="20"/>
          <w:szCs w:val="20"/>
          <w:color w:val="auto"/>
        </w:rPr>
      </w:pPr>
      <w:r>
        <w:rPr>
          <w:rFonts w:ascii="Arial" w:cs="Arial" w:eastAsia="Arial" w:hAnsi="Arial"/>
          <w:sz w:val="11"/>
          <w:szCs w:val="11"/>
          <w:color w:val="002D62"/>
        </w:rPr>
        <w:t>Independent Member Crowe Global</w:t>
      </w:r>
    </w:p>
    <w:p>
      <w:pPr>
        <w:spacing w:after="0" w:line="18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Plan Participants and Plan Administrator of the Honeywell Puerto Rico Savings Plan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audited the accompanying statement of net assets available for benefits of the Honeywell Puerto Rico Savings Plan (the “Plan”) as of December 31, 2024, and the related notes (collectively referred to as the “financial statement”). In our opinion, the financial statement presents fairly, in all material respects, the net assets available for benefits of the Plan as of December 31, 2024, in conformity with accounting principles generally accepted in the United States of America.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financial statement is the responsibility of the Plan’s management. Our responsibility is to express an opinion on the Plan’s financial statement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Plan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115570</wp:posOffset>
            </wp:positionV>
            <wp:extent cx="1217295"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172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Plan’s auditor from 2016 to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27, 202</w:t>
      </w: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consent to the incorporation by reference in Registration Statement No. 333-228733 on Form S-8 of Honeywell International Inc. of our report dated June 27, 202</w:t>
      </w:r>
      <w:r>
        <w:rPr>
          <w:rFonts w:ascii="Times New Roman" w:cs="Times New Roman" w:eastAsia="Times New Roman" w:hAnsi="Times New Roman"/>
          <w:sz w:val="18"/>
          <w:szCs w:val="18"/>
          <w:color w:val="auto"/>
        </w:rPr>
        <w:t>5</w:t>
      </w:r>
      <w:r>
        <w:rPr>
          <w:rFonts w:ascii="Arial" w:cs="Arial" w:eastAsia="Arial" w:hAnsi="Arial"/>
          <w:sz w:val="18"/>
          <w:szCs w:val="18"/>
          <w:color w:val="auto"/>
        </w:rPr>
        <w:t xml:space="preserve"> appearing in this Annual Report on Form 11-K of the Honeywell Puerto Rico Savings Plan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107315</wp:posOffset>
            </wp:positionV>
            <wp:extent cx="1217295"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172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6"/>
    </w:lvl>
  </w:abstractNum>
  <w:abstractNum w:abstractNumId="7">
    <w:nsid w:val="7545E146"/>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2026-06-29T13:59:26Z</dcterms:created>
  <dcterms:modified xsi:type="dcterms:W3CDTF">2026-06-29T13:59:26Z</dcterms:modified>
</cp:coreProperties>
</file>