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single" w:sz="24" w:space="1" w:color="000000"/>
        </w:pBdr>
        <w:spacing w:before="119" w:after="40"/>
        <w:ind w:left="119" w:right="119" w:hanging="0"/>
        <w:rPr/>
      </w:pPr>
      <w:bookmarkStart w:id="0" w:name="c83288_10k.htm"/>
      <w:bookmarkStart w:id="1" w:name="ksc83288_10k"/>
      <w:bookmarkEnd w:id="0"/>
      <w:bookmarkEnd w:id="1"/>
      <w:r>
        <w:rPr/>
        <w:t> </w:t>
      </w:r>
    </w:p>
    <w:p>
      <w:pPr>
        <w:pStyle w:val="TextBody"/>
        <w:pBdr>
          <w:top w:val="single" w:sz="8" w:space="1" w:color="000000"/>
        </w:pBdr>
        <w:spacing w:before="0" w:after="0"/>
        <w:rPr/>
      </w:pPr>
      <w:r>
        <w:rPr/>
        <w:t> </w:t>
      </w:r>
    </w:p>
    <w:p>
      <w:pPr>
        <w:pStyle w:val="TextBody"/>
        <w:spacing w:before="357" w:after="357"/>
        <w:ind w:left="357" w:right="357" w:hanging="0"/>
        <w:jc w:val="center"/>
        <w:rPr>
          <w:rFonts w:ascii="sans-serif" w:hAnsi="sans-serif"/>
          <w:sz w:val="24"/>
        </w:rPr>
      </w:pPr>
      <w:r>
        <w:rPr>
          <w:rFonts w:ascii="sans-serif" w:hAnsi="sans-serif"/>
          <w:sz w:val="24"/>
        </w:rPr>
        <w:t>UNITED STATES</w:t>
        <w:br/>
        <w:t>SECURITIES AND EXCHANGE COMMISSION</w:t>
        <w:br/>
        <w:t>WASHINGTON, D.C. 20549</w:t>
      </w:r>
    </w:p>
    <w:p>
      <w:pPr>
        <w:pStyle w:val="TextBody"/>
        <w:spacing w:before="357" w:after="357"/>
        <w:ind w:left="357" w:right="357" w:hanging="0"/>
        <w:jc w:val="center"/>
        <w:rPr>
          <w:rFonts w:ascii="sans-serif" w:hAnsi="sans-serif"/>
          <w:b/>
          <w:sz w:val="33"/>
        </w:rPr>
      </w:pPr>
      <w:r>
        <w:rPr>
          <w:rFonts w:ascii="sans-serif" w:hAnsi="sans-serif"/>
          <w:b/>
          <w:sz w:val="33"/>
        </w:rPr>
        <w:t>Form 10-K</w:t>
      </w:r>
    </w:p>
    <w:p>
      <w:pPr>
        <w:pStyle w:val="TextBody"/>
        <w:spacing w:before="357" w:after="357"/>
        <w:ind w:left="357" w:right="357" w:hanging="0"/>
        <w:jc w:val="center"/>
        <w:rPr/>
      </w:pPr>
      <w:r>
        <w:rPr>
          <w:rFonts w:ascii="Wingdings" w:hAnsi="Wingdings"/>
          <w:sz w:val="22"/>
        </w:rPr>
        <w:t>x</w:t>
      </w:r>
      <w:r>
        <w:rPr>
          <w:rFonts w:ascii="sans-serif" w:hAnsi="sans-serif"/>
          <w:sz w:val="22"/>
        </w:rPr>
        <w:t xml:space="preserve"> ANNUAL REPORT PURSUANT TO SECTION 13 OR 15(d)</w:t>
        <w:br/>
        <w:t>OF THE SECURITIES EXCHANGE ACT OF 1934</w:t>
      </w:r>
      <w:r>
        <w:rPr>
          <w:rFonts w:ascii="sans-serif" w:hAnsi="sans-serif"/>
          <w:sz w:val="24"/>
        </w:rPr>
        <w:br/>
        <w:t xml:space="preserve">For the fiscal year ended </w:t>
      </w:r>
      <w:r>
        <w:rPr>
          <w:rFonts w:ascii="sans-serif" w:hAnsi="sans-serif"/>
          <w:sz w:val="24"/>
          <w:u w:val="single"/>
        </w:rPr>
        <w:t>December 31, 2015</w:t>
      </w:r>
      <w:r>
        <w:rPr>
          <w:rFonts w:ascii="sans-serif" w:hAnsi="sans-serif"/>
          <w:sz w:val="24"/>
        </w:rPr>
        <w:br/>
        <w:t>OR</w:t>
      </w:r>
      <w:r>
        <w:rPr>
          <w:rFonts w:ascii="sans-serif" w:hAnsi="sans-serif"/>
        </w:rPr>
        <w:br/>
      </w:r>
      <w:r>
        <w:rPr>
          <w:rFonts w:ascii="Wingdings" w:hAnsi="Wingdings"/>
          <w:sz w:val="24"/>
        </w:rPr>
        <w:t>o</w:t>
      </w:r>
      <w:r>
        <w:rPr>
          <w:rFonts w:ascii="sans-serif" w:hAnsi="sans-serif"/>
          <w:sz w:val="24"/>
        </w:rPr>
        <w:t xml:space="preserve"> TRANSITION REPORT PURSUANT TO SECTION 13 OR 15(d)</w:t>
        <w:br/>
        <w:t>OF THE SECURITIES EXCHANGE ACT OF 1934</w:t>
        <w:br/>
        <w:t>For the transition period from   to  </w:t>
        <w:br/>
        <w:t xml:space="preserve">Commission file number </w:t>
      </w:r>
      <w:r>
        <w:rPr>
          <w:rFonts w:ascii="sans-serif" w:hAnsi="sans-serif"/>
          <w:sz w:val="24"/>
          <w:u w:val="single"/>
        </w:rPr>
        <w:t>1-8974</w:t>
      </w:r>
    </w:p>
    <w:p>
      <w:pPr>
        <w:pStyle w:val="TextBody"/>
        <w:spacing w:before="357" w:after="357"/>
        <w:ind w:left="357" w:right="357" w:hanging="0"/>
        <w:jc w:val="center"/>
        <w:rPr>
          <w:rFonts w:ascii="sans-serif" w:hAnsi="sans-serif"/>
          <w:b/>
          <w:sz w:val="61"/>
        </w:rPr>
      </w:pPr>
      <w:r>
        <w:rPr>
          <w:rFonts w:ascii="sans-serif" w:hAnsi="sans-serif"/>
          <w:b/>
          <w:sz w:val="61"/>
        </w:rPr>
        <w:t>Honeywell International Inc.</w:t>
      </w:r>
    </w:p>
    <w:p>
      <w:pPr>
        <w:pStyle w:val="TextBody"/>
        <w:spacing w:before="119" w:after="119"/>
        <w:ind w:left="119" w:right="119" w:hanging="0"/>
        <w:jc w:val="center"/>
        <w:rPr>
          <w:rFonts w:ascii="sans-serif" w:hAnsi="sans-serif"/>
          <w:sz w:val="24"/>
        </w:rPr>
      </w:pPr>
      <w:r>
        <w:rPr>
          <w:rFonts w:ascii="sans-serif" w:hAnsi="sans-serif"/>
          <w:sz w:val="24"/>
        </w:rPr>
        <w:t>(Exact name of registrant as specified in its charter)</w:t>
      </w:r>
    </w:p>
    <w:tbl>
      <w:tblPr>
        <w:tblW w:w="6130" w:type="dxa"/>
        <w:jc w:val="left"/>
        <w:tblInd w:w="0" w:type="dxa"/>
        <w:tblCellMar>
          <w:top w:w="0" w:type="dxa"/>
          <w:left w:w="0" w:type="dxa"/>
          <w:bottom w:w="0" w:type="dxa"/>
          <w:right w:w="0" w:type="dxa"/>
        </w:tblCellMar>
      </w:tblPr>
      <w:tblGrid>
        <w:gridCol w:w="4160"/>
        <w:gridCol w:w="60"/>
        <w:gridCol w:w="1910"/>
      </w:tblGrid>
      <w:tr>
        <w:trPr/>
        <w:tc>
          <w:tcPr>
            <w:tcW w:w="4160"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910" w:type="dxa"/>
            <w:tcBorders/>
            <w:shd w:fill="auto" w:val="clear"/>
            <w:vAlign w:val="bottom"/>
          </w:tcPr>
          <w:p>
            <w:pPr>
              <w:pStyle w:val="TableContents"/>
              <w:spacing w:before="0" w:after="283"/>
              <w:jc w:val="center"/>
              <w:rPr/>
            </w:pPr>
            <w:r>
              <w:rPr/>
              <w:t> </w:t>
            </w:r>
          </w:p>
        </w:tc>
      </w:tr>
      <w:tr>
        <w:trPr/>
        <w:tc>
          <w:tcPr>
            <w:tcW w:w="416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auto" w:val="clear"/>
            <w:vAlign w:val="bottom"/>
          </w:tcPr>
          <w:p>
            <w:pPr>
              <w:pStyle w:val="TableContents"/>
              <w:spacing w:before="0" w:after="283"/>
              <w:rPr/>
            </w:pPr>
            <w:r>
              <w:rPr/>
              <w:t> </w:t>
            </w:r>
          </w:p>
        </w:tc>
        <w:tc>
          <w:tcPr>
            <w:tcW w:w="191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22-2640650</w:t>
            </w:r>
          </w:p>
        </w:tc>
      </w:tr>
      <w:tr>
        <w:trPr/>
        <w:tc>
          <w:tcPr>
            <w:tcW w:w="4160" w:type="dxa"/>
            <w:tcBorders>
              <w:top w:val="single" w:sz="4" w:space="0" w:color="000000"/>
            </w:tcBorders>
            <w:shd w:fill="auto" w:val="clear"/>
            <w:tcMar>
              <w:top w:w="28" w:type="dxa"/>
            </w:tcM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910" w:type="dxa"/>
            <w:tcBorders>
              <w:top w:val="single" w:sz="4" w:space="0" w:color="000000"/>
            </w:tcBorders>
            <w:shd w:fill="auto" w:val="clear"/>
            <w:tcMar>
              <w:top w:w="28" w:type="dxa"/>
            </w:tcMar>
            <w:vAlign w:val="bottom"/>
          </w:tcPr>
          <w:p>
            <w:pPr>
              <w:pStyle w:val="TableContents"/>
              <w:spacing w:before="0" w:after="283"/>
              <w:jc w:val="center"/>
              <w:rPr/>
            </w:pPr>
            <w:r>
              <w:rPr/>
              <w:t> </w:t>
            </w:r>
          </w:p>
        </w:tc>
      </w:tr>
      <w:tr>
        <w:trPr/>
        <w:tc>
          <w:tcPr>
            <w:tcW w:w="416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(State or other jurisdiction of</w:t>
              <w:br/>
              <w:t>incorporation or organization)</w:t>
            </w:r>
          </w:p>
        </w:tc>
        <w:tc>
          <w:tcPr>
            <w:tcW w:w="60" w:type="dxa"/>
            <w:tcBorders/>
            <w:shd w:fill="auto" w:val="clear"/>
            <w:vAlign w:val="bottom"/>
          </w:tcPr>
          <w:p>
            <w:pPr>
              <w:pStyle w:val="TableContents"/>
              <w:spacing w:before="0" w:after="283"/>
              <w:rPr/>
            </w:pPr>
            <w:r>
              <w:rPr/>
              <w:t> </w:t>
            </w:r>
          </w:p>
        </w:tc>
        <w:tc>
          <w:tcPr>
            <w:tcW w:w="191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(I.R.S. Employer</w:t>
              <w:br/>
              <w:t>Identification No.)</w:t>
            </w:r>
          </w:p>
        </w:tc>
      </w:tr>
      <w:tr>
        <w:trPr/>
        <w:tc>
          <w:tcPr>
            <w:tcW w:w="416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115 Tabor Road</w:t>
              <w:br/>
              <w:t>Morris Plains, New Jersey</w:t>
            </w:r>
          </w:p>
        </w:tc>
        <w:tc>
          <w:tcPr>
            <w:tcW w:w="60" w:type="dxa"/>
            <w:tcBorders/>
            <w:shd w:fill="auto" w:val="clear"/>
            <w:vAlign w:val="bottom"/>
          </w:tcPr>
          <w:p>
            <w:pPr>
              <w:pStyle w:val="TableContents"/>
              <w:spacing w:before="0" w:after="283"/>
              <w:rPr/>
            </w:pPr>
            <w:r>
              <w:rPr/>
              <w:t> </w:t>
            </w:r>
          </w:p>
        </w:tc>
        <w:tc>
          <w:tcPr>
            <w:tcW w:w="191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07950</w:t>
            </w:r>
          </w:p>
        </w:tc>
      </w:tr>
      <w:tr>
        <w:trPr/>
        <w:tc>
          <w:tcPr>
            <w:tcW w:w="4160" w:type="dxa"/>
            <w:tcBorders>
              <w:top w:val="single" w:sz="4" w:space="0" w:color="000000"/>
            </w:tcBorders>
            <w:shd w:fill="auto" w:val="clear"/>
            <w:tcMar>
              <w:top w:w="28" w:type="dxa"/>
            </w:tcM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910" w:type="dxa"/>
            <w:tcBorders>
              <w:top w:val="single" w:sz="4" w:space="0" w:color="000000"/>
            </w:tcBorders>
            <w:shd w:fill="auto" w:val="clear"/>
            <w:tcMar>
              <w:top w:w="28" w:type="dxa"/>
            </w:tcMar>
            <w:vAlign w:val="bottom"/>
          </w:tcPr>
          <w:p>
            <w:pPr>
              <w:pStyle w:val="TableContents"/>
              <w:spacing w:before="0" w:after="283"/>
              <w:jc w:val="center"/>
              <w:rPr/>
            </w:pPr>
            <w:r>
              <w:rPr/>
              <w:t> </w:t>
            </w:r>
          </w:p>
        </w:tc>
      </w:tr>
      <w:tr>
        <w:trPr/>
        <w:tc>
          <w:tcPr>
            <w:tcW w:w="416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(Address of principal executive offices)</w:t>
            </w:r>
          </w:p>
        </w:tc>
        <w:tc>
          <w:tcPr>
            <w:tcW w:w="60" w:type="dxa"/>
            <w:tcBorders/>
            <w:shd w:fill="auto" w:val="clear"/>
            <w:vAlign w:val="bottom"/>
          </w:tcPr>
          <w:p>
            <w:pPr>
              <w:pStyle w:val="TableContents"/>
              <w:spacing w:before="0" w:after="283"/>
              <w:rPr/>
            </w:pPr>
            <w:r>
              <w:rPr/>
              <w:t> </w:t>
            </w:r>
          </w:p>
        </w:tc>
        <w:tc>
          <w:tcPr>
            <w:tcW w:w="191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(Zip Code)</w:t>
            </w:r>
          </w:p>
        </w:tc>
      </w:tr>
    </w:tbl>
    <w:p>
      <w:pPr>
        <w:pStyle w:val="TextBody"/>
        <w:spacing w:before="119" w:after="119"/>
        <w:ind w:left="119" w:right="119" w:hanging="0"/>
        <w:rPr>
          <w:rFonts w:ascii="sans-serif" w:hAnsi="sans-serif"/>
          <w:sz w:val="22"/>
        </w:rPr>
      </w:pPr>
      <w:r>
        <w:rPr>
          <w:rFonts w:ascii="sans-serif" w:hAnsi="sans-serif"/>
          <w:sz w:val="22"/>
        </w:rPr>
        <w:t>Registrants telephone number, including area code (973) 455-2000</w:t>
      </w:r>
    </w:p>
    <w:p>
      <w:pPr>
        <w:pStyle w:val="TextBody"/>
        <w:spacing w:before="119" w:after="119"/>
        <w:ind w:left="119" w:right="119" w:hanging="0"/>
        <w:rPr>
          <w:rFonts w:ascii="sans-serif" w:hAnsi="sans-serif"/>
          <w:sz w:val="22"/>
        </w:rPr>
      </w:pPr>
      <w:r>
        <w:rPr>
          <w:rFonts w:ascii="sans-serif" w:hAnsi="sans-serif"/>
          <w:sz w:val="22"/>
        </w:rPr>
        <w:t>Securities registered pursuant to Section 12(b) of the Act:</w:t>
      </w:r>
    </w:p>
    <w:tbl>
      <w:tblPr>
        <w:tblW w:w="7135" w:type="dxa"/>
        <w:jc w:val="left"/>
        <w:tblInd w:w="0" w:type="dxa"/>
        <w:tblCellMar>
          <w:top w:w="0" w:type="dxa"/>
          <w:left w:w="0" w:type="dxa"/>
          <w:bottom w:w="0" w:type="dxa"/>
          <w:right w:w="0" w:type="dxa"/>
        </w:tblCellMar>
      </w:tblPr>
      <w:tblGrid>
        <w:gridCol w:w="4295"/>
        <w:gridCol w:w="60"/>
        <w:gridCol w:w="2780"/>
      </w:tblGrid>
      <w:tr>
        <w:trPr/>
        <w:tc>
          <w:tcPr>
            <w:tcW w:w="4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80" w:type="dxa"/>
            <w:tcBorders/>
            <w:shd w:fill="auto" w:val="clear"/>
            <w:vAlign w:val="bottom"/>
          </w:tcPr>
          <w:p>
            <w:pPr>
              <w:pStyle w:val="TableContents"/>
              <w:spacing w:before="0" w:after="283"/>
              <w:jc w:val="center"/>
              <w:rPr/>
            </w:pPr>
            <w:r>
              <w:rPr/>
              <w:t> </w:t>
            </w:r>
          </w:p>
        </w:tc>
      </w:tr>
      <w:tr>
        <w:trPr/>
        <w:tc>
          <w:tcPr>
            <w:tcW w:w="4295"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Title of Each Class</w:t>
            </w:r>
          </w:p>
        </w:tc>
        <w:tc>
          <w:tcPr>
            <w:tcW w:w="60" w:type="dxa"/>
            <w:tcBorders/>
            <w:shd w:fill="auto" w:val="clear"/>
            <w:vAlign w:val="bottom"/>
          </w:tcPr>
          <w:p>
            <w:pPr>
              <w:pStyle w:val="TableContents"/>
              <w:spacing w:before="0" w:after="283"/>
              <w:rPr/>
            </w:pPr>
            <w:r>
              <w:rPr/>
              <w:t> </w:t>
            </w:r>
          </w:p>
        </w:tc>
        <w:tc>
          <w:tcPr>
            <w:tcW w:w="278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Name of Each Exchange</w:t>
              <w:br/>
              <w:t>on Which Registered</w:t>
            </w:r>
          </w:p>
        </w:tc>
      </w:tr>
      <w:tr>
        <w:trPr/>
        <w:tc>
          <w:tcPr>
            <w:tcW w:w="4295" w:type="dxa"/>
            <w:tcBorders>
              <w:top w:val="single" w:sz="4" w:space="0" w:color="000000"/>
            </w:tcBorders>
            <w:shd w:fill="auto" w:val="clear"/>
            <w:tcMar>
              <w:top w:w="28" w:type="dxa"/>
            </w:tcM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2780" w:type="dxa"/>
            <w:tcBorders>
              <w:top w:val="single" w:sz="4" w:space="0" w:color="000000"/>
            </w:tcBorders>
            <w:shd w:fill="auto" w:val="clear"/>
            <w:tcMar>
              <w:top w:w="28" w:type="dxa"/>
            </w:tcMar>
            <w:vAlign w:val="bottom"/>
          </w:tcPr>
          <w:p>
            <w:pPr>
              <w:pStyle w:val="TableContents"/>
              <w:spacing w:before="0" w:after="283"/>
              <w:jc w:val="center"/>
              <w:rPr/>
            </w:pPr>
            <w:r>
              <w:rPr/>
              <w:t> </w:t>
            </w:r>
          </w:p>
        </w:tc>
      </w:tr>
      <w:tr>
        <w:trPr/>
        <w:tc>
          <w:tcPr>
            <w:tcW w:w="4295" w:type="dxa"/>
            <w:tcBorders/>
            <w:shd w:fill="auto" w:val="clear"/>
            <w:vAlign w:val="bottom"/>
          </w:tcPr>
          <w:p>
            <w:pPr>
              <w:pStyle w:val="TableContents"/>
              <w:spacing w:before="0" w:after="283"/>
              <w:rPr>
                <w:rFonts w:ascii="sans-serif" w:hAnsi="sans-serif"/>
                <w:sz w:val="22"/>
              </w:rPr>
            </w:pPr>
            <w:r>
              <w:rPr>
                <w:rFonts w:ascii="sans-serif" w:hAnsi="sans-serif"/>
                <w:sz w:val="22"/>
              </w:rPr>
              <w:t>Common Stock, par value $1 per share*</w:t>
            </w:r>
          </w:p>
        </w:tc>
        <w:tc>
          <w:tcPr>
            <w:tcW w:w="60" w:type="dxa"/>
            <w:tcBorders/>
            <w:shd w:fill="auto" w:val="clear"/>
            <w:vAlign w:val="bottom"/>
          </w:tcPr>
          <w:p>
            <w:pPr>
              <w:pStyle w:val="TableContents"/>
              <w:spacing w:before="0" w:after="283"/>
              <w:rPr/>
            </w:pPr>
            <w:r>
              <w:rPr/>
              <w:t> </w:t>
            </w:r>
          </w:p>
        </w:tc>
        <w:tc>
          <w:tcPr>
            <w:tcW w:w="278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New York Stock Exchange</w:t>
            </w:r>
          </w:p>
        </w:tc>
      </w:tr>
      <w:tr>
        <w:trPr/>
        <w:tc>
          <w:tcPr>
            <w:tcW w:w="4295" w:type="dxa"/>
            <w:tcBorders/>
            <w:shd w:fill="auto" w:val="clear"/>
            <w:vAlign w:val="bottom"/>
          </w:tcPr>
          <w:p>
            <w:pPr>
              <w:pStyle w:val="TableContents"/>
              <w:spacing w:before="0" w:after="283"/>
              <w:rPr>
                <w:rFonts w:ascii="sans-serif" w:hAnsi="sans-serif"/>
                <w:sz w:val="22"/>
              </w:rPr>
            </w:pPr>
            <w:r>
              <w:rPr>
                <w:rFonts w:ascii="sans-serif" w:hAnsi="sans-serif"/>
                <w:sz w:val="22"/>
              </w:rPr>
              <w:t>91/2% Debentures due June 1, 2016</w:t>
            </w:r>
          </w:p>
        </w:tc>
        <w:tc>
          <w:tcPr>
            <w:tcW w:w="60" w:type="dxa"/>
            <w:tcBorders/>
            <w:shd w:fill="auto" w:val="clear"/>
            <w:vAlign w:val="bottom"/>
          </w:tcPr>
          <w:p>
            <w:pPr>
              <w:pStyle w:val="TableContents"/>
              <w:spacing w:before="0" w:after="283"/>
              <w:rPr/>
            </w:pPr>
            <w:r>
              <w:rPr/>
              <w:t> </w:t>
            </w:r>
          </w:p>
        </w:tc>
        <w:tc>
          <w:tcPr>
            <w:tcW w:w="278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New York Stock Exchange</w:t>
            </w:r>
          </w:p>
        </w:tc>
      </w:tr>
    </w:tbl>
    <w:p>
      <w:pPr>
        <w:pStyle w:val="TextBody"/>
        <w:pBdr>
          <w:top w:val="single" w:sz="4" w:space="1" w:color="000000"/>
        </w:pBdr>
        <w:spacing w:before="176" w:after="176"/>
        <w:rPr/>
      </w:pPr>
      <w:r>
        <w:rPr/>
        <w:t> </w:t>
      </w:r>
    </w:p>
    <w:tbl>
      <w:tblPr>
        <w:tblW w:w="7143" w:type="dxa"/>
        <w:jc w:val="left"/>
        <w:tblInd w:w="0" w:type="dxa"/>
        <w:tblCellMar>
          <w:top w:w="0" w:type="dxa"/>
          <w:left w:w="0" w:type="dxa"/>
          <w:bottom w:w="0" w:type="dxa"/>
          <w:right w:w="0" w:type="dxa"/>
        </w:tblCellMar>
      </w:tblPr>
      <w:tblGrid>
        <w:gridCol w:w="75"/>
        <w:gridCol w:w="125"/>
        <w:gridCol w:w="105"/>
        <w:gridCol w:w="6800"/>
        <w:gridCol w:w="38"/>
      </w:tblGrid>
      <w:tr>
        <w:trPr/>
        <w:tc>
          <w:tcPr>
            <w:tcW w:w="7143"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125" w:type="dxa"/>
            <w:tcBorders/>
            <w:shd w:fill="auto" w:val="clear"/>
          </w:tcPr>
          <w:p>
            <w:pPr>
              <w:pStyle w:val="TableContents"/>
              <w:spacing w:before="0" w:after="283"/>
              <w:jc w:val="right"/>
              <w:rPr>
                <w:rFonts w:ascii="sans-serif" w:hAnsi="sans-serif"/>
                <w:sz w:val="22"/>
              </w:rPr>
            </w:pPr>
            <w:r>
              <w:rPr>
                <w:rFonts w:ascii="sans-serif" w:hAnsi="sans-serif"/>
                <w:sz w:val="22"/>
              </w:rPr>
              <w:t>*</w:t>
            </w:r>
          </w:p>
        </w:tc>
        <w:tc>
          <w:tcPr>
            <w:tcW w:w="105" w:type="dxa"/>
            <w:tcBorders/>
            <w:shd w:fill="auto" w:val="clear"/>
          </w:tcPr>
          <w:p>
            <w:pPr>
              <w:pStyle w:val="TableContents"/>
              <w:spacing w:before="0" w:after="283"/>
              <w:rPr/>
            </w:pPr>
            <w:r>
              <w:rPr/>
              <w:t> </w:t>
            </w:r>
          </w:p>
        </w:tc>
        <w:tc>
          <w:tcPr>
            <w:tcW w:w="6800" w:type="dxa"/>
            <w:tcBorders/>
            <w:shd w:fill="auto" w:val="clear"/>
          </w:tcPr>
          <w:p>
            <w:pPr>
              <w:pStyle w:val="TableContents"/>
              <w:spacing w:before="0" w:after="283"/>
              <w:rPr>
                <w:rFonts w:ascii="sans-serif" w:hAnsi="sans-serif"/>
                <w:sz w:val="22"/>
              </w:rPr>
            </w:pPr>
            <w:r>
              <w:rPr>
                <w:rFonts w:ascii="sans-serif" w:hAnsi="sans-serif"/>
                <w:sz w:val="22"/>
              </w:rPr>
              <w:t>The common stock is also listed on the London Stock Exchange.</w:t>
            </w:r>
          </w:p>
        </w:tc>
        <w:tc>
          <w:tcPr>
            <w:tcW w:w="38"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both"/>
        <w:rPr>
          <w:rFonts w:ascii="sans-serif" w:hAnsi="sans-serif"/>
          <w:sz w:val="22"/>
        </w:rPr>
      </w:pPr>
      <w:r>
        <w:rPr>
          <w:rFonts w:ascii="sans-serif" w:hAnsi="sans-serif"/>
          <w:sz w:val="22"/>
        </w:rPr>
        <w:t>Securities registered pursuant to Section 12(g) of the Act: None</w:t>
      </w:r>
    </w:p>
    <w:p>
      <w:pPr>
        <w:pStyle w:val="TextBody"/>
        <w:spacing w:before="119" w:after="119"/>
        <w:ind w:left="119" w:right="119" w:hanging="0"/>
        <w:jc w:val="both"/>
        <w:rPr>
          <w:rFonts w:ascii="sans-serif" w:hAnsi="sans-serif"/>
          <w:sz w:val="22"/>
        </w:rPr>
      </w:pPr>
      <w:r>
        <w:rPr>
          <w:rFonts w:ascii="sans-serif" w:hAnsi="sans-serif"/>
          <w:sz w:val="22"/>
        </w:rPr>
        <w:t xml:space="preserve">Indicate by check mark if the Registrant is a well-known seasoned issuer, as defined in Rule 405 of the Securities Act. </w:t>
      </w:r>
    </w:p>
    <w:p>
      <w:pPr>
        <w:pStyle w:val="TextBody"/>
        <w:spacing w:before="119" w:after="119"/>
        <w:ind w:left="119" w:right="119" w:hanging="0"/>
        <w:jc w:val="both"/>
        <w:rPr>
          <w:rFonts w:ascii="sans-serif" w:hAnsi="sans-serif"/>
          <w:sz w:val="22"/>
        </w:rPr>
      </w:pPr>
      <w:r>
        <w:rPr>
          <w:rFonts w:ascii="sans-serif" w:hAnsi="sans-serif"/>
          <w:sz w:val="22"/>
        </w:rPr>
        <w:t xml:space="preserve">Yes </w:t>
      </w:r>
      <w:r>
        <w:rPr>
          <w:rFonts w:ascii="Wingdings" w:hAnsi="Wingdings"/>
          <w:sz w:val="22"/>
        </w:rPr>
        <w:t>x</w:t>
      </w:r>
      <w:r>
        <w:rPr>
          <w:rFonts w:ascii="sans-serif" w:hAnsi="sans-serif"/>
          <w:sz w:val="22"/>
        </w:rPr>
        <w:t xml:space="preserve"> No </w:t>
      </w:r>
      <w:r>
        <w:rPr>
          <w:rFonts w:ascii="Wingdings" w:hAnsi="Wingdings"/>
          <w:sz w:val="22"/>
        </w:rPr>
        <w:t>o</w:t>
      </w:r>
    </w:p>
    <w:p>
      <w:pPr>
        <w:pStyle w:val="TextBody"/>
        <w:spacing w:before="119" w:after="119"/>
        <w:ind w:left="119" w:right="119" w:hanging="0"/>
        <w:jc w:val="both"/>
        <w:rPr>
          <w:rFonts w:ascii="sans-serif" w:hAnsi="sans-serif"/>
          <w:sz w:val="22"/>
        </w:rPr>
      </w:pPr>
      <w:r>
        <w:rPr>
          <w:rFonts w:ascii="sans-serif" w:hAnsi="sans-serif"/>
          <w:sz w:val="22"/>
        </w:rPr>
        <w:t xml:space="preserve">Indicate by check mark if the Registrant is not required to file reports pursuant to Section 13 or Section 15(d) of the Exchange Act. Yes </w:t>
      </w:r>
      <w:r>
        <w:rPr>
          <w:rFonts w:ascii="Wingdings" w:hAnsi="Wingdings"/>
          <w:sz w:val="22"/>
        </w:rPr>
        <w:t>o</w:t>
      </w:r>
      <w:r>
        <w:rPr>
          <w:rFonts w:ascii="sans-serif" w:hAnsi="sans-serif"/>
          <w:sz w:val="22"/>
        </w:rPr>
        <w:t xml:space="preserve"> No </w:t>
      </w:r>
      <w:r>
        <w:rPr>
          <w:rFonts w:ascii="Wingdings" w:hAnsi="Wingdings"/>
          <w:sz w:val="22"/>
        </w:rPr>
        <w:t>x</w:t>
      </w:r>
    </w:p>
    <w:p>
      <w:pPr>
        <w:pStyle w:val="TextBody"/>
        <w:spacing w:before="119" w:after="119"/>
        <w:ind w:left="119" w:right="119" w:hanging="0"/>
        <w:jc w:val="both"/>
        <w:rPr>
          <w:rFonts w:ascii="sans-serif" w:hAnsi="sans-serif"/>
          <w:sz w:val="22"/>
        </w:rPr>
      </w:pPr>
      <w:r>
        <w:rPr>
          <w:rFonts w:ascii="sans-serif" w:hAnsi="sans-serif"/>
          <w:sz w:val="2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2"/>
        </w:rPr>
        <w:t>x</w:t>
      </w:r>
      <w:r>
        <w:rPr>
          <w:rFonts w:ascii="sans-serif" w:hAnsi="sans-serif"/>
          <w:sz w:val="22"/>
        </w:rPr>
        <w:t xml:space="preserve"> No </w:t>
      </w:r>
      <w:r>
        <w:rPr>
          <w:rFonts w:ascii="Wingdings" w:hAnsi="Wingdings"/>
          <w:sz w:val="22"/>
        </w:rPr>
        <w:t>o</w:t>
      </w:r>
    </w:p>
    <w:p>
      <w:pPr>
        <w:pStyle w:val="TextBody"/>
        <w:spacing w:before="119" w:after="119"/>
        <w:ind w:left="119" w:right="119" w:hanging="0"/>
        <w:jc w:val="both"/>
        <w:rPr>
          <w:rFonts w:ascii="sans-serif" w:hAnsi="sans-serif"/>
          <w:sz w:val="22"/>
        </w:rPr>
      </w:pPr>
      <w:r>
        <w:rPr>
          <w:rFonts w:ascii="sans-serif" w:hAnsi="sans-serif"/>
          <w:sz w:val="22"/>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Wingdings" w:hAnsi="Wingdings"/>
          <w:sz w:val="22"/>
        </w:rPr>
        <w:t>x</w:t>
      </w:r>
      <w:r>
        <w:rPr>
          <w:rFonts w:ascii="sans-serif" w:hAnsi="sans-serif"/>
          <w:sz w:val="22"/>
        </w:rPr>
        <w:t xml:space="preserve"> No </w:t>
      </w:r>
      <w:r>
        <w:rPr>
          <w:rFonts w:ascii="Wingdings" w:hAnsi="Wingdings"/>
          <w:sz w:val="22"/>
        </w:rPr>
        <w:t>o</w:t>
      </w:r>
    </w:p>
    <w:p>
      <w:pPr>
        <w:pStyle w:val="TextBody"/>
        <w:spacing w:before="119" w:after="119"/>
        <w:ind w:left="119" w:right="119" w:hanging="0"/>
        <w:jc w:val="both"/>
        <w:rPr>
          <w:rFonts w:ascii="sans-serif" w:hAnsi="sans-serif"/>
          <w:sz w:val="22"/>
        </w:rPr>
      </w:pPr>
      <w:r>
        <w:rPr>
          <w:rFonts w:ascii="sans-serif" w:hAnsi="sans-serif"/>
          <w:sz w:val="22"/>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Wingdings" w:hAnsi="Wingdings"/>
          <w:sz w:val="22"/>
        </w:rPr>
        <w:t>o</w:t>
      </w:r>
    </w:p>
    <w:p>
      <w:pPr>
        <w:pStyle w:val="TextBody"/>
        <w:spacing w:before="119" w:after="119"/>
        <w:ind w:left="119" w:right="119" w:hanging="0"/>
        <w:jc w:val="both"/>
        <w:rPr>
          <w:rFonts w:ascii="sans-serif" w:hAnsi="sans-serif"/>
          <w:sz w:val="22"/>
        </w:rPr>
      </w:pPr>
      <w:r>
        <w:rPr>
          <w:rFonts w:ascii="sans-serif" w:hAnsi="sans-serif"/>
          <w:sz w:val="22"/>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pStyle w:val="TextBody"/>
        <w:spacing w:before="119" w:after="119"/>
        <w:ind w:left="119" w:right="119" w:hanging="0"/>
        <w:jc w:val="both"/>
        <w:rPr>
          <w:rFonts w:ascii="sans-serif" w:hAnsi="sans-serif"/>
          <w:sz w:val="22"/>
        </w:rPr>
      </w:pPr>
      <w:r>
        <w:rPr>
          <w:rFonts w:ascii="sans-serif" w:hAnsi="sans-serif"/>
          <w:sz w:val="22"/>
        </w:rPr>
        <w:t xml:space="preserve">Large accelerated filer </w:t>
      </w:r>
      <w:r>
        <w:rPr>
          <w:rFonts w:ascii="Wingdings" w:hAnsi="Wingdings"/>
          <w:sz w:val="22"/>
        </w:rPr>
        <w:t>x</w:t>
      </w:r>
      <w:r>
        <w:rPr>
          <w:rFonts w:ascii="sans-serif" w:hAnsi="sans-serif"/>
          <w:sz w:val="22"/>
        </w:rPr>
        <w:t xml:space="preserve">      Accelerated filer </w:t>
      </w:r>
      <w:r>
        <w:rPr>
          <w:rFonts w:ascii="Wingdings" w:hAnsi="Wingdings"/>
          <w:sz w:val="22"/>
        </w:rPr>
        <w:t>o</w:t>
      </w:r>
      <w:r>
        <w:rPr>
          <w:rFonts w:ascii="sans-serif" w:hAnsi="sans-serif"/>
          <w:sz w:val="22"/>
        </w:rPr>
        <w:t xml:space="preserve">      Non-accelerated filer </w:t>
      </w:r>
      <w:r>
        <w:rPr>
          <w:rFonts w:ascii="Wingdings" w:hAnsi="Wingdings"/>
          <w:sz w:val="22"/>
        </w:rPr>
        <w:t>o</w:t>
      </w:r>
      <w:r>
        <w:rPr>
          <w:rFonts w:ascii="sans-serif" w:hAnsi="sans-serif"/>
          <w:sz w:val="22"/>
        </w:rPr>
        <w:t xml:space="preserve">      Smaller reporting company </w:t>
      </w:r>
      <w:r>
        <w:rPr>
          <w:rFonts w:ascii="Wingdings" w:hAnsi="Wingdings"/>
          <w:sz w:val="22"/>
        </w:rPr>
        <w:t>o</w:t>
      </w:r>
      <w:r>
        <w:rPr>
          <w:rFonts w:ascii="sans-serif" w:hAnsi="sans-serif"/>
          <w:sz w:val="22"/>
        </w:rPr>
        <w:t xml:space="preserve">      </w:t>
      </w:r>
    </w:p>
    <w:p>
      <w:pPr>
        <w:pStyle w:val="TextBody"/>
        <w:spacing w:before="119" w:after="119"/>
        <w:ind w:left="119" w:right="119" w:hanging="0"/>
        <w:jc w:val="both"/>
        <w:rPr>
          <w:rFonts w:ascii="sans-serif" w:hAnsi="sans-serif"/>
          <w:sz w:val="22"/>
        </w:rPr>
      </w:pPr>
      <w:r>
        <w:rPr>
          <w:rFonts w:ascii="sans-serif" w:hAnsi="sans-serif"/>
          <w:sz w:val="22"/>
        </w:rPr>
        <w:t xml:space="preserve">Indicate by check mark whether the Registrant is a shell company (as defined in Rule 12b-2 of the Act). Yes </w:t>
      </w:r>
      <w:r>
        <w:rPr>
          <w:rFonts w:ascii="Wingdings" w:hAnsi="Wingdings"/>
          <w:sz w:val="22"/>
        </w:rPr>
        <w:t>o</w:t>
      </w:r>
      <w:r>
        <w:rPr>
          <w:rFonts w:ascii="sans-serif" w:hAnsi="sans-serif"/>
          <w:sz w:val="22"/>
        </w:rPr>
        <w:t xml:space="preserve"> No </w:t>
      </w:r>
      <w:r>
        <w:rPr>
          <w:rFonts w:ascii="Wingdings" w:hAnsi="Wingdings"/>
          <w:sz w:val="22"/>
        </w:rPr>
        <w:t>x</w:t>
      </w:r>
    </w:p>
    <w:p>
      <w:pPr>
        <w:pStyle w:val="TextBody"/>
        <w:spacing w:before="119" w:after="119"/>
        <w:ind w:left="119" w:right="119" w:hanging="0"/>
        <w:jc w:val="both"/>
        <w:rPr>
          <w:rFonts w:ascii="sans-serif" w:hAnsi="sans-serif"/>
          <w:sz w:val="22"/>
        </w:rPr>
      </w:pPr>
      <w:r>
        <w:rPr>
          <w:rFonts w:ascii="sans-serif" w:hAnsi="sans-serif"/>
          <w:sz w:val="22"/>
        </w:rPr>
        <w:t>The aggregate market value of the voting stock held by nonaffiliates of the Registrant was approximately $80.9 billion at June 30, 2015.</w:t>
      </w:r>
    </w:p>
    <w:p>
      <w:pPr>
        <w:pStyle w:val="TextBody"/>
        <w:spacing w:before="119" w:after="119"/>
        <w:ind w:left="119" w:right="119" w:hanging="0"/>
        <w:jc w:val="both"/>
        <w:rPr>
          <w:rFonts w:ascii="sans-serif" w:hAnsi="sans-serif"/>
          <w:sz w:val="22"/>
        </w:rPr>
      </w:pPr>
      <w:r>
        <w:rPr>
          <w:rFonts w:ascii="sans-serif" w:hAnsi="sans-serif"/>
          <w:sz w:val="22"/>
        </w:rPr>
        <w:t>There were 769,322,910 shares of Common Stock outstanding at January 29, 2016.</w:t>
      </w:r>
    </w:p>
    <w:p>
      <w:pPr>
        <w:pStyle w:val="TextBody"/>
        <w:spacing w:before="119" w:after="283"/>
        <w:jc w:val="center"/>
        <w:rPr>
          <w:rFonts w:ascii="sans-serif" w:hAnsi="sans-serif"/>
          <w:sz w:val="22"/>
          <w:u w:val="single"/>
        </w:rPr>
      </w:pPr>
      <w:r>
        <w:rPr>
          <w:rFonts w:ascii="sans-serif" w:hAnsi="sans-serif"/>
          <w:sz w:val="22"/>
          <w:u w:val="single"/>
        </w:rPr>
        <w:t>Documents Incorporated by Reference</w:t>
      </w:r>
    </w:p>
    <w:p>
      <w:pPr>
        <w:pStyle w:val="TextBody"/>
        <w:spacing w:before="119" w:after="119"/>
        <w:ind w:left="119" w:right="119" w:hanging="0"/>
        <w:jc w:val="center"/>
        <w:rPr>
          <w:rFonts w:ascii="sans-serif" w:hAnsi="sans-serif"/>
          <w:sz w:val="22"/>
        </w:rPr>
      </w:pPr>
      <w:r>
        <w:rPr>
          <w:rFonts w:ascii="sans-serif" w:hAnsi="sans-serif"/>
          <w:sz w:val="22"/>
        </w:rPr>
        <w:t>Part III: Proxy Statement for Annual Meeting of Shareowners to be held April 25, 2016.</w:t>
      </w:r>
    </w:p>
    <w:p>
      <w:pPr>
        <w:pStyle w:val="TextBody"/>
        <w:pBdr>
          <w:top w:val="single" w:sz="8" w:space="1" w:color="000000"/>
        </w:pBdr>
        <w:spacing w:before="198" w:after="40"/>
        <w:rPr/>
      </w:pPr>
      <w:r>
        <w:rPr/>
        <w:t> </w:t>
      </w:r>
    </w:p>
    <w:p>
      <w:pPr>
        <w:pStyle w:val="TextBody"/>
        <w:pBdr>
          <w:top w:val="single" w:sz="24" w:space="1" w:color="000000"/>
        </w:pBdr>
        <w:spacing w:before="0" w:after="0"/>
        <w:rPr/>
      </w:pPr>
      <w:r>
        <w:rPr/>
        <w:t> </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2"/>
        </w:rPr>
      </w:pPr>
      <w:r>
        <w:rPr>
          <w:rFonts w:ascii="sans-serif" w:hAnsi="sans-serif"/>
          <w:b/>
          <w:sz w:val="22"/>
        </w:rPr>
        <w:t>TABLE OF CONTENTS</w:t>
      </w:r>
    </w:p>
    <w:tbl>
      <w:tblPr>
        <w:tblW w:w="10205" w:type="dxa"/>
        <w:jc w:val="left"/>
        <w:tblInd w:w="0" w:type="dxa"/>
        <w:tblCellMar>
          <w:top w:w="0" w:type="dxa"/>
          <w:left w:w="0" w:type="dxa"/>
          <w:bottom w:w="0" w:type="dxa"/>
          <w:right w:w="0" w:type="dxa"/>
        </w:tblCellMar>
      </w:tblPr>
      <w:tblGrid>
        <w:gridCol w:w="614"/>
        <w:gridCol w:w="60"/>
        <w:gridCol w:w="485"/>
        <w:gridCol w:w="60"/>
        <w:gridCol w:w="8380"/>
        <w:gridCol w:w="60"/>
        <w:gridCol w:w="546"/>
      </w:tblGrid>
      <w:tr>
        <w:trPr/>
        <w:tc>
          <w:tcPr>
            <w:tcW w:w="614"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pPr>
            <w:r>
              <w:rPr/>
              <w:t> </w:t>
            </w:r>
          </w:p>
        </w:tc>
      </w:tr>
      <w:tr>
        <w:trPr/>
        <w:tc>
          <w:tcPr>
            <w:tcW w:w="614"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485"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Item</w:t>
            </w:r>
          </w:p>
        </w:tc>
        <w:tc>
          <w:tcPr>
            <w:tcW w:w="60"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r>
              <w:rPr/>
              <w:t> </w:t>
            </w:r>
          </w:p>
        </w:tc>
        <w:tc>
          <w:tcPr>
            <w:tcW w:w="60" w:type="dxa"/>
            <w:tcBorders/>
            <w:shd w:fill="auto" w:val="clear"/>
            <w:vAlign w:val="bottom"/>
          </w:tcPr>
          <w:p>
            <w:pPr>
              <w:pStyle w:val="TableContents"/>
              <w:spacing w:before="0" w:after="283"/>
              <w:rPr/>
            </w:pPr>
            <w:r>
              <w:rPr/>
              <w:t> </w:t>
            </w:r>
          </w:p>
        </w:tc>
        <w:tc>
          <w:tcPr>
            <w:tcW w:w="546"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Page</w:t>
            </w:r>
          </w:p>
        </w:tc>
      </w:tr>
      <w:tr>
        <w:trPr/>
        <w:tc>
          <w:tcPr>
            <w:tcW w:w="614"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Part I</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business1">
              <w:r>
                <w:rPr>
                  <w:rStyle w:val="InternetLink"/>
                  <w:rFonts w:ascii="sans-serif" w:hAnsi="sans-serif"/>
                  <w:sz w:val="22"/>
                </w:rPr>
                <w:t>Business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pPr>
            <w:r>
              <w:rPr/>
              <w:t> </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rFonts w:ascii="sans-serif" w:hAnsi="sans-serif"/>
                <w:sz w:val="22"/>
              </w:rPr>
            </w:pPr>
            <w:hyperlink w:anchor="c83288_executive1">
              <w:r>
                <w:rPr>
                  <w:rStyle w:val="InternetLink"/>
                  <w:rFonts w:ascii="sans-serif" w:hAnsi="sans-serif"/>
                  <w:sz w:val="22"/>
                </w:rPr>
                <w:t>Executive Officers of the Registrant</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1A.</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risk1">
              <w:r>
                <w:rPr>
                  <w:rStyle w:val="InternetLink"/>
                  <w:rFonts w:ascii="sans-serif" w:hAnsi="sans-serif"/>
                  <w:sz w:val="22"/>
                </w:rPr>
                <w:t>Risk Factors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1B.</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unresolved1">
              <w:r>
                <w:rPr>
                  <w:rStyle w:val="InternetLink"/>
                  <w:rFonts w:ascii="sans-serif" w:hAnsi="sans-serif"/>
                  <w:sz w:val="22"/>
                </w:rPr>
                <w:t>Unresolved Staff Comments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2.</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properties1">
              <w:r>
                <w:rPr>
                  <w:rStyle w:val="InternetLink"/>
                  <w:rFonts w:ascii="sans-serif" w:hAnsi="sans-serif"/>
                  <w:sz w:val="22"/>
                </w:rPr>
                <w:t>Properties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3.</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legal1">
              <w:r>
                <w:rPr>
                  <w:rStyle w:val="InternetLink"/>
                  <w:rFonts w:ascii="sans-serif" w:hAnsi="sans-serif"/>
                  <w:sz w:val="22"/>
                </w:rPr>
                <w:t>Legal Proceedings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4.</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mine1">
              <w:r>
                <w:rPr>
                  <w:rStyle w:val="InternetLink"/>
                  <w:rFonts w:ascii="sans-serif" w:hAnsi="sans-serif"/>
                  <w:sz w:val="22"/>
                </w:rPr>
                <w:t>Mine Safety Disclosures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r>
      <w:tr>
        <w:trPr/>
        <w:tc>
          <w:tcPr>
            <w:tcW w:w="614"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Part II.</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5.</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market1">
              <w:r>
                <w:rPr>
                  <w:rStyle w:val="InternetLink"/>
                  <w:rFonts w:ascii="sans-serif" w:hAnsi="sans-serif"/>
                  <w:sz w:val="22"/>
                </w:rPr>
                <w:t>Market for Registrants Common Equity, Related Stockholder Matters and Issuer Purchases of Equity Securities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6.</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selected1">
              <w:r>
                <w:rPr>
                  <w:rStyle w:val="InternetLink"/>
                  <w:rFonts w:ascii="sans-serif" w:hAnsi="sans-serif"/>
                  <w:sz w:val="22"/>
                </w:rPr>
                <w:t>Selected Financial Data</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7.</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management1">
              <w:r>
                <w:rPr>
                  <w:rStyle w:val="InternetLink"/>
                  <w:rFonts w:ascii="sans-serif" w:hAnsi="sans-serif"/>
                  <w:sz w:val="22"/>
                </w:rPr>
                <w:t>Managements Discussion and Analysis of Financial Condition and Results of Operations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7A.</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quantitative1">
              <w:r>
                <w:rPr>
                  <w:rStyle w:val="InternetLink"/>
                  <w:rFonts w:ascii="sans-serif" w:hAnsi="sans-serif"/>
                  <w:sz w:val="22"/>
                </w:rPr>
                <w:t>Quantitative and Qualitative Disclosures About Market Risks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8.</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financial1">
              <w:r>
                <w:rPr>
                  <w:rStyle w:val="InternetLink"/>
                  <w:rFonts w:ascii="sans-serif" w:hAnsi="sans-serif"/>
                  <w:sz w:val="22"/>
                </w:rPr>
                <w:t>Financial Statements and Supplementary Data</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9.</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changes1">
              <w:r>
                <w:rPr>
                  <w:rStyle w:val="InternetLink"/>
                  <w:rFonts w:ascii="sans-serif" w:hAnsi="sans-serif"/>
                  <w:sz w:val="22"/>
                </w:rPr>
                <w:t>Changes in and Disagreements with Accountants on Accounting and Financial Disclosure</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83</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9A.</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controles1">
              <w:r>
                <w:rPr>
                  <w:rStyle w:val="InternetLink"/>
                  <w:rFonts w:ascii="sans-serif" w:hAnsi="sans-serif"/>
                  <w:sz w:val="22"/>
                </w:rPr>
                <w:t>Controls and Procedures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83</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9B.</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others1">
              <w:r>
                <w:rPr>
                  <w:rStyle w:val="InternetLink"/>
                  <w:rFonts w:ascii="sans-serif" w:hAnsi="sans-serif"/>
                  <w:sz w:val="22"/>
                </w:rPr>
                <w:t>Other Information</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83</w:t>
            </w:r>
          </w:p>
        </w:tc>
      </w:tr>
      <w:tr>
        <w:trPr/>
        <w:tc>
          <w:tcPr>
            <w:tcW w:w="614"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Part III.</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10.</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directors1">
              <w:r>
                <w:rPr>
                  <w:rStyle w:val="InternetLink"/>
                  <w:rFonts w:ascii="sans-serif" w:hAnsi="sans-serif"/>
                  <w:sz w:val="22"/>
                </w:rPr>
                <w:t>Directors and Executive Officers of the Registrant</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84</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11.</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executive2">
              <w:r>
                <w:rPr>
                  <w:rStyle w:val="InternetLink"/>
                  <w:rFonts w:ascii="sans-serif" w:hAnsi="sans-serif"/>
                  <w:sz w:val="22"/>
                </w:rPr>
                <w:t>Executive Compensation</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84</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12.</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security1">
              <w:r>
                <w:rPr>
                  <w:rStyle w:val="InternetLink"/>
                  <w:rFonts w:ascii="sans-serif" w:hAnsi="sans-serif"/>
                  <w:sz w:val="22"/>
                </w:rPr>
                <w:t>Security Ownership of Certain Beneficial Owners and Management and Related Stockholder Matters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85</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13.</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certain1">
              <w:r>
                <w:rPr>
                  <w:rStyle w:val="InternetLink"/>
                  <w:rFonts w:ascii="sans-serif" w:hAnsi="sans-serif"/>
                  <w:sz w:val="22"/>
                </w:rPr>
                <w:t>Certain Relationships and Related Transactions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85</w:t>
            </w:r>
          </w:p>
        </w:tc>
      </w:tr>
      <w:tr>
        <w:trPr/>
        <w:tc>
          <w:tcPr>
            <w:tcW w:w="614"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14.</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principal1">
              <w:r>
                <w:rPr>
                  <w:rStyle w:val="InternetLink"/>
                  <w:rFonts w:ascii="sans-serif" w:hAnsi="sans-serif"/>
                  <w:sz w:val="22"/>
                </w:rPr>
                <w:t>Principal Accounting Fees and Services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85</w:t>
            </w:r>
          </w:p>
        </w:tc>
      </w:tr>
      <w:tr>
        <w:trPr/>
        <w:tc>
          <w:tcPr>
            <w:tcW w:w="614"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Part IV.</w:t>
            </w:r>
          </w:p>
        </w:tc>
        <w:tc>
          <w:tcPr>
            <w:tcW w:w="60" w:type="dxa"/>
            <w:tcBorders/>
            <w:shd w:fill="auto" w:val="clear"/>
          </w:tcPr>
          <w:p>
            <w:pPr>
              <w:pStyle w:val="TableContents"/>
              <w:spacing w:before="0" w:after="283"/>
              <w:rPr/>
            </w:pPr>
            <w:r>
              <w:rPr/>
              <w:t> </w:t>
            </w:r>
          </w:p>
        </w:tc>
        <w:tc>
          <w:tcPr>
            <w:tcW w:w="485" w:type="dxa"/>
            <w:tcBorders/>
            <w:shd w:fill="auto" w:val="clear"/>
          </w:tcPr>
          <w:p>
            <w:pPr>
              <w:pStyle w:val="TableContents"/>
              <w:spacing w:before="0" w:after="283"/>
              <w:jc w:val="right"/>
              <w:rPr>
                <w:rFonts w:ascii="sans-serif" w:hAnsi="sans-serif"/>
                <w:sz w:val="22"/>
              </w:rPr>
            </w:pPr>
            <w:r>
              <w:rPr>
                <w:rFonts w:ascii="sans-serif" w:hAnsi="sans-serif"/>
                <w:sz w:val="22"/>
              </w:rPr>
              <w:t>15.</w:t>
            </w:r>
          </w:p>
        </w:tc>
        <w:tc>
          <w:tcPr>
            <w:tcW w:w="60" w:type="dxa"/>
            <w:tcBorders/>
            <w:shd w:fill="auto" w:val="clear"/>
          </w:tcPr>
          <w:p>
            <w:pPr>
              <w:pStyle w:val="TableContents"/>
              <w:spacing w:before="0" w:after="283"/>
              <w:rPr/>
            </w:pPr>
            <w:r>
              <w:rPr/>
              <w:t> </w:t>
            </w:r>
          </w:p>
        </w:tc>
        <w:tc>
          <w:tcPr>
            <w:tcW w:w="8380" w:type="dxa"/>
            <w:tcBorders/>
            <w:shd w:fill="auto" w:val="clear"/>
            <w:vAlign w:val="bottom"/>
          </w:tcPr>
          <w:p>
            <w:pPr>
              <w:pStyle w:val="TableContents"/>
              <w:spacing w:before="0" w:after="283"/>
              <w:ind w:left="397" w:right="0" w:hanging="397"/>
              <w:rPr/>
            </w:pPr>
            <w:hyperlink w:anchor="c83288_exhibits1">
              <w:r>
                <w:rPr>
                  <w:rStyle w:val="InternetLink"/>
                  <w:rFonts w:ascii="sans-serif" w:hAnsi="sans-serif"/>
                  <w:sz w:val="22"/>
                </w:rPr>
                <w:t>Exhibits and Financial Statement Schedules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85</w:t>
            </w:r>
          </w:p>
        </w:tc>
      </w:tr>
      <w:tr>
        <w:trPr/>
        <w:tc>
          <w:tcPr>
            <w:tcW w:w="9599" w:type="dxa"/>
            <w:gridSpan w:val="5"/>
            <w:tcBorders/>
            <w:shd w:fill="auto" w:val="clear"/>
          </w:tcPr>
          <w:p>
            <w:pPr>
              <w:pStyle w:val="TableContents"/>
              <w:spacing w:before="0" w:after="283"/>
              <w:ind w:left="198" w:right="0" w:hanging="198"/>
              <w:rPr/>
            </w:pPr>
            <w:hyperlink w:anchor="c83288_signatures1">
              <w:r>
                <w:rPr>
                  <w:rStyle w:val="InternetLink"/>
                  <w:rFonts w:ascii="sans-serif" w:hAnsi="sans-serif"/>
                  <w:sz w:val="22"/>
                </w:rPr>
                <w:t>Signatures</w:t>
              </w:r>
            </w:hyperlink>
          </w:p>
        </w:tc>
        <w:tc>
          <w:tcPr>
            <w:tcW w:w="60" w:type="dxa"/>
            <w:tcBorders/>
            <w:shd w:fill="auto" w:val="clear"/>
          </w:tcPr>
          <w:p>
            <w:pPr>
              <w:pStyle w:val="TableContents"/>
              <w:spacing w:before="0" w:after="283"/>
              <w:rPr/>
            </w:pPr>
            <w:r>
              <w:rPr/>
              <w:t> </w:t>
            </w:r>
          </w:p>
        </w:tc>
        <w:tc>
          <w:tcPr>
            <w:tcW w:w="54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86</w:t>
            </w:r>
          </w:p>
        </w:tc>
      </w:tr>
    </w:tbl>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6"/>
        </w:rPr>
      </w:pPr>
      <w:r>
        <w:rPr>
          <w:rFonts w:ascii="sans-serif" w:hAnsi="sans-serif"/>
          <w:b/>
          <w:sz w:val="26"/>
        </w:rPr>
        <w:t>PART I.</w:t>
      </w:r>
    </w:p>
    <w:p>
      <w:pPr>
        <w:pStyle w:val="TextBody"/>
        <w:spacing w:before="198" w:after="198"/>
        <w:ind w:left="198" w:right="198" w:hanging="0"/>
        <w:rPr>
          <w:rFonts w:ascii="sans-serif" w:hAnsi="sans-serif"/>
          <w:b/>
          <w:sz w:val="26"/>
        </w:rPr>
      </w:pPr>
      <w:bookmarkStart w:id="2" w:name="c83288_business1"/>
      <w:bookmarkEnd w:id="2"/>
      <w:r>
        <w:rPr>
          <w:rFonts w:ascii="sans-serif" w:hAnsi="sans-serif"/>
          <w:b/>
          <w:sz w:val="26"/>
        </w:rPr>
        <w:t>Item 1. Business</w:t>
      </w:r>
    </w:p>
    <w:p>
      <w:pPr>
        <w:pStyle w:val="TextBody"/>
        <w:spacing w:before="119" w:after="119"/>
        <w:ind w:left="119" w:right="119" w:firstLine="397"/>
        <w:jc w:val="both"/>
        <w:rPr>
          <w:rFonts w:ascii="sans-serif" w:hAnsi="sans-serif"/>
          <w:sz w:val="22"/>
        </w:rPr>
      </w:pPr>
      <w:r>
        <w:rPr>
          <w:rFonts w:ascii="sans-serif" w:hAnsi="sans-serif"/>
          <w:sz w:val="22"/>
        </w:rPr>
        <w:t>Honeywell International Inc. (Honeywell or the Company) is a diversified technology and manufacturing company, serving customers worldwide with aerospace products and services, turbochargers, control, sensing and security technologies for buildings, homes and industry, specialty chemicals, electronic and advanced materials, process technology for refining and petrochemicals, and energy efficient products and solutions for homes, business and transportation. Honeywell was incorporated in Delaware in 1985.</w:t>
      </w:r>
    </w:p>
    <w:p>
      <w:pPr>
        <w:pStyle w:val="TextBody"/>
        <w:spacing w:before="119" w:after="119"/>
        <w:ind w:left="119" w:right="119" w:firstLine="397"/>
        <w:jc w:val="both"/>
        <w:rPr>
          <w:rFonts w:ascii="sans-serif" w:hAnsi="sans-serif"/>
          <w:sz w:val="22"/>
        </w:rPr>
      </w:pPr>
      <w:r>
        <w:rPr>
          <w:rFonts w:ascii="sans-serif" w:hAnsi="sans-serif"/>
          <w:sz w:val="22"/>
        </w:rPr>
        <w:t>Our Annual Report on Form 10-K, Quarterly Reports on Form 10-Q, Current Reports on Form 8-K and any amendments to those reports, are available free of charge on our website (www.honeywell.com) under the heading Investor Relations (see SEC Filings &amp; Reports) immediately after they are filed with, or furnished to, the Securities and Exchange Commission (SEC). In addition, in this Form 10-K, the Company incorporates by reference certain information from parts of its Proxy Statement for the 2016 Annual Meeting of Stockholders, which we expect to file with the SEC on or about March 10, 2016, and which will also be available free of charge on our website.</w:t>
      </w:r>
    </w:p>
    <w:p>
      <w:pPr>
        <w:pStyle w:val="TextBody"/>
        <w:spacing w:before="357" w:after="357"/>
        <w:ind w:left="357" w:right="357" w:hanging="0"/>
        <w:rPr>
          <w:rFonts w:ascii="sans-serif" w:hAnsi="sans-serif"/>
          <w:b/>
          <w:sz w:val="22"/>
        </w:rPr>
      </w:pPr>
      <w:r>
        <w:rPr>
          <w:rFonts w:ascii="sans-serif" w:hAnsi="sans-serif"/>
          <w:b/>
          <w:sz w:val="22"/>
        </w:rPr>
        <w:t>Major Businesses</w:t>
      </w:r>
    </w:p>
    <w:p>
      <w:pPr>
        <w:pStyle w:val="TextBody"/>
        <w:spacing w:before="119" w:after="119"/>
        <w:ind w:left="119" w:right="119" w:firstLine="397"/>
        <w:jc w:val="both"/>
        <w:rPr>
          <w:rFonts w:ascii="sans-serif" w:hAnsi="sans-serif"/>
          <w:sz w:val="22"/>
        </w:rPr>
      </w:pPr>
      <w:r>
        <w:rPr>
          <w:rFonts w:ascii="sans-serif" w:hAnsi="sans-serif"/>
          <w:sz w:val="22"/>
        </w:rPr>
        <w:t>We globally manage our business operations through three operating segments: Aerospace, Automation and Control Solutions (ACS), and Performance Materials and Technologies (PMT). Financial information related to our operating segments is included in Note 21 Segment Financial Data of Notes to Financial Statements.</w:t>
      </w:r>
    </w:p>
    <w:p>
      <w:pPr>
        <w:pStyle w:val="TextBody"/>
        <w:spacing w:before="119" w:after="119"/>
        <w:ind w:left="119" w:right="119" w:firstLine="397"/>
        <w:jc w:val="both"/>
        <w:rPr>
          <w:rFonts w:ascii="sans-serif" w:hAnsi="sans-serif"/>
          <w:sz w:val="22"/>
        </w:rPr>
      </w:pPr>
      <w:r>
        <w:rPr>
          <w:rFonts w:ascii="sans-serif" w:hAnsi="sans-serif"/>
          <w:sz w:val="22"/>
        </w:rPr>
        <w:t>The major products/services, customers/uses and key competitors of each of our operating segments are:</w:t>
      </w:r>
    </w:p>
    <w:p>
      <w:pPr>
        <w:pStyle w:val="TextBody"/>
        <w:spacing w:before="357" w:after="357"/>
        <w:ind w:left="357" w:right="357" w:hanging="0"/>
        <w:rPr>
          <w:rFonts w:ascii="sans-serif" w:hAnsi="sans-serif"/>
          <w:b/>
          <w:sz w:val="22"/>
        </w:rPr>
      </w:pPr>
      <w:r>
        <w:rPr>
          <w:rFonts w:ascii="sans-serif" w:hAnsi="sans-serif"/>
          <w:b/>
          <w:sz w:val="22"/>
        </w:rPr>
        <w:t>Aerospace</w:t>
      </w:r>
    </w:p>
    <w:p>
      <w:pPr>
        <w:pStyle w:val="TextBody"/>
        <w:spacing w:before="119" w:after="119"/>
        <w:ind w:left="119" w:right="119" w:firstLine="397"/>
        <w:jc w:val="both"/>
        <w:rPr>
          <w:rFonts w:ascii="sans-serif" w:hAnsi="sans-serif"/>
          <w:sz w:val="22"/>
        </w:rPr>
      </w:pPr>
      <w:r>
        <w:rPr>
          <w:rFonts w:ascii="sans-serif" w:hAnsi="sans-serif"/>
          <w:sz w:val="22"/>
        </w:rPr>
        <w:t>Aerospace is a leading global supplier of aircraft engines, integrated avionics, systems and service solutions, and related products and services for aircraft manufacturers, airlines, aircraft operators, military services, and defense and space contractors. Aerospace is also a leading manufacturer of turbochargers to improve the performance and efficiency of passenger cars and commercial vehicles. Aerospace products and services include auxiliary power units, propulsion engines, environmental control systems, connectivity, electric power systems, engine controls, flight safety, communications, navigation, radar and surveillance systems, aircraft lighting, management and technical services, logistics services, advanced systems and instruments, aircraft wheels and brakes, repair and overhaul services, turbochargers and thermal systems. Aerospace sells its products to original equipment manufacturers (OEMs) in the air transport, regional, business and general aviation aircraft, and automotive and truck manufacturers segments, and provides spare parts and repair and maintenance services (principally to aircraft operators) for the aftermarket.</w:t>
      </w:r>
    </w:p>
    <w:p>
      <w:pPr>
        <w:pStyle w:val="TextBody"/>
        <w:spacing w:before="357" w:after="357"/>
        <w:ind w:left="357" w:right="357" w:hanging="0"/>
        <w:rPr>
          <w:rFonts w:ascii="sans-serif" w:hAnsi="sans-serif"/>
          <w:b/>
          <w:sz w:val="22"/>
        </w:rPr>
      </w:pPr>
      <w:r>
        <w:rPr>
          <w:rFonts w:ascii="sans-serif" w:hAnsi="sans-serif"/>
          <w:b/>
          <w:sz w:val="22"/>
        </w:rPr>
        <w:t>Automation and Control Solutions</w:t>
      </w:r>
    </w:p>
    <w:p>
      <w:pPr>
        <w:pStyle w:val="TextBody"/>
        <w:spacing w:before="119" w:after="119"/>
        <w:ind w:left="119" w:right="119" w:firstLine="397"/>
        <w:jc w:val="both"/>
        <w:rPr>
          <w:rFonts w:ascii="sans-serif" w:hAnsi="sans-serif"/>
          <w:sz w:val="22"/>
        </w:rPr>
      </w:pPr>
      <w:r>
        <w:rPr>
          <w:rFonts w:ascii="sans-serif" w:hAnsi="sans-serif"/>
          <w:sz w:val="22"/>
        </w:rPr>
        <w:t>ACS is a leading global provider of products, software and technologies for environmental and energy solutions; sensors, switches and controls for sensing and productivity solutions; security and fire safety products; industrial safety products; and building solutions and services for homes, commercial buildings and industrial facilities. ACS products and services include controls and displays for heating, cooling, indoor air quality, ventilation, humidification, combustion, lighting and home automation; advanced software applications for home/building control and optimization; sensors, switches, control systems and instruments for measuring pressure, air flow, temperature and electrical current; products, services and solutions for measurement, regulation, control and metering of gases and electricity; metering and communications systems for water utilities and industries; security, fire and gas detection; personal protection equipment; access control; video surveillance; remote patient monitoring systems; software and products for high performance data collection including rugged</w:t>
      </w:r>
    </w:p>
    <w:p>
      <w:pPr>
        <w:pStyle w:val="TextBody"/>
        <w:spacing w:before="119" w:after="119"/>
        <w:ind w:left="119" w:right="119" w:hanging="0"/>
        <w:jc w:val="center"/>
        <w:rPr>
          <w:rFonts w:ascii="sans-serif" w:hAnsi="sans-serif"/>
          <w:sz w:val="22"/>
        </w:rPr>
      </w:pPr>
      <w:r>
        <w:rPr>
          <w:rFonts w:ascii="sans-serif" w:hAnsi="sans-serif"/>
          <w:sz w:val="22"/>
        </w:rPr>
        <w:t>1</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rPr>
          <w:rFonts w:ascii="sans-serif" w:hAnsi="sans-serif"/>
          <w:sz w:val="22"/>
        </w:rPr>
      </w:pPr>
      <w:r>
        <w:rPr>
          <w:rFonts w:ascii="sans-serif" w:hAnsi="sans-serif"/>
          <w:sz w:val="22"/>
        </w:rPr>
        <w:t>mobile computers and printers, bar code scanners and voice technologies; and installation, maintenance and upgrades of systems that keep buildings safe, comfortable and productive.</w:t>
      </w:r>
    </w:p>
    <w:p>
      <w:pPr>
        <w:pStyle w:val="TextBody"/>
        <w:spacing w:before="357" w:after="357"/>
        <w:ind w:left="357" w:right="357" w:hanging="0"/>
        <w:rPr>
          <w:rFonts w:ascii="sans-serif" w:hAnsi="sans-serif"/>
          <w:b/>
          <w:sz w:val="22"/>
        </w:rPr>
      </w:pPr>
      <w:r>
        <w:rPr>
          <w:rFonts w:ascii="sans-serif" w:hAnsi="sans-serif"/>
          <w:b/>
          <w:sz w:val="22"/>
        </w:rPr>
        <w:t>Performance Materials and Technologies</w:t>
      </w:r>
    </w:p>
    <w:p>
      <w:pPr>
        <w:pStyle w:val="TextBody"/>
        <w:spacing w:before="119" w:after="119"/>
        <w:ind w:left="119" w:right="119" w:firstLine="397"/>
        <w:jc w:val="both"/>
        <w:rPr>
          <w:rFonts w:ascii="sans-serif" w:hAnsi="sans-serif"/>
          <w:sz w:val="22"/>
        </w:rPr>
      </w:pPr>
      <w:r>
        <w:rPr>
          <w:rFonts w:ascii="sans-serif" w:hAnsi="sans-serif"/>
          <w:sz w:val="22"/>
        </w:rPr>
        <w:t>PMT is a global leader in developing and manufacturing advanced materials, process technologies and automation solutions. UOP provides process technology, products, including catalysts and adsorbents, equipment and consulting services to efficiently produce gasoline, diesel, jet fuel, petrochemicals and renewable fuels for the petroleum refining, gas processing, petrochemical, and other industries. Process Solutions is a pioneer in automation control, instrumentation, services and advanced software for the oil and gas, refining, pulp and paper, industrial power generation, chemicals and petrochemicals, biofuels, life sciences, and metals, minerals and mining industries. Advanced Materials manufactures a wide variety of high-performance products, including fluorocarbons, hydrofluoroolefins, caprolactam, resins, ammonium sulfate fertilizer, phenol, specialty films, waxes, additives, advanced fibers, customized research chemicals and intermediates, and electronic materials and chemicals.</w:t>
      </w:r>
    </w:p>
    <w:p>
      <w:pPr>
        <w:pStyle w:val="TextBody"/>
        <w:spacing w:before="357" w:after="357"/>
        <w:ind w:left="357" w:right="357" w:hanging="0"/>
        <w:rPr>
          <w:rFonts w:ascii="sans-serif" w:hAnsi="sans-serif"/>
          <w:b/>
          <w:sz w:val="22"/>
        </w:rPr>
      </w:pPr>
      <w:r>
        <w:rPr>
          <w:rFonts w:ascii="sans-serif" w:hAnsi="sans-serif"/>
          <w:b/>
          <w:sz w:val="22"/>
        </w:rPr>
        <w:t>Competition</w:t>
      </w:r>
    </w:p>
    <w:p>
      <w:pPr>
        <w:pStyle w:val="TextBody"/>
        <w:spacing w:before="119" w:after="119"/>
        <w:ind w:left="119" w:right="119" w:firstLine="397"/>
        <w:jc w:val="both"/>
        <w:rPr>
          <w:rFonts w:ascii="sans-serif" w:hAnsi="sans-serif"/>
          <w:sz w:val="22"/>
        </w:rPr>
      </w:pPr>
      <w:r>
        <w:rPr>
          <w:rFonts w:ascii="sans-serif" w:hAnsi="sans-serif"/>
          <w:sz w:val="22"/>
        </w:rPr>
        <w:t>We are subject to competition in substantially all product and service areas. Some of our key competitors are:</w:t>
      </w:r>
    </w:p>
    <w:tbl>
      <w:tblPr>
        <w:tblW w:w="10205" w:type="dxa"/>
        <w:jc w:val="left"/>
        <w:tblInd w:w="0" w:type="dxa"/>
        <w:tblCellMar>
          <w:top w:w="0" w:type="dxa"/>
          <w:left w:w="0" w:type="dxa"/>
          <w:bottom w:w="0" w:type="dxa"/>
          <w:right w:w="0" w:type="dxa"/>
        </w:tblCellMar>
      </w:tblPr>
      <w:tblGrid>
        <w:gridCol w:w="75"/>
        <w:gridCol w:w="287"/>
        <w:gridCol w:w="94"/>
        <w:gridCol w:w="9710"/>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94" w:type="dxa"/>
            <w:tcBorders/>
            <w:shd w:fill="auto" w:val="clear"/>
          </w:tcPr>
          <w:p>
            <w:pPr>
              <w:pStyle w:val="TableContents"/>
              <w:spacing w:before="0" w:after="283"/>
              <w:rPr/>
            </w:pPr>
            <w:r>
              <w:rPr/>
              <w:t> </w:t>
            </w:r>
          </w:p>
        </w:tc>
        <w:tc>
          <w:tcPr>
            <w:tcW w:w="9710" w:type="dxa"/>
            <w:tcBorders/>
            <w:shd w:fill="auto" w:val="clear"/>
          </w:tcPr>
          <w:p>
            <w:pPr>
              <w:pStyle w:val="TableContents"/>
              <w:spacing w:before="0" w:after="283"/>
              <w:jc w:val="both"/>
              <w:rPr>
                <w:rFonts w:ascii="sans-serif" w:hAnsi="sans-serif"/>
                <w:sz w:val="22"/>
              </w:rPr>
            </w:pPr>
            <w:r>
              <w:rPr>
                <w:rFonts w:ascii="sans-serif" w:hAnsi="sans-serif"/>
                <w:sz w:val="22"/>
              </w:rPr>
              <w:t>Aerospace: Borg-Warner (automotive), Garmin, General Electric, Rockwell Collins, Thales and United Technologies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94" w:type="dxa"/>
            <w:tcBorders/>
            <w:shd w:fill="auto" w:val="clear"/>
          </w:tcPr>
          <w:p>
            <w:pPr>
              <w:pStyle w:val="TableContents"/>
              <w:spacing w:before="0" w:after="283"/>
              <w:rPr/>
            </w:pPr>
            <w:r>
              <w:rPr/>
              <w:t> </w:t>
            </w:r>
          </w:p>
        </w:tc>
        <w:tc>
          <w:tcPr>
            <w:tcW w:w="971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ACS: 3M, Johnson Controls, Schneider, Siemens and Zebra-Motorola</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94" w:type="dxa"/>
            <w:tcBorders/>
            <w:shd w:fill="auto" w:val="clear"/>
          </w:tcPr>
          <w:p>
            <w:pPr>
              <w:pStyle w:val="TableContents"/>
              <w:spacing w:before="0" w:after="283"/>
              <w:rPr/>
            </w:pPr>
            <w:r>
              <w:rPr/>
              <w:t> </w:t>
            </w:r>
          </w:p>
        </w:tc>
        <w:tc>
          <w:tcPr>
            <w:tcW w:w="971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PMT: Albemarle, BASF, Dow, Dupont, Emerson and Sinopec</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Our businesses compete on a variety of factors, such as price, quality, reliability, delivery, customer service, performance, applied technology, product innovation and product recognition. Brand identity, service to customers and quality are important competitive factors for our products and services, and there is considerable price competition. Other competitive factors include breadth of product line, research and development efforts and technical and managerial capability. While our competitive position varies among our products and services, we believe we are a significant competitor in each of our major product and service classes. Many of our competitors have substantial financial resources and significant technological capabilities. In addition, some of our products compete with the captive component divisions of OEMs.</w:t>
      </w:r>
    </w:p>
    <w:p>
      <w:pPr>
        <w:pStyle w:val="TextBody"/>
        <w:spacing w:before="357" w:after="357"/>
        <w:ind w:left="357" w:right="357" w:hanging="0"/>
        <w:rPr>
          <w:rFonts w:ascii="sans-serif" w:hAnsi="sans-serif"/>
          <w:b/>
          <w:sz w:val="22"/>
        </w:rPr>
      </w:pPr>
      <w:r>
        <w:rPr>
          <w:rFonts w:ascii="sans-serif" w:hAnsi="sans-serif"/>
          <w:b/>
          <w:sz w:val="22"/>
        </w:rPr>
        <w:t>Aerospace Sales</w:t>
      </w:r>
    </w:p>
    <w:p>
      <w:pPr>
        <w:pStyle w:val="TextBody"/>
        <w:spacing w:before="119" w:after="119"/>
        <w:ind w:left="119" w:right="119" w:firstLine="397"/>
        <w:jc w:val="both"/>
        <w:rPr>
          <w:rFonts w:ascii="sans-serif" w:hAnsi="sans-serif"/>
          <w:sz w:val="22"/>
        </w:rPr>
      </w:pPr>
      <w:r>
        <w:rPr>
          <w:rFonts w:ascii="sans-serif" w:hAnsi="sans-serif"/>
          <w:sz w:val="22"/>
        </w:rPr>
        <w:t>Our sales to aerospace customers were 39%, 39%, and 40% of our total sales in 2015, 2014 and 2013. Our sales to commercial aerospace OEMs were 8%, 6%, and 7% of our total sales in 2015, 2014 and 2013. In addition, our sales to commercial aftermarket customers of aerospace products and services were 12%, 11%, and 11% of our total sales in 2015, 2014 and 2013.</w:t>
      </w:r>
    </w:p>
    <w:p>
      <w:pPr>
        <w:pStyle w:val="TextBody"/>
        <w:spacing w:before="357" w:after="357"/>
        <w:ind w:left="357" w:right="357" w:hanging="0"/>
        <w:rPr>
          <w:rFonts w:ascii="sans-serif" w:hAnsi="sans-serif"/>
          <w:b/>
          <w:sz w:val="22"/>
        </w:rPr>
      </w:pPr>
      <w:r>
        <w:rPr>
          <w:rFonts w:ascii="sans-serif" w:hAnsi="sans-serif"/>
          <w:b/>
          <w:sz w:val="22"/>
        </w:rPr>
        <w:t>U.S. Government Sales</w:t>
      </w:r>
    </w:p>
    <w:p>
      <w:pPr>
        <w:pStyle w:val="TextBody"/>
        <w:spacing w:before="119" w:after="119"/>
        <w:ind w:left="119" w:right="119" w:firstLine="397"/>
        <w:jc w:val="both"/>
        <w:rPr>
          <w:rFonts w:ascii="sans-serif" w:hAnsi="sans-serif"/>
          <w:sz w:val="22"/>
        </w:rPr>
      </w:pPr>
      <w:r>
        <w:rPr>
          <w:rFonts w:ascii="sans-serif" w:hAnsi="sans-serif"/>
          <w:sz w:val="22"/>
        </w:rPr>
        <w:t>Sales to the U.S. Government (principally by Aerospace), acting through its various departments and agencies and through prime contractors, amounted to $3,743 million, $3,693 million and $3,856 million in 2015, 2014 and 2013, which included sales to the U.S. Department of Defense, as a prime contractor and subcontractor, of $2,680 million, $2,792 million and $3,066 million in 2015, 2014 and 2013. U.S. defense spending decreased in 2015 compared to 2014. We do not expect our overall operating results to be significantly affected by any proposed changes in 2016 federal defense spending due principally to the varied mix of the government programs which impact us (OEMs production, engineering development programs, aftermarket spares and repairs and overhaul programs), increases in direct foreign defense and space market sales, as well as our diversified commercial businesses.</w:t>
      </w:r>
    </w:p>
    <w:p>
      <w:pPr>
        <w:pStyle w:val="TextBody"/>
        <w:spacing w:before="119" w:after="119"/>
        <w:ind w:left="119" w:right="119" w:hanging="0"/>
        <w:jc w:val="center"/>
        <w:rPr>
          <w:rFonts w:ascii="sans-serif" w:hAnsi="sans-serif"/>
          <w:sz w:val="22"/>
        </w:rPr>
      </w:pPr>
      <w:r>
        <w:rPr>
          <w:rFonts w:ascii="sans-serif" w:hAnsi="sans-serif"/>
          <w:sz w:val="22"/>
        </w:rPr>
        <w:t>2</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2"/>
        </w:rPr>
      </w:pPr>
      <w:r>
        <w:rPr>
          <w:rFonts w:ascii="sans-serif" w:hAnsi="sans-serif"/>
          <w:b/>
          <w:sz w:val="22"/>
        </w:rPr>
        <w:t>Backlog</w:t>
      </w:r>
    </w:p>
    <w:p>
      <w:pPr>
        <w:pStyle w:val="TextBody"/>
        <w:spacing w:before="119" w:after="119"/>
        <w:ind w:left="119" w:right="119" w:firstLine="397"/>
        <w:jc w:val="both"/>
        <w:rPr>
          <w:rFonts w:ascii="sans-serif" w:hAnsi="sans-serif"/>
          <w:sz w:val="22"/>
        </w:rPr>
      </w:pPr>
      <w:r>
        <w:rPr>
          <w:rFonts w:ascii="sans-serif" w:hAnsi="sans-serif"/>
          <w:sz w:val="22"/>
        </w:rPr>
        <w:t>Our total backlog at December 31, 2015 and 2014 was $18,183 million and $18,313 million. We anticipate that approximately $11,601 million of the 2015 backlog will be filled in 2016. We believe that backlog is not necessarily a reliable indicator of our future sales because a substantial portion of the orders constituting this backlog may be canceled at the customers option.</w:t>
      </w:r>
    </w:p>
    <w:p>
      <w:pPr>
        <w:pStyle w:val="TextBody"/>
        <w:spacing w:before="357" w:after="357"/>
        <w:ind w:left="357" w:right="357" w:hanging="0"/>
        <w:rPr>
          <w:rFonts w:ascii="sans-serif" w:hAnsi="sans-serif"/>
          <w:b/>
          <w:sz w:val="22"/>
        </w:rPr>
      </w:pPr>
      <w:r>
        <w:rPr>
          <w:rFonts w:ascii="sans-serif" w:hAnsi="sans-serif"/>
          <w:b/>
          <w:sz w:val="22"/>
        </w:rPr>
        <w:t>International Operations</w:t>
      </w:r>
    </w:p>
    <w:p>
      <w:pPr>
        <w:pStyle w:val="TextBody"/>
        <w:spacing w:before="119" w:after="119"/>
        <w:ind w:left="119" w:right="119" w:firstLine="397"/>
        <w:jc w:val="both"/>
        <w:rPr>
          <w:rFonts w:ascii="sans-serif" w:hAnsi="sans-serif"/>
          <w:sz w:val="22"/>
        </w:rPr>
      </w:pPr>
      <w:r>
        <w:rPr>
          <w:rFonts w:ascii="sans-serif" w:hAnsi="sans-serif"/>
          <w:sz w:val="22"/>
        </w:rPr>
        <w:t>We are engaged in manufacturing, sales, service and research and development globally. U.S. exports and non-U.S. manufactured products are significant to our operations. U.S. exports comprised 14% of our total sales in each of 2015, 2014 and 2013. Non-U.S. manufactured products and services, mainly in Europe and Asia, were 39% of our total sales in 2015, and 41% in 2014 and 2013.</w:t>
      </w:r>
    </w:p>
    <w:tbl>
      <w:tblPr>
        <w:tblW w:w="7688" w:type="dxa"/>
        <w:jc w:val="left"/>
        <w:tblInd w:w="0" w:type="dxa"/>
        <w:tblCellMar>
          <w:top w:w="0" w:type="dxa"/>
          <w:left w:w="0" w:type="dxa"/>
          <w:bottom w:w="0" w:type="dxa"/>
          <w:right w:w="0" w:type="dxa"/>
        </w:tblCellMar>
      </w:tblPr>
      <w:tblGrid>
        <w:gridCol w:w="4280"/>
        <w:gridCol w:w="60"/>
        <w:gridCol w:w="99"/>
        <w:gridCol w:w="60"/>
        <w:gridCol w:w="478"/>
        <w:gridCol w:w="355"/>
        <w:gridCol w:w="101"/>
        <w:gridCol w:w="92"/>
        <w:gridCol w:w="92"/>
        <w:gridCol w:w="60"/>
        <w:gridCol w:w="448"/>
        <w:gridCol w:w="332"/>
        <w:gridCol w:w="92"/>
        <w:gridCol w:w="92"/>
        <w:gridCol w:w="92"/>
        <w:gridCol w:w="60"/>
        <w:gridCol w:w="448"/>
        <w:gridCol w:w="332"/>
        <w:gridCol w:w="115"/>
      </w:tblGrid>
      <w:tr>
        <w:trPr/>
        <w:tc>
          <w:tcPr>
            <w:tcW w:w="42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3" w:type="dxa"/>
            <w:gridSpan w:val="5"/>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024" w:type="dxa"/>
            <w:gridSpan w:val="5"/>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047" w:type="dxa"/>
            <w:gridSpan w:val="5"/>
            <w:tcBorders/>
            <w:shd w:fill="auto" w:val="clear"/>
            <w:vAlign w:val="bottom"/>
          </w:tcPr>
          <w:p>
            <w:pPr>
              <w:pStyle w:val="TableContents"/>
              <w:spacing w:before="0" w:after="283"/>
              <w:rPr/>
            </w:pPr>
            <w:r>
              <w:rPr/>
              <w:t> </w:t>
            </w:r>
          </w:p>
        </w:tc>
      </w:tr>
      <w:tr>
        <w:trPr/>
        <w:tc>
          <w:tcPr>
            <w:tcW w:w="4280" w:type="dxa"/>
            <w:vMerge w:val="restart"/>
            <w:tcBorders>
              <w:bottom w:val="single" w:sz="4" w:space="0" w:color="000000"/>
            </w:tcBorders>
            <w:shd w:fill="auto" w:val="clear"/>
            <w:tcMar>
              <w:bottom w:w="28" w:type="dxa"/>
            </w:tcMar>
            <w:vAlign w:val="bottom"/>
          </w:tcPr>
          <w:p>
            <w:pPr>
              <w:pStyle w:val="TableContents"/>
              <w:spacing w:before="0" w:after="283"/>
              <w:ind w:left="198" w:right="0" w:hanging="198"/>
              <w:jc w:val="center"/>
              <w:rPr>
                <w:rFonts w:ascii="sans-serif" w:hAnsi="sans-serif"/>
                <w:b/>
                <w:sz w:val="18"/>
              </w:rPr>
            </w:pPr>
            <w:r>
              <w:rPr>
                <w:rFonts w:ascii="sans-serif" w:hAnsi="sans-serif"/>
                <w:b/>
                <w:sz w:val="18"/>
              </w:rPr>
              <w:t>Manufactured Products and Systems and</w:t>
              <w:br/>
              <w:t>Performance of Services</w:t>
            </w:r>
          </w:p>
        </w:tc>
        <w:tc>
          <w:tcPr>
            <w:tcW w:w="60" w:type="dxa"/>
            <w:tcBorders/>
            <w:shd w:fill="auto" w:val="clear"/>
            <w:vAlign w:val="bottom"/>
          </w:tcPr>
          <w:p>
            <w:pPr>
              <w:pStyle w:val="TableContents"/>
              <w:spacing w:before="0" w:after="283"/>
              <w:rPr/>
            </w:pPr>
            <w:r>
              <w:rPr/>
              <w:t> </w:t>
            </w:r>
          </w:p>
        </w:tc>
        <w:tc>
          <w:tcPr>
            <w:tcW w:w="3348"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 Ended December 31, 2015</w:t>
            </w:r>
          </w:p>
        </w:tc>
      </w:tr>
      <w:tr>
        <w:trPr/>
        <w:tc>
          <w:tcPr>
            <w:tcW w:w="4280"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3"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Aerospace</w:t>
            </w:r>
          </w:p>
        </w:tc>
        <w:tc>
          <w:tcPr>
            <w:tcW w:w="92" w:type="dxa"/>
            <w:tcBorders/>
            <w:shd w:fill="auto" w:val="clear"/>
            <w:vAlign w:val="bottom"/>
          </w:tcPr>
          <w:p>
            <w:pPr>
              <w:pStyle w:val="TableContents"/>
              <w:spacing w:before="0" w:after="283"/>
              <w:rPr/>
            </w:pPr>
            <w:r>
              <w:rPr/>
              <w:t> </w:t>
            </w:r>
          </w:p>
        </w:tc>
        <w:tc>
          <w:tcPr>
            <w:tcW w:w="1024"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ACS</w:t>
            </w:r>
          </w:p>
        </w:tc>
        <w:tc>
          <w:tcPr>
            <w:tcW w:w="92" w:type="dxa"/>
            <w:tcBorders/>
            <w:shd w:fill="auto" w:val="clear"/>
            <w:vAlign w:val="bottom"/>
          </w:tcPr>
          <w:p>
            <w:pPr>
              <w:pStyle w:val="TableContents"/>
              <w:spacing w:before="0" w:after="283"/>
              <w:rPr/>
            </w:pPr>
            <w:r>
              <w:rPr/>
              <w:t> </w:t>
            </w:r>
          </w:p>
        </w:tc>
        <w:tc>
          <w:tcPr>
            <w:tcW w:w="104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PMT</w:t>
            </w:r>
          </w:p>
        </w:tc>
      </w:tr>
      <w:tr>
        <w:trPr/>
        <w:tc>
          <w:tcPr>
            <w:tcW w:w="428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348" w:type="dxa"/>
            <w:gridSpan w:val="17"/>
            <w:tcBorders/>
            <w:shd w:fill="auto" w:val="clear"/>
            <w:vAlign w:val="bottom"/>
          </w:tcPr>
          <w:p>
            <w:pPr>
              <w:pStyle w:val="TableContents"/>
              <w:spacing w:before="0" w:after="283"/>
              <w:jc w:val="center"/>
              <w:rPr>
                <w:rFonts w:ascii="sans-serif" w:hAnsi="sans-serif"/>
                <w:b/>
                <w:sz w:val="18"/>
              </w:rPr>
            </w:pPr>
            <w:r>
              <w:rPr>
                <w:rFonts w:ascii="sans-serif" w:hAnsi="sans-serif"/>
                <w:b/>
                <w:sz w:val="18"/>
              </w:rPr>
              <w:t>(% of Total Sales)</w:t>
            </w:r>
          </w:p>
        </w:tc>
      </w:tr>
      <w:tr>
        <w:trPr/>
        <w:tc>
          <w:tcPr>
            <w:tcW w:w="42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U.S. Exports</w:t>
            </w:r>
          </w:p>
        </w:tc>
        <w:tc>
          <w:tcPr>
            <w:tcW w:w="60" w:type="dxa"/>
            <w:tcBorders/>
            <w:shd w:fill="E5FFFF" w:val="clear"/>
            <w:vAlign w:val="bottom"/>
          </w:tcPr>
          <w:p>
            <w:pPr>
              <w:pStyle w:val="TableContents"/>
              <w:spacing w:before="0" w:after="283"/>
              <w:rPr/>
            </w:pPr>
            <w:r>
              <w:rPr/>
              <w:t> </w:t>
            </w:r>
          </w:p>
        </w:tc>
        <w:tc>
          <w:tcPr>
            <w:tcW w:w="9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7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w:t>
            </w:r>
          </w:p>
        </w:tc>
        <w:tc>
          <w:tcPr>
            <w:tcW w:w="3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01" w:type="dxa"/>
            <w:tcBorders/>
            <w:shd w:fill="E5FFFF" w:val="clear"/>
            <w:vAlign w:val="bottom"/>
          </w:tcPr>
          <w:p>
            <w:pPr>
              <w:pStyle w:val="TableContents"/>
              <w:spacing w:before="0" w:after="283"/>
              <w:rPr/>
            </w:pPr>
            <w:r>
              <w:rPr/>
              <w:t> </w:t>
            </w:r>
          </w:p>
        </w:tc>
        <w:tc>
          <w:tcPr>
            <w:tcW w:w="92" w:type="dxa"/>
            <w:tcBorders/>
            <w:shd w:fill="E5FFFF" w:val="clear"/>
            <w:vAlign w:val="bottom"/>
          </w:tcPr>
          <w:p>
            <w:pPr>
              <w:pStyle w:val="TableContents"/>
              <w:spacing w:before="0" w:after="283"/>
              <w:rPr/>
            </w:pPr>
            <w:r>
              <w:rPr/>
              <w:t> </w:t>
            </w:r>
          </w:p>
        </w:tc>
        <w:tc>
          <w:tcPr>
            <w:tcW w:w="9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4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33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2" w:type="dxa"/>
            <w:tcBorders/>
            <w:shd w:fill="E5FFFF" w:val="clear"/>
            <w:vAlign w:val="bottom"/>
          </w:tcPr>
          <w:p>
            <w:pPr>
              <w:pStyle w:val="TableContents"/>
              <w:spacing w:before="0" w:after="283"/>
              <w:rPr/>
            </w:pPr>
            <w:r>
              <w:rPr/>
              <w:t> </w:t>
            </w:r>
          </w:p>
        </w:tc>
        <w:tc>
          <w:tcPr>
            <w:tcW w:w="92" w:type="dxa"/>
            <w:tcBorders/>
            <w:shd w:fill="E5FFFF" w:val="clear"/>
            <w:vAlign w:val="bottom"/>
          </w:tcPr>
          <w:p>
            <w:pPr>
              <w:pStyle w:val="TableContents"/>
              <w:spacing w:before="0" w:after="283"/>
              <w:rPr/>
            </w:pPr>
            <w:r>
              <w:rPr/>
              <w:t> </w:t>
            </w:r>
          </w:p>
        </w:tc>
        <w:tc>
          <w:tcPr>
            <w:tcW w:w="9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4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33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5" w:type="dxa"/>
            <w:tcBorders/>
            <w:shd w:fill="E5FFFF" w:val="clear"/>
            <w:vAlign w:val="bottom"/>
          </w:tcPr>
          <w:p>
            <w:pPr>
              <w:pStyle w:val="TableContents"/>
              <w:spacing w:before="0" w:after="283"/>
              <w:rPr/>
            </w:pPr>
            <w:r>
              <w:rPr/>
              <w:t> </w:t>
            </w:r>
          </w:p>
        </w:tc>
      </w:tr>
      <w:tr>
        <w:trPr/>
        <w:tc>
          <w:tcPr>
            <w:tcW w:w="42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Non-U.S.</w:t>
            </w:r>
          </w:p>
        </w:tc>
        <w:tc>
          <w:tcPr>
            <w:tcW w:w="60"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w:t>
            </w:r>
          </w:p>
        </w:tc>
        <w:tc>
          <w:tcPr>
            <w:tcW w:w="3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1"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48</w:t>
            </w:r>
          </w:p>
        </w:tc>
        <w:tc>
          <w:tcPr>
            <w:tcW w:w="33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w:t>
            </w:r>
          </w:p>
        </w:tc>
        <w:tc>
          <w:tcPr>
            <w:tcW w:w="33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15" w:type="dxa"/>
            <w:tcBorders/>
            <w:shd w:fill="auto" w:val="cle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Raw Materials</w:t>
      </w:r>
    </w:p>
    <w:p>
      <w:pPr>
        <w:pStyle w:val="TextBody"/>
        <w:spacing w:before="119" w:after="119"/>
        <w:ind w:left="119" w:right="119" w:firstLine="397"/>
        <w:jc w:val="both"/>
        <w:rPr>
          <w:rFonts w:ascii="sans-serif" w:hAnsi="sans-serif"/>
          <w:sz w:val="22"/>
        </w:rPr>
      </w:pPr>
      <w:r>
        <w:rPr>
          <w:rFonts w:ascii="sans-serif" w:hAnsi="sans-serif"/>
          <w:sz w:val="22"/>
        </w:rPr>
        <w:t>The principal raw materials used in our operations are generally readily available. Although we occasionally experience disruption in raw materials supply, we experienced no significant problems in the purchase of key raw materials or commodities in 2015. We are not dependent on any one supplier for a material amount of our raw materials, except related to R240 (a key component in foam blowing agents), a raw material used in PMT.</w:t>
      </w:r>
    </w:p>
    <w:p>
      <w:pPr>
        <w:pStyle w:val="TextBody"/>
        <w:spacing w:before="119" w:after="119"/>
        <w:ind w:left="119" w:right="119" w:firstLine="397"/>
        <w:jc w:val="both"/>
        <w:rPr>
          <w:rFonts w:ascii="sans-serif" w:hAnsi="sans-serif"/>
          <w:sz w:val="22"/>
        </w:rPr>
      </w:pPr>
      <w:r>
        <w:rPr>
          <w:rFonts w:ascii="sans-serif" w:hAnsi="sans-serif"/>
          <w:sz w:val="22"/>
        </w:rPr>
        <w:t>The costs of certain key raw materials, including cumene, natural gas, R240, sulfur, fluorspar, ethylene and perchloroethylene in PMT and nickel, steel, titanium and other metals in Aerospace, are expected to continue to fluctuate. We will continue to attempt to offset raw material cost increases with formula or long-term supply agreements, price increases and hedging activities where feasible. We do not presently anticipate that a shortage of raw materials will cause any material adverse impacts during 2016.</w:t>
      </w:r>
    </w:p>
    <w:p>
      <w:pPr>
        <w:pStyle w:val="TextBody"/>
        <w:spacing w:before="357" w:after="357"/>
        <w:ind w:left="357" w:right="357" w:hanging="0"/>
        <w:rPr>
          <w:rFonts w:ascii="sans-serif" w:hAnsi="sans-serif"/>
          <w:b/>
          <w:sz w:val="22"/>
        </w:rPr>
      </w:pPr>
      <w:r>
        <w:rPr>
          <w:rFonts w:ascii="sans-serif" w:hAnsi="sans-serif"/>
          <w:b/>
          <w:sz w:val="22"/>
        </w:rPr>
        <w:t>Patents, Trademarks, Licenses and Distribution Rights</w:t>
      </w:r>
    </w:p>
    <w:p>
      <w:pPr>
        <w:pStyle w:val="TextBody"/>
        <w:spacing w:before="119" w:after="119"/>
        <w:ind w:left="119" w:right="119" w:firstLine="397"/>
        <w:jc w:val="both"/>
        <w:rPr>
          <w:rFonts w:ascii="sans-serif" w:hAnsi="sans-serif"/>
          <w:sz w:val="22"/>
        </w:rPr>
      </w:pPr>
      <w:r>
        <w:rPr>
          <w:rFonts w:ascii="sans-serif" w:hAnsi="sans-serif"/>
          <w:sz w:val="22"/>
        </w:rPr>
        <w:t>Our segments are not dependent upon any single patent or related group of patents, or any licenses or distribution rights. In our judgment, our intellectual property rights are adequate for the conduct of our business. We believe that, in the aggregate, the rights under our patents, trademarks and licenses are generally important to our operations, but we do not consider any individual patent, trademark or any licensing or distribution rights related to a specific process or product to be of material importance in relation to our total business.</w:t>
      </w:r>
    </w:p>
    <w:p>
      <w:pPr>
        <w:pStyle w:val="TextBody"/>
        <w:spacing w:before="357" w:after="357"/>
        <w:ind w:left="357" w:right="357" w:hanging="0"/>
        <w:rPr>
          <w:rFonts w:ascii="sans-serif" w:hAnsi="sans-serif"/>
          <w:b/>
          <w:sz w:val="22"/>
        </w:rPr>
      </w:pPr>
      <w:r>
        <w:rPr>
          <w:rFonts w:ascii="sans-serif" w:hAnsi="sans-serif"/>
          <w:b/>
          <w:sz w:val="22"/>
        </w:rPr>
        <w:t>Research and Development</w:t>
      </w:r>
    </w:p>
    <w:p>
      <w:pPr>
        <w:pStyle w:val="TextBody"/>
        <w:spacing w:before="119" w:after="119"/>
        <w:ind w:left="119" w:right="119" w:firstLine="397"/>
        <w:jc w:val="both"/>
        <w:rPr>
          <w:rFonts w:ascii="sans-serif" w:hAnsi="sans-serif"/>
          <w:sz w:val="22"/>
        </w:rPr>
      </w:pPr>
      <w:r>
        <w:rPr>
          <w:rFonts w:ascii="sans-serif" w:hAnsi="sans-serif"/>
          <w:sz w:val="22"/>
        </w:rPr>
        <w:t>The Companys principal research and development activities are in the U.S., India, Europe and China. Research and development (R&amp;D) expense totaled $1,856 million, $1,892 million and $1,804 million in 2015, 2014 and 2013. R&amp;D expense was 5% of sales in 2015, 2014 and 2013. Customer-sponsored (principally by the U.S. Government) R&amp;D activities amounted to an additional $998 million, $1,034 million and $969 million in 2015, 2014 and 2013.</w:t>
      </w:r>
    </w:p>
    <w:p>
      <w:pPr>
        <w:pStyle w:val="TextBody"/>
        <w:spacing w:before="357" w:after="357"/>
        <w:ind w:left="357" w:right="357" w:hanging="0"/>
        <w:rPr>
          <w:rFonts w:ascii="sans-serif" w:hAnsi="sans-serif"/>
          <w:b/>
          <w:sz w:val="22"/>
        </w:rPr>
      </w:pPr>
      <w:r>
        <w:rPr>
          <w:rFonts w:ascii="sans-serif" w:hAnsi="sans-serif"/>
          <w:b/>
          <w:sz w:val="22"/>
        </w:rPr>
        <w:t>Environment</w:t>
      </w:r>
    </w:p>
    <w:p>
      <w:pPr>
        <w:pStyle w:val="TextBody"/>
        <w:spacing w:before="119" w:after="119"/>
        <w:ind w:left="119" w:right="119" w:firstLine="397"/>
        <w:jc w:val="both"/>
        <w:rPr>
          <w:rFonts w:ascii="sans-serif" w:hAnsi="sans-serif"/>
          <w:sz w:val="22"/>
        </w:rPr>
      </w:pPr>
      <w:r>
        <w:rPr>
          <w:rFonts w:ascii="sans-serif" w:hAnsi="sans-serif"/>
          <w:sz w:val="22"/>
        </w:rPr>
        <w:t>We are subject to various federal, state, local and foreign government requirements regarding protection of human health and the environment. We believe that, as a general matter, our policies, practices and procedures are properly designed to prevent unreasonable risk of environmental damage, and of resulting financial liability, in connection with our business. Some risk of environmental</w:t>
      </w:r>
    </w:p>
    <w:p>
      <w:pPr>
        <w:pStyle w:val="TextBody"/>
        <w:spacing w:before="119" w:after="119"/>
        <w:ind w:left="119" w:right="119" w:hanging="0"/>
        <w:jc w:val="center"/>
        <w:rPr>
          <w:rFonts w:ascii="sans-serif" w:hAnsi="sans-serif"/>
          <w:sz w:val="22"/>
        </w:rPr>
      </w:pPr>
      <w:r>
        <w:rPr>
          <w:rFonts w:ascii="sans-serif" w:hAnsi="sans-serif"/>
          <w:sz w:val="22"/>
        </w:rPr>
        <w:t>3</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rPr>
          <w:rFonts w:ascii="sans-serif" w:hAnsi="sans-serif"/>
          <w:sz w:val="22"/>
        </w:rPr>
      </w:pPr>
      <w:r>
        <w:rPr>
          <w:rFonts w:ascii="sans-serif" w:hAnsi="sans-serif"/>
          <w:sz w:val="22"/>
        </w:rPr>
        <w:t>damage is, however, inherent in some of our operations and products, as it is with other companies engaged in similar businesses.</w:t>
      </w:r>
    </w:p>
    <w:p>
      <w:pPr>
        <w:pStyle w:val="TextBody"/>
        <w:spacing w:before="119" w:after="119"/>
        <w:ind w:left="119" w:right="119" w:firstLine="397"/>
        <w:jc w:val="both"/>
        <w:rPr>
          <w:rFonts w:ascii="sans-serif" w:hAnsi="sans-serif"/>
          <w:sz w:val="22"/>
        </w:rPr>
      </w:pPr>
      <w:r>
        <w:rPr>
          <w:rFonts w:ascii="sans-serif" w:hAnsi="sans-serif"/>
          <w:sz w:val="22"/>
        </w:rPr>
        <w:t>We are and have been engaged in the handling, manufacture, use and disposal of many substances classified as hazardous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also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pStyle w:val="TextBody"/>
        <w:spacing w:before="119" w:after="119"/>
        <w:ind w:left="119" w:right="119" w:firstLine="397"/>
        <w:jc w:val="both"/>
        <w:rPr>
          <w:rFonts w:ascii="sans-serif" w:hAnsi="sans-serif"/>
          <w:sz w:val="22"/>
        </w:rPr>
      </w:pPr>
      <w:r>
        <w:rPr>
          <w:rFonts w:ascii="sans-serif" w:hAnsi="sans-serif"/>
          <w:sz w:val="22"/>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Although there is a possibility that a responsible party might have to bear more than its proportional share of the cleanup costs if it is unable to obtain appropriate contribution from other responsible parties, to date we have not had to bear significantly more than our proportional share in multi-party situations taken as a whole.</w:t>
      </w:r>
    </w:p>
    <w:p>
      <w:pPr>
        <w:pStyle w:val="TextBody"/>
        <w:spacing w:before="119" w:after="119"/>
        <w:ind w:left="119" w:right="119" w:firstLine="397"/>
        <w:jc w:val="both"/>
        <w:rPr>
          <w:rFonts w:ascii="sans-serif" w:hAnsi="sans-serif"/>
          <w:sz w:val="22"/>
        </w:rPr>
      </w:pPr>
      <w:r>
        <w:rPr>
          <w:rFonts w:ascii="sans-serif" w:hAnsi="sans-serif"/>
          <w:sz w:val="22"/>
        </w:rPr>
        <w:t>We do not believe that existing or pending climate change legislation, regulation, or international treaties or accords are reasonably likely to have a material effect in the foreseeable future on the Companys business or markets that it serves, nor on its results of operations, capital expenditures or financial position. We will continue to monitor emerging developments in this area.</w:t>
      </w:r>
    </w:p>
    <w:p>
      <w:pPr>
        <w:pStyle w:val="TextBody"/>
        <w:spacing w:before="357" w:after="357"/>
        <w:ind w:left="357" w:right="357" w:hanging="0"/>
        <w:rPr>
          <w:rFonts w:ascii="sans-serif" w:hAnsi="sans-serif"/>
          <w:b/>
          <w:sz w:val="22"/>
        </w:rPr>
      </w:pPr>
      <w:r>
        <w:rPr>
          <w:rFonts w:ascii="sans-serif" w:hAnsi="sans-serif"/>
          <w:b/>
          <w:sz w:val="22"/>
        </w:rPr>
        <w:t>Employees</w:t>
      </w:r>
    </w:p>
    <w:p>
      <w:pPr>
        <w:pStyle w:val="TextBody"/>
        <w:spacing w:before="119" w:after="119"/>
        <w:ind w:left="119" w:right="119" w:firstLine="397"/>
        <w:jc w:val="both"/>
        <w:rPr>
          <w:rFonts w:ascii="sans-serif" w:hAnsi="sans-serif"/>
          <w:sz w:val="22"/>
        </w:rPr>
      </w:pPr>
      <w:r>
        <w:rPr>
          <w:rFonts w:ascii="sans-serif" w:hAnsi="sans-serif"/>
          <w:sz w:val="22"/>
        </w:rPr>
        <w:t>We have approximately 129,000 employees at December 31, 2015, of whom approximately 49,000 are located in the United States.</w:t>
      </w:r>
    </w:p>
    <w:p>
      <w:pPr>
        <w:pStyle w:val="TextBody"/>
        <w:spacing w:before="119" w:after="119"/>
        <w:ind w:left="119" w:right="119" w:hanging="0"/>
        <w:jc w:val="center"/>
        <w:rPr>
          <w:rFonts w:ascii="sans-serif" w:hAnsi="sans-serif"/>
          <w:sz w:val="22"/>
        </w:rPr>
      </w:pPr>
      <w:r>
        <w:rPr>
          <w:rFonts w:ascii="sans-serif" w:hAnsi="sans-serif"/>
          <w:sz w:val="22"/>
        </w:rPr>
        <w:t>4</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6"/>
        </w:rPr>
      </w:pPr>
      <w:bookmarkStart w:id="3" w:name="c83288_executive1"/>
      <w:bookmarkEnd w:id="3"/>
      <w:r>
        <w:rPr>
          <w:rFonts w:ascii="sans-serif" w:hAnsi="sans-serif"/>
          <w:b/>
          <w:sz w:val="26"/>
        </w:rPr>
        <w:t>Executive Officers of the Registrant</w:t>
      </w:r>
    </w:p>
    <w:p>
      <w:pPr>
        <w:pStyle w:val="TextBody"/>
        <w:spacing w:before="119" w:after="119"/>
        <w:ind w:left="119" w:right="119" w:firstLine="397"/>
        <w:jc w:val="both"/>
        <w:rPr>
          <w:rFonts w:ascii="sans-serif" w:hAnsi="sans-serif"/>
          <w:sz w:val="22"/>
        </w:rPr>
      </w:pPr>
      <w:r>
        <w:rPr>
          <w:rFonts w:ascii="sans-serif" w:hAnsi="sans-serif"/>
          <w:sz w:val="22"/>
        </w:rPr>
        <w:t>The executive officers of Honeywell, listed as follows, are elected annually by the Board of Directors. There are no family relationships among them.</w:t>
      </w:r>
    </w:p>
    <w:tbl>
      <w:tblPr>
        <w:tblW w:w="10205" w:type="dxa"/>
        <w:jc w:val="left"/>
        <w:tblInd w:w="0" w:type="dxa"/>
        <w:tblCellMar>
          <w:top w:w="0" w:type="dxa"/>
          <w:left w:w="0" w:type="dxa"/>
          <w:bottom w:w="0" w:type="dxa"/>
          <w:right w:w="0" w:type="dxa"/>
        </w:tblCellMar>
      </w:tblPr>
      <w:tblGrid>
        <w:gridCol w:w="1602"/>
        <w:gridCol w:w="60"/>
        <w:gridCol w:w="8543"/>
      </w:tblGrid>
      <w:tr>
        <w:trPr/>
        <w:tc>
          <w:tcPr>
            <w:tcW w:w="1602"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rPr/>
            </w:pPr>
            <w:r>
              <w:rPr/>
              <w:t> </w:t>
            </w:r>
          </w:p>
        </w:tc>
      </w:tr>
      <w:tr>
        <w:trPr/>
        <w:tc>
          <w:tcPr>
            <w:tcW w:w="1602"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Name, Age,</w:t>
              <w:br/>
              <w:t>Date First</w:t>
              <w:br/>
              <w:t>Elected an</w:t>
              <w:br/>
              <w:t>Executive Officer</w:t>
            </w:r>
          </w:p>
        </w:tc>
        <w:tc>
          <w:tcPr>
            <w:tcW w:w="60" w:type="dxa"/>
            <w:tcBorders/>
            <w:shd w:fill="auto" w:val="clear"/>
            <w:vAlign w:val="bottom"/>
          </w:tcPr>
          <w:p>
            <w:pPr>
              <w:pStyle w:val="TableContents"/>
              <w:spacing w:before="0" w:after="283"/>
              <w:rPr/>
            </w:pPr>
            <w:r>
              <w:rPr/>
              <w:t> </w:t>
            </w:r>
          </w:p>
        </w:tc>
        <w:tc>
          <w:tcPr>
            <w:tcW w:w="8543" w:type="dxa"/>
            <w:tcBorders>
              <w:bottom w:val="single" w:sz="4" w:space="0" w:color="000000"/>
            </w:tcBorders>
            <w:shd w:fill="auto" w:val="clear"/>
            <w:tcMar>
              <w:bottom w:w="28" w:type="dxa"/>
            </w:tcMar>
            <w:vAlign w:val="bottom"/>
          </w:tcPr>
          <w:p>
            <w:pPr>
              <w:pStyle w:val="TableContents"/>
              <w:spacing w:before="0" w:after="283"/>
              <w:ind w:left="238" w:right="0" w:hanging="238"/>
              <w:jc w:val="center"/>
              <w:rPr>
                <w:rFonts w:ascii="sans-serif" w:hAnsi="sans-serif"/>
                <w:b/>
                <w:sz w:val="18"/>
              </w:rPr>
            </w:pPr>
            <w:r>
              <w:rPr>
                <w:rFonts w:ascii="sans-serif" w:hAnsi="sans-serif"/>
                <w:b/>
                <w:sz w:val="18"/>
              </w:rPr>
              <w:t>Business Experience</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David M. Cote, 63</w:t>
              <w:br/>
              <w:t>2002(a)</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Chairman of the Board and Chief Executive Officer since July 2002.</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Darius Adamczyk, 50</w:t>
              <w:br/>
              <w:t>2014</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President and Chief Executive Officer Performance Materials and Technologies since April 2014. President of Honeywell Process Solutions from April 2012 to April 2014. President of Honeywell Scanning &amp; Mobility from July 2008 to April 2012.</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Katherine L. Adams, 51</w:t>
              <w:br/>
              <w:t>2009</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Senior Vice President and General Counsel since April 2009.</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Roger Fradin, 62</w:t>
              <w:br/>
              <w:t>2004</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Vice Chairman since April 2014. President and Chief Executive Officer Automation and Control Solutions from January 2004 to April 2014.</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Alexandre Ismail, 50</w:t>
              <w:br/>
              <w:t>2009</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President and Chief Executive Officer Automation and Control Solutions since April 2014. President Energy, Safety and Security from May 2013 to April 2014. President and Chief Executive Officer Transportation Systems from April 2009 to May 2013.</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Mark R. James, 54</w:t>
              <w:br/>
              <w:t>2007</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Senior Vice President Human Resources, Procurement and Communications since November 2007.</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Andreas C. Kramvis, 63</w:t>
              <w:br/>
              <w:t>2008</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Vice Chairman since April 2014. President and Chief Executive Officer Performance Materials and Technologies from March 2008 to April 2014.</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Timothy O. Mahoney, 59</w:t>
              <w:br/>
              <w:t>2009</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President and Chief Executive Officer Aerospace since September 2009.</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Krishna Mikkilineni, 56</w:t>
              <w:br/>
              <w:t>2010</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spacing w:before="0" w:after="283"/>
              <w:ind w:left="238" w:right="0" w:hanging="238"/>
              <w:jc w:val="both"/>
              <w:rPr>
                <w:rFonts w:ascii="sans-serif" w:hAnsi="sans-serif"/>
                <w:sz w:val="22"/>
              </w:rPr>
            </w:pPr>
            <w:r>
              <w:rPr>
                <w:rFonts w:ascii="sans-serif" w:hAnsi="sans-serif"/>
                <w:sz w:val="22"/>
              </w:rPr>
              <w:t>Senior Vice President Engineering, Operations and Information Technology since April 2013. Senior Vice President Engineering and Operations from April 2010 to April 2013 and President Honeywell Technology Solutions from January 2009 to April 2013.</w:t>
            </w:r>
          </w:p>
        </w:tc>
      </w:tr>
      <w:tr>
        <w:trPr/>
        <w:tc>
          <w:tcPr>
            <w:tcW w:w="1602" w:type="dxa"/>
            <w:tcBorders/>
            <w:shd w:fill="auto" w:val="clear"/>
          </w:tcPr>
          <w:p>
            <w:pPr>
              <w:pStyle w:val="TableContents"/>
              <w:spacing w:before="0" w:after="283"/>
              <w:jc w:val="center"/>
              <w:rPr>
                <w:rFonts w:ascii="sans-serif" w:hAnsi="sans-serif"/>
                <w:sz w:val="22"/>
              </w:rPr>
            </w:pPr>
            <w:r>
              <w:rPr>
                <w:rFonts w:ascii="sans-serif" w:hAnsi="sans-serif"/>
                <w:sz w:val="22"/>
              </w:rPr>
              <w:t>Thomas A. Szlosek, 52</w:t>
              <w:br/>
              <w:t>2014</w:t>
            </w:r>
          </w:p>
        </w:tc>
        <w:tc>
          <w:tcPr>
            <w:tcW w:w="60" w:type="dxa"/>
            <w:tcBorders/>
            <w:shd w:fill="auto" w:val="clear"/>
          </w:tcPr>
          <w:p>
            <w:pPr>
              <w:pStyle w:val="TableContents"/>
              <w:spacing w:before="0" w:after="283"/>
              <w:rPr/>
            </w:pPr>
            <w:r>
              <w:rPr/>
              <w:t> </w:t>
            </w:r>
          </w:p>
        </w:tc>
        <w:tc>
          <w:tcPr>
            <w:tcW w:w="8543" w:type="dxa"/>
            <w:tcBorders/>
            <w:shd w:fill="auto" w:val="clear"/>
          </w:tcPr>
          <w:p>
            <w:pPr>
              <w:pStyle w:val="TableContents"/>
              <w:ind w:left="238" w:right="0" w:hanging="238"/>
              <w:jc w:val="both"/>
              <w:rPr>
                <w:rFonts w:ascii="sans-serif" w:hAnsi="sans-serif"/>
                <w:sz w:val="22"/>
              </w:rPr>
            </w:pPr>
            <w:r>
              <w:rPr>
                <w:rFonts w:ascii="sans-serif" w:hAnsi="sans-serif"/>
                <w:sz w:val="22"/>
              </w:rPr>
              <w:t>Senior Vice President and Chief Financial Officer since April 2014. Vice President of Corporate Finance from April 2013 to April 2014. Chief Financial Officer of Automation and Control Solutions from February 2007 to April 2013.</w:t>
            </w:r>
          </w:p>
          <w:p>
            <w:pPr>
              <w:pStyle w:val="TableContents"/>
              <w:spacing w:before="0" w:after="283"/>
              <w:ind w:left="238" w:right="0" w:hanging="238"/>
              <w:jc w:val="both"/>
              <w:rPr/>
            </w:pPr>
            <w:r>
              <w:rPr/>
              <w:t> </w:t>
            </w:r>
          </w:p>
        </w:tc>
      </w:tr>
    </w:tbl>
    <w:p>
      <w:pPr>
        <w:pStyle w:val="TextBody"/>
        <w:pBdr>
          <w:top w:val="single" w:sz="4" w:space="1" w:color="000000"/>
        </w:pBdr>
        <w:spacing w:before="176" w:after="176"/>
        <w:ind w:left="227" w:right="227" w:hanging="0"/>
        <w:rPr/>
      </w:pPr>
      <w:r>
        <w:rPr/>
        <w:t> </w:t>
      </w:r>
    </w:p>
    <w:tbl>
      <w:tblPr>
        <w:tblW w:w="2178" w:type="dxa"/>
        <w:jc w:val="left"/>
        <w:tblInd w:w="0" w:type="dxa"/>
        <w:tblCellMar>
          <w:top w:w="0" w:type="dxa"/>
          <w:left w:w="0" w:type="dxa"/>
          <w:bottom w:w="0" w:type="dxa"/>
          <w:right w:w="0" w:type="dxa"/>
        </w:tblCellMar>
      </w:tblPr>
      <w:tblGrid>
        <w:gridCol w:w="75"/>
        <w:gridCol w:w="305"/>
        <w:gridCol w:w="105"/>
        <w:gridCol w:w="1655"/>
        <w:gridCol w:w="38"/>
      </w:tblGrid>
      <w:tr>
        <w:trPr/>
        <w:tc>
          <w:tcPr>
            <w:tcW w:w="2178"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right"/>
              <w:rPr>
                <w:rFonts w:ascii="sans-serif" w:hAnsi="sans-serif"/>
                <w:sz w:val="22"/>
              </w:rPr>
            </w:pPr>
            <w:r>
              <w:rPr>
                <w:rFonts w:ascii="sans-serif" w:hAnsi="sans-serif"/>
                <w:sz w:val="22"/>
              </w:rPr>
              <w:t>(a)</w:t>
            </w:r>
          </w:p>
        </w:tc>
        <w:tc>
          <w:tcPr>
            <w:tcW w:w="105" w:type="dxa"/>
            <w:tcBorders/>
            <w:shd w:fill="auto" w:val="clear"/>
          </w:tcPr>
          <w:p>
            <w:pPr>
              <w:pStyle w:val="TableContents"/>
              <w:spacing w:before="0" w:after="283"/>
              <w:rPr/>
            </w:pPr>
            <w:r>
              <w:rPr/>
              <w:t> </w:t>
            </w:r>
          </w:p>
        </w:tc>
        <w:tc>
          <w:tcPr>
            <w:tcW w:w="1655" w:type="dxa"/>
            <w:tcBorders/>
            <w:shd w:fill="auto" w:val="clear"/>
          </w:tcPr>
          <w:p>
            <w:pPr>
              <w:pStyle w:val="TableContents"/>
              <w:spacing w:before="0" w:after="283"/>
              <w:rPr>
                <w:rFonts w:ascii="sans-serif" w:hAnsi="sans-serif"/>
                <w:sz w:val="22"/>
              </w:rPr>
            </w:pPr>
            <w:r>
              <w:rPr>
                <w:rFonts w:ascii="sans-serif" w:hAnsi="sans-serif"/>
                <w:sz w:val="22"/>
              </w:rPr>
              <w:t>Also a Director.</w:t>
            </w:r>
          </w:p>
        </w:tc>
        <w:tc>
          <w:tcPr>
            <w:tcW w:w="38"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5</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6"/>
        </w:rPr>
      </w:pPr>
      <w:bookmarkStart w:id="4" w:name="c83288_risk1"/>
      <w:bookmarkEnd w:id="4"/>
      <w:r>
        <w:rPr>
          <w:rFonts w:ascii="sans-serif" w:hAnsi="sans-serif"/>
          <w:b/>
          <w:sz w:val="26"/>
        </w:rPr>
        <w:t>Item 1A. Risk Factors</w:t>
      </w:r>
    </w:p>
    <w:p>
      <w:pPr>
        <w:pStyle w:val="TextBody"/>
        <w:spacing w:before="198" w:after="198"/>
        <w:ind w:left="198" w:right="198" w:hanging="0"/>
        <w:rPr>
          <w:rFonts w:ascii="sans-serif" w:hAnsi="sans-serif"/>
          <w:b/>
          <w:sz w:val="22"/>
        </w:rPr>
      </w:pPr>
      <w:r>
        <w:rPr>
          <w:rFonts w:ascii="sans-serif" w:hAnsi="sans-serif"/>
          <w:b/>
          <w:sz w:val="22"/>
        </w:rPr>
        <w:t>Cautionary Statement about Forward-Looking Statements</w:t>
      </w:r>
    </w:p>
    <w:p>
      <w:pPr>
        <w:pStyle w:val="TextBody"/>
        <w:spacing w:before="119" w:after="119"/>
        <w:ind w:left="119" w:right="119" w:firstLine="397"/>
        <w:jc w:val="both"/>
        <w:rPr>
          <w:rFonts w:ascii="sans-serif" w:hAnsi="sans-serif"/>
          <w:sz w:val="22"/>
        </w:rPr>
      </w:pPr>
      <w:r>
        <w:rPr>
          <w:rFonts w:ascii="sans-serif" w:hAnsi="sans-serif"/>
          <w:sz w:val="22"/>
        </w:rPr>
        <w:t>We describe many of the trends and other factors that drive our business and future results in Item 7. Managements Discussion and Analysis of Financial Condition, Results of Operations and in other parts of this report (including this Item 1A). Such discussions contain forward-looking statements within the meaning of Section 21E of the Securities Exchange Act of 1934.</w:t>
      </w:r>
    </w:p>
    <w:p>
      <w:pPr>
        <w:pStyle w:val="TextBody"/>
        <w:spacing w:before="119" w:after="119"/>
        <w:ind w:left="119" w:right="119" w:firstLine="397"/>
        <w:jc w:val="both"/>
        <w:rPr>
          <w:rFonts w:ascii="sans-serif" w:hAnsi="sans-serif"/>
          <w:sz w:val="22"/>
        </w:rPr>
      </w:pPr>
      <w:r>
        <w:rPr>
          <w:rFonts w:ascii="sans-serif" w:hAnsi="sans-serif"/>
          <w:sz w:val="22"/>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 These factors may be revised or supplemented in subsequent reports on Forms 10-Q and 8-K.</w:t>
      </w:r>
    </w:p>
    <w:p>
      <w:pPr>
        <w:pStyle w:val="TextBody"/>
        <w:spacing w:before="357" w:after="357"/>
        <w:ind w:left="357" w:right="357" w:hanging="0"/>
        <w:rPr>
          <w:rFonts w:ascii="sans-serif" w:hAnsi="sans-serif"/>
          <w:b/>
          <w:sz w:val="22"/>
        </w:rPr>
      </w:pPr>
      <w:r>
        <w:rPr>
          <w:rFonts w:ascii="sans-serif" w:hAnsi="sans-serif"/>
          <w:b/>
          <w:sz w:val="22"/>
        </w:rPr>
        <w:t>Risk Factors</w:t>
      </w:r>
    </w:p>
    <w:p>
      <w:pPr>
        <w:pStyle w:val="TextBody"/>
        <w:spacing w:before="119" w:after="119"/>
        <w:ind w:left="119" w:right="119" w:firstLine="397"/>
        <w:jc w:val="both"/>
        <w:rPr>
          <w:rFonts w:ascii="sans-serif" w:hAnsi="sans-serif"/>
          <w:sz w:val="22"/>
        </w:rPr>
      </w:pPr>
      <w:r>
        <w:rPr>
          <w:rFonts w:ascii="sans-serif" w:hAnsi="sans-serif"/>
          <w:sz w:val="22"/>
        </w:rPr>
        <w:t>Our business, operating results, cash flows and financial condition are subject to the principal risks and uncertainties set forth below, any one of which could cause our actual results to vary materially from recent results or from our anticipated future results.</w:t>
      </w:r>
    </w:p>
    <w:p>
      <w:pPr>
        <w:pStyle w:val="TextBody"/>
        <w:spacing w:before="357" w:after="357"/>
        <w:ind w:left="357" w:right="357" w:hanging="0"/>
        <w:rPr>
          <w:rFonts w:ascii="sans-serif" w:hAnsi="sans-serif"/>
          <w:b/>
          <w:sz w:val="22"/>
          <w:u w:val="single"/>
        </w:rPr>
      </w:pPr>
      <w:r>
        <w:rPr>
          <w:rFonts w:ascii="sans-serif" w:hAnsi="sans-serif"/>
          <w:b/>
          <w:sz w:val="22"/>
          <w:u w:val="single"/>
        </w:rPr>
        <w:t>Macroeconomic and Industry Risks</w:t>
      </w:r>
    </w:p>
    <w:p>
      <w:pPr>
        <w:pStyle w:val="TextBody"/>
        <w:spacing w:before="198" w:after="198"/>
        <w:ind w:left="198" w:right="198" w:hanging="0"/>
        <w:jc w:val="left"/>
        <w:rPr>
          <w:rFonts w:ascii="sans-serif" w:hAnsi="sans-serif"/>
          <w:b/>
          <w:i/>
          <w:sz w:val="22"/>
        </w:rPr>
      </w:pPr>
      <w:r>
        <w:rPr>
          <w:rFonts w:ascii="sans-serif" w:hAnsi="sans-serif"/>
          <w:b/>
          <w:i/>
          <w:sz w:val="22"/>
        </w:rPr>
        <w:t>Industry and economic conditions may adversely affect the markets and operating conditions of our customers, which in turn can affect demand for our products and services and our results of operations.</w:t>
      </w:r>
    </w:p>
    <w:tbl>
      <w:tblPr>
        <w:tblW w:w="10205" w:type="dxa"/>
        <w:jc w:val="left"/>
        <w:tblInd w:w="0" w:type="dxa"/>
        <w:tblCellMar>
          <w:top w:w="0" w:type="dxa"/>
          <w:left w:w="0" w:type="dxa"/>
          <w:bottom w:w="0" w:type="dxa"/>
          <w:right w:w="0" w:type="dxa"/>
        </w:tblCellMar>
      </w:tblPr>
      <w:tblGrid>
        <w:gridCol w:w="75"/>
        <w:gridCol w:w="287"/>
        <w:gridCol w:w="62"/>
        <w:gridCol w:w="9742"/>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62" w:type="dxa"/>
            <w:tcBorders/>
            <w:shd w:fill="auto" w:val="clear"/>
          </w:tcPr>
          <w:p>
            <w:pPr>
              <w:pStyle w:val="TableContents"/>
              <w:spacing w:before="0" w:after="283"/>
              <w:rPr/>
            </w:pPr>
            <w:r>
              <w:rPr/>
              <w:t> </w:t>
            </w:r>
          </w:p>
        </w:tc>
        <w:tc>
          <w:tcPr>
            <w:tcW w:w="9742" w:type="dxa"/>
            <w:tcBorders/>
            <w:shd w:fill="auto" w:val="clear"/>
          </w:tcPr>
          <w:p>
            <w:pPr>
              <w:pStyle w:val="TableContents"/>
              <w:spacing w:before="0" w:after="283"/>
              <w:jc w:val="both"/>
              <w:rPr>
                <w:rFonts w:ascii="sans-serif" w:hAnsi="sans-serif"/>
                <w:sz w:val="22"/>
              </w:rPr>
            </w:pPr>
            <w:r>
              <w:rPr>
                <w:rFonts w:ascii="sans-serif" w:hAnsi="sans-serif"/>
                <w:b/>
                <w:i/>
                <w:sz w:val="22"/>
              </w:rPr>
              <w:t>Aerospace</w:t>
            </w:r>
            <w:r>
              <w:rPr>
                <w:rFonts w:ascii="sans-serif" w:hAnsi="sans-serif"/>
                <w:sz w:val="22"/>
              </w:rPr>
              <w:t>Operating results of Aerospace are directly tied to cyclical industry and economic conditions, as well as changes in customer buying patterns of aftermarket parts, supplier stability, factory transitions and capacity constraints. The operating results of our Commercial Original Equipment and Commercial Aftermarket business units may be adversely affected by downturns in the global demand for air travel which impacts new aircraft production or the delay or cancellation of new aircraft orders, delays in launch schedules for new aircraft, the retirement of aircraft and global flying hours, which impact business and general aviation aircraft utilization rates. Operating results in our Defense and Space Systems business unit may be affected by the mix of U.S. and foreign government appropriations for defense and space programs. Operating results in our Transportation Systems business unit may be affected by the level of production and demand for automobiles and trucks equipped with turbochargers, regulatory changes regarding automobile and truck emissions and fuel economy, consumer demand and spending for automotive aftermarket products and delays in launch schedules for new automobile and truck platforms.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2" w:type="dxa"/>
            <w:tcBorders/>
            <w:shd w:fill="auto" w:val="clear"/>
          </w:tcPr>
          <w:p>
            <w:pPr>
              <w:pStyle w:val="TableContents"/>
              <w:spacing w:before="0" w:after="283"/>
              <w:rPr/>
            </w:pPr>
            <w:r>
              <w:rPr/>
              <w:t> </w:t>
            </w:r>
          </w:p>
        </w:tc>
        <w:tc>
          <w:tcPr>
            <w:tcW w:w="9742" w:type="dxa"/>
            <w:tcBorders/>
            <w:shd w:fill="auto" w:val="clear"/>
          </w:tcPr>
          <w:p>
            <w:pPr>
              <w:pStyle w:val="TableContents"/>
              <w:spacing w:before="102" w:after="102"/>
              <w:ind w:left="102" w:right="102" w:hanging="0"/>
              <w:jc w:val="both"/>
              <w:rPr>
                <w:rFonts w:ascii="sans-serif" w:hAnsi="sans-serif"/>
                <w:sz w:val="22"/>
              </w:rPr>
            </w:pPr>
            <w:r>
              <w:rPr>
                <w:rFonts w:ascii="sans-serif" w:hAnsi="sans-serif"/>
                <w:b/>
                <w:i/>
                <w:sz w:val="22"/>
              </w:rPr>
              <w:t>ACS</w:t>
            </w:r>
            <w:r>
              <w:rPr>
                <w:rFonts w:ascii="sans-serif" w:hAnsi="sans-serif"/>
                <w:sz w:val="22"/>
              </w:rPr>
              <w:t>Operating results may be adversely impacted by downturns in the level of global residential and commercial construction (including retrofits and upgrades), capital spending and operating expenditures on building and process automation, industrial plant capacity utilization and expansion, and inventory levels in distribution channels.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2" w:type="dxa"/>
            <w:tcBorders/>
            <w:shd w:fill="auto" w:val="clear"/>
          </w:tcPr>
          <w:p>
            <w:pPr>
              <w:pStyle w:val="TableContents"/>
              <w:spacing w:before="0" w:after="283"/>
              <w:rPr/>
            </w:pPr>
            <w:r>
              <w:rPr/>
              <w:t> </w:t>
            </w:r>
          </w:p>
        </w:tc>
        <w:tc>
          <w:tcPr>
            <w:tcW w:w="9742" w:type="dxa"/>
            <w:tcBorders/>
            <w:shd w:fill="auto" w:val="clear"/>
          </w:tcPr>
          <w:p>
            <w:pPr>
              <w:pStyle w:val="TableContents"/>
              <w:spacing w:before="102" w:after="102"/>
              <w:ind w:left="102" w:right="102" w:hanging="0"/>
              <w:jc w:val="both"/>
              <w:rPr>
                <w:rFonts w:ascii="sans-serif" w:hAnsi="sans-serif"/>
                <w:sz w:val="22"/>
              </w:rPr>
            </w:pPr>
            <w:r>
              <w:rPr>
                <w:rFonts w:ascii="sans-serif" w:hAnsi="sans-serif"/>
                <w:b/>
                <w:i/>
                <w:sz w:val="22"/>
              </w:rPr>
              <w:t>PMT</w:t>
            </w:r>
            <w:r>
              <w:rPr>
                <w:rFonts w:ascii="sans-serif" w:hAnsi="sans-serif"/>
                <w:sz w:val="22"/>
              </w:rPr>
              <w:t xml:space="preserve">Operating results may be adversely impacted by downturns in the capacity utilization for chemical, industrial, refining, petrochemical and semiconductor plants, our customers availability of capital for refinery construction and expansion, raw material demand and supply volatility, and our ability to maximize our facilities production capacity and minimize downtime. In particular, the volatility in oil and natural gas prices have and will continue to impact our customers operating levels and capital spending and thus demand for our products and </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6</w:t>
      </w:r>
    </w:p>
    <w:p>
      <w:pPr>
        <w:pStyle w:val="HorizontalLine"/>
        <w:pBdr>
          <w:bottom w:val="single" w:sz="20" w:space="0" w:color="000000"/>
        </w:pBdr>
        <w:rPr/>
      </w:pPr>
      <w:r>
        <w:rPr/>
      </w:r>
      <w:r>
        <w:br w:type="page"/>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60"/>
        <w:gridCol w:w="80"/>
        <w:gridCol w:w="9951"/>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0" w:type="dxa"/>
            <w:tcBorders/>
            <w:shd w:fill="auto" w:val="clear"/>
          </w:tcPr>
          <w:p>
            <w:pPr>
              <w:pStyle w:val="TableContents"/>
              <w:spacing w:before="0" w:after="283"/>
              <w:rPr/>
            </w:pPr>
            <w:r>
              <w:rPr/>
              <w:t> </w:t>
            </w:r>
          </w:p>
        </w:tc>
        <w:tc>
          <w:tcPr>
            <w:tcW w:w="9951" w:type="dxa"/>
            <w:tcBorders/>
            <w:shd w:fill="auto" w:val="clear"/>
          </w:tcPr>
          <w:p>
            <w:pPr>
              <w:pStyle w:val="TableContents"/>
              <w:spacing w:before="0" w:after="283"/>
              <w:jc w:val="both"/>
              <w:rPr>
                <w:rFonts w:ascii="sans-serif" w:hAnsi="sans-serif"/>
                <w:sz w:val="22"/>
              </w:rPr>
            </w:pPr>
            <w:r>
              <w:rPr>
                <w:rFonts w:ascii="sans-serif" w:hAnsi="sans-serif"/>
                <w:sz w:val="22"/>
              </w:rPr>
              <w:t>services. Pricing of certain chemical products are driven by raw materials that are correlated to the price of oil, hence revenue could be significantly impacted by volatility in the price of oil.</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357" w:after="357"/>
        <w:ind w:left="357" w:right="357" w:hanging="0"/>
        <w:rPr>
          <w:rFonts w:ascii="sans-serif" w:hAnsi="sans-serif"/>
          <w:b/>
          <w:i/>
          <w:sz w:val="22"/>
        </w:rPr>
      </w:pPr>
      <w:r>
        <w:rPr>
          <w:rFonts w:ascii="sans-serif" w:hAnsi="sans-serif"/>
          <w:b/>
          <w:i/>
          <w:sz w:val="22"/>
        </w:rPr>
        <w:t>An increasing percentage of our sales and operations is in non-U.S. jurisdictions and is subject to the economic, political, regulatory, foreign exchange and other risks of international operations.</w:t>
      </w:r>
    </w:p>
    <w:p>
      <w:pPr>
        <w:pStyle w:val="TextBody"/>
        <w:spacing w:before="119" w:after="119"/>
        <w:ind w:left="119" w:right="119" w:firstLine="397"/>
        <w:jc w:val="both"/>
        <w:rPr>
          <w:rFonts w:ascii="sans-serif" w:hAnsi="sans-serif"/>
          <w:sz w:val="22"/>
        </w:rPr>
      </w:pPr>
      <w:r>
        <w:rPr>
          <w:rFonts w:ascii="sans-serif" w:hAnsi="sans-serif"/>
          <w:sz w:val="22"/>
        </w:rPr>
        <w:t>Our international operations, including U.S. exports, represent more than half of the Companys sales. Risks related to international operations include exchange control regulations, wage and price controls, antitrust regulations, employment regulations, foreign investment laws, import, export and other trade restrictions (such as embargoes), violations by our employees of anti-corruption laws (despite our efforts to mitigate these risks), changes in regulations regarding transactions with state-owned enterprises, nationalization of private enterprises, acts of terrorism, and our ability to hire and maintain qualified staff and maintain the safety of our employees in these regions. Instability and uncertainties arising from the global geopolitical environment and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pStyle w:val="TextBody"/>
        <w:spacing w:before="119" w:after="119"/>
        <w:ind w:left="119" w:right="119" w:firstLine="397"/>
        <w:jc w:val="both"/>
        <w:rPr>
          <w:rFonts w:ascii="sans-serif" w:hAnsi="sans-serif"/>
          <w:sz w:val="22"/>
        </w:rPr>
      </w:pPr>
      <w:r>
        <w:rPr>
          <w:rFonts w:ascii="sans-serif" w:hAnsi="sans-serif"/>
          <w:sz w:val="22"/>
        </w:rPr>
        <w:t>Operating outside of the United States also exposes us to foreign exchange risk, which we monitor and seek to reduce through hedging activities. However, foreign exchange hedging activities bear a financial cost and may not always be available to us or successful in eliminating such volatility. Finally, we generate significant amounts of cash outside of the United States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pStyle w:val="TextBody"/>
        <w:spacing w:before="357" w:after="357"/>
        <w:ind w:left="357" w:right="357" w:hanging="0"/>
        <w:rPr>
          <w:rFonts w:ascii="sans-serif" w:hAnsi="sans-serif"/>
          <w:b/>
          <w:i/>
          <w:sz w:val="22"/>
        </w:rPr>
      </w:pPr>
      <w:r>
        <w:rPr>
          <w:rFonts w:ascii="sans-serif" w:hAnsi="sans-serif"/>
          <w:b/>
          <w:i/>
          <w:sz w:val="22"/>
        </w:rPr>
        <w:t>Risks related to our defined benefit pension plans may adversely impact our results of operations and cash flow.</w:t>
      </w:r>
    </w:p>
    <w:p>
      <w:pPr>
        <w:pStyle w:val="TextBody"/>
        <w:spacing w:before="119" w:after="119"/>
        <w:ind w:left="119" w:right="119" w:firstLine="397"/>
        <w:jc w:val="both"/>
        <w:rPr>
          <w:rFonts w:ascii="sans-serif" w:hAnsi="sans-serif"/>
          <w:sz w:val="22"/>
        </w:rPr>
      </w:pPr>
      <w:r>
        <w:rPr>
          <w:rFonts w:ascii="sans-serif" w:hAnsi="sans-serif"/>
          <w:sz w:val="22"/>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pStyle w:val="TextBody"/>
        <w:spacing w:before="357" w:after="357"/>
        <w:ind w:left="357" w:right="357" w:hanging="0"/>
        <w:rPr>
          <w:rFonts w:ascii="sans-serif" w:hAnsi="sans-serif"/>
          <w:b/>
          <w:sz w:val="22"/>
          <w:u w:val="single"/>
        </w:rPr>
      </w:pPr>
      <w:r>
        <w:rPr>
          <w:rFonts w:ascii="sans-serif" w:hAnsi="sans-serif"/>
          <w:b/>
          <w:sz w:val="22"/>
          <w:u w:val="single"/>
        </w:rPr>
        <w:t>Operational Risks</w:t>
      </w:r>
    </w:p>
    <w:p>
      <w:pPr>
        <w:pStyle w:val="TextBody"/>
        <w:spacing w:before="198" w:after="198"/>
        <w:ind w:left="198" w:right="198" w:hanging="0"/>
        <w:rPr>
          <w:rFonts w:ascii="sans-serif" w:hAnsi="sans-serif"/>
          <w:b/>
          <w:i/>
          <w:sz w:val="22"/>
        </w:rPr>
      </w:pPr>
      <w:r>
        <w:rPr>
          <w:rFonts w:ascii="sans-serif" w:hAnsi="sans-serif"/>
          <w:b/>
          <w:i/>
          <w:sz w:val="22"/>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pStyle w:val="TextBody"/>
        <w:spacing w:before="119" w:after="119"/>
        <w:ind w:left="119" w:right="119" w:firstLine="397"/>
        <w:jc w:val="both"/>
        <w:rPr>
          <w:rFonts w:ascii="sans-serif" w:hAnsi="sans-serif"/>
          <w:sz w:val="22"/>
        </w:rPr>
      </w:pPr>
      <w:r>
        <w:rPr>
          <w:rFonts w:ascii="sans-serif" w:hAnsi="sans-serif"/>
          <w:sz w:val="22"/>
        </w:rPr>
        <w:t>The cost of raw materials is a key element in the cost of our products, particularly in PMT (cumene, fluorspar, R240, natural gas, perchloroethylene, sulfur and ethylene) and Aerospace (nickel, steel, titanium and other metals). Our inability to offset material price inflation through increased prices to customers, formula or long-term fixed price contracts with suppliers, productivity actions or through commodity hedges could adversely affect our results of operations.</w:t>
      </w:r>
    </w:p>
    <w:p>
      <w:pPr>
        <w:pStyle w:val="TextBody"/>
        <w:spacing w:before="119" w:after="119"/>
        <w:ind w:left="119" w:right="119" w:firstLine="397"/>
        <w:jc w:val="both"/>
        <w:rPr>
          <w:rFonts w:ascii="sans-serif" w:hAnsi="sans-serif"/>
          <w:sz w:val="22"/>
        </w:rPr>
      </w:pPr>
      <w:r>
        <w:rPr>
          <w:rFonts w:ascii="sans-serif" w:hAnsi="sans-serif"/>
          <w:sz w:val="22"/>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ability to manage inventory and meet delivery requirements may be</w:t>
      </w:r>
    </w:p>
    <w:p>
      <w:pPr>
        <w:pStyle w:val="TextBody"/>
        <w:spacing w:before="119" w:after="119"/>
        <w:ind w:left="119" w:right="119" w:hanging="0"/>
        <w:jc w:val="center"/>
        <w:rPr>
          <w:rFonts w:ascii="sans-serif" w:hAnsi="sans-serif"/>
          <w:sz w:val="22"/>
        </w:rPr>
      </w:pPr>
      <w:r>
        <w:rPr>
          <w:rFonts w:ascii="sans-serif" w:hAnsi="sans-serif"/>
          <w:sz w:val="22"/>
        </w:rPr>
        <w:t>7</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rPr>
          <w:rFonts w:ascii="sans-serif" w:hAnsi="sans-serif"/>
          <w:sz w:val="22"/>
        </w:rPr>
      </w:pPr>
      <w:r>
        <w:rPr>
          <w:rFonts w:ascii="sans-serif" w:hAnsi="sans-serif"/>
          <w:sz w:val="22"/>
        </w:rPr>
        <w:t>constrained by our suppliers inability to scale production and adjust delivery of long-lead time products during times of volatile demand. Our inability to fill our supply needs would jeopardize our ability to fulfill obligations under commercial and government contracts, which could, in turn, result in reduced sales and profits, contract penalties or terminations, and damage to customer relationships.</w:t>
      </w:r>
    </w:p>
    <w:p>
      <w:pPr>
        <w:pStyle w:val="TextBody"/>
        <w:spacing w:before="357" w:after="357"/>
        <w:ind w:left="357" w:right="357" w:hanging="0"/>
        <w:rPr>
          <w:rFonts w:ascii="sans-serif" w:hAnsi="sans-serif"/>
          <w:b/>
          <w:i/>
          <w:sz w:val="22"/>
        </w:rPr>
      </w:pPr>
      <w:r>
        <w:rPr>
          <w:rFonts w:ascii="sans-serif" w:hAnsi="sans-serif"/>
          <w:b/>
          <w:i/>
          <w:sz w:val="22"/>
        </w:rPr>
        <w:t>We may be unable to successfully execute or effectively integrate acquisitions, and divestitures may not occur as planned.</w:t>
      </w:r>
    </w:p>
    <w:p>
      <w:pPr>
        <w:pStyle w:val="TextBody"/>
        <w:spacing w:before="119" w:after="119"/>
        <w:ind w:left="119" w:right="119" w:firstLine="397"/>
        <w:jc w:val="both"/>
        <w:rPr>
          <w:rFonts w:ascii="sans-serif" w:hAnsi="sans-serif"/>
          <w:sz w:val="22"/>
        </w:rPr>
      </w:pPr>
      <w:r>
        <w:rPr>
          <w:rFonts w:ascii="sans-serif" w:hAnsi="sans-serif"/>
          <w:sz w:val="22"/>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or other problems in acquired businesses for which we lack contractual protections, insurance or indemnities or, with regard to divested businesses, claims by purchasers to whom we have provided contractual indemnification.</w:t>
      </w:r>
    </w:p>
    <w:p>
      <w:pPr>
        <w:pStyle w:val="TextBody"/>
        <w:spacing w:before="357" w:after="357"/>
        <w:ind w:left="357" w:right="357" w:hanging="0"/>
        <w:rPr>
          <w:rFonts w:ascii="sans-serif" w:hAnsi="sans-serif"/>
          <w:b/>
          <w:i/>
          <w:sz w:val="22"/>
        </w:rPr>
      </w:pPr>
      <w:r>
        <w:rPr>
          <w:rFonts w:ascii="sans-serif" w:hAnsi="sans-serif"/>
          <w:b/>
          <w:i/>
          <w:sz w:val="22"/>
        </w:rPr>
        <w:t>Our future growth is largely dependent upon our ability to develop new technologies and introduce new products that achieve market acceptance in increasingly competitive markets with acceptable margins.</w:t>
      </w:r>
    </w:p>
    <w:p>
      <w:pPr>
        <w:pStyle w:val="TextBody"/>
        <w:spacing w:before="119" w:after="119"/>
        <w:ind w:left="119" w:right="119" w:firstLine="397"/>
        <w:jc w:val="both"/>
        <w:rPr>
          <w:rFonts w:ascii="sans-serif" w:hAnsi="sans-serif"/>
          <w:sz w:val="22"/>
        </w:rPr>
      </w:pPr>
      <w:r>
        <w:rPr>
          <w:rFonts w:ascii="sans-serif" w:hAnsi="sans-serif"/>
          <w:sz w:val="22"/>
        </w:rPr>
        <w:t>Our future growth rate depends upon a number of factors, including our ability to (i) identify emerging technological trends in our target end-markets, (ii) develop and maintain competitive products and defend our market share against an ever-expanding number of competitors including many new and non- traditional competitors, (iii) enhance our products by adding innovative features that differentiate our products from those of our competitors and prevent commoditization of our products, (iv) develop, manufacture and bring compelling new products to market quickly and cost-effectively, and (v) attract, develop and retain individuals with the requisite technical expertise and understanding of customers needs to develop new technologies and introduce new products.</w:t>
      </w:r>
    </w:p>
    <w:p>
      <w:pPr>
        <w:pStyle w:val="TextBody"/>
        <w:spacing w:before="119" w:after="119"/>
        <w:ind w:left="119" w:right="119" w:firstLine="397"/>
        <w:jc w:val="both"/>
        <w:rPr>
          <w:rFonts w:ascii="sans-serif" w:hAnsi="sans-serif"/>
          <w:sz w:val="22"/>
        </w:rPr>
      </w:pPr>
      <w:r>
        <w:rPr>
          <w:rFonts w:ascii="sans-serif" w:hAnsi="sans-serif"/>
          <w:sz w:val="22"/>
        </w:rPr>
        <w:t>The failure of our technologies or products to gain market acceptance due to more attractive offerings by our competitors could significantly reduce our revenues and adversely affect our competitive standing and prospects.</w:t>
      </w:r>
    </w:p>
    <w:p>
      <w:pPr>
        <w:pStyle w:val="TextBody"/>
        <w:spacing w:before="357" w:after="357"/>
        <w:ind w:left="357" w:right="357" w:hanging="0"/>
        <w:rPr>
          <w:rFonts w:ascii="sans-serif" w:hAnsi="sans-serif"/>
          <w:b/>
          <w:i/>
          <w:sz w:val="22"/>
        </w:rPr>
      </w:pPr>
      <w:r>
        <w:rPr>
          <w:rFonts w:ascii="sans-serif" w:hAnsi="sans-serif"/>
          <w:b/>
          <w:i/>
          <w:sz w:val="22"/>
        </w:rPr>
        <w:t>Failure to increase productivity through sustainable operational improvements, as well as an inability to successfully execute repositioning projects, may reduce our profitability or adversely impact our businesses.</w:t>
      </w:r>
    </w:p>
    <w:p>
      <w:pPr>
        <w:pStyle w:val="TextBody"/>
        <w:spacing w:before="119" w:after="119"/>
        <w:ind w:left="119" w:right="119" w:firstLine="397"/>
        <w:jc w:val="both"/>
        <w:rPr>
          <w:rFonts w:ascii="sans-serif" w:hAnsi="sans-serif"/>
          <w:sz w:val="22"/>
        </w:rPr>
      </w:pPr>
      <w:r>
        <w:rPr>
          <w:rFonts w:ascii="sans-serif" w:hAnsi="sans-serif"/>
          <w:sz w:val="22"/>
        </w:rPr>
        <w:t>Our profitability and margin growth are dependent upon our ability to drive sustainable improvements. In addition, we seek productivity and cost savings benefits through repositioning actions and projects, such as consolidation of manufacturing facilities, transitions to cost-competitive regions and product line rationalizations. Risks associated with these actions include delays in execution of the planned initiatives, additional unexpected costs and adverse effects on employee morale. We may not realize the full operational or financial benefits we expect, the recognition of these benefits may be delayed and these actions may potentially disrupt our operations.</w:t>
      </w:r>
    </w:p>
    <w:p>
      <w:pPr>
        <w:pStyle w:val="TextBody"/>
        <w:spacing w:before="357" w:after="357"/>
        <w:ind w:left="357" w:right="357" w:hanging="0"/>
        <w:rPr>
          <w:rFonts w:ascii="sans-serif" w:hAnsi="sans-serif"/>
          <w:b/>
          <w:i/>
          <w:sz w:val="22"/>
        </w:rPr>
      </w:pPr>
      <w:r>
        <w:rPr>
          <w:rFonts w:ascii="sans-serif" w:hAnsi="sans-serif"/>
          <w:b/>
          <w:i/>
          <w:sz w:val="22"/>
        </w:rPr>
        <w:t>As a supplier of military and other equipment to the U.S. Government, we are subject to unusual risks, such as the right of the U.S. Government to terminate contracts for convenience and to conduct audits and investigations of our operations and performance.</w:t>
      </w:r>
    </w:p>
    <w:p>
      <w:pPr>
        <w:pStyle w:val="TextBody"/>
        <w:spacing w:before="119" w:after="119"/>
        <w:ind w:left="119" w:right="119" w:firstLine="397"/>
        <w:jc w:val="both"/>
        <w:rPr>
          <w:rFonts w:ascii="sans-serif" w:hAnsi="sans-serif"/>
          <w:sz w:val="22"/>
        </w:rPr>
      </w:pPr>
      <w:r>
        <w:rPr>
          <w:rFonts w:ascii="sans-serif" w:hAnsi="sans-serif"/>
          <w:sz w:val="22"/>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have made adjustments and paid voluntary refunds in the past and may do so in the future.</w:t>
      </w:r>
    </w:p>
    <w:p>
      <w:pPr>
        <w:pStyle w:val="TextBody"/>
        <w:spacing w:before="119" w:after="119"/>
        <w:ind w:left="119" w:right="119" w:hanging="0"/>
        <w:jc w:val="center"/>
        <w:rPr>
          <w:rFonts w:ascii="sans-serif" w:hAnsi="sans-serif"/>
          <w:sz w:val="22"/>
        </w:rPr>
      </w:pPr>
      <w:r>
        <w:rPr>
          <w:rFonts w:ascii="sans-serif" w:hAnsi="sans-serif"/>
          <w:sz w:val="22"/>
        </w:rPr>
        <w:t>8</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firstLine="397"/>
        <w:jc w:val="both"/>
        <w:rPr>
          <w:rFonts w:ascii="sans-serif" w:hAnsi="sans-serif"/>
          <w:sz w:val="22"/>
        </w:rPr>
      </w:pPr>
      <w:r>
        <w:rPr>
          <w:rFonts w:ascii="sans-serif" w:hAnsi="sans-serif"/>
          <w:sz w:val="22"/>
        </w:rPr>
        <w:t>We are also subject to government investigations of business practices and compliance with government procurement regulations. If, as a result of any such investigation or other government investigations (including violations of certain environmental, employment or export laws), Honeywell or one of its businesses were found to have violated applicable law, it could be suspended from bidding on or receiving awards of new government contracts, suspended from contract performance pending the completion of legal proceedings and/or have its export privileges suspended.</w:t>
      </w:r>
    </w:p>
    <w:p>
      <w:pPr>
        <w:pStyle w:val="TextBody"/>
        <w:spacing w:before="357" w:after="357"/>
        <w:ind w:left="357" w:right="357" w:hanging="0"/>
        <w:rPr>
          <w:rFonts w:ascii="sans-serif" w:hAnsi="sans-serif"/>
          <w:b/>
          <w:i/>
          <w:sz w:val="22"/>
        </w:rPr>
      </w:pPr>
      <w:r>
        <w:rPr>
          <w:rFonts w:ascii="sans-serif" w:hAnsi="sans-serif"/>
          <w:b/>
          <w:i/>
          <w:sz w:val="22"/>
        </w:rPr>
        <w:t>Our operations and the prior operations of predecessor companies expose us to the risk of material environmental liabilities.</w:t>
      </w:r>
    </w:p>
    <w:p>
      <w:pPr>
        <w:pStyle w:val="TextBody"/>
        <w:spacing w:before="119" w:after="119"/>
        <w:ind w:left="119" w:right="119" w:firstLine="397"/>
        <w:jc w:val="both"/>
        <w:rPr>
          <w:rFonts w:ascii="sans-serif" w:hAnsi="sans-serif"/>
          <w:sz w:val="22"/>
        </w:rPr>
      </w:pPr>
      <w:r>
        <w:rPr>
          <w:rFonts w:ascii="sans-serif" w:hAnsi="sans-serif"/>
          <w:sz w:val="22"/>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discharge of materials into the environment and can impose substantial fines and criminal sanctions for violations, and require installation of costly equipment or operational changes to limit emissions and/or decrease the likelihood of accidental hazardous substance releases. In addition, changes in laws, regulations and enforcement of policies, the discovery of previously unknown contamination or new technology or information related to individual sites, the establishment of stricter state or federal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pStyle w:val="TextBody"/>
        <w:spacing w:before="357" w:after="357"/>
        <w:ind w:left="357" w:right="357" w:hanging="0"/>
        <w:rPr>
          <w:rFonts w:ascii="sans-serif" w:hAnsi="sans-serif"/>
          <w:b/>
          <w:i/>
          <w:sz w:val="22"/>
        </w:rPr>
      </w:pPr>
      <w:r>
        <w:rPr>
          <w:rFonts w:ascii="sans-serif" w:hAnsi="sans-serif"/>
          <w:b/>
          <w:i/>
          <w:sz w:val="22"/>
        </w:rPr>
        <w:t>Cybersecurity incidents could disrupt business operations, result in the loss of critical and confidential information, and adversely impact our reputation and results of operations.</w:t>
      </w:r>
    </w:p>
    <w:p>
      <w:pPr>
        <w:pStyle w:val="TextBody"/>
        <w:spacing w:before="119" w:after="119"/>
        <w:ind w:left="119" w:right="119" w:firstLine="397"/>
        <w:jc w:val="both"/>
        <w:rPr>
          <w:rFonts w:ascii="sans-serif" w:hAnsi="sans-serif"/>
          <w:sz w:val="22"/>
        </w:rPr>
      </w:pPr>
      <w:r>
        <w:rPr>
          <w:rFonts w:ascii="sans-serif" w:hAnsi="sans-serif"/>
          <w:sz w:val="22"/>
        </w:rPr>
        <w:t>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and mitigate these threats (including access controls, data encryption, vulnerability assessments, product software designs which we believe are less susceptible to cyber attacks, continuous monitoring of our IT networks and systems and maintenance of backup and protective systems. Despite these efforts,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Cybersecurity incidents aimed at the software imbedded in our products could lead to third party claims that our product failures have caused a similar range of damages to our customers, and this risk is enhanced by the increasingly connected nature of our products. The potential consequences of a material cybersecurity incident include reputational damage, litigation with third parties, fines levied by the Federal Trade Commission, diminution in the value of our investment in research, development and engineering, and increased cybersecurity protection and remediation costs, which in turn could adversely affect our competitiveness and results of operations.</w:t>
      </w:r>
    </w:p>
    <w:p>
      <w:pPr>
        <w:pStyle w:val="TextBody"/>
        <w:spacing w:before="119" w:after="119"/>
        <w:ind w:left="119" w:right="119" w:hanging="0"/>
        <w:jc w:val="center"/>
        <w:rPr>
          <w:rFonts w:ascii="sans-serif" w:hAnsi="sans-serif"/>
          <w:sz w:val="22"/>
        </w:rPr>
      </w:pPr>
      <w:r>
        <w:rPr>
          <w:rFonts w:ascii="sans-serif" w:hAnsi="sans-serif"/>
          <w:sz w:val="22"/>
        </w:rPr>
        <w:t>9</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2"/>
          <w:u w:val="single"/>
        </w:rPr>
      </w:pPr>
      <w:r>
        <w:rPr>
          <w:rFonts w:ascii="sans-serif" w:hAnsi="sans-serif"/>
          <w:b/>
          <w:sz w:val="22"/>
          <w:u w:val="single"/>
        </w:rPr>
        <w:t>Legal and Regulatory Risks</w:t>
      </w:r>
    </w:p>
    <w:p>
      <w:pPr>
        <w:pStyle w:val="TextBody"/>
        <w:spacing w:before="198" w:after="198"/>
        <w:ind w:left="198" w:right="198" w:hanging="0"/>
        <w:rPr>
          <w:rFonts w:ascii="sans-serif" w:hAnsi="sans-serif"/>
          <w:b/>
          <w:i/>
          <w:sz w:val="22"/>
        </w:rPr>
      </w:pPr>
      <w:r>
        <w:rPr>
          <w:rFonts w:ascii="sans-serif" w:hAnsi="sans-serif"/>
          <w:b/>
          <w:i/>
          <w:sz w:val="22"/>
        </w:rPr>
        <w:t>Our U.S. and non-U.S. tax liabilities are dependent, in part, upon the distribution of income among various jurisdictions in which we operate.</w:t>
      </w:r>
    </w:p>
    <w:p>
      <w:pPr>
        <w:pStyle w:val="TextBody"/>
        <w:spacing w:before="119" w:after="119"/>
        <w:ind w:left="119" w:right="119" w:firstLine="397"/>
        <w:jc w:val="both"/>
        <w:rPr>
          <w:rFonts w:ascii="sans-serif" w:hAnsi="sans-serif"/>
          <w:sz w:val="22"/>
        </w:rPr>
      </w:pPr>
      <w:r>
        <w:rPr>
          <w:rFonts w:ascii="sans-serif" w:hAnsi="sans-serif"/>
          <w:sz w:val="22"/>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future earnings of the Company which could impact the valuation of our deferred tax assets. Changes in tax laws or regulations, including multi- jurisdictional changes enacted in response to the guidelines provided by the Organization for Economic Co-operation and Development (OECD) to address base erosion and profit shifting, will increase tax uncertainty and may adversely impact our provision for income taxes.</w:t>
      </w:r>
    </w:p>
    <w:p>
      <w:pPr>
        <w:pStyle w:val="TextBody"/>
        <w:spacing w:before="357" w:after="357"/>
        <w:ind w:left="357" w:right="357" w:hanging="0"/>
        <w:rPr>
          <w:rFonts w:ascii="sans-serif" w:hAnsi="sans-serif"/>
          <w:b/>
          <w:i/>
          <w:sz w:val="22"/>
        </w:rPr>
      </w:pPr>
      <w:r>
        <w:rPr>
          <w:rFonts w:ascii="sans-serif" w:hAnsi="sans-serif"/>
          <w:b/>
          <w:i/>
          <w:sz w:val="22"/>
        </w:rPr>
        <w:t>Changes in legislation or government regulations or policies can have a significant impact on our results of operations.</w:t>
      </w:r>
    </w:p>
    <w:p>
      <w:pPr>
        <w:pStyle w:val="TextBody"/>
        <w:spacing w:before="119" w:after="119"/>
        <w:ind w:left="119" w:right="119" w:firstLine="397"/>
        <w:jc w:val="both"/>
        <w:rPr>
          <w:rFonts w:ascii="sans-serif" w:hAnsi="sans-serif"/>
          <w:sz w:val="22"/>
        </w:rPr>
      </w:pPr>
      <w:r>
        <w:rPr>
          <w:rFonts w:ascii="sans-serif" w:hAnsi="sans-serif"/>
          <w:sz w:val="22"/>
        </w:rPr>
        <w:t>The sales and margins of each of our segments are directly impacted by government regulations including safety, performance and product certification regulations. Within Aerospace, the operating results of Commercial Original Equipment and Commercial Aftermarket may be impacted by, among other things, mandates of the Federal Aviation Administration and other similar international regulatory bodies requiring the installation of equipment on aircraft. Our Defense and Space business unit may be affected by changes in government procurement regulations, while emissions, fuel economy and energy efficiency standards for motor vehicles can impact Transportation Systems. Within ACS, the demand for and cost of providing products, services and solutions can be impacted by fire, security, safety, health care, environmental and energy efficiency standards and regulations. PMTs results of operations can be affected by environmental, safety and energy efficiency standards and regulations. Growth in all our businesses within emerging markets may be adversely impacted by the inability to acquire and retain qualified employees where local employment law mandates may be restrictive.</w:t>
      </w:r>
    </w:p>
    <w:p>
      <w:pPr>
        <w:pStyle w:val="TextBody"/>
        <w:spacing w:before="357" w:after="357"/>
        <w:ind w:left="357" w:right="357" w:hanging="0"/>
        <w:rPr>
          <w:rFonts w:ascii="sans-serif" w:hAnsi="sans-serif"/>
          <w:b/>
          <w:i/>
          <w:sz w:val="22"/>
        </w:rPr>
      </w:pPr>
      <w:r>
        <w:rPr>
          <w:rFonts w:ascii="sans-serif" w:hAnsi="sans-serif"/>
          <w:b/>
          <w:i/>
          <w:sz w:val="22"/>
        </w:rPr>
        <w:t>We cannot predict with certainty the outcome of litigation matters, government proceedings and other contingencies and uncertainties.</w:t>
      </w:r>
    </w:p>
    <w:p>
      <w:pPr>
        <w:pStyle w:val="TextBody"/>
        <w:spacing w:before="119" w:after="119"/>
        <w:ind w:left="119" w:right="119" w:firstLine="397"/>
        <w:jc w:val="both"/>
        <w:rPr>
          <w:rFonts w:ascii="sans-serif" w:hAnsi="sans-serif"/>
          <w:sz w:val="22"/>
        </w:rPr>
      </w:pPr>
      <w:r>
        <w:rPr>
          <w:rFonts w:ascii="sans-serif" w:hAnsi="sans-serif"/>
          <w:sz w:val="22"/>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import and export matters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pStyle w:val="TextBody"/>
        <w:spacing w:before="119" w:after="119"/>
        <w:ind w:left="119" w:right="119" w:hanging="0"/>
        <w:jc w:val="center"/>
        <w:rPr>
          <w:rFonts w:ascii="sans-serif" w:hAnsi="sans-serif"/>
          <w:sz w:val="22"/>
        </w:rPr>
      </w:pPr>
      <w:r>
        <w:rPr>
          <w:rFonts w:ascii="sans-serif" w:hAnsi="sans-serif"/>
          <w:sz w:val="22"/>
        </w:rPr>
        <w:t>10</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2"/>
        </w:rPr>
      </w:pPr>
      <w:r>
        <w:rPr>
          <w:rFonts w:ascii="sans-serif" w:hAnsi="sans-serif"/>
          <w:b/>
          <w:sz w:val="22"/>
        </w:rPr>
        <w:t xml:space="preserve">Item 1B. </w:t>
      </w:r>
      <w:bookmarkStart w:id="5" w:name="c83288_unresolved1"/>
      <w:bookmarkEnd w:id="5"/>
      <w:r>
        <w:rPr>
          <w:rFonts w:ascii="sans-serif" w:hAnsi="sans-serif"/>
          <w:b/>
          <w:sz w:val="22"/>
        </w:rPr>
        <w:t>Unresolved Staff Comments</w:t>
      </w:r>
    </w:p>
    <w:p>
      <w:pPr>
        <w:pStyle w:val="TextBody"/>
        <w:spacing w:before="119" w:after="119"/>
        <w:ind w:left="119" w:right="119" w:firstLine="397"/>
        <w:jc w:val="both"/>
        <w:rPr>
          <w:rFonts w:ascii="sans-serif" w:hAnsi="sans-serif"/>
          <w:sz w:val="22"/>
        </w:rPr>
      </w:pPr>
      <w:r>
        <w:rPr>
          <w:rFonts w:ascii="sans-serif" w:hAnsi="sans-serif"/>
          <w:sz w:val="22"/>
        </w:rPr>
        <w:t>Not applicable.</w:t>
      </w:r>
    </w:p>
    <w:p>
      <w:pPr>
        <w:pStyle w:val="TextBody"/>
        <w:spacing w:before="357" w:after="357"/>
        <w:ind w:left="357" w:right="357" w:hanging="0"/>
        <w:rPr>
          <w:rFonts w:ascii="sans-serif" w:hAnsi="sans-serif"/>
          <w:b/>
          <w:sz w:val="22"/>
        </w:rPr>
      </w:pPr>
      <w:r>
        <w:rPr>
          <w:rFonts w:ascii="sans-serif" w:hAnsi="sans-serif"/>
          <w:b/>
          <w:sz w:val="22"/>
        </w:rPr>
        <w:t xml:space="preserve">Item 2. </w:t>
      </w:r>
      <w:bookmarkStart w:id="6" w:name="c83288_properties1"/>
      <w:bookmarkEnd w:id="6"/>
      <w:r>
        <w:rPr>
          <w:rFonts w:ascii="sans-serif" w:hAnsi="sans-serif"/>
          <w:b/>
          <w:sz w:val="22"/>
        </w:rPr>
        <w:t>Properties</w:t>
      </w:r>
    </w:p>
    <w:p>
      <w:pPr>
        <w:pStyle w:val="TextBody"/>
        <w:spacing w:before="119" w:after="119"/>
        <w:ind w:left="119" w:right="119" w:firstLine="397"/>
        <w:jc w:val="both"/>
        <w:rPr>
          <w:rFonts w:ascii="sans-serif" w:hAnsi="sans-serif"/>
          <w:sz w:val="22"/>
        </w:rPr>
      </w:pPr>
      <w:r>
        <w:rPr>
          <w:rFonts w:ascii="sans-serif" w:hAnsi="sans-serif"/>
          <w:sz w:val="22"/>
        </w:rPr>
        <w:t>We have approximately 1,328 locations, of which 319 are plants. Our properties and equipment are in good operating condition and are adequate for our present needs. We do not anticipate difficulty in renewing existing leases as they expire or in finding alternative facilities.</w:t>
      </w:r>
    </w:p>
    <w:p>
      <w:pPr>
        <w:pStyle w:val="TextBody"/>
        <w:spacing w:before="357" w:after="357"/>
        <w:ind w:left="357" w:right="357" w:hanging="0"/>
        <w:rPr>
          <w:rFonts w:ascii="sans-serif" w:hAnsi="sans-serif"/>
          <w:b/>
          <w:sz w:val="22"/>
        </w:rPr>
      </w:pPr>
      <w:r>
        <w:rPr>
          <w:rFonts w:ascii="sans-serif" w:hAnsi="sans-serif"/>
          <w:b/>
          <w:sz w:val="22"/>
        </w:rPr>
        <w:t xml:space="preserve">Item 3. </w:t>
      </w:r>
      <w:bookmarkStart w:id="7" w:name="c83288_legal1"/>
      <w:bookmarkEnd w:id="7"/>
      <w:r>
        <w:rPr>
          <w:rFonts w:ascii="sans-serif" w:hAnsi="sans-serif"/>
          <w:b/>
          <w:sz w:val="22"/>
        </w:rPr>
        <w:t>Legal Proceedings</w:t>
      </w:r>
    </w:p>
    <w:p>
      <w:pPr>
        <w:pStyle w:val="TextBody"/>
        <w:spacing w:before="119" w:after="119"/>
        <w:ind w:left="119" w:right="119" w:firstLine="397"/>
        <w:jc w:val="both"/>
        <w:rPr>
          <w:rFonts w:ascii="sans-serif" w:hAnsi="sans-serif"/>
          <w:sz w:val="22"/>
        </w:rPr>
      </w:pPr>
      <w:r>
        <w:rPr>
          <w:rFonts w:ascii="sans-serif" w:hAnsi="sans-serif"/>
          <w:sz w:val="22"/>
        </w:rPr>
        <w:t>We are subject to a number of lawsuits, investigations and claims (some of which involve substantial amounts) arising out of the conduct of our business. See a discussion of environmental, asbestos and other litigation matters in Note 19 Commitments and Contingencies of Notes to Financial Statements.</w:t>
      </w:r>
    </w:p>
    <w:p>
      <w:pPr>
        <w:pStyle w:val="TextBody"/>
        <w:spacing w:before="357" w:after="357"/>
        <w:ind w:left="357" w:right="357" w:hanging="0"/>
        <w:rPr>
          <w:rFonts w:ascii="sans-serif" w:hAnsi="sans-serif"/>
          <w:b/>
          <w:sz w:val="22"/>
        </w:rPr>
      </w:pPr>
      <w:r>
        <w:rPr>
          <w:rFonts w:ascii="sans-serif" w:hAnsi="sans-serif"/>
          <w:b/>
          <w:sz w:val="22"/>
        </w:rPr>
        <w:t xml:space="preserve">Item 4. </w:t>
      </w:r>
      <w:bookmarkStart w:id="8" w:name="c83288_mine1"/>
      <w:bookmarkEnd w:id="8"/>
      <w:r>
        <w:rPr>
          <w:rFonts w:ascii="sans-serif" w:hAnsi="sans-serif"/>
          <w:b/>
          <w:sz w:val="22"/>
        </w:rPr>
        <w:t>Mine Safety Disclosures</w:t>
      </w:r>
    </w:p>
    <w:p>
      <w:pPr>
        <w:pStyle w:val="TextBody"/>
        <w:spacing w:before="119" w:after="119"/>
        <w:ind w:left="119" w:right="119" w:firstLine="397"/>
        <w:jc w:val="both"/>
        <w:rPr>
          <w:rFonts w:ascii="sans-serif" w:hAnsi="sans-serif"/>
          <w:sz w:val="22"/>
        </w:rPr>
      </w:pPr>
      <w:r>
        <w:rPr>
          <w:rFonts w:ascii="sans-serif" w:hAnsi="sans-serif"/>
          <w:sz w:val="22"/>
        </w:rPr>
        <w:t>Not applicable.</w:t>
      </w:r>
    </w:p>
    <w:p>
      <w:pPr>
        <w:pStyle w:val="TextBody"/>
        <w:spacing w:before="119" w:after="119"/>
        <w:ind w:left="119" w:right="119" w:hanging="0"/>
        <w:jc w:val="center"/>
        <w:rPr>
          <w:rFonts w:ascii="sans-serif" w:hAnsi="sans-serif"/>
          <w:sz w:val="22"/>
        </w:rPr>
      </w:pPr>
      <w:r>
        <w:rPr>
          <w:rFonts w:ascii="sans-serif" w:hAnsi="sans-serif"/>
          <w:sz w:val="22"/>
        </w:rPr>
        <w:t>11</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6"/>
        </w:rPr>
      </w:pPr>
      <w:r>
        <w:rPr>
          <w:rFonts w:ascii="sans-serif" w:hAnsi="sans-serif"/>
          <w:b/>
          <w:sz w:val="26"/>
        </w:rPr>
        <w:t>Part II.</w:t>
      </w:r>
    </w:p>
    <w:p>
      <w:pPr>
        <w:pStyle w:val="TextBody"/>
        <w:spacing w:before="198" w:after="198"/>
        <w:ind w:left="879" w:right="198" w:hanging="879"/>
        <w:rPr>
          <w:rFonts w:ascii="sans-serif" w:hAnsi="sans-serif"/>
          <w:b/>
          <w:sz w:val="26"/>
        </w:rPr>
      </w:pPr>
      <w:r>
        <w:rPr>
          <w:rFonts w:ascii="sans-serif" w:hAnsi="sans-serif"/>
          <w:b/>
          <w:sz w:val="26"/>
        </w:rPr>
        <w:t xml:space="preserve">Item 5. </w:t>
      </w:r>
      <w:bookmarkStart w:id="9" w:name="c83288_market1"/>
      <w:bookmarkEnd w:id="9"/>
      <w:r>
        <w:rPr>
          <w:rFonts w:ascii="sans-serif" w:hAnsi="sans-serif"/>
          <w:b/>
          <w:sz w:val="26"/>
        </w:rPr>
        <w:t>Market for Registrants Common Equity, Related Stockholder Matters and Issuer Purchases of Equity Securities</w:t>
      </w:r>
    </w:p>
    <w:p>
      <w:pPr>
        <w:pStyle w:val="TextBody"/>
        <w:spacing w:before="119" w:after="119"/>
        <w:ind w:left="119" w:right="119" w:firstLine="397"/>
        <w:jc w:val="both"/>
        <w:rPr>
          <w:rFonts w:ascii="sans-serif" w:hAnsi="sans-serif"/>
          <w:sz w:val="22"/>
        </w:rPr>
      </w:pPr>
      <w:r>
        <w:rPr>
          <w:rFonts w:ascii="sans-serif" w:hAnsi="sans-serif"/>
          <w:sz w:val="22"/>
        </w:rPr>
        <w:t>Honeywells common stock is listed on the New York Stock Exchange. Market and dividend information for Honeywells common stock is included in Note 24 Unaudited Quarterly Financial Information of Notes to Financial Statements.</w:t>
      </w:r>
    </w:p>
    <w:p>
      <w:pPr>
        <w:pStyle w:val="TextBody"/>
        <w:spacing w:before="119" w:after="119"/>
        <w:ind w:left="119" w:right="119" w:firstLine="397"/>
        <w:jc w:val="both"/>
        <w:rPr>
          <w:rFonts w:ascii="sans-serif" w:hAnsi="sans-serif"/>
          <w:sz w:val="22"/>
        </w:rPr>
      </w:pPr>
      <w:r>
        <w:rPr>
          <w:rFonts w:ascii="sans-serif" w:hAnsi="sans-serif"/>
          <w:sz w:val="22"/>
        </w:rPr>
        <w:t>The number of record holders of our common stock at December 31, 2015 was 53,230.</w:t>
      </w:r>
    </w:p>
    <w:p>
      <w:pPr>
        <w:pStyle w:val="TextBody"/>
        <w:spacing w:before="119" w:after="119"/>
        <w:ind w:left="119" w:right="119" w:firstLine="397"/>
        <w:jc w:val="both"/>
        <w:rPr>
          <w:rFonts w:ascii="sans-serif" w:hAnsi="sans-serif"/>
          <w:sz w:val="22"/>
        </w:rPr>
      </w:pPr>
      <w:r>
        <w:rPr>
          <w:rFonts w:ascii="sans-serif" w:hAnsi="sans-serif"/>
          <w:sz w:val="22"/>
        </w:rPr>
        <w:t>Honeywell purchased 1,724,212 shares of its common stock, par value $1 per share, in the quarter ending December 31, 2015. Under the Companys previously reported $5 billion share repurchase program, $2.2 billion remained available as of December 31, 2015 for additional share repurchases. Honeywell presently expects to repurchase outstanding shares from time to time to generally offset the dilutive impact of employee stock based compensation plans, including option exercises, restricted unit vesting and matching contributions under our savings plans. The amount and timing of future repurchases may vary depending on market conditions and the level of our operating, financing and other investing activities.</w:t>
      </w:r>
    </w:p>
    <w:p>
      <w:pPr>
        <w:pStyle w:val="TextBody"/>
        <w:spacing w:before="119" w:after="119"/>
        <w:ind w:left="119" w:right="119" w:firstLine="397"/>
        <w:jc w:val="both"/>
        <w:rPr>
          <w:rFonts w:ascii="sans-serif" w:hAnsi="sans-serif"/>
          <w:sz w:val="22"/>
        </w:rPr>
      </w:pPr>
      <w:r>
        <w:rPr>
          <w:rFonts w:ascii="sans-serif" w:hAnsi="sans-serif"/>
          <w:sz w:val="22"/>
        </w:rPr>
        <w:t>The following table summarizes Honeywells purchase of its common stock for the three months ended December 31, 2015:</w:t>
      </w:r>
    </w:p>
    <w:tbl>
      <w:tblPr>
        <w:tblW w:w="8301" w:type="dxa"/>
        <w:jc w:val="left"/>
        <w:tblInd w:w="0" w:type="dxa"/>
        <w:tblCellMar>
          <w:top w:w="0" w:type="dxa"/>
          <w:left w:w="0" w:type="dxa"/>
          <w:bottom w:w="0" w:type="dxa"/>
          <w:right w:w="0" w:type="dxa"/>
        </w:tblCellMar>
      </w:tblPr>
      <w:tblGrid>
        <w:gridCol w:w="1760"/>
        <w:gridCol w:w="60"/>
        <w:gridCol w:w="60"/>
        <w:gridCol w:w="60"/>
        <w:gridCol w:w="1085"/>
        <w:gridCol w:w="60"/>
        <w:gridCol w:w="60"/>
        <w:gridCol w:w="67"/>
        <w:gridCol w:w="175"/>
        <w:gridCol w:w="67"/>
        <w:gridCol w:w="702"/>
        <w:gridCol w:w="60"/>
        <w:gridCol w:w="60"/>
        <w:gridCol w:w="79"/>
        <w:gridCol w:w="60"/>
        <w:gridCol w:w="1439"/>
        <w:gridCol w:w="60"/>
        <w:gridCol w:w="60"/>
        <w:gridCol w:w="150"/>
        <w:gridCol w:w="389"/>
        <w:gridCol w:w="150"/>
        <w:gridCol w:w="1563"/>
        <w:gridCol w:w="75"/>
      </w:tblGrid>
      <w:tr>
        <w:trPr/>
        <w:tc>
          <w:tcPr>
            <w:tcW w:w="1760"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265"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1"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8"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7" w:type="dxa"/>
            <w:gridSpan w:val="5"/>
            <w:tcBorders/>
            <w:shd w:fill="auto" w:val="clear"/>
            <w:vAlign w:val="bottom"/>
          </w:tcPr>
          <w:p>
            <w:pPr>
              <w:pStyle w:val="TableContents"/>
              <w:spacing w:before="0" w:after="283"/>
              <w:rPr/>
            </w:pPr>
            <w:r>
              <w:rPr/>
              <w:t> </w:t>
            </w:r>
          </w:p>
        </w:tc>
      </w:tr>
      <w:tr>
        <w:trPr/>
        <w:tc>
          <w:tcPr>
            <w:tcW w:w="8301"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Issuer Purchases of Equity Securities</w:t>
            </w:r>
          </w:p>
        </w:tc>
      </w:tr>
      <w:tr>
        <w:trPr/>
        <w:tc>
          <w:tcPr>
            <w:tcW w:w="1760" w:type="dxa"/>
            <w:tcBorders>
              <w:bottom w:val="single" w:sz="4" w:space="0" w:color="000000"/>
            </w:tcBorders>
            <w:shd w:fill="auto" w:val="clear"/>
            <w:tcMar>
              <w:bottom w:w="28" w:type="dxa"/>
            </w:tcMar>
            <w:vAlign w:val="bottom"/>
          </w:tcPr>
          <w:p>
            <w:pPr>
              <w:pStyle w:val="TableContents"/>
              <w:spacing w:before="0" w:after="283"/>
              <w:ind w:left="198" w:right="0" w:hanging="198"/>
              <w:jc w:val="center"/>
              <w:rPr>
                <w:rFonts w:ascii="sans-serif" w:hAnsi="sans-serif"/>
                <w:b/>
                <w:sz w:val="18"/>
              </w:rPr>
            </w:pPr>
            <w:r>
              <w:rPr>
                <w:rFonts w:ascii="sans-serif" w:hAnsi="sans-serif"/>
                <w:b/>
                <w:sz w:val="18"/>
              </w:rPr>
              <w:t>Period</w:t>
            </w:r>
          </w:p>
        </w:tc>
        <w:tc>
          <w:tcPr>
            <w:tcW w:w="60" w:type="dxa"/>
            <w:tcBorders/>
            <w:shd w:fill="auto" w:val="clear"/>
            <w:vAlign w:val="bottom"/>
          </w:tcPr>
          <w:p>
            <w:pPr>
              <w:pStyle w:val="TableContents"/>
              <w:spacing w:before="0" w:after="283"/>
              <w:rPr/>
            </w:pPr>
            <w:r>
              <w:rPr/>
              <w:t> </w:t>
            </w:r>
          </w:p>
        </w:tc>
        <w:tc>
          <w:tcPr>
            <w:tcW w:w="1265"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Total</w:t>
              <w:br/>
              <w:t>Number of</w:t>
              <w:br/>
              <w:t>Shares</w:t>
              <w:br/>
              <w:t>Purchased</w:t>
            </w:r>
          </w:p>
        </w:tc>
        <w:tc>
          <w:tcPr>
            <w:tcW w:w="60" w:type="dxa"/>
            <w:tcBorders/>
            <w:shd w:fill="auto" w:val="clear"/>
            <w:vAlign w:val="bottom"/>
          </w:tcPr>
          <w:p>
            <w:pPr>
              <w:pStyle w:val="TableContents"/>
              <w:spacing w:before="0" w:after="283"/>
              <w:rPr/>
            </w:pPr>
            <w:r>
              <w:rPr/>
              <w:t> </w:t>
            </w:r>
          </w:p>
        </w:tc>
        <w:tc>
          <w:tcPr>
            <w:tcW w:w="1071"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Average</w:t>
              <w:br/>
              <w:t>Price Paid</w:t>
              <w:br/>
              <w:t>per Share</w:t>
            </w:r>
          </w:p>
        </w:tc>
        <w:tc>
          <w:tcPr>
            <w:tcW w:w="60" w:type="dxa"/>
            <w:tcBorders/>
            <w:shd w:fill="auto" w:val="clear"/>
            <w:vAlign w:val="bottom"/>
          </w:tcPr>
          <w:p>
            <w:pPr>
              <w:pStyle w:val="TableContents"/>
              <w:spacing w:before="0" w:after="283"/>
              <w:rPr/>
            </w:pPr>
            <w:r>
              <w:rPr/>
              <w:t> </w:t>
            </w:r>
          </w:p>
        </w:tc>
        <w:tc>
          <w:tcPr>
            <w:tcW w:w="1638"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Total Number</w:t>
              <w:br/>
              <w:t>of Shares</w:t>
              <w:br/>
              <w:t>Purchased as</w:t>
              <w:br/>
              <w:t>Part of Publicly</w:t>
              <w:br/>
              <w:t>Announced</w:t>
              <w:br/>
              <w:t>Plans</w:t>
              <w:br/>
              <w:t>or Programs</w:t>
            </w:r>
          </w:p>
        </w:tc>
        <w:tc>
          <w:tcPr>
            <w:tcW w:w="60" w:type="dxa"/>
            <w:tcBorders/>
            <w:shd w:fill="auto" w:val="clear"/>
            <w:vAlign w:val="bottom"/>
          </w:tcPr>
          <w:p>
            <w:pPr>
              <w:pStyle w:val="TableContents"/>
              <w:spacing w:before="0" w:after="283"/>
              <w:rPr/>
            </w:pPr>
            <w:r>
              <w:rPr/>
              <w:t> </w:t>
            </w:r>
          </w:p>
        </w:tc>
        <w:tc>
          <w:tcPr>
            <w:tcW w:w="232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Approximate Dollar</w:t>
              <w:br/>
              <w:t>Value of Shares that</w:t>
              <w:br/>
              <w:t>May Yet be Purchased</w:t>
              <w:br/>
              <w:t>Under Plans or</w:t>
              <w:br/>
              <w:t>Programs</w:t>
              <w:br/>
              <w:t>(Dollars in millions)</w:t>
            </w:r>
          </w:p>
        </w:tc>
      </w:tr>
      <w:tr>
        <w:trPr/>
        <w:tc>
          <w:tcPr>
            <w:tcW w:w="1760" w:type="dxa"/>
            <w:tcBorders/>
            <w:shd w:fill="E5FFFF" w:val="clear"/>
            <w:vAlign w:val="bottom"/>
          </w:tcPr>
          <w:p>
            <w:pPr>
              <w:pStyle w:val="TableContents"/>
              <w:spacing w:before="0" w:after="283"/>
              <w:ind w:left="198" w:right="0" w:hanging="198"/>
              <w:jc w:val="center"/>
              <w:rPr>
                <w:rFonts w:ascii="sans-serif" w:hAnsi="sans-serif"/>
                <w:sz w:val="22"/>
              </w:rPr>
            </w:pPr>
            <w:r>
              <w:rPr>
                <w:rFonts w:ascii="sans-serif" w:hAnsi="sans-serif"/>
                <w:sz w:val="22"/>
              </w:rPr>
              <w:t>October 2015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1,567,882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7" w:type="dxa"/>
            <w:tcBorders/>
            <w:shd w:fill="E5FFFF" w:val="clear"/>
            <w:vAlign w:val="bottom"/>
          </w:tcPr>
          <w:p>
            <w:pPr>
              <w:pStyle w:val="TableContents"/>
              <w:spacing w:before="0" w:after="283"/>
              <w:rPr/>
            </w:pPr>
            <w:r>
              <w:rPr/>
              <w:t> </w:t>
            </w:r>
          </w:p>
        </w:tc>
        <w:tc>
          <w:tcPr>
            <w:tcW w:w="17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7" w:type="dxa"/>
            <w:tcBorders/>
            <w:shd w:fill="E5FFFF" w:val="clear"/>
            <w:vAlign w:val="bottom"/>
          </w:tcPr>
          <w:p>
            <w:pPr>
              <w:pStyle w:val="TableContents"/>
              <w:spacing w:before="0" w:after="283"/>
              <w:rPr/>
            </w:pPr>
            <w:r>
              <w:rPr/>
              <w:t> </w:t>
            </w:r>
          </w:p>
        </w:tc>
        <w:tc>
          <w:tcPr>
            <w:tcW w:w="70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93.89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43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1,567,882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0" w:type="dxa"/>
            <w:tcBorders/>
            <w:shd w:fill="E5FFFF" w:val="clear"/>
            <w:vAlign w:val="bottom"/>
          </w:tcPr>
          <w:p>
            <w:pPr>
              <w:pStyle w:val="TableContents"/>
              <w:spacing w:before="0" w:after="283"/>
              <w:rPr/>
            </w:pPr>
            <w:r>
              <w:rPr/>
              <w:t> </w:t>
            </w:r>
          </w:p>
        </w:tc>
        <w:tc>
          <w:tcPr>
            <w:tcW w:w="38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50" w:type="dxa"/>
            <w:tcBorders/>
            <w:shd w:fill="E5FFFF" w:val="clear"/>
            <w:vAlign w:val="bottom"/>
          </w:tcPr>
          <w:p>
            <w:pPr>
              <w:pStyle w:val="TableContents"/>
              <w:spacing w:before="0" w:after="283"/>
              <w:rPr/>
            </w:pPr>
            <w:r>
              <w:rPr/>
              <w:t> </w:t>
            </w:r>
          </w:p>
        </w:tc>
        <w:tc>
          <w:tcPr>
            <w:tcW w:w="156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2,207</w:t>
            </w:r>
          </w:p>
        </w:tc>
        <w:tc>
          <w:tcPr>
            <w:tcW w:w="75" w:type="dxa"/>
            <w:tcBorders/>
            <w:shd w:fill="E5FFFF" w:val="clear"/>
            <w:vAlign w:val="bottom"/>
          </w:tcPr>
          <w:p>
            <w:pPr>
              <w:pStyle w:val="TableContents"/>
              <w:spacing w:before="0" w:after="283"/>
              <w:rPr/>
            </w:pPr>
            <w:r>
              <w:rPr/>
              <w:t> </w:t>
            </w:r>
          </w:p>
        </w:tc>
      </w:tr>
      <w:tr>
        <w:trPr/>
        <w:tc>
          <w:tcPr>
            <w:tcW w:w="1760" w:type="dxa"/>
            <w:tcBorders/>
            <w:shd w:fill="auto" w:val="clear"/>
            <w:vAlign w:val="bottom"/>
          </w:tcPr>
          <w:p>
            <w:pPr>
              <w:pStyle w:val="TableContents"/>
              <w:spacing w:before="0" w:after="283"/>
              <w:ind w:left="198" w:right="0" w:hanging="198"/>
              <w:jc w:val="center"/>
              <w:rPr>
                <w:rFonts w:ascii="sans-serif" w:hAnsi="sans-serif"/>
                <w:sz w:val="22"/>
              </w:rPr>
            </w:pPr>
            <w:r>
              <w:rPr>
                <w:rFonts w:ascii="sans-serif" w:hAnsi="sans-serif"/>
                <w:sz w:val="22"/>
              </w:rPr>
              <w:t>December 2015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156,330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7"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98.02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156,330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38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50" w:type="dxa"/>
            <w:tcBorders/>
            <w:shd w:fill="auto" w:val="clear"/>
            <w:vAlign w:val="bottom"/>
          </w:tcPr>
          <w:p>
            <w:pPr>
              <w:pStyle w:val="TableContents"/>
              <w:spacing w:before="0" w:after="283"/>
              <w:rPr/>
            </w:pPr>
            <w:r>
              <w:rPr/>
              <w:t> </w:t>
            </w:r>
          </w:p>
        </w:tc>
        <w:tc>
          <w:tcPr>
            <w:tcW w:w="156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2,192</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12</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2"/>
        </w:rPr>
      </w:pPr>
      <w:r>
        <w:rPr>
          <w:rFonts w:ascii="sans-serif" w:hAnsi="sans-serif"/>
          <w:b/>
          <w:sz w:val="22"/>
        </w:rPr>
        <w:t>Performance Graph</w:t>
      </w:r>
    </w:p>
    <w:p>
      <w:pPr>
        <w:pStyle w:val="TextBody"/>
        <w:spacing w:before="119" w:after="119"/>
        <w:ind w:left="119" w:right="119" w:firstLine="397"/>
        <w:jc w:val="both"/>
        <w:rPr>
          <w:rFonts w:ascii="sans-serif" w:hAnsi="sans-serif"/>
          <w:sz w:val="22"/>
        </w:rPr>
      </w:pPr>
      <w:r>
        <w:rPr>
          <w:rFonts w:ascii="sans-serif" w:hAnsi="sans-serif"/>
          <w:sz w:val="22"/>
        </w:rPr>
        <w:t>The following graph compares the five-year cumulative total return on our common stock to the total returns on the Standard &amp; Poors (S&amp;P) 500 Stock Index and a composite of S&amp;Ps Industrial Conglomerates and Aerospace and Defense indices, on a 65%/35% weighted basis (the Composite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had been invested in Honeywell stock and each index on December 31, 2010 and that all dividends were reinvested.</w:t>
      </w:r>
    </w:p>
    <w:p>
      <w:pPr>
        <w:pStyle w:val="TextBody"/>
        <w:spacing w:before="357" w:after="357"/>
        <w:ind w:left="958" w:right="357" w:hanging="0"/>
        <w:jc w:val="center"/>
        <w:rPr>
          <w:rFonts w:ascii="sans-serif" w:hAnsi="sans-serif"/>
          <w:b/>
          <w:sz w:val="22"/>
        </w:rPr>
      </w:pPr>
      <w:r>
        <w:rPr>
          <w:rFonts w:ascii="sans-serif" w:hAnsi="sans-serif"/>
          <w:b/>
          <w:sz w:val="22"/>
        </w:rPr>
        <w:t>COMPARISON OF CUMULATIVE FIVE YEAR TOTAL RETURN</w:t>
      </w:r>
    </w:p>
    <w:p>
      <w:pPr>
        <w:pStyle w:val="TextBody"/>
        <w:ind w:left="119" w:right="119" w:hanging="0"/>
        <w:jc w:val="center"/>
        <w:rPr/>
      </w:pPr>
      <w:r>
        <w:rPr/>
        <w:drawing>
          <wp:inline distT="0" distB="0" distL="0" distR="0">
            <wp:extent cx="5769610" cy="3474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69610" cy="3474720"/>
                    </a:xfrm>
                    <a:prstGeom prst="rect">
                      <a:avLst/>
                    </a:prstGeom>
                  </pic:spPr>
                </pic:pic>
              </a:graphicData>
            </a:graphic>
          </wp:inline>
        </w:drawing>
      </w:r>
    </w:p>
    <w:p>
      <w:pPr>
        <w:pStyle w:val="TextBody"/>
        <w:spacing w:before="119" w:after="119"/>
        <w:ind w:left="119" w:right="119" w:hanging="0"/>
        <w:jc w:val="center"/>
        <w:rPr>
          <w:rFonts w:ascii="sans-serif" w:hAnsi="sans-serif"/>
          <w:sz w:val="22"/>
        </w:rPr>
      </w:pPr>
      <w:r>
        <w:rPr>
          <w:rFonts w:ascii="sans-serif" w:hAnsi="sans-serif"/>
          <w:sz w:val="22"/>
        </w:rPr>
        <w:t>13</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6"/>
        </w:rPr>
      </w:pPr>
      <w:r>
        <w:rPr>
          <w:rFonts w:ascii="sans-serif" w:hAnsi="sans-serif"/>
          <w:b/>
          <w:sz w:val="26"/>
        </w:rPr>
        <w:t>HONEYWELL INTERNATIONAL INC.</w:t>
      </w:r>
    </w:p>
    <w:p>
      <w:pPr>
        <w:pStyle w:val="TextBody"/>
        <w:spacing w:before="119" w:after="119"/>
        <w:ind w:left="119" w:right="119" w:firstLine="397"/>
        <w:jc w:val="both"/>
        <w:rPr>
          <w:rFonts w:ascii="sans-serif" w:hAnsi="sans-serif"/>
          <w:sz w:val="22"/>
        </w:rPr>
      </w:pPr>
      <w:r>
        <w:rPr>
          <w:rFonts w:ascii="sans-serif" w:hAnsi="sans-serif"/>
          <w:sz w:val="22"/>
        </w:rPr>
        <w:t>This selected financial data should be read in conjunction with Honeywells Consolidated Financial Statements and related Notes included elsewhere in this Annual Report as well as the section of this Annual Report titled Item 7. Managements Discussion and Analysis of Financial Condition and Results of Operations.</w:t>
      </w:r>
    </w:p>
    <w:p>
      <w:pPr>
        <w:pStyle w:val="TextBody"/>
        <w:spacing w:before="357" w:after="357"/>
        <w:ind w:left="357" w:right="357" w:hanging="0"/>
        <w:rPr>
          <w:rFonts w:ascii="sans-serif" w:hAnsi="sans-serif"/>
          <w:b/>
          <w:sz w:val="26"/>
        </w:rPr>
      </w:pPr>
      <w:r>
        <w:rPr>
          <w:rFonts w:ascii="sans-serif" w:hAnsi="sans-serif"/>
          <w:b/>
          <w:sz w:val="26"/>
        </w:rPr>
        <w:t xml:space="preserve">Item 6. </w:t>
      </w:r>
      <w:bookmarkStart w:id="10" w:name="c83288_selected1"/>
      <w:bookmarkEnd w:id="10"/>
      <w:r>
        <w:rPr>
          <w:rFonts w:ascii="sans-serif" w:hAnsi="sans-serif"/>
          <w:b/>
          <w:sz w:val="26"/>
        </w:rPr>
        <w:t>Selected Financial Data</w:t>
      </w:r>
    </w:p>
    <w:tbl>
      <w:tblPr>
        <w:tblW w:w="10205" w:type="dxa"/>
        <w:jc w:val="left"/>
        <w:tblInd w:w="0" w:type="dxa"/>
        <w:tblCellMar>
          <w:top w:w="0" w:type="dxa"/>
          <w:left w:w="0" w:type="dxa"/>
          <w:bottom w:w="0" w:type="dxa"/>
          <w:right w:w="0" w:type="dxa"/>
        </w:tblCellMar>
      </w:tblPr>
      <w:tblGrid>
        <w:gridCol w:w="4440"/>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755"/>
        <w:gridCol w:w="75"/>
      </w:tblGrid>
      <w:tr>
        <w:trPr/>
        <w:tc>
          <w:tcPr>
            <w:tcW w:w="4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shd w:fill="auto" w:val="clear"/>
            <w:vAlign w:val="bottom"/>
          </w:tcPr>
          <w:p>
            <w:pPr>
              <w:pStyle w:val="TableContents"/>
              <w:spacing w:before="0" w:after="283"/>
              <w:rPr/>
            </w:pPr>
            <w:r>
              <w:rPr/>
              <w:t> </w:t>
            </w:r>
          </w:p>
        </w:tc>
      </w:tr>
      <w:tr>
        <w:trPr/>
        <w:tc>
          <w:tcPr>
            <w:tcW w:w="444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5705" w:type="dxa"/>
            <w:gridSpan w:val="29"/>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444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2012</w:t>
            </w:r>
          </w:p>
        </w:tc>
        <w:tc>
          <w:tcPr>
            <w:tcW w:w="60" w:type="dxa"/>
            <w:tcBorders/>
            <w:shd w:fill="auto" w:val="clear"/>
            <w:vAlign w:val="bottom"/>
          </w:tcPr>
          <w:p>
            <w:pPr>
              <w:pStyle w:val="TableContents"/>
              <w:spacing w:before="0" w:after="283"/>
              <w:rPr/>
            </w:pPr>
            <w:r>
              <w:rPr/>
              <w:t> </w:t>
            </w:r>
          </w:p>
        </w:tc>
        <w:tc>
          <w:tcPr>
            <w:tcW w:w="110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2011</w:t>
            </w:r>
          </w:p>
        </w:tc>
      </w:tr>
      <w:tr>
        <w:trPr/>
        <w:tc>
          <w:tcPr>
            <w:tcW w:w="444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5705" w:type="dxa"/>
            <w:gridSpan w:val="29"/>
            <w:tcBorders/>
            <w:shd w:fill="auto" w:val="clear"/>
            <w:vAlign w:val="bottom"/>
          </w:tcPr>
          <w:p>
            <w:pPr>
              <w:pStyle w:val="TableContents"/>
              <w:spacing w:before="0" w:after="283"/>
              <w:jc w:val="center"/>
              <w:rPr>
                <w:rFonts w:ascii="sans-serif" w:hAnsi="sans-serif"/>
                <w:b/>
                <w:sz w:val="18"/>
              </w:rPr>
            </w:pPr>
            <w:r>
              <w:rPr>
                <w:rFonts w:ascii="sans-serif" w:hAnsi="sans-serif"/>
                <w:b/>
                <w:sz w:val="18"/>
              </w:rPr>
              <w:t>(Dollars in millions, except per share amounts)</w:t>
            </w:r>
          </w:p>
        </w:tc>
      </w:tr>
      <w:tr>
        <w:trPr/>
        <w:tc>
          <w:tcPr>
            <w:tcW w:w="4440"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Results of Operations</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5" w:type="dxa"/>
            <w:gridSpan w:val="5"/>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38,581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40,306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39,055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37,665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36,529</w:t>
            </w:r>
          </w:p>
        </w:tc>
        <w:tc>
          <w:tcPr>
            <w:tcW w:w="75" w:type="dxa"/>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Amounts attributable to Honeywell:</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5" w:type="dxa"/>
            <w:gridSpan w:val="5"/>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Income from continuing operations less net income attributable to the noncontrolling 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4,768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4,239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1,858</w:t>
            </w:r>
          </w:p>
        </w:tc>
        <w:tc>
          <w:tcPr>
            <w:tcW w:w="75" w:type="dxa"/>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Income from discontinued operations(1)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209</w:t>
            </w:r>
          </w:p>
        </w:tc>
        <w:tc>
          <w:tcPr>
            <w:tcW w:w="75" w:type="dxa"/>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Net income attributable to Honeywell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4,768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4,239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2,067</w:t>
            </w:r>
          </w:p>
        </w:tc>
        <w:tc>
          <w:tcPr>
            <w:tcW w:w="75" w:type="dxa"/>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Earnings Per Common Share</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5" w:type="dxa"/>
            <w:gridSpan w:val="5"/>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Basic:</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Income from continuing operations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2.38</w:t>
            </w:r>
          </w:p>
        </w:tc>
        <w:tc>
          <w:tcPr>
            <w:tcW w:w="75" w:type="dxa"/>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Income from discontinued operations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0.27</w:t>
            </w:r>
          </w:p>
        </w:tc>
        <w:tc>
          <w:tcPr>
            <w:tcW w:w="75" w:type="dxa"/>
            <w:tcBorders/>
            <w:shd w:fill="auto"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Net income attributable to Honeywell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2.65</w:t>
            </w:r>
          </w:p>
        </w:tc>
        <w:tc>
          <w:tcPr>
            <w:tcW w:w="75" w:type="dxa"/>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Assuming dilution:</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Income from continuing operations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6.04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2.35</w:t>
            </w:r>
          </w:p>
        </w:tc>
        <w:tc>
          <w:tcPr>
            <w:tcW w:w="75" w:type="dxa"/>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Income from discontinued operations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0.26</w:t>
            </w:r>
          </w:p>
        </w:tc>
        <w:tc>
          <w:tcPr>
            <w:tcW w:w="75" w:type="dxa"/>
            <w:tcBorders/>
            <w:shd w:fill="auto"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Net income attributable to Honeywell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6.04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2.61</w:t>
            </w:r>
          </w:p>
        </w:tc>
        <w:tc>
          <w:tcPr>
            <w:tcW w:w="75" w:type="dxa"/>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Dividends per share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1.37</w:t>
            </w:r>
          </w:p>
        </w:tc>
        <w:tc>
          <w:tcPr>
            <w:tcW w:w="75" w:type="dxa"/>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Financial Position at Year-End</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5" w:type="dxa"/>
            <w:gridSpan w:val="5"/>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Property, plant and equipment-net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5,789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5,383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5,278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4,804</w:t>
            </w:r>
          </w:p>
        </w:tc>
        <w:tc>
          <w:tcPr>
            <w:tcW w:w="75" w:type="dxa"/>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Total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49,316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45,451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45,435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41,853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39,808</w:t>
            </w:r>
          </w:p>
        </w:tc>
        <w:tc>
          <w:tcPr>
            <w:tcW w:w="75" w:type="dxa"/>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Short-term debt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6,514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674</w:t>
            </w:r>
          </w:p>
        </w:tc>
        <w:tc>
          <w:tcPr>
            <w:tcW w:w="75" w:type="dxa"/>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Long-term debt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5,554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6,046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6,801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6,395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6,881</w:t>
            </w:r>
          </w:p>
        </w:tc>
        <w:tc>
          <w:tcPr>
            <w:tcW w:w="75" w:type="dxa"/>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Total debt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12,068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8,683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8,829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7,496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7,555</w:t>
            </w:r>
          </w:p>
        </w:tc>
        <w:tc>
          <w:tcPr>
            <w:tcW w:w="75" w:type="dxa"/>
            <w:tcBorders/>
            <w:shd w:fill="auto" w:val="clear"/>
            <w:vAlign w:val="bottom"/>
          </w:tcPr>
          <w:p>
            <w:pPr>
              <w:pStyle w:val="TableContents"/>
              <w:spacing w:before="0" w:after="283"/>
              <w:rPr/>
            </w:pPr>
            <w:r>
              <w:rPr/>
              <w:t> </w:t>
            </w:r>
          </w:p>
        </w:tc>
      </w:tr>
      <w:tr>
        <w:trPr/>
        <w:tc>
          <w:tcPr>
            <w:tcW w:w="44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Redeemable noncontrolling interest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Shareowners equity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18,418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17,784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17,579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13,065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10,902</w:t>
            </w:r>
          </w:p>
        </w:tc>
        <w:tc>
          <w:tcPr>
            <w:tcW w:w="75" w:type="dxa"/>
            <w:tcBorders/>
            <w:shd w:fill="auto" w:val="cle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10205" w:type="dxa"/>
        <w:jc w:val="left"/>
        <w:tblInd w:w="0" w:type="dxa"/>
        <w:tblCellMar>
          <w:top w:w="0" w:type="dxa"/>
          <w:left w:w="0" w:type="dxa"/>
          <w:bottom w:w="0" w:type="dxa"/>
          <w:right w:w="0" w:type="dxa"/>
        </w:tblCellMar>
      </w:tblPr>
      <w:tblGrid>
        <w:gridCol w:w="75"/>
        <w:gridCol w:w="264"/>
        <w:gridCol w:w="80"/>
        <w:gridCol w:w="9746"/>
        <w:gridCol w:w="40"/>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64"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80" w:type="dxa"/>
            <w:tcBorders/>
            <w:shd w:fill="auto" w:val="clear"/>
          </w:tcPr>
          <w:p>
            <w:pPr>
              <w:pStyle w:val="TableContents"/>
              <w:spacing w:before="0" w:after="283"/>
              <w:rPr/>
            </w:pPr>
            <w:r>
              <w:rPr/>
              <w:t> </w:t>
            </w:r>
          </w:p>
        </w:tc>
        <w:tc>
          <w:tcPr>
            <w:tcW w:w="9746" w:type="dxa"/>
            <w:tcBorders/>
            <w:shd w:fill="auto" w:val="clear"/>
          </w:tcPr>
          <w:p>
            <w:pPr>
              <w:pStyle w:val="TableContents"/>
              <w:spacing w:before="0" w:after="283"/>
              <w:jc w:val="both"/>
              <w:rPr>
                <w:rFonts w:ascii="sans-serif" w:hAnsi="sans-serif"/>
                <w:sz w:val="22"/>
              </w:rPr>
            </w:pPr>
            <w:r>
              <w:rPr>
                <w:rFonts w:ascii="sans-serif" w:hAnsi="sans-serif"/>
                <w:sz w:val="22"/>
              </w:rPr>
              <w:t>For the year ended December 31, 2011, income from discontinued operations included a $178 million, net of tax gain, resulting from the sale of the Consumer Products Group business.</w:t>
            </w:r>
          </w:p>
        </w:tc>
        <w:tc>
          <w:tcPr>
            <w:tcW w:w="40"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14</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879" w:right="238" w:hanging="879"/>
        <w:rPr>
          <w:rFonts w:ascii="sans-serif" w:hAnsi="sans-serif"/>
          <w:b/>
          <w:sz w:val="26"/>
        </w:rPr>
      </w:pPr>
      <w:r>
        <w:rPr>
          <w:rFonts w:ascii="sans-serif" w:hAnsi="sans-serif"/>
          <w:b/>
          <w:sz w:val="26"/>
        </w:rPr>
        <w:t xml:space="preserve">Item 7. </w:t>
      </w:r>
      <w:bookmarkStart w:id="11" w:name="c83288_management1"/>
      <w:bookmarkEnd w:id="11"/>
      <w:r>
        <w:rPr>
          <w:rFonts w:ascii="sans-serif" w:hAnsi="sans-serif"/>
          <w:b/>
          <w:sz w:val="26"/>
        </w:rPr>
        <w:t>Managements Discussion and Analysis of Financial Condition and Results of Operations</w:t>
      </w:r>
    </w:p>
    <w:p>
      <w:pPr>
        <w:pStyle w:val="TextBody"/>
        <w:spacing w:before="198" w:after="119"/>
        <w:ind w:left="198" w:right="198" w:hanging="0"/>
        <w:jc w:val="center"/>
        <w:rPr>
          <w:rFonts w:ascii="sans-serif" w:hAnsi="sans-serif"/>
          <w:b/>
          <w:sz w:val="22"/>
        </w:rPr>
      </w:pPr>
      <w:r>
        <w:rPr>
          <w:rFonts w:ascii="sans-serif" w:hAnsi="sans-serif"/>
          <w:b/>
          <w:sz w:val="22"/>
        </w:rPr>
        <w:t>(Dollars in millions, except per share amounts)</w:t>
      </w:r>
    </w:p>
    <w:p>
      <w:pPr>
        <w:pStyle w:val="TextBody"/>
        <w:spacing w:before="119" w:after="119"/>
        <w:ind w:left="119" w:right="119" w:firstLine="397"/>
        <w:jc w:val="both"/>
        <w:rPr>
          <w:rFonts w:ascii="sans-serif" w:hAnsi="sans-serif"/>
          <w:sz w:val="22"/>
        </w:rPr>
      </w:pPr>
      <w:r>
        <w:rPr>
          <w:rFonts w:ascii="sans-serif" w:hAnsi="sans-serif"/>
          <w:sz w:val="22"/>
        </w:rPr>
        <w:t>The following Managements Discussion and Analysis of Financial Condition and Results of Operations (MD&amp;A) is intended to help the reader understand the results of operations and financial condition of Honeywell International Inc. and its consolidated subsidiaries (Honeywell or the Company) for the three years ended December 31, 2015. All references to Notes relate to Notes to Financial Statements in Item 8. Financial Statements and Supplementary Data.</w:t>
      </w:r>
    </w:p>
    <w:p>
      <w:pPr>
        <w:pStyle w:val="TextBody"/>
        <w:spacing w:before="357" w:after="357"/>
        <w:ind w:left="357" w:right="357" w:hanging="0"/>
        <w:rPr>
          <w:rFonts w:ascii="sans-serif" w:hAnsi="sans-serif"/>
          <w:b/>
          <w:sz w:val="22"/>
        </w:rPr>
      </w:pPr>
      <w:r>
        <w:rPr>
          <w:rFonts w:ascii="sans-serif" w:hAnsi="sans-serif"/>
          <w:b/>
          <w:sz w:val="22"/>
        </w:rPr>
        <w:t>EXECUTIVE SUMMARY</w:t>
      </w:r>
    </w:p>
    <w:p>
      <w:pPr>
        <w:pStyle w:val="TextBody"/>
        <w:spacing w:before="119" w:after="119"/>
        <w:ind w:left="119" w:right="119" w:firstLine="397"/>
        <w:jc w:val="both"/>
        <w:rPr>
          <w:rFonts w:ascii="sans-serif" w:hAnsi="sans-serif"/>
          <w:sz w:val="22"/>
        </w:rPr>
      </w:pPr>
      <w:r>
        <w:rPr>
          <w:rFonts w:ascii="sans-serif" w:hAnsi="sans-serif"/>
          <w:sz w:val="22"/>
        </w:rPr>
        <w:t>In 2015, Honeywell successfully navigated a challenging macro-economic climate by combining strategic growth in our diverse portfolio and our well-known cost discipline with a marked acceleration of our capital deployment strategy. Earnings per share of common stockassuming dilution, grew 13% to $6.04 per share in 2015 and net income attributable to Honeywell grew 12% to $4,768 million. Our balanced long-term focus on enhancing shareowner value resulted in segment margin expansion of 220 basis points versus 2014 without sacrificing seed planting intended to ensure future growth, including maintaining R&amp;D spending at 5% of sales, new product introductions aligned with global macroeconomic trends in energy, safety and security and productivity, $216 million of repositioning investments to improve our operations and increased investment in High Growth Regions. Honeywell Operating System (HOS) Gold and Honeywell User Experience (HUE) initiatives intensified throughout the company, driving productivity through sustainable improvements to our factories, footprints and supply chain.</w:t>
      </w:r>
    </w:p>
    <w:p>
      <w:pPr>
        <w:pStyle w:val="TextBody"/>
        <w:spacing w:before="119" w:after="119"/>
        <w:ind w:left="119" w:right="119" w:firstLine="397"/>
        <w:jc w:val="both"/>
        <w:rPr>
          <w:rFonts w:ascii="sans-serif" w:hAnsi="sans-serif"/>
          <w:sz w:val="22"/>
        </w:rPr>
      </w:pPr>
      <w:r>
        <w:rPr>
          <w:rFonts w:ascii="sans-serif" w:hAnsi="sans-serif"/>
          <w:sz w:val="22"/>
        </w:rPr>
        <w:t>In 2015 we deployed capital of over $10 billion, including the following:</w:t>
      </w:r>
    </w:p>
    <w:tbl>
      <w:tblPr>
        <w:tblW w:w="10205" w:type="dxa"/>
        <w:jc w:val="left"/>
        <w:tblInd w:w="0" w:type="dxa"/>
        <w:tblCellMar>
          <w:top w:w="0" w:type="dxa"/>
          <w:left w:w="0" w:type="dxa"/>
          <w:bottom w:w="0" w:type="dxa"/>
          <w:right w:w="0" w:type="dxa"/>
        </w:tblCellMar>
      </w:tblPr>
      <w:tblGrid>
        <w:gridCol w:w="75"/>
        <w:gridCol w:w="287"/>
        <w:gridCol w:w="68"/>
        <w:gridCol w:w="9736"/>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68" w:type="dxa"/>
            <w:tcBorders/>
            <w:shd w:fill="auto" w:val="clear"/>
          </w:tcPr>
          <w:p>
            <w:pPr>
              <w:pStyle w:val="TableContents"/>
              <w:spacing w:before="0" w:after="283"/>
              <w:rPr/>
            </w:pPr>
            <w:r>
              <w:rPr/>
              <w:t> </w:t>
            </w:r>
          </w:p>
        </w:tc>
        <w:tc>
          <w:tcPr>
            <w:tcW w:w="9736" w:type="dxa"/>
            <w:tcBorders/>
            <w:shd w:fill="auto" w:val="clear"/>
          </w:tcPr>
          <w:p>
            <w:pPr>
              <w:pStyle w:val="TableContents"/>
              <w:spacing w:before="0" w:after="283"/>
              <w:jc w:val="both"/>
              <w:rPr>
                <w:rFonts w:ascii="sans-serif" w:hAnsi="sans-serif"/>
                <w:sz w:val="22"/>
              </w:rPr>
            </w:pPr>
            <w:r>
              <w:rPr>
                <w:rFonts w:ascii="sans-serif" w:hAnsi="sans-serif"/>
                <w:b/>
                <w:i/>
                <w:sz w:val="22"/>
              </w:rPr>
              <w:t>Mergers and Acquisitions</w:t>
            </w:r>
            <w:r>
              <w:rPr>
                <w:rFonts w:ascii="sans-serif" w:hAnsi="sans-serif"/>
                <w:sz w:val="22"/>
              </w:rPr>
              <w:t>we deployed over $5 billion during 2015, acquiring businesses that will be integrated into each of our three operating segments. These acquisitions all share a technology focus and increase our existing deep alignment with enduring macro trends such as energy efficiency, clean energy generation, safety and security, urbanization and customer productivity.</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8" w:type="dxa"/>
            <w:tcBorders/>
            <w:shd w:fill="auto" w:val="clear"/>
          </w:tcPr>
          <w:p>
            <w:pPr>
              <w:pStyle w:val="TableContents"/>
              <w:spacing w:before="0" w:after="283"/>
              <w:rPr/>
            </w:pPr>
            <w:r>
              <w:rPr/>
              <w:t> </w:t>
            </w:r>
          </w:p>
        </w:tc>
        <w:tc>
          <w:tcPr>
            <w:tcW w:w="9736" w:type="dxa"/>
            <w:tcBorders/>
            <w:shd w:fill="auto" w:val="clear"/>
          </w:tcPr>
          <w:p>
            <w:pPr>
              <w:pStyle w:val="TableContents"/>
              <w:spacing w:before="102" w:after="102"/>
              <w:ind w:left="102" w:right="102" w:hanging="0"/>
              <w:jc w:val="both"/>
              <w:rPr>
                <w:rFonts w:ascii="sans-serif" w:hAnsi="sans-serif"/>
                <w:sz w:val="22"/>
              </w:rPr>
            </w:pPr>
            <w:r>
              <w:rPr>
                <w:rFonts w:ascii="sans-serif" w:hAnsi="sans-serif"/>
                <w:b/>
                <w:i/>
                <w:sz w:val="22"/>
              </w:rPr>
              <w:t>Dividend</w:t>
            </w:r>
            <w:r>
              <w:rPr>
                <w:rFonts w:ascii="sans-serif" w:hAnsi="sans-serif"/>
                <w:sz w:val="22"/>
              </w:rPr>
              <w:t>after a 15% dividend rate increase in 2014, we again increased our annual dividend rate by 15% in 2015, as we seek to grow the dividend faster than earnings.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8" w:type="dxa"/>
            <w:tcBorders/>
            <w:shd w:fill="auto" w:val="clear"/>
          </w:tcPr>
          <w:p>
            <w:pPr>
              <w:pStyle w:val="TableContents"/>
              <w:spacing w:before="0" w:after="283"/>
              <w:rPr/>
            </w:pPr>
            <w:r>
              <w:rPr/>
              <w:t> </w:t>
            </w:r>
          </w:p>
        </w:tc>
        <w:tc>
          <w:tcPr>
            <w:tcW w:w="9736" w:type="dxa"/>
            <w:tcBorders/>
            <w:shd w:fill="auto" w:val="clear"/>
          </w:tcPr>
          <w:p>
            <w:pPr>
              <w:pStyle w:val="TableContents"/>
              <w:spacing w:before="102" w:after="102"/>
              <w:ind w:left="102" w:right="102" w:hanging="0"/>
              <w:jc w:val="both"/>
              <w:rPr>
                <w:rFonts w:ascii="sans-serif" w:hAnsi="sans-serif"/>
                <w:sz w:val="22"/>
              </w:rPr>
            </w:pPr>
            <w:r>
              <w:rPr>
                <w:rFonts w:ascii="sans-serif" w:hAnsi="sans-serif"/>
                <w:b/>
                <w:i/>
                <w:sz w:val="22"/>
              </w:rPr>
              <w:t>Share Repurchases</w:t>
            </w:r>
            <w:r>
              <w:rPr>
                <w:rFonts w:ascii="sans-serif" w:hAnsi="sans-serif"/>
                <w:sz w:val="22"/>
              </w:rPr>
              <w:t>we continue to opportunistically repurchase our shares with the goal of generally keeping share count flat and seeking to offset the dilutive impact of employee stock based compensation plans. In 2015, we repurchased 18.8 million shares for $1.9 billion.</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8" w:type="dxa"/>
            <w:tcBorders/>
            <w:shd w:fill="auto" w:val="clear"/>
          </w:tcPr>
          <w:p>
            <w:pPr>
              <w:pStyle w:val="TableContents"/>
              <w:spacing w:before="0" w:after="283"/>
              <w:rPr/>
            </w:pPr>
            <w:r>
              <w:rPr/>
              <w:t> </w:t>
            </w:r>
          </w:p>
        </w:tc>
        <w:tc>
          <w:tcPr>
            <w:tcW w:w="9736" w:type="dxa"/>
            <w:tcBorders/>
            <w:shd w:fill="auto" w:val="clear"/>
          </w:tcPr>
          <w:p>
            <w:pPr>
              <w:pStyle w:val="TableContents"/>
              <w:spacing w:before="102" w:after="102"/>
              <w:ind w:left="102" w:right="102" w:hanging="0"/>
              <w:jc w:val="both"/>
              <w:rPr>
                <w:rFonts w:ascii="sans-serif" w:hAnsi="sans-serif"/>
                <w:sz w:val="22"/>
              </w:rPr>
            </w:pPr>
            <w:r>
              <w:rPr>
                <w:rFonts w:ascii="sans-serif" w:hAnsi="sans-serif"/>
                <w:b/>
                <w:i/>
                <w:sz w:val="22"/>
              </w:rPr>
              <w:t>Capital Investment in Facilities</w:t>
            </w:r>
            <w:r>
              <w:rPr>
                <w:rFonts w:ascii="sans-serif" w:hAnsi="sans-serif"/>
                <w:sz w:val="22"/>
              </w:rPr>
              <w:t>we invested over $1 billion in high return capital expenditures, focused on revenue growth projects such as our Solstice low global-warming potential refrigerant products for the automotive industry and catalyst products in UOP.</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357" w:after="357"/>
        <w:ind w:left="357" w:right="357" w:hanging="0"/>
        <w:rPr>
          <w:rFonts w:ascii="sans-serif" w:hAnsi="sans-serif"/>
          <w:b/>
          <w:sz w:val="22"/>
        </w:rPr>
      </w:pPr>
      <w:r>
        <w:rPr>
          <w:rFonts w:ascii="sans-serif" w:hAnsi="sans-serif"/>
          <w:b/>
          <w:sz w:val="22"/>
        </w:rPr>
        <w:t>CONSOLIDATED RESULTS OF OPERATIONS</w:t>
      </w:r>
    </w:p>
    <w:p>
      <w:pPr>
        <w:pStyle w:val="TextBody"/>
        <w:spacing w:before="198" w:after="198"/>
        <w:ind w:left="198" w:right="198" w:firstLine="397"/>
        <w:rPr>
          <w:rFonts w:ascii="sans-serif" w:hAnsi="sans-serif"/>
          <w:b/>
          <w:sz w:val="22"/>
        </w:rPr>
      </w:pPr>
      <w:r>
        <w:rPr>
          <w:rFonts w:ascii="sans-serif" w:hAnsi="sans-serif"/>
          <w:b/>
          <w:sz w:val="22"/>
        </w:rPr>
        <w:t>Net Sales</w:t>
      </w:r>
    </w:p>
    <w:tbl>
      <w:tblPr>
        <w:tblW w:w="8025" w:type="dxa"/>
        <w:jc w:val="left"/>
        <w:tblInd w:w="0" w:type="dxa"/>
        <w:tblCellMar>
          <w:top w:w="0" w:type="dxa"/>
          <w:left w:w="0" w:type="dxa"/>
          <w:bottom w:w="0" w:type="dxa"/>
          <w:right w:w="0" w:type="dxa"/>
        </w:tblCellMar>
      </w:tblPr>
      <w:tblGrid>
        <w:gridCol w:w="4055"/>
        <w:gridCol w:w="60"/>
        <w:gridCol w:w="60"/>
        <w:gridCol w:w="155"/>
        <w:gridCol w:w="60"/>
        <w:gridCol w:w="755"/>
        <w:gridCol w:w="290"/>
        <w:gridCol w:w="60"/>
        <w:gridCol w:w="60"/>
        <w:gridCol w:w="60"/>
        <w:gridCol w:w="155"/>
        <w:gridCol w:w="60"/>
        <w:gridCol w:w="755"/>
        <w:gridCol w:w="215"/>
        <w:gridCol w:w="60"/>
        <w:gridCol w:w="60"/>
        <w:gridCol w:w="60"/>
        <w:gridCol w:w="155"/>
        <w:gridCol w:w="60"/>
        <w:gridCol w:w="755"/>
        <w:gridCol w:w="75"/>
      </w:tblGrid>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0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shd w:fill="auto" w:val="clear"/>
            <w:vAlign w:val="bottom"/>
          </w:tcPr>
          <w:p>
            <w:pPr>
              <w:pStyle w:val="TableContents"/>
              <w:spacing w:before="0" w:after="283"/>
              <w:rPr/>
            </w:pPr>
            <w:r>
              <w:rPr/>
              <w:t> </w:t>
            </w:r>
          </w:p>
        </w:tc>
      </w:tr>
      <w:tr>
        <w:trPr/>
        <w:tc>
          <w:tcPr>
            <w:tcW w:w="405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38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30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10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0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38,581</w:t>
            </w:r>
          </w:p>
        </w:tc>
        <w:tc>
          <w:tcPr>
            <w:tcW w:w="350"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40,306</w:t>
            </w:r>
          </w:p>
        </w:tc>
        <w:tc>
          <w:tcPr>
            <w:tcW w:w="27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39,055</w:t>
            </w:r>
          </w:p>
        </w:tc>
        <w:tc>
          <w:tcPr>
            <w:tcW w:w="75" w:type="dxa"/>
            <w:tcBorders/>
            <w:shd w:fill="E5FFFF" w:val="clear"/>
            <w:vAlign w:val="bottom"/>
          </w:tcPr>
          <w:p>
            <w:pPr>
              <w:pStyle w:val="TableContents"/>
              <w:spacing w:before="0" w:after="283"/>
              <w:rPr/>
            </w:pPr>
            <w:r>
              <w:rPr/>
              <w:t> </w:t>
            </w:r>
          </w:p>
        </w:tc>
      </w:tr>
      <w:tr>
        <w:trPr/>
        <w:tc>
          <w:tcPr>
            <w:tcW w:w="405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 change compared with prior period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29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shd w:fill="auto" w:val="cle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15</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firstLine="397"/>
        <w:rPr>
          <w:rFonts w:ascii="sans-serif" w:hAnsi="sans-serif"/>
          <w:sz w:val="22"/>
        </w:rPr>
      </w:pPr>
      <w:r>
        <w:rPr>
          <w:rFonts w:ascii="sans-serif" w:hAnsi="sans-serif"/>
          <w:sz w:val="22"/>
        </w:rPr>
        <w:t>The change in net sales is attributable to the following:</w:t>
      </w:r>
    </w:p>
    <w:tbl>
      <w:tblPr>
        <w:tblW w:w="4780" w:type="dxa"/>
        <w:jc w:val="left"/>
        <w:tblInd w:w="0" w:type="dxa"/>
        <w:tblCellMar>
          <w:top w:w="0" w:type="dxa"/>
          <w:left w:w="0" w:type="dxa"/>
          <w:bottom w:w="0" w:type="dxa"/>
          <w:right w:w="0" w:type="dxa"/>
        </w:tblCellMar>
      </w:tblPr>
      <w:tblGrid>
        <w:gridCol w:w="3140"/>
        <w:gridCol w:w="60"/>
        <w:gridCol w:w="107"/>
        <w:gridCol w:w="60"/>
        <w:gridCol w:w="519"/>
        <w:gridCol w:w="60"/>
        <w:gridCol w:w="60"/>
        <w:gridCol w:w="109"/>
        <w:gridCol w:w="60"/>
        <w:gridCol w:w="530"/>
        <w:gridCol w:w="75"/>
      </w:tblGrid>
      <w:tr>
        <w:trPr/>
        <w:tc>
          <w:tcPr>
            <w:tcW w:w="3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46"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4"/>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746"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br/>
              <w:t>Versus</w:t>
              <w:br/>
              <w:t>2014</w:t>
            </w:r>
          </w:p>
        </w:tc>
        <w:tc>
          <w:tcPr>
            <w:tcW w:w="60" w:type="dxa"/>
            <w:tcBorders/>
            <w:shd w:fill="auto" w:val="clear"/>
            <w:vAlign w:val="bottom"/>
          </w:tcPr>
          <w:p>
            <w:pPr>
              <w:pStyle w:val="TableContents"/>
              <w:spacing w:before="0" w:after="283"/>
              <w:rPr/>
            </w:pPr>
            <w:r>
              <w:rPr/>
              <w:t> </w:t>
            </w:r>
          </w:p>
        </w:tc>
        <w:tc>
          <w:tcPr>
            <w:tcW w:w="774"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br/>
              <w:t>Versus</w:t>
              <w:br/>
              <w:t>2013</w:t>
            </w:r>
          </w:p>
        </w:tc>
      </w:tr>
      <w:tr>
        <w:trPr/>
        <w:tc>
          <w:tcPr>
            <w:tcW w:w="31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Volume</w:t>
            </w:r>
          </w:p>
        </w:tc>
        <w:tc>
          <w:tcPr>
            <w:tcW w:w="60" w:type="dxa"/>
            <w:tcBorders/>
            <w:shd w:fill="E5FFFF" w:val="clear"/>
            <w:vAlign w:val="bottom"/>
          </w:tcPr>
          <w:p>
            <w:pPr>
              <w:pStyle w:val="TableContents"/>
              <w:spacing w:before="0" w:after="283"/>
              <w:rPr/>
            </w:pPr>
            <w:r>
              <w:rPr/>
              <w:t> </w:t>
            </w:r>
          </w:p>
        </w:tc>
        <w:tc>
          <w:tcPr>
            <w:tcW w:w="10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51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5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75" w:type="dxa"/>
            <w:tcBorders/>
            <w:shd w:fill="E5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Price</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1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Acquisitions/Divestitures</w:t>
            </w:r>
          </w:p>
        </w:tc>
        <w:tc>
          <w:tcPr>
            <w:tcW w:w="60" w:type="dxa"/>
            <w:tcBorders/>
            <w:shd w:fill="E5FFFF" w:val="clear"/>
            <w:vAlign w:val="bottom"/>
          </w:tcPr>
          <w:p>
            <w:pPr>
              <w:pStyle w:val="TableContents"/>
              <w:spacing w:before="0" w:after="283"/>
              <w:rPr/>
            </w:pPr>
            <w:r>
              <w:rPr/>
              <w:t> </w:t>
            </w:r>
          </w:p>
        </w:tc>
        <w:tc>
          <w:tcPr>
            <w:tcW w:w="10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51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5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75" w:type="dxa"/>
            <w:tcBorders/>
            <w:shd w:fill="E5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Foreign Currency Translation</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1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w:t>
            </w:r>
          </w:p>
        </w:tc>
        <w:tc>
          <w:tcPr>
            <w:tcW w:w="60" w:type="dxa"/>
            <w:tcBorders/>
            <w:shd w:fill="E5FFFF" w:val="clear"/>
            <w:vAlign w:val="bottom"/>
          </w:tcPr>
          <w:p>
            <w:pPr>
              <w:pStyle w:val="TableContents"/>
              <w:spacing w:before="0" w:after="283"/>
              <w:rPr/>
            </w:pPr>
            <w:r>
              <w:rPr/>
              <w:t> </w:t>
            </w:r>
          </w:p>
        </w:tc>
        <w:tc>
          <w:tcPr>
            <w:tcW w:w="10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51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5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75" w:type="dxa"/>
            <w:tcBorders/>
            <w:shd w:fill="E5FFFF"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46" w:type="dxa"/>
            <w:gridSpan w:val="4"/>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4"/>
            <w:tcBorders>
              <w:top w:val="single" w:sz="4" w:space="0" w:color="000000"/>
            </w:tcBorders>
            <w:shd w:fill="auto" w:val="clear"/>
            <w:tcMar>
              <w:top w:w="28" w:type="dxa"/>
            </w:tcM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75" w:type="dxa"/>
            <w:tcBorders/>
            <w:shd w:fill="auto" w:val="clear"/>
            <w:vAlign w:val="bottom"/>
          </w:tcPr>
          <w:p>
            <w:pPr>
              <w:pStyle w:val="TableContents"/>
              <w:spacing w:before="0" w:after="283"/>
              <w:rPr/>
            </w:pPr>
            <w:r>
              <w:rPr/>
              <w:t> </w:t>
            </w:r>
          </w:p>
        </w:tc>
      </w:tr>
      <w:tr>
        <w:trPr/>
        <w:tc>
          <w:tcPr>
            <w:tcW w:w="31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46" w:type="dxa"/>
            <w:gridSpan w:val="4"/>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4"/>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A discussion of net sales by segment can be found in the Review of Business Segments section of this MD&amp;A. The foreign currency translation impact is principally driven by the weakening of the Euro and Canadian Dollar against the U.S. Dollar.</w:t>
      </w:r>
    </w:p>
    <w:p>
      <w:pPr>
        <w:pStyle w:val="TextBody"/>
        <w:spacing w:before="357" w:after="357"/>
        <w:ind w:left="397" w:right="357" w:hanging="0"/>
        <w:rPr>
          <w:rFonts w:ascii="sans-serif" w:hAnsi="sans-serif"/>
          <w:b/>
          <w:sz w:val="22"/>
        </w:rPr>
      </w:pPr>
      <w:r>
        <w:rPr>
          <w:rFonts w:ascii="sans-serif" w:hAnsi="sans-serif"/>
          <w:b/>
          <w:sz w:val="22"/>
        </w:rPr>
        <w:t>Cost of Products and Services Sold</w:t>
      </w:r>
    </w:p>
    <w:tbl>
      <w:tblPr>
        <w:tblW w:w="8240" w:type="dxa"/>
        <w:jc w:val="left"/>
        <w:tblInd w:w="0" w:type="dxa"/>
        <w:tblCellMar>
          <w:top w:w="0" w:type="dxa"/>
          <w:left w:w="0" w:type="dxa"/>
          <w:bottom w:w="0" w:type="dxa"/>
          <w:right w:w="0" w:type="dxa"/>
        </w:tblCellMar>
      </w:tblPr>
      <w:tblGrid>
        <w:gridCol w:w="4055"/>
        <w:gridCol w:w="60"/>
        <w:gridCol w:w="60"/>
        <w:gridCol w:w="155"/>
        <w:gridCol w:w="60"/>
        <w:gridCol w:w="755"/>
        <w:gridCol w:w="290"/>
        <w:gridCol w:w="60"/>
        <w:gridCol w:w="60"/>
        <w:gridCol w:w="60"/>
        <w:gridCol w:w="155"/>
        <w:gridCol w:w="60"/>
        <w:gridCol w:w="755"/>
        <w:gridCol w:w="215"/>
        <w:gridCol w:w="60"/>
        <w:gridCol w:w="60"/>
        <w:gridCol w:w="60"/>
        <w:gridCol w:w="155"/>
        <w:gridCol w:w="60"/>
        <w:gridCol w:w="755"/>
        <w:gridCol w:w="215"/>
        <w:gridCol w:w="75"/>
      </w:tblGrid>
      <w:tr>
        <w:trPr/>
        <w:tc>
          <w:tcPr>
            <w:tcW w:w="40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0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0" w:type="dxa"/>
            <w:gridSpan w:val="6"/>
            <w:tcBorders/>
            <w:shd w:fill="auto" w:val="clear"/>
            <w:vAlign w:val="bottom"/>
          </w:tcPr>
          <w:p>
            <w:pPr>
              <w:pStyle w:val="TableContents"/>
              <w:spacing w:before="0" w:after="283"/>
              <w:rPr/>
            </w:pPr>
            <w:r>
              <w:rPr/>
              <w:t> </w:t>
            </w:r>
          </w:p>
        </w:tc>
      </w:tr>
      <w:tr>
        <w:trPr/>
        <w:tc>
          <w:tcPr>
            <w:tcW w:w="405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38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30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32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0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Cost of products and services sold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26,747</w:t>
            </w:r>
          </w:p>
        </w:tc>
        <w:tc>
          <w:tcPr>
            <w:tcW w:w="350"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28,957</w:t>
            </w:r>
          </w:p>
        </w:tc>
        <w:tc>
          <w:tcPr>
            <w:tcW w:w="27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28,364</w:t>
            </w:r>
          </w:p>
        </w:tc>
        <w:tc>
          <w:tcPr>
            <w:tcW w:w="290" w:type="dxa"/>
            <w:gridSpan w:val="2"/>
            <w:tcBorders/>
            <w:shd w:fill="E5FFFF" w:val="clear"/>
            <w:vAlign w:val="bottom"/>
          </w:tcPr>
          <w:p>
            <w:pPr>
              <w:pStyle w:val="TableContents"/>
              <w:spacing w:before="0" w:after="283"/>
              <w:rPr/>
            </w:pPr>
            <w:r>
              <w:rPr/>
              <w:t> </w:t>
            </w:r>
          </w:p>
        </w:tc>
      </w:tr>
      <w:tr>
        <w:trPr/>
        <w:tc>
          <w:tcPr>
            <w:tcW w:w="405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 change compared with prior period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w:t>
            </w:r>
          </w:p>
        </w:tc>
        <w:tc>
          <w:tcPr>
            <w:tcW w:w="29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0" w:type="dxa"/>
            <w:gridSpan w:val="6"/>
            <w:tcBorders/>
            <w:shd w:fill="auto" w:val="clear"/>
            <w:vAlign w:val="bottom"/>
          </w:tcPr>
          <w:p>
            <w:pPr>
              <w:pStyle w:val="TableContents"/>
              <w:spacing w:before="0" w:after="283"/>
              <w:rPr/>
            </w:pPr>
            <w:r>
              <w:rPr/>
              <w:t> </w:t>
            </w:r>
          </w:p>
        </w:tc>
      </w:tr>
      <w:tr>
        <w:trPr/>
        <w:tc>
          <w:tcPr>
            <w:tcW w:w="40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Gross Margin percentage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30.7</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28.2</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27.4</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Cost of products and services sold decreased in 2015 compared with 2014 principally due to a decrease in direct and indirect material costs of approximately $1,460 million (driven primarily by the favorable impact of foreign currency translation, productivity, lower raw materials pass-through pricing and the absence of the Friction Materials business, partially offset by higher sales volume), a decrease in labor costs of approximately $450 million and higher pension income of approximately $230 million.</w:t>
      </w:r>
    </w:p>
    <w:p>
      <w:pPr>
        <w:pStyle w:val="TextBody"/>
        <w:spacing w:before="119" w:after="119"/>
        <w:ind w:left="119" w:right="119" w:firstLine="397"/>
        <w:jc w:val="both"/>
        <w:rPr>
          <w:rFonts w:ascii="sans-serif" w:hAnsi="sans-serif"/>
          <w:sz w:val="22"/>
        </w:rPr>
      </w:pPr>
      <w:r>
        <w:rPr>
          <w:rFonts w:ascii="sans-serif" w:hAnsi="sans-serif"/>
          <w:sz w:val="22"/>
        </w:rPr>
        <w:t>Gross margin percentage increased in 2015 compared with 2014 principally due to higher gross margin in all of our business segments (approximately 2.0 percentage point impact collectively) and increased pension income allocated to cost of products and services sold (approximately 0.5 percentage point impact).</w:t>
      </w:r>
    </w:p>
    <w:p>
      <w:pPr>
        <w:pStyle w:val="TextBody"/>
        <w:spacing w:before="119" w:after="119"/>
        <w:ind w:left="119" w:right="119" w:firstLine="397"/>
        <w:jc w:val="both"/>
        <w:rPr>
          <w:rFonts w:ascii="sans-serif" w:hAnsi="sans-serif"/>
          <w:sz w:val="22"/>
        </w:rPr>
      </w:pPr>
      <w:r>
        <w:rPr>
          <w:rFonts w:ascii="sans-serif" w:hAnsi="sans-serif"/>
          <w:sz w:val="22"/>
        </w:rPr>
        <w:t>Cost of products and services sold increased in 2014 compared with 2013 principally due to an increase in direct material and labor costs of approximately $645 million (driven by higher sales volume and acquisitions, net of divestitures) and an increase in pension and other postretirement benefit expense of approximately $35 million, partially offset by a decrease in repositioning and other charges of approximately $40 million.</w:t>
      </w:r>
    </w:p>
    <w:p>
      <w:pPr>
        <w:pStyle w:val="TextBody"/>
        <w:spacing w:before="119" w:after="119"/>
        <w:ind w:left="119" w:right="119" w:firstLine="397"/>
        <w:jc w:val="both"/>
        <w:rPr>
          <w:rFonts w:ascii="sans-serif" w:hAnsi="sans-serif"/>
          <w:sz w:val="22"/>
        </w:rPr>
      </w:pPr>
      <w:r>
        <w:rPr>
          <w:rFonts w:ascii="sans-serif" w:hAnsi="sans-serif"/>
          <w:sz w:val="22"/>
        </w:rPr>
        <w:t>Gross margin percentage increased in 2014 compared with 2013 principally due to higher gross margin in all of our business segments (approximately 0.7 percentage point impact collectively) and lower repositioning and other charges (approximately 0.1 percentage point impact), partially offset by higher pension and other postretirement benefit expense (approximately 0.1 percentage point impact).</w:t>
      </w:r>
    </w:p>
    <w:p>
      <w:pPr>
        <w:pStyle w:val="TextBody"/>
        <w:spacing w:before="357" w:after="357"/>
        <w:ind w:left="397" w:right="357" w:hanging="0"/>
        <w:rPr>
          <w:rFonts w:ascii="sans-serif" w:hAnsi="sans-serif"/>
          <w:b/>
          <w:sz w:val="22"/>
        </w:rPr>
      </w:pPr>
      <w:r>
        <w:rPr>
          <w:rFonts w:ascii="sans-serif" w:hAnsi="sans-serif"/>
          <w:b/>
          <w:sz w:val="22"/>
        </w:rPr>
        <w:t>Selling, General and Administrative Expenses</w:t>
      </w:r>
    </w:p>
    <w:tbl>
      <w:tblPr>
        <w:tblW w:w="8420" w:type="dxa"/>
        <w:jc w:val="left"/>
        <w:tblInd w:w="0" w:type="dxa"/>
        <w:tblCellMar>
          <w:top w:w="0" w:type="dxa"/>
          <w:left w:w="0" w:type="dxa"/>
          <w:bottom w:w="0" w:type="dxa"/>
          <w:right w:w="0" w:type="dxa"/>
        </w:tblCellMar>
      </w:tblPr>
      <w:tblGrid>
        <w:gridCol w:w="4715"/>
        <w:gridCol w:w="60"/>
        <w:gridCol w:w="60"/>
        <w:gridCol w:w="155"/>
        <w:gridCol w:w="60"/>
        <w:gridCol w:w="620"/>
        <w:gridCol w:w="215"/>
        <w:gridCol w:w="60"/>
        <w:gridCol w:w="60"/>
        <w:gridCol w:w="60"/>
        <w:gridCol w:w="155"/>
        <w:gridCol w:w="60"/>
        <w:gridCol w:w="620"/>
        <w:gridCol w:w="215"/>
        <w:gridCol w:w="60"/>
        <w:gridCol w:w="60"/>
        <w:gridCol w:w="60"/>
        <w:gridCol w:w="155"/>
        <w:gridCol w:w="60"/>
        <w:gridCol w:w="620"/>
        <w:gridCol w:w="215"/>
        <w:gridCol w:w="75"/>
      </w:tblGrid>
      <w:tr>
        <w:trPr/>
        <w:tc>
          <w:tcPr>
            <w:tcW w:w="47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r>
      <w:tr>
        <w:trPr/>
        <w:tc>
          <w:tcPr>
            <w:tcW w:w="471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7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71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Selling, general and administrative expense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5,006</w:t>
            </w:r>
          </w:p>
        </w:tc>
        <w:tc>
          <w:tcPr>
            <w:tcW w:w="27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5,518</w:t>
            </w:r>
          </w:p>
        </w:tc>
        <w:tc>
          <w:tcPr>
            <w:tcW w:w="27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5,190</w:t>
            </w:r>
          </w:p>
        </w:tc>
        <w:tc>
          <w:tcPr>
            <w:tcW w:w="290" w:type="dxa"/>
            <w:gridSpan w:val="2"/>
            <w:tcBorders/>
            <w:shd w:fill="E5FFFF" w:val="clear"/>
            <w:vAlign w:val="bottom"/>
          </w:tcPr>
          <w:p>
            <w:pPr>
              <w:pStyle w:val="TableContents"/>
              <w:spacing w:before="0" w:after="283"/>
              <w:rPr/>
            </w:pPr>
            <w:r>
              <w:rPr/>
              <w:t> </w:t>
            </w:r>
          </w:p>
        </w:tc>
      </w:tr>
      <w:tr>
        <w:trPr/>
        <w:tc>
          <w:tcPr>
            <w:tcW w:w="471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 of sales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13.0</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13.7</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13.3</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Selling, general and administrative expenses (SG&amp;A) decreased in 2015 compared with 2014 primarily driven by the favorable impact from foreign currency translation, increased pension income, decreased indirect costs and benefits from repositioning, partially offset by increased labor costs (primarily merit increases and investment for growth).</w:t>
      </w:r>
    </w:p>
    <w:p>
      <w:pPr>
        <w:pStyle w:val="TextBody"/>
        <w:spacing w:before="119" w:after="119"/>
        <w:ind w:left="119" w:right="119" w:firstLine="397"/>
        <w:jc w:val="both"/>
        <w:rPr>
          <w:rFonts w:ascii="sans-serif" w:hAnsi="sans-serif"/>
          <w:sz w:val="22"/>
        </w:rPr>
      </w:pPr>
      <w:r>
        <w:rPr>
          <w:rFonts w:ascii="sans-serif" w:hAnsi="sans-serif"/>
          <w:sz w:val="22"/>
        </w:rPr>
        <w:t>SG&amp;A increased in 2014 compared with 2013 primarily driven by an increase in labor costs (primarily acquisitions, incentive compensation, merit increases and investment for growth) and an increase in pension and other postretirement benefit expense, partially offset by a decrease in repositioning charges.</w:t>
      </w:r>
    </w:p>
    <w:p>
      <w:pPr>
        <w:pStyle w:val="TextBody"/>
        <w:spacing w:before="119" w:after="119"/>
        <w:ind w:left="119" w:right="119" w:hanging="0"/>
        <w:jc w:val="center"/>
        <w:rPr>
          <w:rFonts w:ascii="sans-serif" w:hAnsi="sans-serif"/>
          <w:sz w:val="22"/>
        </w:rPr>
      </w:pPr>
      <w:r>
        <w:rPr>
          <w:rFonts w:ascii="sans-serif" w:hAnsi="sans-serif"/>
          <w:sz w:val="22"/>
        </w:rPr>
        <w:t>16</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397" w:right="238" w:hanging="0"/>
        <w:rPr>
          <w:rFonts w:ascii="sans-serif" w:hAnsi="sans-serif"/>
          <w:b/>
          <w:sz w:val="22"/>
        </w:rPr>
      </w:pPr>
      <w:r>
        <w:rPr>
          <w:rFonts w:ascii="sans-serif" w:hAnsi="sans-serif"/>
          <w:b/>
          <w:sz w:val="22"/>
        </w:rPr>
        <w:t>Tax Expense</w:t>
      </w:r>
    </w:p>
    <w:tbl>
      <w:tblPr>
        <w:tblW w:w="5555" w:type="dxa"/>
        <w:jc w:val="left"/>
        <w:tblInd w:w="0" w:type="dxa"/>
        <w:tblCellMar>
          <w:top w:w="0" w:type="dxa"/>
          <w:left w:w="0" w:type="dxa"/>
          <w:bottom w:w="0" w:type="dxa"/>
          <w:right w:w="0" w:type="dxa"/>
        </w:tblCellMar>
      </w:tblPr>
      <w:tblGrid>
        <w:gridCol w:w="1850"/>
        <w:gridCol w:w="60"/>
        <w:gridCol w:w="60"/>
        <w:gridCol w:w="155"/>
        <w:gridCol w:w="60"/>
        <w:gridCol w:w="620"/>
        <w:gridCol w:w="215"/>
        <w:gridCol w:w="60"/>
        <w:gridCol w:w="60"/>
        <w:gridCol w:w="60"/>
        <w:gridCol w:w="155"/>
        <w:gridCol w:w="60"/>
        <w:gridCol w:w="620"/>
        <w:gridCol w:w="215"/>
        <w:gridCol w:w="60"/>
        <w:gridCol w:w="60"/>
        <w:gridCol w:w="60"/>
        <w:gridCol w:w="155"/>
        <w:gridCol w:w="60"/>
        <w:gridCol w:w="620"/>
        <w:gridCol w:w="215"/>
        <w:gridCol w:w="75"/>
      </w:tblGrid>
      <w:tr>
        <w:trPr/>
        <w:tc>
          <w:tcPr>
            <w:tcW w:w="18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r>
      <w:tr>
        <w:trPr/>
        <w:tc>
          <w:tcPr>
            <w:tcW w:w="185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7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18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Tax expense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1,739</w:t>
            </w:r>
          </w:p>
        </w:tc>
        <w:tc>
          <w:tcPr>
            <w:tcW w:w="27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1,489</w:t>
            </w:r>
          </w:p>
        </w:tc>
        <w:tc>
          <w:tcPr>
            <w:tcW w:w="27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1,450</w:t>
            </w:r>
          </w:p>
        </w:tc>
        <w:tc>
          <w:tcPr>
            <w:tcW w:w="290" w:type="dxa"/>
            <w:gridSpan w:val="2"/>
            <w:tcBorders/>
            <w:shd w:fill="E5FFFF" w:val="clear"/>
            <w:vAlign w:val="bottom"/>
          </w:tcPr>
          <w:p>
            <w:pPr>
              <w:pStyle w:val="TableContents"/>
              <w:spacing w:before="0" w:after="283"/>
              <w:rPr/>
            </w:pPr>
            <w:r>
              <w:rPr/>
              <w:t> </w:t>
            </w:r>
          </w:p>
        </w:tc>
      </w:tr>
      <w:tr>
        <w:trPr/>
        <w:tc>
          <w:tcPr>
            <w:tcW w:w="185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Effective tax rate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26.4</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25.6</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26.8</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For discussion of changes in the effective tax rate, see Note 5 Income Taxes in the Notes to Financial Statements.</w:t>
      </w:r>
    </w:p>
    <w:p>
      <w:pPr>
        <w:pStyle w:val="TextBody"/>
        <w:spacing w:before="119" w:after="119"/>
        <w:ind w:left="119" w:right="119" w:firstLine="397"/>
        <w:jc w:val="both"/>
        <w:rPr>
          <w:rFonts w:ascii="sans-serif" w:hAnsi="sans-serif"/>
          <w:sz w:val="22"/>
        </w:rPr>
      </w:pPr>
      <w:r>
        <w:rPr>
          <w:rFonts w:ascii="sans-serif" w:hAnsi="sans-serif"/>
          <w:sz w:val="22"/>
        </w:rPr>
        <w:t>The effective tax rates for 2015, 2014 and 2013 are lower than the U.S. statutory rate of 35% primarily due to lower tax rates on non-U.S. earnings, the vast majority of which we intend to permanently reinvest outside the United States.</w:t>
      </w:r>
    </w:p>
    <w:p>
      <w:pPr>
        <w:pStyle w:val="TextBody"/>
        <w:spacing w:before="119" w:after="119"/>
        <w:ind w:left="119" w:right="119" w:firstLine="397"/>
        <w:jc w:val="both"/>
        <w:rPr>
          <w:rFonts w:ascii="sans-serif" w:hAnsi="sans-serif"/>
          <w:sz w:val="22"/>
        </w:rPr>
      </w:pPr>
      <w:r>
        <w:rPr>
          <w:rFonts w:ascii="sans-serif" w:hAnsi="sans-serif"/>
          <w:sz w:val="22"/>
        </w:rPr>
        <w:t>The Company currently expects the effective tax rate for 2016 to be approximately 26.5%. The effective tax rate can vary from quarter to quarter due to unusual or infrequently occurring items, the resolution of income tax audits, changes in tax laws or other items such as pension mark-to-market adjustments.</w:t>
      </w:r>
    </w:p>
    <w:p>
      <w:pPr>
        <w:pStyle w:val="TextBody"/>
        <w:spacing w:before="357" w:after="357"/>
        <w:ind w:left="397" w:right="357" w:hanging="0"/>
        <w:rPr>
          <w:rFonts w:ascii="sans-serif" w:hAnsi="sans-serif"/>
          <w:b/>
          <w:sz w:val="22"/>
        </w:rPr>
      </w:pPr>
      <w:r>
        <w:rPr>
          <w:rFonts w:ascii="sans-serif" w:hAnsi="sans-serif"/>
          <w:b/>
          <w:sz w:val="22"/>
        </w:rPr>
        <w:t>Net Income Attributable to Honeywell</w:t>
      </w:r>
    </w:p>
    <w:tbl>
      <w:tblPr>
        <w:tblW w:w="8990" w:type="dxa"/>
        <w:jc w:val="left"/>
        <w:tblInd w:w="0" w:type="dxa"/>
        <w:tblCellMar>
          <w:top w:w="0" w:type="dxa"/>
          <w:left w:w="0" w:type="dxa"/>
          <w:bottom w:w="0" w:type="dxa"/>
          <w:right w:w="0" w:type="dxa"/>
        </w:tblCellMar>
      </w:tblPr>
      <w:tblGrid>
        <w:gridCol w:w="5930"/>
        <w:gridCol w:w="60"/>
        <w:gridCol w:w="60"/>
        <w:gridCol w:w="155"/>
        <w:gridCol w:w="60"/>
        <w:gridCol w:w="620"/>
        <w:gridCol w:w="60"/>
        <w:gridCol w:w="60"/>
        <w:gridCol w:w="60"/>
        <w:gridCol w:w="155"/>
        <w:gridCol w:w="60"/>
        <w:gridCol w:w="620"/>
        <w:gridCol w:w="60"/>
        <w:gridCol w:w="60"/>
        <w:gridCol w:w="60"/>
        <w:gridCol w:w="155"/>
        <w:gridCol w:w="60"/>
        <w:gridCol w:w="620"/>
        <w:gridCol w:w="75"/>
      </w:tblGrid>
      <w:tr>
        <w:trPr/>
        <w:tc>
          <w:tcPr>
            <w:tcW w:w="5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593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59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income attributable to Honeywell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4,768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4,239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3,924</w:t>
            </w:r>
          </w:p>
        </w:tc>
        <w:tc>
          <w:tcPr>
            <w:tcW w:w="75" w:type="dxa"/>
            <w:tcBorders/>
            <w:shd w:fill="E5FFFF" w:val="clear"/>
            <w:vAlign w:val="bottom"/>
          </w:tcPr>
          <w:p>
            <w:pPr>
              <w:pStyle w:val="TableContents"/>
              <w:spacing w:before="0" w:after="283"/>
              <w:rPr/>
            </w:pPr>
            <w:r>
              <w:rPr/>
              <w:t> </w:t>
            </w:r>
          </w:p>
        </w:tc>
      </w:tr>
      <w:tr>
        <w:trPr/>
        <w:tc>
          <w:tcPr>
            <w:tcW w:w="593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 of common stockassuming dilution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4.92</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Earnings per share of common stockassuming dilution increased in 2015 compared with 2014 primarily driven by increased segment profit in each of our business segments and lower pension and other postretirement expense, partially offset by increased tax expense and lower other income (principally due to the absence of a realized gain related to the prior year sale of marketable equity securities).</w:t>
      </w:r>
    </w:p>
    <w:p>
      <w:pPr>
        <w:pStyle w:val="TextBody"/>
        <w:spacing w:before="119" w:after="119"/>
        <w:ind w:left="119" w:right="119" w:firstLine="397"/>
        <w:jc w:val="both"/>
        <w:rPr>
          <w:rFonts w:ascii="sans-serif" w:hAnsi="sans-serif"/>
          <w:sz w:val="22"/>
        </w:rPr>
      </w:pPr>
      <w:r>
        <w:rPr>
          <w:rFonts w:ascii="sans-serif" w:hAnsi="sans-serif"/>
          <w:sz w:val="22"/>
        </w:rPr>
        <w:t>Earnings per share of common stockassuming dilution increased in 2014 compared with 2013 primarily due to increased segment profit in each of our business segments and lower repositioning and other charges, partially offset by higher pension and other postretirement expense and increased tax expense.</w:t>
      </w:r>
    </w:p>
    <w:p>
      <w:pPr>
        <w:pStyle w:val="TextBody"/>
        <w:spacing w:before="357" w:after="357"/>
        <w:ind w:left="357" w:right="357" w:hanging="0"/>
        <w:rPr>
          <w:rFonts w:ascii="sans-serif" w:hAnsi="sans-serif"/>
          <w:b/>
          <w:sz w:val="22"/>
        </w:rPr>
      </w:pPr>
      <w:r>
        <w:rPr>
          <w:rFonts w:ascii="sans-serif" w:hAnsi="sans-serif"/>
          <w:b/>
          <w:sz w:val="22"/>
        </w:rPr>
        <w:t>BUSINESS OVERVIEW</w:t>
      </w:r>
    </w:p>
    <w:p>
      <w:pPr>
        <w:pStyle w:val="TextBody"/>
        <w:spacing w:before="119" w:after="119"/>
        <w:ind w:left="119" w:right="119" w:firstLine="397"/>
        <w:jc w:val="both"/>
        <w:rPr>
          <w:rFonts w:ascii="sans-serif" w:hAnsi="sans-serif"/>
          <w:sz w:val="22"/>
        </w:rPr>
      </w:pPr>
      <w:r>
        <w:rPr>
          <w:rFonts w:ascii="sans-serif" w:hAnsi="sans-serif"/>
          <w:sz w:val="22"/>
        </w:rPr>
        <w:t>Our consolidated results are principally impacted by:</w:t>
      </w:r>
    </w:p>
    <w:tbl>
      <w:tblPr>
        <w:tblW w:w="10205" w:type="dxa"/>
        <w:jc w:val="left"/>
        <w:tblInd w:w="0" w:type="dxa"/>
        <w:tblCellMar>
          <w:top w:w="0" w:type="dxa"/>
          <w:left w:w="0" w:type="dxa"/>
          <w:bottom w:w="0" w:type="dxa"/>
          <w:right w:w="0" w:type="dxa"/>
        </w:tblCellMar>
      </w:tblPr>
      <w:tblGrid>
        <w:gridCol w:w="75"/>
        <w:gridCol w:w="287"/>
        <w:gridCol w:w="84"/>
        <w:gridCol w:w="9720"/>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84" w:type="dxa"/>
            <w:tcBorders/>
            <w:shd w:fill="auto" w:val="clear"/>
          </w:tcPr>
          <w:p>
            <w:pPr>
              <w:pStyle w:val="TableContents"/>
              <w:spacing w:before="0" w:after="283"/>
              <w:rPr/>
            </w:pPr>
            <w:r>
              <w:rPr/>
              <w:t> </w:t>
            </w:r>
          </w:p>
        </w:tc>
        <w:tc>
          <w:tcPr>
            <w:tcW w:w="9720" w:type="dxa"/>
            <w:tcBorders/>
            <w:shd w:fill="auto" w:val="clear"/>
          </w:tcPr>
          <w:p>
            <w:pPr>
              <w:pStyle w:val="TableContents"/>
              <w:spacing w:before="0" w:after="283"/>
              <w:jc w:val="both"/>
              <w:rPr>
                <w:rFonts w:ascii="sans-serif" w:hAnsi="sans-serif"/>
                <w:sz w:val="22"/>
              </w:rPr>
            </w:pPr>
            <w:r>
              <w:rPr>
                <w:rFonts w:ascii="sans-serif" w:hAnsi="sans-serif"/>
                <w:sz w:val="22"/>
              </w:rPr>
              <w:t>Change in global economic growth rates and industry conditions and demand in our key end markets;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84" w:type="dxa"/>
            <w:tcBorders/>
            <w:shd w:fill="auto" w:val="clear"/>
          </w:tcPr>
          <w:p>
            <w:pPr>
              <w:pStyle w:val="TableContents"/>
              <w:spacing w:before="0" w:after="283"/>
              <w:rPr/>
            </w:pPr>
            <w:r>
              <w:rPr/>
              <w:t> </w:t>
            </w:r>
          </w:p>
        </w:tc>
        <w:tc>
          <w:tcPr>
            <w:tcW w:w="972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Overall sales mix, in particular the mix of Aerospace original equipment and aftermarket sales and the mix of ACS products, distribution and services sales;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84" w:type="dxa"/>
            <w:tcBorders/>
            <w:shd w:fill="auto" w:val="clear"/>
          </w:tcPr>
          <w:p>
            <w:pPr>
              <w:pStyle w:val="TableContents"/>
              <w:spacing w:before="0" w:after="283"/>
              <w:rPr/>
            </w:pPr>
            <w:r>
              <w:rPr/>
              <w:t> </w:t>
            </w:r>
          </w:p>
        </w:tc>
        <w:tc>
          <w:tcPr>
            <w:tcW w:w="972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impact of fluctuations in foreign currency exchange rates (in particular the Euro), relative to the U.S. Dollar;</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84" w:type="dxa"/>
            <w:tcBorders/>
            <w:shd w:fill="auto" w:val="clear"/>
          </w:tcPr>
          <w:p>
            <w:pPr>
              <w:pStyle w:val="TableContents"/>
              <w:spacing w:before="0" w:after="283"/>
              <w:rPr/>
            </w:pPr>
            <w:r>
              <w:rPr/>
              <w:t> </w:t>
            </w:r>
          </w:p>
        </w:tc>
        <w:tc>
          <w:tcPr>
            <w:tcW w:w="972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extent to which cost savings from productivity actions are able to offset or exceed the impact of material and non-material inflation; and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84" w:type="dxa"/>
            <w:tcBorders/>
            <w:shd w:fill="auto" w:val="clear"/>
          </w:tcPr>
          <w:p>
            <w:pPr>
              <w:pStyle w:val="TableContents"/>
              <w:spacing w:before="0" w:after="283"/>
              <w:rPr/>
            </w:pPr>
            <w:r>
              <w:rPr/>
              <w:t> </w:t>
            </w:r>
          </w:p>
        </w:tc>
        <w:tc>
          <w:tcPr>
            <w:tcW w:w="972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impact of the pension discount rate and asset returns on pension expense, including mark-to-market adjustments, and funding requirements.</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Our 2016 areas of focus are supported by the Honeywell Enablers, including HOS Gold, are generally applicable to each of our operating segments and include:</w:t>
      </w:r>
    </w:p>
    <w:tbl>
      <w:tblPr>
        <w:tblW w:w="10205" w:type="dxa"/>
        <w:jc w:val="left"/>
        <w:tblInd w:w="0" w:type="dxa"/>
        <w:tblCellMar>
          <w:top w:w="0" w:type="dxa"/>
          <w:left w:w="0" w:type="dxa"/>
          <w:bottom w:w="0" w:type="dxa"/>
          <w:right w:w="0" w:type="dxa"/>
        </w:tblCellMar>
      </w:tblPr>
      <w:tblGrid>
        <w:gridCol w:w="75"/>
        <w:gridCol w:w="287"/>
        <w:gridCol w:w="71"/>
        <w:gridCol w:w="9733"/>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71" w:type="dxa"/>
            <w:tcBorders/>
            <w:shd w:fill="auto" w:val="clear"/>
          </w:tcPr>
          <w:p>
            <w:pPr>
              <w:pStyle w:val="TableContents"/>
              <w:spacing w:before="0" w:after="283"/>
              <w:rPr/>
            </w:pPr>
            <w:r>
              <w:rPr/>
              <w:t> </w:t>
            </w:r>
          </w:p>
        </w:tc>
        <w:tc>
          <w:tcPr>
            <w:tcW w:w="9733" w:type="dxa"/>
            <w:tcBorders/>
            <w:shd w:fill="auto" w:val="clear"/>
          </w:tcPr>
          <w:p>
            <w:pPr>
              <w:pStyle w:val="TableContents"/>
              <w:spacing w:before="0" w:after="283"/>
              <w:jc w:val="both"/>
              <w:rPr>
                <w:rFonts w:ascii="sans-serif" w:hAnsi="sans-serif"/>
                <w:sz w:val="22"/>
              </w:rPr>
            </w:pPr>
            <w:r>
              <w:rPr>
                <w:rFonts w:ascii="sans-serif" w:hAnsi="sans-serif"/>
                <w:sz w:val="22"/>
              </w:rPr>
              <w:t>Driving profitable growth through R&amp;D, technological excellence and optimized manufacturing capability to deliver innovative products that customers value;</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1" w:type="dxa"/>
            <w:tcBorders/>
            <w:shd w:fill="auto" w:val="clear"/>
          </w:tcPr>
          <w:p>
            <w:pPr>
              <w:pStyle w:val="TableContents"/>
              <w:spacing w:before="0" w:after="283"/>
              <w:rPr/>
            </w:pPr>
            <w:r>
              <w:rPr/>
              <w:t> </w:t>
            </w:r>
          </w:p>
        </w:tc>
        <w:tc>
          <w:tcPr>
            <w:tcW w:w="9733"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Expanding margins by maintaining and improving the Companys cost structure through manufacturing and administrative process improvements, repositioning, and other actions, which will drive productivity and enhance the flexibility of the business as it works to proactively respond to changes in end market demand;</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17</w:t>
      </w:r>
    </w:p>
    <w:p>
      <w:pPr>
        <w:pStyle w:val="HorizontalLine"/>
        <w:pBdr>
          <w:bottom w:val="single" w:sz="20" w:space="0" w:color="000000"/>
        </w:pBdr>
        <w:rPr/>
      </w:pPr>
      <w:r>
        <w:rPr/>
      </w:r>
      <w:r>
        <w:br w:type="page"/>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287"/>
        <w:gridCol w:w="75"/>
        <w:gridCol w:w="9729"/>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5" w:type="dxa"/>
            <w:tcBorders/>
            <w:shd w:fill="auto" w:val="clear"/>
          </w:tcPr>
          <w:p>
            <w:pPr>
              <w:pStyle w:val="TableContents"/>
              <w:spacing w:before="0" w:after="283"/>
              <w:rPr/>
            </w:pPr>
            <w:r>
              <w:rPr/>
              <w:t> </w:t>
            </w:r>
          </w:p>
        </w:tc>
        <w:tc>
          <w:tcPr>
            <w:tcW w:w="9729"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Driving strong cash flow conversion through effective working capital management which will enable the Company to deploy capital for strategic acquisitions, capital expenditures and returning cash to shareholders;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5" w:type="dxa"/>
            <w:tcBorders/>
            <w:shd w:fill="auto" w:val="clear"/>
          </w:tcPr>
          <w:p>
            <w:pPr>
              <w:pStyle w:val="TableContents"/>
              <w:spacing w:before="0" w:after="283"/>
              <w:rPr/>
            </w:pPr>
            <w:r>
              <w:rPr/>
              <w:t> </w:t>
            </w:r>
          </w:p>
        </w:tc>
        <w:tc>
          <w:tcPr>
            <w:tcW w:w="9729"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Driving organic growth through expansion of our localized footprint in high growth regions, including China, India, Eastern Europe, the Middle East and Latin America;</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5" w:type="dxa"/>
            <w:tcBorders/>
            <w:shd w:fill="auto" w:val="clear"/>
          </w:tcPr>
          <w:p>
            <w:pPr>
              <w:pStyle w:val="TableContents"/>
              <w:spacing w:before="0" w:after="283"/>
              <w:rPr/>
            </w:pPr>
            <w:r>
              <w:rPr/>
              <w:t> </w:t>
            </w:r>
          </w:p>
        </w:tc>
        <w:tc>
          <w:tcPr>
            <w:tcW w:w="9729"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Executing disciplined, rigorous M&amp;A and integration processes to deliver inorganic growth through previously announced acquisitions while also identifying appropriate acquisitions to further deploy our capital effectively;</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5" w:type="dxa"/>
            <w:tcBorders/>
            <w:shd w:fill="auto" w:val="clear"/>
          </w:tcPr>
          <w:p>
            <w:pPr>
              <w:pStyle w:val="TableContents"/>
              <w:spacing w:before="0" w:after="283"/>
              <w:rPr/>
            </w:pPr>
            <w:r>
              <w:rPr/>
              <w:t> </w:t>
            </w:r>
          </w:p>
        </w:tc>
        <w:tc>
          <w:tcPr>
            <w:tcW w:w="9729"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Aligning and prioritizing capital expenditures for long-term growth, while considering short-term demand volatility;</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5" w:type="dxa"/>
            <w:tcBorders/>
            <w:shd w:fill="auto" w:val="clear"/>
          </w:tcPr>
          <w:p>
            <w:pPr>
              <w:pStyle w:val="TableContents"/>
              <w:spacing w:before="0" w:after="283"/>
              <w:rPr/>
            </w:pPr>
            <w:r>
              <w:rPr/>
              <w:t> </w:t>
            </w:r>
          </w:p>
        </w:tc>
        <w:tc>
          <w:tcPr>
            <w:tcW w:w="9729"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Actively monitoring trends in the oil and gas industry end markets, principally the demand from midstream and downstream customers for products and services provided by Process Solutions and UOP;</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5" w:type="dxa"/>
            <w:tcBorders/>
            <w:shd w:fill="auto" w:val="clear"/>
          </w:tcPr>
          <w:p>
            <w:pPr>
              <w:pStyle w:val="TableContents"/>
              <w:spacing w:before="0" w:after="283"/>
              <w:rPr/>
            </w:pPr>
            <w:r>
              <w:rPr/>
              <w:t> </w:t>
            </w:r>
          </w:p>
        </w:tc>
        <w:tc>
          <w:tcPr>
            <w:tcW w:w="9729" w:type="dxa"/>
            <w:tcBorders/>
            <w:shd w:fill="auto" w:val="clear"/>
          </w:tcPr>
          <w:p>
            <w:pPr>
              <w:pStyle w:val="TableContents"/>
              <w:spacing w:before="102" w:after="102"/>
              <w:ind w:left="102" w:right="102" w:hanging="0"/>
              <w:rPr>
                <w:rFonts w:ascii="sans-serif" w:hAnsi="sans-serif"/>
                <w:sz w:val="22"/>
              </w:rPr>
            </w:pPr>
            <w:r>
              <w:rPr>
                <w:rFonts w:ascii="sans-serif" w:hAnsi="sans-serif"/>
                <w:sz w:val="22"/>
              </w:rPr>
              <w:t>Monitoring both suppliers and customers for signs of liquidity constraints, limiting exposure to any resultjing inability to meet delivery commitments or pay amounts due, and identifying alternate sources of supply as necessary;</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5" w:type="dxa"/>
            <w:tcBorders/>
            <w:shd w:fill="auto" w:val="clear"/>
          </w:tcPr>
          <w:p>
            <w:pPr>
              <w:pStyle w:val="TableContents"/>
              <w:spacing w:before="0" w:after="283"/>
              <w:rPr/>
            </w:pPr>
            <w:r>
              <w:rPr/>
              <w:t> </w:t>
            </w:r>
          </w:p>
        </w:tc>
        <w:tc>
          <w:tcPr>
            <w:tcW w:w="9729"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Proactively managing raw material costs through formula and long-term supply agreements and hedging activities, where feasible and prudent; and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5" w:type="dxa"/>
            <w:tcBorders/>
            <w:shd w:fill="auto" w:val="clear"/>
          </w:tcPr>
          <w:p>
            <w:pPr>
              <w:pStyle w:val="TableContents"/>
              <w:spacing w:before="0" w:after="283"/>
              <w:rPr/>
            </w:pPr>
            <w:r>
              <w:rPr/>
              <w:t> </w:t>
            </w:r>
          </w:p>
        </w:tc>
        <w:tc>
          <w:tcPr>
            <w:tcW w:w="9729"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Controlling corporate and other non-operating costs, including costs incurred for asbestos and environmental matters, pension and other post-retirement expenses and tax expense.</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357" w:after="357"/>
        <w:ind w:left="357" w:right="357" w:hanging="0"/>
        <w:rPr>
          <w:rFonts w:ascii="sans-serif" w:hAnsi="sans-serif"/>
          <w:b/>
          <w:sz w:val="22"/>
        </w:rPr>
      </w:pPr>
      <w:r>
        <w:rPr>
          <w:rFonts w:ascii="sans-serif" w:hAnsi="sans-serif"/>
          <w:b/>
          <w:sz w:val="22"/>
        </w:rPr>
        <w:t>Review of Business Segments</w:t>
      </w:r>
    </w:p>
    <w:tbl>
      <w:tblPr>
        <w:tblW w:w="10205" w:type="dxa"/>
        <w:jc w:val="left"/>
        <w:tblInd w:w="0" w:type="dxa"/>
        <w:tblCellMar>
          <w:top w:w="0" w:type="dxa"/>
          <w:left w:w="0" w:type="dxa"/>
          <w:bottom w:w="0" w:type="dxa"/>
          <w:right w:w="0" w:type="dxa"/>
        </w:tblCellMar>
      </w:tblPr>
      <w:tblGrid>
        <w:gridCol w:w="5037"/>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60"/>
        <w:gridCol w:w="365"/>
        <w:gridCol w:w="279"/>
        <w:gridCol w:w="60"/>
        <w:gridCol w:w="60"/>
        <w:gridCol w:w="60"/>
        <w:gridCol w:w="60"/>
        <w:gridCol w:w="290"/>
        <w:gridCol w:w="288"/>
        <w:gridCol w:w="76"/>
      </w:tblGrid>
      <w:tr>
        <w:trPr/>
        <w:tc>
          <w:tcPr>
            <w:tcW w:w="50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r>
      <w:tr>
        <w:trPr/>
        <w:tc>
          <w:tcPr>
            <w:tcW w:w="5037" w:type="dxa"/>
            <w:vMerge w:val="restart"/>
            <w:tcBorders/>
            <w:shd w:fill="auto" w:val="clear"/>
            <w:vAlign w:val="bottom"/>
          </w:tcPr>
          <w:p>
            <w:pPr>
              <w:pStyle w:val="TableContents"/>
              <w:spacing w:before="0" w:after="283"/>
              <w:ind w:left="198" w:right="0" w:hanging="198"/>
              <w:jc w:val="center"/>
              <w:rPr/>
            </w:pPr>
            <w:r>
              <w:rPr/>
              <w:t> </w:t>
            </w:r>
          </w:p>
        </w:tc>
        <w:tc>
          <w:tcPr>
            <w:tcW w:w="60" w:type="dxa"/>
            <w:vMerge w:val="restart"/>
            <w:tcBorders/>
            <w:shd w:fill="auto" w:val="clear"/>
            <w:vAlign w:val="bottom"/>
          </w:tcPr>
          <w:p>
            <w:pPr>
              <w:pStyle w:val="TableContents"/>
              <w:spacing w:before="0" w:after="283"/>
              <w:rPr/>
            </w:pPr>
            <w:r>
              <w:rPr/>
              <w:t> </w:t>
            </w:r>
          </w:p>
        </w:tc>
        <w:tc>
          <w:tcPr>
            <w:tcW w:w="3390" w:type="dxa"/>
            <w:gridSpan w:val="17"/>
            <w:vMerge w:val="restart"/>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c>
          <w:tcPr>
            <w:tcW w:w="60" w:type="dxa"/>
            <w:tcBorders/>
            <w:shd w:fill="auto" w:val="clear"/>
            <w:vAlign w:val="bottom"/>
          </w:tcPr>
          <w:p>
            <w:pPr>
              <w:pStyle w:val="TableContents"/>
              <w:spacing w:before="0" w:after="283"/>
              <w:rPr/>
            </w:pPr>
            <w:r>
              <w:rPr/>
              <w:t> </w:t>
            </w:r>
          </w:p>
        </w:tc>
        <w:tc>
          <w:tcPr>
            <w:tcW w:w="1658"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 Change</w:t>
            </w:r>
          </w:p>
        </w:tc>
      </w:tr>
      <w:tr>
        <w:trPr/>
        <w:tc>
          <w:tcPr>
            <w:tcW w:w="5037"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3390" w:type="dxa"/>
            <w:gridSpan w:val="17"/>
            <w:vMerge w:val="continue"/>
            <w:tcBorders>
              <w:bottom w:val="single" w:sz="4" w:space="0" w:color="000000"/>
            </w:tcBorders>
            <w:shd w:fill="auto" w:val="clear"/>
            <w:tcMar>
              <w:bottom w:w="28" w:type="dxa"/>
            </w:tcMar>
            <w:vAlign w:val="bottom"/>
          </w:tcPr>
          <w:p>
            <w:pPr>
              <w:pStyle w:val="Normal"/>
              <w:rPr/>
            </w:pPr>
            <w:r>
              <w:rPr/>
            </w:r>
          </w:p>
        </w:tc>
        <w:tc>
          <w:tcPr>
            <w:tcW w:w="60" w:type="dxa"/>
            <w:vMerge w:val="restart"/>
            <w:tcBorders/>
            <w:shd w:fill="auto" w:val="clear"/>
            <w:vAlign w:val="bottom"/>
          </w:tcPr>
          <w:p>
            <w:pPr>
              <w:pStyle w:val="TableContents"/>
              <w:spacing w:before="0" w:after="283"/>
              <w:rPr/>
            </w:pPr>
            <w:r>
              <w:rPr/>
              <w:t> </w:t>
            </w:r>
          </w:p>
        </w:tc>
        <w:tc>
          <w:tcPr>
            <w:tcW w:w="824" w:type="dxa"/>
            <w:gridSpan w:val="5"/>
            <w:vMerge w:val="restart"/>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br/>
              <w:t>Versus</w:t>
              <w:br/>
              <w:t>2014</w:t>
            </w:r>
          </w:p>
        </w:tc>
        <w:tc>
          <w:tcPr>
            <w:tcW w:w="60" w:type="dxa"/>
            <w:vMerge w:val="restart"/>
            <w:tcBorders/>
            <w:shd w:fill="auto" w:val="clear"/>
            <w:vAlign w:val="bottom"/>
          </w:tcPr>
          <w:p>
            <w:pPr>
              <w:pStyle w:val="TableContents"/>
              <w:spacing w:before="0" w:after="283"/>
              <w:rPr/>
            </w:pPr>
            <w:r>
              <w:rPr/>
              <w:t> </w:t>
            </w:r>
          </w:p>
        </w:tc>
        <w:tc>
          <w:tcPr>
            <w:tcW w:w="774" w:type="dxa"/>
            <w:gridSpan w:val="5"/>
            <w:vMerge w:val="restart"/>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br/>
              <w:t>Versus</w:t>
              <w:br/>
              <w:t>2013</w:t>
            </w:r>
          </w:p>
        </w:tc>
      </w:tr>
      <w:tr>
        <w:trPr/>
        <w:tc>
          <w:tcPr>
            <w:tcW w:w="5037"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vMerge w:val="continue"/>
            <w:tcBorders/>
            <w:shd w:fill="auto" w:val="clear"/>
            <w:vAlign w:val="bottom"/>
          </w:tcPr>
          <w:p>
            <w:pPr>
              <w:pStyle w:val="Normal"/>
              <w:rPr/>
            </w:pPr>
            <w:r>
              <w:rPr/>
            </w:r>
          </w:p>
        </w:tc>
        <w:tc>
          <w:tcPr>
            <w:tcW w:w="824" w:type="dxa"/>
            <w:gridSpan w:val="5"/>
            <w:vMerge w:val="continue"/>
            <w:tcBorders>
              <w:bottom w:val="single" w:sz="4"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774" w:type="dxa"/>
            <w:gridSpan w:val="5"/>
            <w:vMerge w:val="continue"/>
            <w:tcBorders>
              <w:bottom w:val="single" w:sz="4" w:space="0" w:color="000000"/>
            </w:tcBorders>
            <w:shd w:fill="auto" w:val="clear"/>
            <w:tcMar>
              <w:bottom w:w="28" w:type="dxa"/>
            </w:tcMar>
            <w:vAlign w:val="bottom"/>
          </w:tcPr>
          <w:p>
            <w:pPr>
              <w:pStyle w:val="Normal"/>
              <w:rPr/>
            </w:pPr>
            <w:r>
              <w:rPr/>
            </w:r>
          </w:p>
        </w:tc>
      </w:tr>
      <w:tr>
        <w:trPr/>
        <w:tc>
          <w:tcPr>
            <w:tcW w:w="5037"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Aerospace Sales</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24"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74" w:type="dxa"/>
            <w:gridSpan w:val="5"/>
            <w:tcBorders/>
            <w:shd w:fill="E5FFFF"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Commercial Original Equipment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c>
          <w:tcPr>
            <w:tcW w:w="27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28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auto" w:val="clear"/>
            <w:vAlign w:val="bottom"/>
          </w:tcPr>
          <w:p>
            <w:pPr>
              <w:pStyle w:val="TableContents"/>
              <w:spacing w:before="0" w:after="283"/>
              <w:rPr/>
            </w:pPr>
            <w:r>
              <w:rPr/>
              <w:t> </w:t>
            </w:r>
          </w:p>
        </w:tc>
      </w:tr>
      <w:tr>
        <w:trPr/>
        <w:tc>
          <w:tcPr>
            <w:tcW w:w="5037"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Commercial Aftermarket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4,656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4,578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4,459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27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2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E5FFFF"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Defense and Space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4,715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4,754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4,870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27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28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auto" w:val="clear"/>
            <w:vAlign w:val="bottom"/>
          </w:tcPr>
          <w:p>
            <w:pPr>
              <w:pStyle w:val="TableContents"/>
              <w:spacing w:before="0" w:after="283"/>
              <w:rPr/>
            </w:pPr>
            <w:r>
              <w:rPr/>
              <w:t> </w:t>
            </w:r>
          </w:p>
        </w:tc>
      </w:tr>
      <w:tr>
        <w:trPr/>
        <w:tc>
          <w:tcPr>
            <w:tcW w:w="5037"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Transportation Systems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2,961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3,659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3,755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w:t>
            </w:r>
          </w:p>
        </w:tc>
        <w:tc>
          <w:tcPr>
            <w:tcW w:w="27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2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E5FFFF"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718" w:type="dxa"/>
            <w:gridSpan w:val="12"/>
            <w:tcBorders/>
            <w:shd w:fill="auto" w:val="clear"/>
          </w:tcPr>
          <w:p>
            <w:pPr>
              <w:pStyle w:val="TableContents"/>
              <w:spacing w:before="0" w:after="283"/>
              <w:rPr>
                <w:sz w:val="4"/>
                <w:szCs w:val="4"/>
              </w:rPr>
            </w:pPr>
            <w:r>
              <w:rPr>
                <w:sz w:val="4"/>
                <w:szCs w:val="4"/>
              </w:rPr>
            </w:r>
          </w:p>
        </w:tc>
      </w:tr>
      <w:tr>
        <w:trPr/>
        <w:tc>
          <w:tcPr>
            <w:tcW w:w="5037" w:type="dxa"/>
            <w:tcBorders/>
            <w:shd w:fill="auto" w:val="clear"/>
            <w:vAlign w:val="bottom"/>
          </w:tcPr>
          <w:p>
            <w:pPr>
              <w:pStyle w:val="TableContents"/>
              <w:spacing w:before="0" w:after="283"/>
              <w:ind w:left="998" w:right="0" w:hanging="198"/>
              <w:rPr>
                <w:rFonts w:ascii="sans-serif" w:hAnsi="sans-serif"/>
                <w:sz w:val="22"/>
              </w:rPr>
            </w:pPr>
            <w:r>
              <w:rPr>
                <w:rFonts w:ascii="sans-serif" w:hAnsi="sans-serif"/>
                <w:sz w:val="22"/>
              </w:rPr>
              <w:t>Total Aerospace Sales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15,237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15,598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15,735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r>
      <w:tr>
        <w:trPr/>
        <w:tc>
          <w:tcPr>
            <w:tcW w:w="5037"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Automation and Control Solutions Sales</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24"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74" w:type="dxa"/>
            <w:gridSpan w:val="5"/>
            <w:tcBorders/>
            <w:shd w:fill="E5FFFF"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Energy Safety &amp; Security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9,544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9,738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8,756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27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c>
          <w:tcPr>
            <w:tcW w:w="28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auto" w:val="clear"/>
            <w:vAlign w:val="bottom"/>
          </w:tcPr>
          <w:p>
            <w:pPr>
              <w:pStyle w:val="TableContents"/>
              <w:spacing w:before="0" w:after="283"/>
              <w:rPr/>
            </w:pPr>
            <w:r>
              <w:rPr/>
              <w:t> </w:t>
            </w:r>
          </w:p>
        </w:tc>
      </w:tr>
      <w:tr>
        <w:trPr/>
        <w:tc>
          <w:tcPr>
            <w:tcW w:w="5037"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Building Solutions &amp; Distribution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4,565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4,749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4,709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w:t>
            </w:r>
          </w:p>
        </w:tc>
        <w:tc>
          <w:tcPr>
            <w:tcW w:w="27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2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E5FFFF"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718" w:type="dxa"/>
            <w:gridSpan w:val="12"/>
            <w:tcBorders/>
            <w:shd w:fill="auto" w:val="clear"/>
          </w:tcPr>
          <w:p>
            <w:pPr>
              <w:pStyle w:val="TableContents"/>
              <w:spacing w:before="0" w:after="283"/>
              <w:rPr>
                <w:sz w:val="4"/>
                <w:szCs w:val="4"/>
              </w:rPr>
            </w:pPr>
            <w:r>
              <w:rPr>
                <w:sz w:val="4"/>
                <w:szCs w:val="4"/>
              </w:rPr>
            </w:r>
          </w:p>
        </w:tc>
      </w:tr>
      <w:tr>
        <w:trPr/>
        <w:tc>
          <w:tcPr>
            <w:tcW w:w="5037" w:type="dxa"/>
            <w:tcBorders/>
            <w:shd w:fill="auto" w:val="clear"/>
            <w:vAlign w:val="bottom"/>
          </w:tcPr>
          <w:p>
            <w:pPr>
              <w:pStyle w:val="TableContents"/>
              <w:spacing w:before="0" w:after="283"/>
              <w:ind w:left="998" w:right="0" w:hanging="198"/>
              <w:rPr>
                <w:rFonts w:ascii="sans-serif" w:hAnsi="sans-serif"/>
                <w:sz w:val="22"/>
              </w:rPr>
            </w:pPr>
            <w:r>
              <w:rPr>
                <w:rFonts w:ascii="sans-serif" w:hAnsi="sans-serif"/>
                <w:sz w:val="22"/>
              </w:rPr>
              <w:t>Total Automation and Control Solutions Sales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14,109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14,487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13,465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r>
      <w:tr>
        <w:trPr/>
        <w:tc>
          <w:tcPr>
            <w:tcW w:w="5037"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Performance Materials and Technologies Sales</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24"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74" w:type="dxa"/>
            <w:gridSpan w:val="5"/>
            <w:tcBorders/>
            <w:shd w:fill="E5FFFF"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UOP</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w:t>
            </w:r>
          </w:p>
        </w:tc>
        <w:tc>
          <w:tcPr>
            <w:tcW w:w="27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w:t>
            </w:r>
          </w:p>
        </w:tc>
        <w:tc>
          <w:tcPr>
            <w:tcW w:w="28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auto" w:val="clear"/>
            <w:vAlign w:val="bottom"/>
          </w:tcPr>
          <w:p>
            <w:pPr>
              <w:pStyle w:val="TableContents"/>
              <w:spacing w:before="0" w:after="283"/>
              <w:rPr/>
            </w:pPr>
            <w:r>
              <w:rPr/>
              <w:t> </w:t>
            </w:r>
          </w:p>
        </w:tc>
      </w:tr>
      <w:tr>
        <w:trPr/>
        <w:tc>
          <w:tcPr>
            <w:tcW w:w="5037"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Process Solutions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2,749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3,122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3,091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w:t>
            </w:r>
          </w:p>
        </w:tc>
        <w:tc>
          <w:tcPr>
            <w:tcW w:w="27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2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E5FFFF"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Advanced Materials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3,510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w:t>
            </w:r>
          </w:p>
        </w:tc>
        <w:tc>
          <w:tcPr>
            <w:tcW w:w="27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28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auto"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718" w:type="dxa"/>
            <w:gridSpan w:val="12"/>
            <w:tcBorders/>
            <w:shd w:fill="auto" w:val="clear"/>
          </w:tcPr>
          <w:p>
            <w:pPr>
              <w:pStyle w:val="TableContents"/>
              <w:spacing w:before="0" w:after="283"/>
              <w:rPr>
                <w:sz w:val="4"/>
                <w:szCs w:val="4"/>
              </w:rPr>
            </w:pPr>
            <w:r>
              <w:rPr>
                <w:sz w:val="4"/>
                <w:szCs w:val="4"/>
              </w:rPr>
            </w:r>
          </w:p>
        </w:tc>
      </w:tr>
      <w:tr>
        <w:trPr/>
        <w:tc>
          <w:tcPr>
            <w:tcW w:w="5037" w:type="dxa"/>
            <w:tcBorders/>
            <w:shd w:fill="E5FFFF" w:val="clear"/>
            <w:vAlign w:val="bottom"/>
          </w:tcPr>
          <w:p>
            <w:pPr>
              <w:pStyle w:val="TableContents"/>
              <w:spacing w:before="0" w:after="283"/>
              <w:ind w:left="998" w:right="0" w:hanging="198"/>
              <w:rPr>
                <w:rFonts w:ascii="sans-serif" w:hAnsi="sans-serif"/>
                <w:sz w:val="22"/>
              </w:rPr>
            </w:pPr>
            <w:r>
              <w:rPr>
                <w:rFonts w:ascii="sans-serif" w:hAnsi="sans-serif"/>
                <w:sz w:val="22"/>
              </w:rPr>
              <w:t>Total Performance Materials and Technologies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9,235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10,221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9,855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24"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74" w:type="dxa"/>
            <w:gridSpan w:val="5"/>
            <w:tcBorders/>
            <w:shd w:fill="E5FFFF"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718" w:type="dxa"/>
            <w:gridSpan w:val="12"/>
            <w:tcBorders/>
            <w:shd w:fill="auto" w:val="clear"/>
          </w:tcPr>
          <w:p>
            <w:pPr>
              <w:pStyle w:val="TableContents"/>
              <w:spacing w:before="0" w:after="283"/>
              <w:rPr>
                <w:sz w:val="4"/>
                <w:szCs w:val="4"/>
              </w:rPr>
            </w:pPr>
            <w:r>
              <w:rPr>
                <w:sz w:val="4"/>
                <w:szCs w:val="4"/>
              </w:rPr>
            </w:r>
          </w:p>
        </w:tc>
      </w:tr>
      <w:tr>
        <w:trPr/>
        <w:tc>
          <w:tcPr>
            <w:tcW w:w="5037"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38,581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40,306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39,055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r>
      <w:tr>
        <w:trPr/>
        <w:tc>
          <w:tcPr>
            <w:tcW w:w="5037"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1718" w:type="dxa"/>
            <w:gridSpan w:val="12"/>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18</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397" w:right="238" w:hanging="0"/>
        <w:rPr>
          <w:rFonts w:ascii="sans-serif" w:hAnsi="sans-serif"/>
          <w:b/>
          <w:sz w:val="22"/>
        </w:rPr>
      </w:pPr>
      <w:r>
        <w:rPr>
          <w:rFonts w:ascii="sans-serif" w:hAnsi="sans-serif"/>
          <w:b/>
          <w:sz w:val="22"/>
        </w:rPr>
        <w:t>Aerospace</w:t>
      </w:r>
    </w:p>
    <w:tbl>
      <w:tblPr>
        <w:tblW w:w="10091" w:type="dxa"/>
        <w:jc w:val="left"/>
        <w:tblInd w:w="0" w:type="dxa"/>
        <w:tblCellMar>
          <w:top w:w="0" w:type="dxa"/>
          <w:left w:w="0" w:type="dxa"/>
          <w:bottom w:w="0" w:type="dxa"/>
          <w:right w:w="0" w:type="dxa"/>
        </w:tblCellMar>
      </w:tblPr>
      <w:tblGrid>
        <w:gridCol w:w="4820"/>
        <w:gridCol w:w="60"/>
        <w:gridCol w:w="60"/>
        <w:gridCol w:w="155"/>
        <w:gridCol w:w="60"/>
        <w:gridCol w:w="755"/>
        <w:gridCol w:w="60"/>
        <w:gridCol w:w="60"/>
        <w:gridCol w:w="60"/>
        <w:gridCol w:w="155"/>
        <w:gridCol w:w="60"/>
        <w:gridCol w:w="755"/>
        <w:gridCol w:w="60"/>
        <w:gridCol w:w="60"/>
        <w:gridCol w:w="74"/>
        <w:gridCol w:w="60"/>
        <w:gridCol w:w="358"/>
        <w:gridCol w:w="290"/>
        <w:gridCol w:w="75"/>
        <w:gridCol w:w="60"/>
        <w:gridCol w:w="60"/>
        <w:gridCol w:w="155"/>
        <w:gridCol w:w="60"/>
        <w:gridCol w:w="755"/>
        <w:gridCol w:w="60"/>
        <w:gridCol w:w="60"/>
        <w:gridCol w:w="81"/>
        <w:gridCol w:w="60"/>
        <w:gridCol w:w="310"/>
        <w:gridCol w:w="290"/>
        <w:gridCol w:w="103"/>
      </w:tblGrid>
      <w:tr>
        <w:trPr/>
        <w:tc>
          <w:tcPr>
            <w:tcW w:w="4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7"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4" w:type="dxa"/>
            <w:gridSpan w:val="5"/>
            <w:tcBorders/>
            <w:shd w:fill="auto"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5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Change</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844"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Change</w:t>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15,237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15,598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5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15,735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1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03" w:type="dxa"/>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Cost of products and services sold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11,068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11,699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7"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11,889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4" w:type="dxa"/>
            <w:gridSpan w:val="5"/>
            <w:tcBorders/>
            <w:shd w:fill="auto" w:val="clear"/>
            <w:vAlign w:val="bottom"/>
          </w:tcPr>
          <w:p>
            <w:pPr>
              <w:pStyle w:val="TableContents"/>
              <w:spacing w:before="0" w:after="283"/>
              <w:rPr/>
            </w:pPr>
            <w:r>
              <w:rPr/>
              <w:t> </w:t>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Selling, general and administrative expenses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643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712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57"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705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44" w:type="dxa"/>
            <w:gridSpan w:val="5"/>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7"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4" w:type="dxa"/>
            <w:gridSpan w:val="5"/>
            <w:tcBorders/>
            <w:shd w:fill="auto"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7"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904" w:type="dxa"/>
            <w:gridSpan w:val="6"/>
            <w:tcBorders/>
            <w:shd w:fill="auto" w:val="clear"/>
          </w:tcPr>
          <w:p>
            <w:pPr>
              <w:pStyle w:val="TableContents"/>
              <w:spacing w:before="0" w:after="283"/>
              <w:rPr>
                <w:sz w:val="4"/>
                <w:szCs w:val="4"/>
              </w:rPr>
            </w:pPr>
            <w:r>
              <w:rPr>
                <w:sz w:val="4"/>
                <w:szCs w:val="4"/>
              </w:rPr>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Segment profit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3,218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5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2,870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1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03" w:type="dxa"/>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7"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904" w:type="dxa"/>
            <w:gridSpan w:val="6"/>
            <w:tcBorders/>
            <w:shd w:fill="auto" w:val="clear"/>
          </w:tcPr>
          <w:p>
            <w:pPr>
              <w:pStyle w:val="TableContents"/>
              <w:spacing w:before="0" w:after="283"/>
              <w:rPr>
                <w:sz w:val="4"/>
                <w:szCs w:val="4"/>
              </w:rPr>
            </w:pPr>
            <w:r>
              <w:rPr>
                <w:sz w:val="4"/>
                <w:szCs w:val="4"/>
              </w:rPr>
            </w:r>
          </w:p>
        </w:tc>
      </w:tr>
    </w:tbl>
    <w:tbl>
      <w:tblPr>
        <w:tblW w:w="8624" w:type="dxa"/>
        <w:jc w:val="left"/>
        <w:tblInd w:w="0" w:type="dxa"/>
        <w:tblCellMar>
          <w:top w:w="0" w:type="dxa"/>
          <w:left w:w="0" w:type="dxa"/>
          <w:bottom w:w="0" w:type="dxa"/>
          <w:right w:w="0" w:type="dxa"/>
        </w:tblCellMar>
      </w:tblPr>
      <w:tblGrid>
        <w:gridCol w:w="4895"/>
        <w:gridCol w:w="60"/>
        <w:gridCol w:w="60"/>
        <w:gridCol w:w="60"/>
        <w:gridCol w:w="290"/>
        <w:gridCol w:w="290"/>
        <w:gridCol w:w="60"/>
        <w:gridCol w:w="60"/>
        <w:gridCol w:w="87"/>
        <w:gridCol w:w="60"/>
        <w:gridCol w:w="425"/>
        <w:gridCol w:w="315"/>
        <w:gridCol w:w="90"/>
        <w:gridCol w:w="60"/>
        <w:gridCol w:w="60"/>
        <w:gridCol w:w="60"/>
        <w:gridCol w:w="290"/>
        <w:gridCol w:w="290"/>
        <w:gridCol w:w="60"/>
        <w:gridCol w:w="60"/>
        <w:gridCol w:w="87"/>
        <w:gridCol w:w="60"/>
        <w:gridCol w:w="422"/>
        <w:gridCol w:w="312"/>
        <w:gridCol w:w="111"/>
      </w:tblGrid>
      <w:tr>
        <w:trPr/>
        <w:tc>
          <w:tcPr>
            <w:tcW w:w="4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7"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gridSpan w:val="5"/>
            <w:tcBorders/>
            <w:shd w:fill="auto" w:val="clear"/>
            <w:vAlign w:val="bottom"/>
          </w:tcPr>
          <w:p>
            <w:pPr>
              <w:pStyle w:val="TableContents"/>
              <w:spacing w:before="0" w:after="283"/>
              <w:rPr/>
            </w:pPr>
            <w:r>
              <w:rPr/>
              <w:t> </w:t>
            </w:r>
          </w:p>
        </w:tc>
      </w:tr>
      <w:tr>
        <w:trPr/>
        <w:tc>
          <w:tcPr>
            <w:tcW w:w="4895"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Factors Contributing to Year-Over-Year Change</w:t>
            </w:r>
          </w:p>
        </w:tc>
        <w:tc>
          <w:tcPr>
            <w:tcW w:w="60" w:type="dxa"/>
            <w:tcBorders/>
            <w:shd w:fill="auto" w:val="clear"/>
            <w:vAlign w:val="bottom"/>
          </w:tcPr>
          <w:p>
            <w:pPr>
              <w:pStyle w:val="TableContents"/>
              <w:spacing w:before="0" w:after="283"/>
              <w:rPr/>
            </w:pPr>
            <w:r>
              <w:rPr/>
              <w:t> </w:t>
            </w:r>
          </w:p>
        </w:tc>
        <w:tc>
          <w:tcPr>
            <w:tcW w:w="1797"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 vs. 2014</w:t>
            </w:r>
          </w:p>
        </w:tc>
        <w:tc>
          <w:tcPr>
            <w:tcW w:w="60" w:type="dxa"/>
            <w:tcBorders/>
            <w:shd w:fill="auto" w:val="clear"/>
            <w:vAlign w:val="bottom"/>
          </w:tcPr>
          <w:p>
            <w:pPr>
              <w:pStyle w:val="TableContents"/>
              <w:spacing w:before="0" w:after="283"/>
              <w:rPr/>
            </w:pPr>
            <w:r>
              <w:rPr/>
              <w:t> </w:t>
            </w:r>
          </w:p>
        </w:tc>
        <w:tc>
          <w:tcPr>
            <w:tcW w:w="1812"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 vs. 2013</w:t>
            </w:r>
          </w:p>
        </w:tc>
      </w:tr>
      <w:tr>
        <w:trPr/>
        <w:tc>
          <w:tcPr>
            <w:tcW w:w="4895"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76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Sales</w:t>
            </w:r>
          </w:p>
        </w:tc>
        <w:tc>
          <w:tcPr>
            <w:tcW w:w="60" w:type="dxa"/>
            <w:tcBorders/>
            <w:shd w:fill="auto" w:val="clear"/>
            <w:vAlign w:val="bottom"/>
          </w:tcPr>
          <w:p>
            <w:pPr>
              <w:pStyle w:val="TableContents"/>
              <w:spacing w:before="0" w:after="283"/>
              <w:rPr/>
            </w:pPr>
            <w:r>
              <w:rPr/>
              <w:t> </w:t>
            </w:r>
          </w:p>
        </w:tc>
        <w:tc>
          <w:tcPr>
            <w:tcW w:w="97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Segment</w:t>
              <w:br/>
              <w:t>Profit</w:t>
            </w:r>
          </w:p>
        </w:tc>
        <w:tc>
          <w:tcPr>
            <w:tcW w:w="60" w:type="dxa"/>
            <w:tcBorders/>
            <w:shd w:fill="auto" w:val="clear"/>
            <w:vAlign w:val="bottom"/>
          </w:tcPr>
          <w:p>
            <w:pPr>
              <w:pStyle w:val="TableContents"/>
              <w:spacing w:before="0" w:after="283"/>
              <w:rPr/>
            </w:pPr>
            <w:r>
              <w:rPr/>
              <w:t> </w:t>
            </w:r>
          </w:p>
        </w:tc>
        <w:tc>
          <w:tcPr>
            <w:tcW w:w="76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Sales</w:t>
            </w:r>
          </w:p>
        </w:tc>
        <w:tc>
          <w:tcPr>
            <w:tcW w:w="60" w:type="dxa"/>
            <w:tcBorders/>
            <w:shd w:fill="auto" w:val="clear"/>
            <w:vAlign w:val="bottom"/>
          </w:tcPr>
          <w:p>
            <w:pPr>
              <w:pStyle w:val="TableContents"/>
              <w:spacing w:before="0" w:after="283"/>
              <w:rPr/>
            </w:pPr>
            <w:r>
              <w:rPr/>
              <w:t> </w:t>
            </w:r>
          </w:p>
        </w:tc>
        <w:tc>
          <w:tcPr>
            <w:tcW w:w="992"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Segment</w:t>
              <w:br/>
              <w:t>Profit</w:t>
            </w:r>
          </w:p>
        </w:tc>
      </w:tr>
      <w:tr>
        <w:trPr/>
        <w:tc>
          <w:tcPr>
            <w:tcW w:w="4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Organic growth/ Operational segment profit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3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2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31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E5FFFF"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Foreign currency translation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29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3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3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423" w:type="dxa"/>
            <w:gridSpan w:val="2"/>
            <w:tcBorders/>
            <w:shd w:fill="auto" w:val="clear"/>
            <w:vAlign w:val="bottom"/>
          </w:tcPr>
          <w:p>
            <w:pPr>
              <w:pStyle w:val="TableContents"/>
              <w:spacing w:before="0" w:after="283"/>
              <w:rPr/>
            </w:pPr>
            <w:r>
              <w:rPr/>
              <w:t> </w:t>
            </w:r>
          </w:p>
        </w:tc>
      </w:tr>
      <w:tr>
        <w:trPr/>
        <w:tc>
          <w:tcPr>
            <w:tcW w:w="4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Acquisitions, divestitures and other, net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pPr>
            <w:r>
              <w:rPr/>
              <w:t> </w:t>
            </w:r>
            <w:r>
              <w:rPr>
                <w:rFonts w:ascii="sans-serif" w:hAnsi="sans-serif"/>
                <w:sz w:val="22"/>
              </w:rPr>
              <w:t>(1</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pPr>
            <w:r>
              <w:rPr/>
              <w:t> </w:t>
            </w:r>
            <w:r>
              <w:rPr>
                <w:rFonts w:ascii="sans-serif" w:hAnsi="sans-serif"/>
                <w:sz w:val="22"/>
              </w:rPr>
              <w:t>6</w:t>
            </w:r>
          </w:p>
        </w:tc>
        <w:tc>
          <w:tcPr>
            <w:tcW w:w="3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pPr>
            <w:r>
              <w:rPr/>
              <w:t> </w:t>
            </w:r>
            <w:r>
              <w:rPr>
                <w:rFonts w:ascii="sans-serif" w:hAnsi="sans-serif"/>
                <w:sz w:val="22"/>
              </w:rPr>
              <w:t>(3</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22" w:type="dxa"/>
            <w:tcBorders/>
            <w:shd w:fill="E5FFFF" w:val="clear"/>
            <w:vAlign w:val="bottom"/>
          </w:tcPr>
          <w:p>
            <w:pPr>
              <w:pStyle w:val="TableContents"/>
              <w:spacing w:before="0" w:after="283"/>
              <w:jc w:val="right"/>
              <w:rPr/>
            </w:pPr>
            <w:r>
              <w:rPr/>
              <w:t> </w:t>
            </w:r>
            <w:r>
              <w:rPr>
                <w:rFonts w:ascii="sans-serif" w:hAnsi="sans-serif"/>
                <w:sz w:val="22"/>
              </w:rPr>
              <w:t>(6</w:t>
            </w:r>
          </w:p>
        </w:tc>
        <w:tc>
          <w:tcPr>
            <w:tcW w:w="31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E5FFFF"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7"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Total % Change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29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w:t>
            </w:r>
          </w:p>
        </w:tc>
        <w:tc>
          <w:tcPr>
            <w:tcW w:w="3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29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31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auto"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7"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97" w:right="357" w:hanging="0"/>
        <w:rPr>
          <w:rFonts w:ascii="sans-serif" w:hAnsi="sans-serif"/>
          <w:b/>
          <w:sz w:val="22"/>
        </w:rPr>
      </w:pPr>
      <w:r>
        <w:rPr>
          <w:rFonts w:ascii="sans-serif" w:hAnsi="sans-serif"/>
          <w:b/>
          <w:sz w:val="22"/>
        </w:rPr>
        <w:t>2015 compared with 2014</w:t>
      </w:r>
    </w:p>
    <w:p>
      <w:pPr>
        <w:pStyle w:val="TextBody"/>
        <w:spacing w:before="119" w:after="119"/>
        <w:ind w:left="119" w:right="119" w:firstLine="397"/>
        <w:jc w:val="both"/>
        <w:rPr>
          <w:rFonts w:ascii="sans-serif" w:hAnsi="sans-serif"/>
          <w:sz w:val="22"/>
        </w:rPr>
      </w:pPr>
      <w:r>
        <w:rPr>
          <w:rFonts w:ascii="sans-serif" w:hAnsi="sans-serif"/>
          <w:sz w:val="22"/>
        </w:rPr>
        <w:t>Aerospace sales decreased primarily due to the unfavorable impact from foreign currency translation and the Friction Materials divestiture, partially offset by an increase in organic sales, as discussed below, and a decrease in incentives predominantly to air transport and regional aviation original equipment manufacturers (OEM Incentives).</w:t>
      </w:r>
    </w:p>
    <w:tbl>
      <w:tblPr>
        <w:tblW w:w="10205" w:type="dxa"/>
        <w:jc w:val="left"/>
        <w:tblInd w:w="0" w:type="dxa"/>
        <w:tblCellMar>
          <w:top w:w="0" w:type="dxa"/>
          <w:left w:w="0" w:type="dxa"/>
          <w:bottom w:w="0" w:type="dxa"/>
          <w:right w:w="0" w:type="dxa"/>
        </w:tblCellMar>
      </w:tblPr>
      <w:tblGrid>
        <w:gridCol w:w="75"/>
        <w:gridCol w:w="287"/>
        <w:gridCol w:w="72"/>
        <w:gridCol w:w="9732"/>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72" w:type="dxa"/>
            <w:tcBorders/>
            <w:shd w:fill="auto" w:val="clear"/>
          </w:tcPr>
          <w:p>
            <w:pPr>
              <w:pStyle w:val="TableContents"/>
              <w:spacing w:before="0" w:after="283"/>
              <w:rPr/>
            </w:pPr>
            <w:r>
              <w:rPr/>
              <w:t> </w:t>
            </w:r>
          </w:p>
        </w:tc>
        <w:tc>
          <w:tcPr>
            <w:tcW w:w="9732" w:type="dxa"/>
            <w:tcBorders/>
            <w:shd w:fill="auto" w:val="clear"/>
          </w:tcPr>
          <w:p>
            <w:pPr>
              <w:pStyle w:val="TableContents"/>
              <w:spacing w:before="0" w:after="283"/>
              <w:jc w:val="both"/>
              <w:rPr>
                <w:rFonts w:ascii="sans-serif" w:hAnsi="sans-serif"/>
                <w:sz w:val="22"/>
              </w:rPr>
            </w:pPr>
            <w:r>
              <w:rPr>
                <w:rFonts w:ascii="sans-serif" w:hAnsi="sans-serif"/>
                <w:sz w:val="22"/>
              </w:rPr>
              <w:t>Commercial Original Equipment sales increased by 11% (increased 5% organic) primarily driven by a decrease in OEM Incentives and higher business and general aviation engine shipments.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2" w:type="dxa"/>
            <w:tcBorders/>
            <w:shd w:fill="auto" w:val="clear"/>
          </w:tcPr>
          <w:p>
            <w:pPr>
              <w:pStyle w:val="TableContents"/>
              <w:spacing w:before="0" w:after="283"/>
              <w:rPr/>
            </w:pPr>
            <w:r>
              <w:rPr/>
              <w:t> </w:t>
            </w:r>
          </w:p>
        </w:tc>
        <w:tc>
          <w:tcPr>
            <w:tcW w:w="9732"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Commercial Aftermarket sales increased by 2% (increased 2% organic) primarily driven by higher repair and overhaul activities, partially offset by lower retrofits, modifications and upgrades for business and general aviation customers.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2" w:type="dxa"/>
            <w:tcBorders/>
            <w:shd w:fill="auto" w:val="clear"/>
          </w:tcPr>
          <w:p>
            <w:pPr>
              <w:pStyle w:val="TableContents"/>
              <w:spacing w:before="0" w:after="283"/>
              <w:rPr/>
            </w:pPr>
            <w:r>
              <w:rPr/>
              <w:t> </w:t>
            </w:r>
          </w:p>
        </w:tc>
        <w:tc>
          <w:tcPr>
            <w:tcW w:w="9732"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Defense and Space sales decreased by 1% (flat organic) primarily due to lower U.S. government revenue, partially offset by growth in international programs.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2" w:type="dxa"/>
            <w:tcBorders/>
            <w:shd w:fill="auto" w:val="clear"/>
          </w:tcPr>
          <w:p>
            <w:pPr>
              <w:pStyle w:val="TableContents"/>
              <w:spacing w:before="0" w:after="283"/>
              <w:rPr/>
            </w:pPr>
            <w:r>
              <w:rPr/>
              <w:t> </w:t>
            </w:r>
          </w:p>
        </w:tc>
        <w:tc>
          <w:tcPr>
            <w:tcW w:w="9732"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Transportation Systems sales decreased by 19% (increased 3% organic) primarily due to the unfavorable impact from foreign currency translation and the Friction Materials divestiture, partially offset by continued growth from new platform launches and higher global turbo gas penetration.</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Aerospace segment profit increased primarily due to an 8% increase in operational segment profit and a 6% favorable impact of acquisitions, divestitures and other (predominantly the absence of higher prior year OEM Incentives), as discussed above, partially offset by a 4% unfavorable impact of foreign currency translation. The increase in operational segment profit is primarily driven by productivity, net of inflation, and favorable pricing, partially offset by continued investments for growth. Cost of products and services sold decreased primarily due to the favorable impact of foreign currency translation, the Friction Materials divestiture, and productivity, net of inflation, partially offset by continued investments for growth.</w:t>
      </w:r>
    </w:p>
    <w:p>
      <w:pPr>
        <w:pStyle w:val="TextBody"/>
        <w:spacing w:before="357" w:after="357"/>
        <w:ind w:left="397" w:right="357" w:hanging="0"/>
        <w:rPr>
          <w:rFonts w:ascii="sans-serif" w:hAnsi="sans-serif"/>
          <w:b/>
          <w:sz w:val="22"/>
        </w:rPr>
      </w:pPr>
      <w:r>
        <w:rPr>
          <w:rFonts w:ascii="sans-serif" w:hAnsi="sans-serif"/>
          <w:b/>
          <w:sz w:val="22"/>
        </w:rPr>
        <w:t>2014 compared with 2013</w:t>
      </w:r>
    </w:p>
    <w:p>
      <w:pPr>
        <w:pStyle w:val="TextBody"/>
        <w:spacing w:before="119" w:after="119"/>
        <w:ind w:left="119" w:right="119" w:firstLine="397"/>
        <w:jc w:val="both"/>
        <w:rPr>
          <w:rFonts w:ascii="sans-serif" w:hAnsi="sans-serif"/>
          <w:sz w:val="22"/>
        </w:rPr>
      </w:pPr>
      <w:r>
        <w:rPr>
          <w:rFonts w:ascii="sans-serif" w:hAnsi="sans-serif"/>
          <w:sz w:val="22"/>
        </w:rPr>
        <w:t>Aerospace sales decreased primarily due to the Friction Materials divestiture and an increase in OEM incentives, partially offset by an increase in organic sales, as discussed below.</w:t>
      </w:r>
    </w:p>
    <w:tbl>
      <w:tblPr>
        <w:tblW w:w="10205" w:type="dxa"/>
        <w:jc w:val="left"/>
        <w:tblInd w:w="0" w:type="dxa"/>
        <w:tblCellMar>
          <w:top w:w="0" w:type="dxa"/>
          <w:left w:w="0" w:type="dxa"/>
          <w:bottom w:w="0" w:type="dxa"/>
          <w:right w:w="0" w:type="dxa"/>
        </w:tblCellMar>
      </w:tblPr>
      <w:tblGrid>
        <w:gridCol w:w="75"/>
        <w:gridCol w:w="287"/>
        <w:gridCol w:w="70"/>
        <w:gridCol w:w="9734"/>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70" w:type="dxa"/>
            <w:tcBorders/>
            <w:shd w:fill="auto" w:val="clear"/>
          </w:tcPr>
          <w:p>
            <w:pPr>
              <w:pStyle w:val="TableContents"/>
              <w:spacing w:before="0" w:after="283"/>
              <w:rPr/>
            </w:pPr>
            <w:r>
              <w:rPr/>
              <w:t> </w:t>
            </w:r>
          </w:p>
        </w:tc>
        <w:tc>
          <w:tcPr>
            <w:tcW w:w="9734" w:type="dxa"/>
            <w:tcBorders/>
            <w:shd w:fill="auto" w:val="clear"/>
          </w:tcPr>
          <w:p>
            <w:pPr>
              <w:pStyle w:val="TableContents"/>
              <w:spacing w:before="0" w:after="283"/>
              <w:jc w:val="both"/>
              <w:rPr>
                <w:rFonts w:ascii="sans-serif" w:hAnsi="sans-serif"/>
                <w:sz w:val="22"/>
              </w:rPr>
            </w:pPr>
            <w:r>
              <w:rPr>
                <w:rFonts w:ascii="sans-serif" w:hAnsi="sans-serif"/>
                <w:sz w:val="22"/>
              </w:rPr>
              <w:t>Commercial Original Equipment sales decreased by 2% (increased by 3% organic) primarily due to an increase in OEM Incentives to air transport and regional original equipment manufacturers (OEMs), partially offset by higher air transport volumes, consistent with the OEMs higher production rates, and business and general aviation engine shipments.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0" w:type="dxa"/>
            <w:tcBorders/>
            <w:shd w:fill="auto" w:val="clear"/>
          </w:tcPr>
          <w:p>
            <w:pPr>
              <w:pStyle w:val="TableContents"/>
              <w:spacing w:before="0" w:after="283"/>
              <w:rPr/>
            </w:pPr>
            <w:r>
              <w:rPr/>
              <w:t> </w:t>
            </w:r>
          </w:p>
        </w:tc>
        <w:tc>
          <w:tcPr>
            <w:tcW w:w="9734"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 xml:space="preserve">Commercial Aftermarket sales increased by 3% driven primarily by higher sales of spare parts to air transport and regional customers, partially offset by a decline in retrofits, modifications and </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19</w:t>
      </w:r>
    </w:p>
    <w:p>
      <w:pPr>
        <w:pStyle w:val="HorizontalLine"/>
        <w:pBdr>
          <w:bottom w:val="single" w:sz="20" w:space="0" w:color="000000"/>
        </w:pBdr>
        <w:rPr/>
      </w:pPr>
      <w:r>
        <w:rPr/>
      </w:r>
      <w:r>
        <w:br w:type="page"/>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287"/>
        <w:gridCol w:w="72"/>
        <w:gridCol w:w="9732"/>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rPr/>
            </w:pPr>
            <w:r>
              <w:rPr/>
              <w:t> </w:t>
            </w:r>
          </w:p>
        </w:tc>
        <w:tc>
          <w:tcPr>
            <w:tcW w:w="72" w:type="dxa"/>
            <w:tcBorders/>
            <w:shd w:fill="auto" w:val="clear"/>
          </w:tcPr>
          <w:p>
            <w:pPr>
              <w:pStyle w:val="TableContents"/>
              <w:spacing w:before="0" w:after="283"/>
              <w:rPr/>
            </w:pPr>
            <w:r>
              <w:rPr/>
              <w:t> </w:t>
            </w:r>
          </w:p>
        </w:tc>
        <w:tc>
          <w:tcPr>
            <w:tcW w:w="9732" w:type="dxa"/>
            <w:tcBorders/>
            <w:shd w:fill="auto" w:val="clear"/>
          </w:tcPr>
          <w:p>
            <w:pPr>
              <w:pStyle w:val="TableContents"/>
              <w:spacing w:before="0" w:after="283"/>
              <w:rPr>
                <w:rFonts w:ascii="sans-serif" w:hAnsi="sans-serif"/>
                <w:sz w:val="22"/>
              </w:rPr>
            </w:pPr>
            <w:r>
              <w:rPr>
                <w:rFonts w:ascii="sans-serif" w:hAnsi="sans-serif"/>
                <w:sz w:val="22"/>
              </w:rPr>
              <w:t>upgrades and lower repair and overhaul activities for our business and general aviation customers.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2" w:type="dxa"/>
            <w:tcBorders/>
            <w:shd w:fill="auto" w:val="clear"/>
          </w:tcPr>
          <w:p>
            <w:pPr>
              <w:pStyle w:val="TableContents"/>
              <w:spacing w:before="0" w:after="283"/>
              <w:rPr/>
            </w:pPr>
            <w:r>
              <w:rPr/>
              <w:t> </w:t>
            </w:r>
          </w:p>
        </w:tc>
        <w:tc>
          <w:tcPr>
            <w:tcW w:w="9732"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Defense and Space sales decreased by 2% primarily due to lower U.S. government services revenue and the absence of a prior year royalty gain, partially offset by growth in international programs.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72" w:type="dxa"/>
            <w:tcBorders/>
            <w:shd w:fill="auto" w:val="clear"/>
          </w:tcPr>
          <w:p>
            <w:pPr>
              <w:pStyle w:val="TableContents"/>
              <w:spacing w:before="0" w:after="283"/>
              <w:rPr/>
            </w:pPr>
            <w:r>
              <w:rPr/>
              <w:t> </w:t>
            </w:r>
          </w:p>
        </w:tc>
        <w:tc>
          <w:tcPr>
            <w:tcW w:w="9732"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Transportation Systems sales decreased by 3% (increased by 5% organic) primarily due to the Friction Materials divestiture, partially offset by continued growth from new platform launches, higher global turbo gas penetration and increased commercial vehicle demand in Europe.</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Aerospace segment profit increased primarily due to an 8% increase in operational segment profit, partially offset by a 6% unfavorable impact from acquisitions, divestitures and other (predominantly higher OEM Incentives and the absence of a prior year royalty gain), as discussed above. The increase in operational segment profit is driven primarily by favorable price and productivity, net of inflation. Cost of products and services sold decreased primarily due to the factors discussed above (excluding price).</w:t>
      </w:r>
    </w:p>
    <w:p>
      <w:pPr>
        <w:pStyle w:val="TextBody"/>
        <w:spacing w:before="357" w:after="357"/>
        <w:ind w:left="357" w:right="357" w:hanging="0"/>
        <w:rPr>
          <w:rFonts w:ascii="sans-serif" w:hAnsi="sans-serif"/>
          <w:b/>
          <w:sz w:val="22"/>
        </w:rPr>
      </w:pPr>
      <w:r>
        <w:rPr>
          <w:rFonts w:ascii="sans-serif" w:hAnsi="sans-serif"/>
          <w:b/>
          <w:sz w:val="22"/>
        </w:rPr>
        <w:t>Automation and Control Solutions</w:t>
      </w:r>
    </w:p>
    <w:tbl>
      <w:tblPr>
        <w:tblW w:w="10066" w:type="dxa"/>
        <w:jc w:val="left"/>
        <w:tblInd w:w="0" w:type="dxa"/>
        <w:tblCellMar>
          <w:top w:w="0" w:type="dxa"/>
          <w:left w:w="0" w:type="dxa"/>
          <w:bottom w:w="0" w:type="dxa"/>
          <w:right w:w="0" w:type="dxa"/>
        </w:tblCellMar>
      </w:tblPr>
      <w:tblGrid>
        <w:gridCol w:w="4820"/>
        <w:gridCol w:w="60"/>
        <w:gridCol w:w="60"/>
        <w:gridCol w:w="155"/>
        <w:gridCol w:w="60"/>
        <w:gridCol w:w="755"/>
        <w:gridCol w:w="60"/>
        <w:gridCol w:w="60"/>
        <w:gridCol w:w="60"/>
        <w:gridCol w:w="155"/>
        <w:gridCol w:w="60"/>
        <w:gridCol w:w="755"/>
        <w:gridCol w:w="60"/>
        <w:gridCol w:w="60"/>
        <w:gridCol w:w="81"/>
        <w:gridCol w:w="60"/>
        <w:gridCol w:w="312"/>
        <w:gridCol w:w="292"/>
        <w:gridCol w:w="84"/>
        <w:gridCol w:w="60"/>
        <w:gridCol w:w="60"/>
        <w:gridCol w:w="155"/>
        <w:gridCol w:w="60"/>
        <w:gridCol w:w="755"/>
        <w:gridCol w:w="60"/>
        <w:gridCol w:w="60"/>
        <w:gridCol w:w="73"/>
        <w:gridCol w:w="60"/>
        <w:gridCol w:w="356"/>
        <w:gridCol w:w="264"/>
        <w:gridCol w:w="94"/>
      </w:tblGrid>
      <w:tr>
        <w:trPr/>
        <w:tc>
          <w:tcPr>
            <w:tcW w:w="4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7" w:type="dxa"/>
            <w:gridSpan w:val="5"/>
            <w:tcBorders/>
            <w:shd w:fill="auto"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29"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Change</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84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Change</w:t>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14,109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14,487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1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29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13,465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5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26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4" w:type="dxa"/>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Cost of products and services sold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9,133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9,447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8,872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7" w:type="dxa"/>
            <w:gridSpan w:val="5"/>
            <w:tcBorders/>
            <w:shd w:fill="auto" w:val="clear"/>
            <w:vAlign w:val="bottom"/>
          </w:tcPr>
          <w:p>
            <w:pPr>
              <w:pStyle w:val="TableContents"/>
              <w:spacing w:before="0" w:after="283"/>
              <w:rPr/>
            </w:pPr>
            <w:r>
              <w:rPr/>
              <w:t> </w:t>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Selling, general and administrative expenses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2,373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2,584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29"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2,358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47" w:type="dxa"/>
            <w:gridSpan w:val="5"/>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7" w:type="dxa"/>
            <w:gridSpan w:val="5"/>
            <w:tcBorders/>
            <w:shd w:fill="auto"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907" w:type="dxa"/>
            <w:gridSpan w:val="6"/>
            <w:tcBorders/>
            <w:shd w:fill="auto" w:val="clear"/>
          </w:tcPr>
          <w:p>
            <w:pPr>
              <w:pStyle w:val="TableContents"/>
              <w:spacing w:before="0" w:after="283"/>
              <w:rPr>
                <w:sz w:val="4"/>
                <w:szCs w:val="4"/>
              </w:rPr>
            </w:pPr>
            <w:r>
              <w:rPr>
                <w:sz w:val="4"/>
                <w:szCs w:val="4"/>
              </w:rPr>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Segment profit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2,313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2,200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1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29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1,983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5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w:t>
            </w:r>
          </w:p>
        </w:tc>
        <w:tc>
          <w:tcPr>
            <w:tcW w:w="26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4" w:type="dxa"/>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907" w:type="dxa"/>
            <w:gridSpan w:val="6"/>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pPr>
      <w:r>
        <w:rPr/>
        <w:t> </w:t>
      </w:r>
    </w:p>
    <w:tbl>
      <w:tblPr>
        <w:tblW w:w="8504" w:type="dxa"/>
        <w:jc w:val="left"/>
        <w:tblInd w:w="0" w:type="dxa"/>
        <w:tblCellMar>
          <w:top w:w="0" w:type="dxa"/>
          <w:left w:w="0" w:type="dxa"/>
          <w:bottom w:w="0" w:type="dxa"/>
          <w:right w:w="0" w:type="dxa"/>
        </w:tblCellMar>
      </w:tblPr>
      <w:tblGrid>
        <w:gridCol w:w="4895"/>
        <w:gridCol w:w="60"/>
        <w:gridCol w:w="60"/>
        <w:gridCol w:w="60"/>
        <w:gridCol w:w="232"/>
        <w:gridCol w:w="292"/>
        <w:gridCol w:w="60"/>
        <w:gridCol w:w="60"/>
        <w:gridCol w:w="96"/>
        <w:gridCol w:w="60"/>
        <w:gridCol w:w="371"/>
        <w:gridCol w:w="347"/>
        <w:gridCol w:w="99"/>
        <w:gridCol w:w="60"/>
        <w:gridCol w:w="60"/>
        <w:gridCol w:w="60"/>
        <w:gridCol w:w="230"/>
        <w:gridCol w:w="290"/>
        <w:gridCol w:w="60"/>
        <w:gridCol w:w="60"/>
        <w:gridCol w:w="87"/>
        <w:gridCol w:w="60"/>
        <w:gridCol w:w="422"/>
        <w:gridCol w:w="312"/>
        <w:gridCol w:w="111"/>
      </w:tblGrid>
      <w:tr>
        <w:trPr/>
        <w:tc>
          <w:tcPr>
            <w:tcW w:w="4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3"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gridSpan w:val="5"/>
            <w:tcBorders/>
            <w:shd w:fill="auto" w:val="clear"/>
            <w:vAlign w:val="bottom"/>
          </w:tcPr>
          <w:p>
            <w:pPr>
              <w:pStyle w:val="TableContents"/>
              <w:spacing w:before="0" w:after="283"/>
              <w:rPr/>
            </w:pPr>
            <w:r>
              <w:rPr/>
              <w:t> </w:t>
            </w:r>
          </w:p>
        </w:tc>
      </w:tr>
      <w:tr>
        <w:trPr/>
        <w:tc>
          <w:tcPr>
            <w:tcW w:w="4895"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Factors Contributing to Year-Over-Year Change</w:t>
            </w:r>
          </w:p>
        </w:tc>
        <w:tc>
          <w:tcPr>
            <w:tcW w:w="60" w:type="dxa"/>
            <w:tcBorders/>
            <w:shd w:fill="auto" w:val="clear"/>
            <w:vAlign w:val="bottom"/>
          </w:tcPr>
          <w:p>
            <w:pPr>
              <w:pStyle w:val="TableContents"/>
              <w:spacing w:before="0" w:after="283"/>
              <w:rPr/>
            </w:pPr>
            <w:r>
              <w:rPr/>
              <w:t> </w:t>
            </w:r>
          </w:p>
        </w:tc>
        <w:tc>
          <w:tcPr>
            <w:tcW w:w="1737"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 vs. 2014</w:t>
            </w:r>
          </w:p>
        </w:tc>
        <w:tc>
          <w:tcPr>
            <w:tcW w:w="60" w:type="dxa"/>
            <w:tcBorders/>
            <w:shd w:fill="auto" w:val="clear"/>
            <w:vAlign w:val="bottom"/>
          </w:tcPr>
          <w:p>
            <w:pPr>
              <w:pStyle w:val="TableContents"/>
              <w:spacing w:before="0" w:after="283"/>
              <w:rPr/>
            </w:pPr>
            <w:r>
              <w:rPr/>
              <w:t> </w:t>
            </w:r>
          </w:p>
        </w:tc>
        <w:tc>
          <w:tcPr>
            <w:tcW w:w="1752"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 vs. 2013</w:t>
            </w:r>
          </w:p>
        </w:tc>
      </w:tr>
      <w:tr>
        <w:trPr/>
        <w:tc>
          <w:tcPr>
            <w:tcW w:w="4895"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704"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Sales</w:t>
            </w:r>
          </w:p>
        </w:tc>
        <w:tc>
          <w:tcPr>
            <w:tcW w:w="60" w:type="dxa"/>
            <w:tcBorders/>
            <w:shd w:fill="auto" w:val="clear"/>
            <w:vAlign w:val="bottom"/>
          </w:tcPr>
          <w:p>
            <w:pPr>
              <w:pStyle w:val="TableContents"/>
              <w:spacing w:before="0" w:after="283"/>
              <w:rPr/>
            </w:pPr>
            <w:r>
              <w:rPr/>
              <w:t> </w:t>
            </w:r>
          </w:p>
        </w:tc>
        <w:tc>
          <w:tcPr>
            <w:tcW w:w="973"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Segment</w:t>
              <w:br/>
              <w:t>Profit</w:t>
            </w:r>
          </w:p>
        </w:tc>
        <w:tc>
          <w:tcPr>
            <w:tcW w:w="60" w:type="dxa"/>
            <w:tcBorders/>
            <w:shd w:fill="auto" w:val="clear"/>
            <w:vAlign w:val="bottom"/>
          </w:tcPr>
          <w:p>
            <w:pPr>
              <w:pStyle w:val="TableContents"/>
              <w:spacing w:before="0" w:after="283"/>
              <w:rPr/>
            </w:pPr>
            <w:r>
              <w:rPr/>
              <w:t> </w:t>
            </w:r>
          </w:p>
        </w:tc>
        <w:tc>
          <w:tcPr>
            <w:tcW w:w="70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Sales</w:t>
            </w:r>
          </w:p>
        </w:tc>
        <w:tc>
          <w:tcPr>
            <w:tcW w:w="60" w:type="dxa"/>
            <w:tcBorders/>
            <w:shd w:fill="auto" w:val="clear"/>
            <w:vAlign w:val="bottom"/>
          </w:tcPr>
          <w:p>
            <w:pPr>
              <w:pStyle w:val="TableContents"/>
              <w:spacing w:before="0" w:after="283"/>
              <w:rPr/>
            </w:pPr>
            <w:r>
              <w:rPr/>
              <w:t> </w:t>
            </w:r>
          </w:p>
        </w:tc>
        <w:tc>
          <w:tcPr>
            <w:tcW w:w="992"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Segment</w:t>
              <w:br/>
              <w:t>Profit</w:t>
            </w:r>
          </w:p>
        </w:tc>
      </w:tr>
      <w:tr>
        <w:trPr/>
        <w:tc>
          <w:tcPr>
            <w:tcW w:w="4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Organic growth/ Operational segment profit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3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29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7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w:t>
            </w:r>
          </w:p>
        </w:tc>
        <w:tc>
          <w:tcPr>
            <w:tcW w:w="347"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2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w:t>
            </w:r>
          </w:p>
        </w:tc>
        <w:tc>
          <w:tcPr>
            <w:tcW w:w="31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E5FFFF"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Foreign currency translation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w:t>
            </w:r>
          </w:p>
        </w:tc>
        <w:tc>
          <w:tcPr>
            <w:tcW w:w="29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w:t>
            </w:r>
          </w:p>
        </w:tc>
        <w:tc>
          <w:tcPr>
            <w:tcW w:w="34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29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31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auto" w:val="clear"/>
            <w:vAlign w:val="bottom"/>
          </w:tcPr>
          <w:p>
            <w:pPr>
              <w:pStyle w:val="TableContents"/>
              <w:spacing w:before="0" w:after="283"/>
              <w:rPr/>
            </w:pPr>
            <w:r>
              <w:rPr/>
              <w:t> </w:t>
            </w:r>
          </w:p>
        </w:tc>
      </w:tr>
      <w:tr>
        <w:trPr/>
        <w:tc>
          <w:tcPr>
            <w:tcW w:w="4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Acquisitions and divestitures, net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32" w:type="dxa"/>
            <w:tcBorders/>
            <w:shd w:fill="E5FFFF" w:val="clear"/>
            <w:vAlign w:val="bottom"/>
          </w:tcPr>
          <w:p>
            <w:pPr>
              <w:pStyle w:val="TableContents"/>
              <w:spacing w:before="0" w:after="283"/>
              <w:jc w:val="right"/>
              <w:rPr/>
            </w:pPr>
            <w:r>
              <w:rPr/>
              <w:t> </w:t>
            </w:r>
            <w:r>
              <w:rPr>
                <w:rFonts w:ascii="sans-serif" w:hAnsi="sans-serif"/>
                <w:sz w:val="22"/>
              </w:rPr>
              <w:t>1</w:t>
            </w:r>
          </w:p>
        </w:tc>
        <w:tc>
          <w:tcPr>
            <w:tcW w:w="29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71" w:type="dxa"/>
            <w:tcBorders/>
            <w:shd w:fill="E5FFFF" w:val="clear"/>
            <w:vAlign w:val="bottom"/>
          </w:tcPr>
          <w:p>
            <w:pPr>
              <w:pStyle w:val="TableContents"/>
              <w:spacing w:before="0" w:after="283"/>
              <w:jc w:val="right"/>
              <w:rPr/>
            </w:pPr>
            <w:r>
              <w:rPr/>
              <w:t> </w:t>
            </w:r>
            <w:r>
              <w:rPr>
                <w:rFonts w:ascii="sans-serif" w:hAnsi="sans-serif"/>
                <w:sz w:val="22"/>
              </w:rPr>
              <w:t>1</w:t>
            </w:r>
          </w:p>
        </w:tc>
        <w:tc>
          <w:tcPr>
            <w:tcW w:w="347"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30" w:type="dxa"/>
            <w:tcBorders/>
            <w:shd w:fill="E5FFFF" w:val="clear"/>
            <w:vAlign w:val="bottom"/>
          </w:tcPr>
          <w:p>
            <w:pPr>
              <w:pStyle w:val="TableContents"/>
              <w:spacing w:before="0" w:after="283"/>
              <w:jc w:val="right"/>
              <w:rPr/>
            </w:pPr>
            <w:r>
              <w:rPr/>
              <w:t> </w:t>
            </w:r>
            <w:r>
              <w:rPr>
                <w:rFonts w:ascii="sans-serif" w:hAnsi="sans-serif"/>
                <w:sz w:val="22"/>
              </w:rPr>
              <w:t>5</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22" w:type="dxa"/>
            <w:tcBorders/>
            <w:shd w:fill="E5FFFF" w:val="clear"/>
            <w:vAlign w:val="bottom"/>
          </w:tcPr>
          <w:p>
            <w:pPr>
              <w:pStyle w:val="TableContents"/>
              <w:spacing w:before="0" w:after="283"/>
              <w:jc w:val="right"/>
              <w:rPr/>
            </w:pPr>
            <w:r>
              <w:rPr/>
              <w:t> </w:t>
            </w:r>
            <w:r>
              <w:rPr>
                <w:rFonts w:ascii="sans-serif" w:hAnsi="sans-serif"/>
                <w:sz w:val="22"/>
              </w:rPr>
              <w:t>3</w:t>
            </w:r>
          </w:p>
        </w:tc>
        <w:tc>
          <w:tcPr>
            <w:tcW w:w="31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E5FFFF"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04"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3"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Total % Change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29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w:t>
            </w:r>
          </w:p>
        </w:tc>
        <w:tc>
          <w:tcPr>
            <w:tcW w:w="34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w:t>
            </w:r>
          </w:p>
        </w:tc>
        <w:tc>
          <w:tcPr>
            <w:tcW w:w="29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c>
          <w:tcPr>
            <w:tcW w:w="31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auto"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04"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3"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2"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97" w:right="357" w:hanging="0"/>
        <w:rPr>
          <w:rFonts w:ascii="sans-serif" w:hAnsi="sans-serif"/>
          <w:b/>
          <w:sz w:val="22"/>
        </w:rPr>
      </w:pPr>
      <w:r>
        <w:rPr>
          <w:rFonts w:ascii="sans-serif" w:hAnsi="sans-serif"/>
          <w:b/>
          <w:sz w:val="22"/>
        </w:rPr>
        <w:t>2015 compared with 2014</w:t>
      </w:r>
    </w:p>
    <w:p>
      <w:pPr>
        <w:pStyle w:val="TextBody"/>
        <w:spacing w:before="119" w:after="119"/>
        <w:ind w:left="119" w:right="119" w:firstLine="397"/>
        <w:jc w:val="both"/>
        <w:rPr>
          <w:rFonts w:ascii="sans-serif" w:hAnsi="sans-serif"/>
          <w:sz w:val="22"/>
        </w:rPr>
      </w:pPr>
      <w:r>
        <w:rPr>
          <w:rFonts w:ascii="sans-serif" w:hAnsi="sans-serif"/>
          <w:sz w:val="22"/>
        </w:rPr>
        <w:t>ACS sales decreased primarily due to the unfavorable impact of foreign currency translation, partially offset by organic sales growth and growth from acquisitions, net of divestitures.</w:t>
      </w:r>
    </w:p>
    <w:tbl>
      <w:tblPr>
        <w:tblW w:w="10205" w:type="dxa"/>
        <w:jc w:val="left"/>
        <w:tblInd w:w="0" w:type="dxa"/>
        <w:tblCellMar>
          <w:top w:w="0" w:type="dxa"/>
          <w:left w:w="0" w:type="dxa"/>
          <w:bottom w:w="0" w:type="dxa"/>
          <w:right w:w="0" w:type="dxa"/>
        </w:tblCellMar>
      </w:tblPr>
      <w:tblGrid>
        <w:gridCol w:w="75"/>
        <w:gridCol w:w="287"/>
        <w:gridCol w:w="69"/>
        <w:gridCol w:w="9735"/>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6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283"/>
              <w:jc w:val="both"/>
              <w:rPr>
                <w:rFonts w:ascii="sans-serif" w:hAnsi="sans-serif"/>
                <w:sz w:val="22"/>
              </w:rPr>
            </w:pPr>
            <w:r>
              <w:rPr>
                <w:rFonts w:ascii="sans-serif" w:hAnsi="sans-serif"/>
                <w:sz w:val="22"/>
              </w:rPr>
              <w:t>Sales in Energy, Safety &amp; Security decreased by 2% (increased by 2% organic) principally due to the unfavorable impact of foreign currency translation partially offset by organic sales growth and acquisitions, net of divestitures. Organic sales growth was primarily due to increased sales volumes, most significantly in Security and Fire across all regions, as well as Sensing &amp; Productivity Solutions.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9" w:type="dxa"/>
            <w:tcBorders/>
            <w:shd w:fill="auto" w:val="clear"/>
          </w:tcPr>
          <w:p>
            <w:pPr>
              <w:pStyle w:val="TableContents"/>
              <w:spacing w:before="0" w:after="283"/>
              <w:rPr/>
            </w:pPr>
            <w:r>
              <w:rPr/>
              <w:t> </w:t>
            </w:r>
          </w:p>
        </w:tc>
        <w:tc>
          <w:tcPr>
            <w:tcW w:w="9735"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Sales in Building Solutions &amp; Distribution decreased by 4% (increased by 2% organic) principally due to the unfavorable impact of foreign currency translation. Organic sales growth was primarily due to increased sales volume in Americas Distribution partially offset by softness in the project installation and U.S. energy retrofit businesses, which is expected to continue.</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ACS segment profit increased due to an increase in operational segment profit and acquisitions, net of divestitures partially offset by the unfavorable impact of foreign currency translation. The increase in operational segment profit is primarily due to the positive impact of price and productivity net of inflation and higher organic sales volumes partially offset by continued investments for growth. Cost of products and services decreased primarily due to the favorable impact of foreign currency translation and productivity partially offset by higher organic sales volume and inflation.</w:t>
      </w:r>
    </w:p>
    <w:p>
      <w:pPr>
        <w:pStyle w:val="TextBody"/>
        <w:spacing w:before="119" w:after="119"/>
        <w:ind w:left="119" w:right="119" w:hanging="0"/>
        <w:jc w:val="center"/>
        <w:rPr>
          <w:rFonts w:ascii="sans-serif" w:hAnsi="sans-serif"/>
          <w:sz w:val="22"/>
        </w:rPr>
      </w:pPr>
      <w:r>
        <w:rPr>
          <w:rFonts w:ascii="sans-serif" w:hAnsi="sans-serif"/>
          <w:sz w:val="22"/>
        </w:rPr>
        <w:t>20</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397" w:right="238" w:hanging="0"/>
        <w:rPr>
          <w:rFonts w:ascii="sans-serif" w:hAnsi="sans-serif"/>
          <w:b/>
          <w:sz w:val="22"/>
        </w:rPr>
      </w:pPr>
      <w:r>
        <w:rPr>
          <w:rFonts w:ascii="sans-serif" w:hAnsi="sans-serif"/>
          <w:b/>
          <w:sz w:val="22"/>
        </w:rPr>
        <w:t>2014 compared with 2013</w:t>
      </w:r>
    </w:p>
    <w:p>
      <w:pPr>
        <w:pStyle w:val="TextBody"/>
        <w:spacing w:before="119" w:after="119"/>
        <w:ind w:left="119" w:right="119" w:firstLine="397"/>
        <w:jc w:val="both"/>
        <w:rPr>
          <w:rFonts w:ascii="sans-serif" w:hAnsi="sans-serif"/>
          <w:sz w:val="22"/>
        </w:rPr>
      </w:pPr>
      <w:r>
        <w:rPr>
          <w:rFonts w:ascii="sans-serif" w:hAnsi="sans-serif"/>
          <w:sz w:val="22"/>
        </w:rPr>
        <w:t>ACS sales increased primarily due to growth from acquisitions, net of divestitures and organic sales growth, partially offset by the unfavorable impact of foreign currency translation.</w:t>
      </w:r>
    </w:p>
    <w:tbl>
      <w:tblPr>
        <w:tblW w:w="10205" w:type="dxa"/>
        <w:jc w:val="left"/>
        <w:tblInd w:w="0" w:type="dxa"/>
        <w:tblCellMar>
          <w:top w:w="0" w:type="dxa"/>
          <w:left w:w="0" w:type="dxa"/>
          <w:bottom w:w="0" w:type="dxa"/>
          <w:right w:w="0" w:type="dxa"/>
        </w:tblCellMar>
      </w:tblPr>
      <w:tblGrid>
        <w:gridCol w:w="75"/>
        <w:gridCol w:w="287"/>
        <w:gridCol w:w="66"/>
        <w:gridCol w:w="9738"/>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0" w:after="283"/>
              <w:jc w:val="both"/>
              <w:rPr>
                <w:rFonts w:ascii="sans-serif" w:hAnsi="sans-serif"/>
                <w:sz w:val="22"/>
              </w:rPr>
            </w:pPr>
            <w:r>
              <w:rPr>
                <w:rFonts w:ascii="sans-serif" w:hAnsi="sans-serif"/>
                <w:sz w:val="22"/>
              </w:rPr>
              <w:t>Sales in Energy, Safety &amp; Security increased by 11% (4% organic) principally due to (i) acquisitions, net of divestitures, (ii) higher global sales volumes in our Environmental &amp; Energy Solutions business driven by strong U.S. residential market conditions and new product introductions, (iii) increases in sales volumes in our Security and Fire and Industrial Safety businesses driven by organic growth in all regions and (iv) increases in sales volumes in our Sensing &amp; Productivity Solutions business in the second half of 2014.</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Sales in Building Solutions &amp; Distribution increased by 1% (2% organic) principally due to increased sales volumes in our Americas Distribution business partially offset by softness in the U.S. energy retrofit business. Building Solutions backlog increased in 2014.</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ACS segment profit increased due to an increase in operational segment profit and acquisitions, net of divestitures, partially offset by the unfavorable impact of foreign currency translation. The increase in operational segment profit is primarily the result of higher sales volumes as discussed above, and the positive impact of price and productivity, net of inflation partially offset by continued investment for growth. Cost of products and services sold increased primarily due to higher sales volume, acquisitions, net of divestitures and inflation, partially offset by productivity and the favorable impact of foreign currency translation.</w:t>
      </w:r>
    </w:p>
    <w:p>
      <w:pPr>
        <w:pStyle w:val="TextBody"/>
        <w:spacing w:before="357" w:after="357"/>
        <w:ind w:left="357" w:right="357" w:hanging="0"/>
        <w:rPr>
          <w:rFonts w:ascii="sans-serif" w:hAnsi="sans-serif"/>
          <w:b/>
          <w:sz w:val="22"/>
        </w:rPr>
      </w:pPr>
      <w:r>
        <w:rPr>
          <w:rFonts w:ascii="sans-serif" w:hAnsi="sans-serif"/>
          <w:b/>
          <w:sz w:val="22"/>
        </w:rPr>
        <w:t>Performance Materials and Technologies</w:t>
      </w:r>
    </w:p>
    <w:tbl>
      <w:tblPr>
        <w:tblW w:w="9848" w:type="dxa"/>
        <w:jc w:val="left"/>
        <w:tblInd w:w="0" w:type="dxa"/>
        <w:tblCellMar>
          <w:top w:w="0" w:type="dxa"/>
          <w:left w:w="0" w:type="dxa"/>
          <w:bottom w:w="0" w:type="dxa"/>
          <w:right w:w="0" w:type="dxa"/>
        </w:tblCellMar>
      </w:tblPr>
      <w:tblGrid>
        <w:gridCol w:w="4820"/>
        <w:gridCol w:w="60"/>
        <w:gridCol w:w="60"/>
        <w:gridCol w:w="155"/>
        <w:gridCol w:w="60"/>
        <w:gridCol w:w="620"/>
        <w:gridCol w:w="60"/>
        <w:gridCol w:w="60"/>
        <w:gridCol w:w="60"/>
        <w:gridCol w:w="155"/>
        <w:gridCol w:w="60"/>
        <w:gridCol w:w="755"/>
        <w:gridCol w:w="60"/>
        <w:gridCol w:w="60"/>
        <w:gridCol w:w="66"/>
        <w:gridCol w:w="60"/>
        <w:gridCol w:w="403"/>
        <w:gridCol w:w="290"/>
        <w:gridCol w:w="69"/>
        <w:gridCol w:w="60"/>
        <w:gridCol w:w="60"/>
        <w:gridCol w:w="155"/>
        <w:gridCol w:w="60"/>
        <w:gridCol w:w="620"/>
        <w:gridCol w:w="60"/>
        <w:gridCol w:w="60"/>
        <w:gridCol w:w="92"/>
        <w:gridCol w:w="60"/>
        <w:gridCol w:w="239"/>
        <w:gridCol w:w="331"/>
        <w:gridCol w:w="118"/>
      </w:tblGrid>
      <w:tr>
        <w:trPr/>
        <w:tc>
          <w:tcPr>
            <w:tcW w:w="4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0" w:type="dxa"/>
            <w:gridSpan w:val="5"/>
            <w:tcBorders/>
            <w:shd w:fill="auto"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88"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Change</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84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Change</w:t>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9,235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10,221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0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9,855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3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w:t>
            </w:r>
          </w:p>
        </w:tc>
        <w:tc>
          <w:tcPr>
            <w:tcW w:w="331"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8" w:type="dxa"/>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Cost of products and services sold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0" w:type="dxa"/>
            <w:gridSpan w:val="5"/>
            <w:tcBorders/>
            <w:shd w:fill="auto" w:val="clear"/>
            <w:vAlign w:val="bottom"/>
          </w:tcPr>
          <w:p>
            <w:pPr>
              <w:pStyle w:val="TableContents"/>
              <w:spacing w:before="0" w:after="283"/>
              <w:rPr/>
            </w:pPr>
            <w:r>
              <w:rPr/>
              <w:t> </w:t>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Selling, general and administrative expenses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902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1,049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88"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40" w:type="dxa"/>
            <w:gridSpan w:val="5"/>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0" w:type="dxa"/>
            <w:gridSpan w:val="5"/>
            <w:tcBorders/>
            <w:shd w:fill="auto"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900" w:type="dxa"/>
            <w:gridSpan w:val="6"/>
            <w:tcBorders/>
            <w:shd w:fill="auto" w:val="clear"/>
          </w:tcPr>
          <w:p>
            <w:pPr>
              <w:pStyle w:val="TableContents"/>
              <w:spacing w:before="0" w:after="283"/>
              <w:rPr>
                <w:sz w:val="4"/>
                <w:szCs w:val="4"/>
              </w:rPr>
            </w:pPr>
            <w:r>
              <w:rPr>
                <w:sz w:val="4"/>
                <w:szCs w:val="4"/>
              </w:rPr>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Segment profit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1,935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1,817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0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9"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1,725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3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331"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8" w:type="dxa"/>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8"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900" w:type="dxa"/>
            <w:gridSpan w:val="6"/>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pPr>
      <w:r>
        <w:rPr/>
        <w:t> </w:t>
      </w:r>
    </w:p>
    <w:tbl>
      <w:tblPr>
        <w:tblW w:w="8640" w:type="dxa"/>
        <w:jc w:val="left"/>
        <w:tblInd w:w="0" w:type="dxa"/>
        <w:tblCellMar>
          <w:top w:w="0" w:type="dxa"/>
          <w:left w:w="0" w:type="dxa"/>
          <w:bottom w:w="0" w:type="dxa"/>
          <w:right w:w="0" w:type="dxa"/>
        </w:tblCellMar>
      </w:tblPr>
      <w:tblGrid>
        <w:gridCol w:w="4895"/>
        <w:gridCol w:w="60"/>
        <w:gridCol w:w="60"/>
        <w:gridCol w:w="60"/>
        <w:gridCol w:w="365"/>
        <w:gridCol w:w="290"/>
        <w:gridCol w:w="60"/>
        <w:gridCol w:w="60"/>
        <w:gridCol w:w="87"/>
        <w:gridCol w:w="60"/>
        <w:gridCol w:w="425"/>
        <w:gridCol w:w="315"/>
        <w:gridCol w:w="90"/>
        <w:gridCol w:w="60"/>
        <w:gridCol w:w="60"/>
        <w:gridCol w:w="60"/>
        <w:gridCol w:w="232"/>
        <w:gridCol w:w="292"/>
        <w:gridCol w:w="60"/>
        <w:gridCol w:w="60"/>
        <w:gridCol w:w="96"/>
        <w:gridCol w:w="60"/>
        <w:gridCol w:w="368"/>
        <w:gridCol w:w="344"/>
        <w:gridCol w:w="121"/>
      </w:tblGrid>
      <w:tr>
        <w:trPr/>
        <w:tc>
          <w:tcPr>
            <w:tcW w:w="4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7"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9" w:type="dxa"/>
            <w:gridSpan w:val="5"/>
            <w:tcBorders/>
            <w:shd w:fill="auto" w:val="clear"/>
            <w:vAlign w:val="bottom"/>
          </w:tcPr>
          <w:p>
            <w:pPr>
              <w:pStyle w:val="TableContents"/>
              <w:spacing w:before="0" w:after="283"/>
              <w:rPr/>
            </w:pPr>
            <w:r>
              <w:rPr/>
              <w:t> </w:t>
            </w:r>
          </w:p>
        </w:tc>
      </w:tr>
      <w:tr>
        <w:trPr/>
        <w:tc>
          <w:tcPr>
            <w:tcW w:w="4895"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Factors Contributing to Year-Over-Year Change</w:t>
            </w:r>
          </w:p>
        </w:tc>
        <w:tc>
          <w:tcPr>
            <w:tcW w:w="60" w:type="dxa"/>
            <w:tcBorders/>
            <w:shd w:fill="auto" w:val="clear"/>
            <w:vAlign w:val="bottom"/>
          </w:tcPr>
          <w:p>
            <w:pPr>
              <w:pStyle w:val="TableContents"/>
              <w:spacing w:before="0" w:after="283"/>
              <w:rPr/>
            </w:pPr>
            <w:r>
              <w:rPr/>
              <w:t> </w:t>
            </w:r>
          </w:p>
        </w:tc>
        <w:tc>
          <w:tcPr>
            <w:tcW w:w="1872"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 vs. 2014</w:t>
            </w:r>
          </w:p>
        </w:tc>
        <w:tc>
          <w:tcPr>
            <w:tcW w:w="60" w:type="dxa"/>
            <w:tcBorders/>
            <w:shd w:fill="auto" w:val="clear"/>
            <w:vAlign w:val="bottom"/>
          </w:tcPr>
          <w:p>
            <w:pPr>
              <w:pStyle w:val="TableContents"/>
              <w:spacing w:before="0" w:after="283"/>
              <w:rPr/>
            </w:pPr>
            <w:r>
              <w:rPr/>
              <w:t> </w:t>
            </w:r>
          </w:p>
        </w:tc>
        <w:tc>
          <w:tcPr>
            <w:tcW w:w="1753"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 vs. 2013</w:t>
            </w:r>
          </w:p>
        </w:tc>
      </w:tr>
      <w:tr>
        <w:trPr/>
        <w:tc>
          <w:tcPr>
            <w:tcW w:w="4895"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3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Sales</w:t>
            </w:r>
          </w:p>
        </w:tc>
        <w:tc>
          <w:tcPr>
            <w:tcW w:w="60" w:type="dxa"/>
            <w:tcBorders/>
            <w:shd w:fill="auto" w:val="clear"/>
            <w:vAlign w:val="bottom"/>
          </w:tcPr>
          <w:p>
            <w:pPr>
              <w:pStyle w:val="TableContents"/>
              <w:spacing w:before="0" w:after="283"/>
              <w:rPr/>
            </w:pPr>
            <w:r>
              <w:rPr/>
              <w:t> </w:t>
            </w:r>
          </w:p>
        </w:tc>
        <w:tc>
          <w:tcPr>
            <w:tcW w:w="97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Segment</w:t>
              <w:br/>
              <w:t>Profit</w:t>
            </w:r>
          </w:p>
        </w:tc>
        <w:tc>
          <w:tcPr>
            <w:tcW w:w="60" w:type="dxa"/>
            <w:tcBorders/>
            <w:shd w:fill="auto" w:val="clear"/>
            <w:vAlign w:val="bottom"/>
          </w:tcPr>
          <w:p>
            <w:pPr>
              <w:pStyle w:val="TableContents"/>
              <w:spacing w:before="0" w:after="283"/>
              <w:rPr/>
            </w:pPr>
            <w:r>
              <w:rPr/>
              <w:t> </w:t>
            </w:r>
          </w:p>
        </w:tc>
        <w:tc>
          <w:tcPr>
            <w:tcW w:w="704"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Sales</w:t>
            </w:r>
          </w:p>
        </w:tc>
        <w:tc>
          <w:tcPr>
            <w:tcW w:w="60" w:type="dxa"/>
            <w:tcBorders/>
            <w:shd w:fill="auto" w:val="clear"/>
            <w:vAlign w:val="bottom"/>
          </w:tcPr>
          <w:p>
            <w:pPr>
              <w:pStyle w:val="TableContents"/>
              <w:spacing w:before="0" w:after="283"/>
              <w:rPr/>
            </w:pPr>
            <w:r>
              <w:rPr/>
              <w:t> </w:t>
            </w:r>
          </w:p>
        </w:tc>
        <w:tc>
          <w:tcPr>
            <w:tcW w:w="989"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Segment</w:t>
              <w:br/>
              <w:t>Profit</w:t>
            </w:r>
          </w:p>
        </w:tc>
      </w:tr>
      <w:tr>
        <w:trPr/>
        <w:tc>
          <w:tcPr>
            <w:tcW w:w="4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Organic growth/ Operational segment profit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3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3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29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6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w:t>
            </w:r>
          </w:p>
        </w:tc>
        <w:tc>
          <w:tcPr>
            <w:tcW w:w="34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21" w:type="dxa"/>
            <w:tcBorders/>
            <w:shd w:fill="E5FFFF"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Foreign currency translation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29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3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29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34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21" w:type="dxa"/>
            <w:tcBorders/>
            <w:shd w:fill="auto"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3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7"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4"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9"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89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Total % Change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29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w:t>
            </w:r>
          </w:p>
        </w:tc>
        <w:tc>
          <w:tcPr>
            <w:tcW w:w="3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3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w:t>
            </w:r>
          </w:p>
        </w:tc>
        <w:tc>
          <w:tcPr>
            <w:tcW w:w="29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36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34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21" w:type="dxa"/>
            <w:tcBorders/>
            <w:shd w:fill="E5FFFF" w:val="clear"/>
            <w:vAlign w:val="bottom"/>
          </w:tcPr>
          <w:p>
            <w:pPr>
              <w:pStyle w:val="TableContents"/>
              <w:spacing w:before="0" w:after="283"/>
              <w:rPr/>
            </w:pPr>
            <w:r>
              <w:rPr/>
              <w:t> </w:t>
            </w:r>
          </w:p>
        </w:tc>
      </w:tr>
      <w:tr>
        <w:trPr/>
        <w:tc>
          <w:tcPr>
            <w:tcW w:w="4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3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7"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4"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9"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97" w:right="357" w:hanging="0"/>
        <w:rPr>
          <w:rFonts w:ascii="sans-serif" w:hAnsi="sans-serif"/>
          <w:b/>
          <w:sz w:val="22"/>
        </w:rPr>
      </w:pPr>
      <w:r>
        <w:rPr>
          <w:rFonts w:ascii="sans-serif" w:hAnsi="sans-serif"/>
          <w:b/>
          <w:sz w:val="22"/>
        </w:rPr>
        <w:t>2015 compared with 2014</w:t>
      </w:r>
    </w:p>
    <w:p>
      <w:pPr>
        <w:pStyle w:val="TextBody"/>
        <w:spacing w:before="119" w:after="119"/>
        <w:ind w:left="119" w:right="119" w:firstLine="397"/>
        <w:jc w:val="both"/>
        <w:rPr>
          <w:rFonts w:ascii="sans-serif" w:hAnsi="sans-serif"/>
          <w:sz w:val="22"/>
        </w:rPr>
      </w:pPr>
      <w:r>
        <w:rPr>
          <w:rFonts w:ascii="sans-serif" w:hAnsi="sans-serif"/>
          <w:sz w:val="22"/>
        </w:rPr>
        <w:t>Performance Materials and Technologies (PMT) sales decreased due to a decrease in organic sales volumes and the unfavorable impact of foreign currency translation.</w:t>
      </w:r>
    </w:p>
    <w:tbl>
      <w:tblPr>
        <w:tblW w:w="10205" w:type="dxa"/>
        <w:jc w:val="left"/>
        <w:tblInd w:w="0" w:type="dxa"/>
        <w:tblCellMar>
          <w:top w:w="0" w:type="dxa"/>
          <w:left w:w="0" w:type="dxa"/>
          <w:bottom w:w="0" w:type="dxa"/>
          <w:right w:w="0" w:type="dxa"/>
        </w:tblCellMar>
      </w:tblPr>
      <w:tblGrid>
        <w:gridCol w:w="75"/>
        <w:gridCol w:w="287"/>
        <w:gridCol w:w="67"/>
        <w:gridCol w:w="9737"/>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67" w:type="dxa"/>
            <w:tcBorders/>
            <w:shd w:fill="auto" w:val="clear"/>
          </w:tcPr>
          <w:p>
            <w:pPr>
              <w:pStyle w:val="TableContents"/>
              <w:spacing w:before="0" w:after="283"/>
              <w:rPr/>
            </w:pPr>
            <w:r>
              <w:rPr/>
              <w:t> </w:t>
            </w:r>
          </w:p>
        </w:tc>
        <w:tc>
          <w:tcPr>
            <w:tcW w:w="9737" w:type="dxa"/>
            <w:tcBorders/>
            <w:shd w:fill="auto" w:val="clear"/>
          </w:tcPr>
          <w:p>
            <w:pPr>
              <w:pStyle w:val="TableContents"/>
              <w:spacing w:before="0" w:after="283"/>
              <w:jc w:val="both"/>
              <w:rPr>
                <w:rFonts w:ascii="sans-serif" w:hAnsi="sans-serif"/>
                <w:sz w:val="22"/>
              </w:rPr>
            </w:pPr>
            <w:r>
              <w:rPr>
                <w:rFonts w:ascii="sans-serif" w:hAnsi="sans-serif"/>
                <w:sz w:val="22"/>
              </w:rPr>
              <w:t>UOP sales decreased 7% (decreased 6% organic) driven primarily by lower gas processing revenues due to a significant slowdown in customer projects, which is expected to continue, and decreased equipment, engineering and licensing revenues partially offset by increased catalyst revenues.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7" w:type="dxa"/>
            <w:tcBorders/>
            <w:shd w:fill="auto" w:val="clear"/>
          </w:tcPr>
          <w:p>
            <w:pPr>
              <w:pStyle w:val="TableContents"/>
              <w:spacing w:before="0" w:after="283"/>
              <w:rPr/>
            </w:pPr>
            <w:r>
              <w:rPr/>
              <w:t> </w:t>
            </w:r>
          </w:p>
        </w:tc>
        <w:tc>
          <w:tcPr>
            <w:tcW w:w="9737"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Process Solutions sales decreased 12% (decreased 3% organic) driven primarily by the unfavorable impact of foreign currency translation and lower volumes primarily due to weakness in projects and field products, which is expected to moderate during 2016.</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7" w:type="dxa"/>
            <w:tcBorders/>
            <w:shd w:fill="auto" w:val="clear"/>
          </w:tcPr>
          <w:p>
            <w:pPr>
              <w:pStyle w:val="TableContents"/>
              <w:spacing w:before="0" w:after="283"/>
              <w:rPr/>
            </w:pPr>
            <w:r>
              <w:rPr/>
              <w:t> </w:t>
            </w:r>
          </w:p>
        </w:tc>
        <w:tc>
          <w:tcPr>
            <w:tcW w:w="9737"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Advanced Materials sales decreased 10% (decreased 7% organic) primarily driven by lower raw material pass-through pricing and unplanned plant outages in Resins and Chemicals partially offset by increased volumes in Fluorine Products. We anticipate volatility in raw materials pass-through pricing to continue in 2016 primarily in Resins and Chemicals where sales fluctuate with the market price of certain raw materials, which are correlated to the price of oil.</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21</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firstLine="397"/>
        <w:rPr>
          <w:rFonts w:ascii="sans-serif" w:hAnsi="sans-serif"/>
          <w:sz w:val="22"/>
        </w:rPr>
      </w:pPr>
      <w:r>
        <w:rPr>
          <w:rFonts w:ascii="sans-serif" w:hAnsi="sans-serif"/>
          <w:sz w:val="22"/>
        </w:rPr>
        <w:t>PMT segment profit increased due to an increase in operational segment profit partially offset by the unfavorable impact of foreign currency translation. The increase in operational segment profit is primarily due to price and productivity net of inflation partially offset by lower organic sales volumes and continued investments for growth. Cost of products and services sold decreased primarily due to the favorable impacts of inflation, foreign currency translation, lower organic sales volumes and productivity, partially offset by continued investments for growth.</w:t>
      </w:r>
    </w:p>
    <w:p>
      <w:pPr>
        <w:pStyle w:val="TextBody"/>
        <w:spacing w:before="357" w:after="357"/>
        <w:ind w:left="397" w:right="357" w:hanging="0"/>
        <w:rPr>
          <w:rFonts w:ascii="sans-serif" w:hAnsi="sans-serif"/>
          <w:b/>
          <w:sz w:val="22"/>
        </w:rPr>
      </w:pPr>
      <w:r>
        <w:rPr>
          <w:rFonts w:ascii="sans-serif" w:hAnsi="sans-serif"/>
          <w:b/>
          <w:sz w:val="22"/>
        </w:rPr>
        <w:t>2014 compared with 2013</w:t>
      </w:r>
    </w:p>
    <w:p>
      <w:pPr>
        <w:pStyle w:val="TextBody"/>
        <w:spacing w:before="119" w:after="119"/>
        <w:ind w:left="119" w:right="119" w:firstLine="397"/>
        <w:jc w:val="both"/>
        <w:rPr>
          <w:rFonts w:ascii="sans-serif" w:hAnsi="sans-serif"/>
          <w:sz w:val="22"/>
        </w:rPr>
      </w:pPr>
      <w:r>
        <w:rPr>
          <w:rFonts w:ascii="sans-serif" w:hAnsi="sans-serif"/>
          <w:sz w:val="22"/>
        </w:rPr>
        <w:t>PMT sales increased due to an increase in organic sales partially offset by the unfavorable impact of foreign currency translation.</w:t>
      </w:r>
    </w:p>
    <w:tbl>
      <w:tblPr>
        <w:tblW w:w="10205" w:type="dxa"/>
        <w:jc w:val="left"/>
        <w:tblInd w:w="0" w:type="dxa"/>
        <w:tblCellMar>
          <w:top w:w="0" w:type="dxa"/>
          <w:left w:w="0" w:type="dxa"/>
          <w:bottom w:w="0" w:type="dxa"/>
          <w:right w:w="0" w:type="dxa"/>
        </w:tblCellMar>
      </w:tblPr>
      <w:tblGrid>
        <w:gridCol w:w="75"/>
        <w:gridCol w:w="287"/>
        <w:gridCol w:w="67"/>
        <w:gridCol w:w="9737"/>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67" w:type="dxa"/>
            <w:tcBorders/>
            <w:shd w:fill="auto" w:val="clear"/>
          </w:tcPr>
          <w:p>
            <w:pPr>
              <w:pStyle w:val="TableContents"/>
              <w:spacing w:before="0" w:after="283"/>
              <w:rPr/>
            </w:pPr>
            <w:r>
              <w:rPr/>
              <w:t> </w:t>
            </w:r>
          </w:p>
        </w:tc>
        <w:tc>
          <w:tcPr>
            <w:tcW w:w="9737" w:type="dxa"/>
            <w:tcBorders/>
            <w:shd w:fill="auto" w:val="clear"/>
          </w:tcPr>
          <w:p>
            <w:pPr>
              <w:pStyle w:val="TableContents"/>
              <w:spacing w:before="0" w:after="283"/>
              <w:jc w:val="both"/>
              <w:rPr>
                <w:rFonts w:ascii="sans-serif" w:hAnsi="sans-serif"/>
                <w:sz w:val="22"/>
              </w:rPr>
            </w:pPr>
            <w:r>
              <w:rPr>
                <w:rFonts w:ascii="sans-serif" w:hAnsi="sans-serif"/>
                <w:sz w:val="22"/>
              </w:rPr>
              <w:t>UOP sales increased by 8% driven primarily by higher catalyst and gas processing volumes partially offset by lower equipment and service revenues in the first nine months. Catalyst sales decreased in the fourth quarter due to the timing of shipments as well as stronger volume growth in the fourth quarter of 2013 as compared to 2014 which was partially offset by increased licensing revenues.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7" w:type="dxa"/>
            <w:tcBorders/>
            <w:shd w:fill="auto" w:val="clear"/>
          </w:tcPr>
          <w:p>
            <w:pPr>
              <w:pStyle w:val="TableContents"/>
              <w:spacing w:before="0" w:after="283"/>
              <w:rPr/>
            </w:pPr>
            <w:r>
              <w:rPr/>
              <w:t> </w:t>
            </w:r>
          </w:p>
        </w:tc>
        <w:tc>
          <w:tcPr>
            <w:tcW w:w="9737"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Sales in our Process Solutions business increased by 1% (4% organic) driven primarily by volume growth in advanced solutions software and services and field products partially offset by unfavorable foreign currency translation, predominately in the fourth quarter. Project and service orders and backlog increased in 2014.</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7" w:type="dxa"/>
            <w:tcBorders/>
            <w:shd w:fill="auto" w:val="clear"/>
          </w:tcPr>
          <w:p>
            <w:pPr>
              <w:pStyle w:val="TableContents"/>
              <w:spacing w:before="0" w:after="283"/>
              <w:rPr/>
            </w:pPr>
            <w:r>
              <w:rPr/>
              <w:t> </w:t>
            </w:r>
          </w:p>
        </w:tc>
        <w:tc>
          <w:tcPr>
            <w:tcW w:w="9737"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Advanced Materials sales increased by 3% primarily driven by increased volume in Fluorine Products and Resins and Chemicals, partially offset by unfavorable pricing most significantly in Fluorine Products and lower raw materials pass-through pricing in Resins and Chemicals. We anticipate lower raw materials pass-through pricing to continue in 2015 primarily in Resins and Chemicals where sales fluctuate with the market price of certain raw materials, which are correlated to the price of oil.</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PMT segment profit increased due to an increase in operational segment profit partially offset by the unfavorable impact of foreign currency translation. The increase in operational segment profit is primarily due to higher sales volumes, as discussed above, and productivity, net of inflation partially offset by unfavorable Advanced Materials pricing, continued investment for growth and unfavorable foreign currency translation. Cost of products and services sold increased primarily due to higher volume and continued investment for growth partially offset by productivity, net of inflation and the favorable impact of foreign currency translation.</w:t>
      </w:r>
    </w:p>
    <w:p>
      <w:pPr>
        <w:pStyle w:val="TextBody"/>
        <w:spacing w:before="357" w:after="357"/>
        <w:ind w:left="357" w:right="357" w:hanging="0"/>
        <w:rPr>
          <w:rFonts w:ascii="sans-serif" w:hAnsi="sans-serif"/>
          <w:b/>
          <w:sz w:val="22"/>
        </w:rPr>
      </w:pPr>
      <w:r>
        <w:rPr>
          <w:rFonts w:ascii="sans-serif" w:hAnsi="sans-serif"/>
          <w:b/>
          <w:sz w:val="22"/>
        </w:rPr>
        <w:t>Repositioning Charges</w:t>
      </w:r>
    </w:p>
    <w:p>
      <w:pPr>
        <w:pStyle w:val="TextBody"/>
        <w:spacing w:before="119" w:after="119"/>
        <w:ind w:left="119" w:right="119" w:firstLine="397"/>
        <w:jc w:val="both"/>
        <w:rPr>
          <w:rFonts w:ascii="sans-serif" w:hAnsi="sans-serif"/>
          <w:sz w:val="22"/>
        </w:rPr>
      </w:pPr>
      <w:r>
        <w:rPr>
          <w:rFonts w:ascii="sans-serif" w:hAnsi="sans-serif"/>
          <w:sz w:val="22"/>
        </w:rPr>
        <w:t>See Note 3 Repositioning and Other Charges of Notes to Financial Statements for a discussion of our repositioning actions and related charges incurred in 2015, 2014 and 2013. These repositioning actions are expected to generate incremental pretax savings of $175 million to $200 million in 2016 compared with 2015 principally from planned workforce reductions. Cash spending related to our repositioning actions was $118 million, $161 million and $160 million in 2015, 2014 and 2013, and was funded through operating cash flows. In 2016, we expect cash spending for repositioning actions to be approximately $175 million and to be funded through operating cash flows.</w:t>
      </w:r>
    </w:p>
    <w:p>
      <w:pPr>
        <w:pStyle w:val="TextBody"/>
        <w:spacing w:before="119" w:after="119"/>
        <w:ind w:left="119" w:right="119" w:hanging="0"/>
        <w:jc w:val="center"/>
        <w:rPr>
          <w:rFonts w:ascii="sans-serif" w:hAnsi="sans-serif"/>
          <w:sz w:val="22"/>
        </w:rPr>
      </w:pPr>
      <w:r>
        <w:rPr>
          <w:rFonts w:ascii="sans-serif" w:hAnsi="sans-serif"/>
          <w:sz w:val="22"/>
        </w:rPr>
        <w:t>22</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6"/>
        </w:rPr>
      </w:pPr>
      <w:r>
        <w:rPr>
          <w:rFonts w:ascii="sans-serif" w:hAnsi="sans-serif"/>
          <w:b/>
          <w:sz w:val="26"/>
        </w:rPr>
        <w:t>LIQUIDITY AND CAPITAL RESOURCES</w:t>
      </w:r>
    </w:p>
    <w:p>
      <w:pPr>
        <w:pStyle w:val="TextBody"/>
        <w:spacing w:before="119" w:after="119"/>
        <w:ind w:left="119" w:right="119" w:firstLine="397"/>
        <w:jc w:val="both"/>
        <w:rPr>
          <w:rFonts w:ascii="sans-serif" w:hAnsi="sans-serif"/>
          <w:sz w:val="22"/>
        </w:rPr>
      </w:pPr>
      <w:r>
        <w:rPr>
          <w:rFonts w:ascii="sans-serif" w:hAnsi="sans-serif"/>
          <w:sz w:val="22"/>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and access to the public debt and equity markets. We continue to balance our cash and financing uses through investment in our existing core businesses, acquisition activity, share repurchases and dividends.</w:t>
      </w:r>
    </w:p>
    <w:p>
      <w:pPr>
        <w:pStyle w:val="TextBody"/>
        <w:spacing w:before="357" w:after="357"/>
        <w:ind w:left="357" w:right="357" w:hanging="0"/>
        <w:rPr>
          <w:rFonts w:ascii="sans-serif" w:hAnsi="sans-serif"/>
          <w:b/>
          <w:sz w:val="22"/>
        </w:rPr>
      </w:pPr>
      <w:r>
        <w:rPr>
          <w:rFonts w:ascii="sans-serif" w:hAnsi="sans-serif"/>
          <w:b/>
          <w:sz w:val="22"/>
        </w:rPr>
        <w:t>Cash Flow Summary</w:t>
      </w:r>
    </w:p>
    <w:p>
      <w:pPr>
        <w:pStyle w:val="TextBody"/>
        <w:spacing w:before="119" w:after="119"/>
        <w:ind w:left="119" w:right="119" w:firstLine="397"/>
        <w:jc w:val="both"/>
        <w:rPr>
          <w:rFonts w:ascii="sans-serif" w:hAnsi="sans-serif"/>
          <w:sz w:val="22"/>
        </w:rPr>
      </w:pPr>
      <w:r>
        <w:rPr>
          <w:rFonts w:ascii="sans-serif" w:hAnsi="sans-serif"/>
          <w:sz w:val="22"/>
        </w:rPr>
        <w:t>Our cash flows from operating, investing and financing activities, as reflected in the Consolidated Statement of Cash Flows, are summarized as follows:</w:t>
      </w:r>
    </w:p>
    <w:tbl>
      <w:tblPr>
        <w:tblW w:w="8060" w:type="dxa"/>
        <w:jc w:val="left"/>
        <w:tblInd w:w="0" w:type="dxa"/>
        <w:tblCellMar>
          <w:top w:w="0" w:type="dxa"/>
          <w:left w:w="0" w:type="dxa"/>
          <w:bottom w:w="0" w:type="dxa"/>
          <w:right w:w="0" w:type="dxa"/>
        </w:tblCellMar>
      </w:tblPr>
      <w:tblGrid>
        <w:gridCol w:w="4490"/>
        <w:gridCol w:w="60"/>
        <w:gridCol w:w="60"/>
        <w:gridCol w:w="155"/>
        <w:gridCol w:w="60"/>
        <w:gridCol w:w="695"/>
        <w:gridCol w:w="95"/>
        <w:gridCol w:w="60"/>
        <w:gridCol w:w="60"/>
        <w:gridCol w:w="60"/>
        <w:gridCol w:w="155"/>
        <w:gridCol w:w="60"/>
        <w:gridCol w:w="695"/>
        <w:gridCol w:w="95"/>
        <w:gridCol w:w="60"/>
        <w:gridCol w:w="60"/>
        <w:gridCol w:w="60"/>
        <w:gridCol w:w="155"/>
        <w:gridCol w:w="60"/>
        <w:gridCol w:w="695"/>
        <w:gridCol w:w="95"/>
        <w:gridCol w:w="75"/>
      </w:tblGrid>
      <w:tr>
        <w:trPr/>
        <w:tc>
          <w:tcPr>
            <w:tcW w:w="44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shd w:fill="auto" w:val="clear"/>
            <w:vAlign w:val="bottom"/>
          </w:tcPr>
          <w:p>
            <w:pPr>
              <w:pStyle w:val="TableContents"/>
              <w:spacing w:before="0" w:after="283"/>
              <w:rPr/>
            </w:pPr>
            <w:r>
              <w:rPr/>
              <w:t> </w:t>
            </w:r>
          </w:p>
        </w:tc>
      </w:tr>
      <w:tr>
        <w:trPr/>
        <w:tc>
          <w:tcPr>
            <w:tcW w:w="449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510"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449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14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4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Cash provided by (used for):</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40" w:type="dxa"/>
            <w:gridSpan w:val="6"/>
            <w:tcBorders/>
            <w:shd w:fill="E5FFFF"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Operating activities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5,454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4,335</w:t>
            </w:r>
          </w:p>
        </w:tc>
        <w:tc>
          <w:tcPr>
            <w:tcW w:w="170" w:type="dxa"/>
            <w:gridSpan w:val="2"/>
            <w:tcBorders/>
            <w:shd w:fill="auto" w:val="clear"/>
            <w:vAlign w:val="bottom"/>
          </w:tcPr>
          <w:p>
            <w:pPr>
              <w:pStyle w:val="TableContents"/>
              <w:spacing w:before="0" w:after="283"/>
              <w:rPr/>
            </w:pPr>
            <w:r>
              <w:rPr/>
              <w:t> </w:t>
            </w:r>
          </w:p>
        </w:tc>
      </w:tr>
      <w:tr>
        <w:trPr/>
        <w:tc>
          <w:tcPr>
            <w:tcW w:w="449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Investing activities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(6,514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(1,876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(1,959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Financing activities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(2,272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49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Effect of exchange rate changes on cash</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increase in cash and cash equivalents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(1,504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1,788</w:t>
            </w:r>
          </w:p>
        </w:tc>
        <w:tc>
          <w:tcPr>
            <w:tcW w:w="170" w:type="dxa"/>
            <w:gridSpan w:val="2"/>
            <w:tcBorders/>
            <w:shd w:fill="auto" w:val="clear"/>
            <w:vAlign w:val="bottom"/>
          </w:tcPr>
          <w:p>
            <w:pPr>
              <w:pStyle w:val="TableContents"/>
              <w:spacing w:before="0" w:after="283"/>
              <w:rPr/>
            </w:pPr>
            <w:r>
              <w:rPr/>
              <w:t> </w:t>
            </w:r>
          </w:p>
        </w:tc>
      </w:tr>
      <w:tr>
        <w:trPr/>
        <w:tc>
          <w:tcPr>
            <w:tcW w:w="449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97" w:right="357" w:hanging="0"/>
        <w:rPr>
          <w:rFonts w:ascii="sans-serif" w:hAnsi="sans-serif"/>
          <w:b/>
          <w:sz w:val="22"/>
        </w:rPr>
      </w:pPr>
      <w:r>
        <w:rPr>
          <w:rFonts w:ascii="sans-serif" w:hAnsi="sans-serif"/>
          <w:b/>
          <w:sz w:val="22"/>
        </w:rPr>
        <w:t>2015 compared with 2014</w:t>
      </w:r>
    </w:p>
    <w:p>
      <w:pPr>
        <w:pStyle w:val="TextBody"/>
        <w:spacing w:before="119" w:after="119"/>
        <w:ind w:left="119" w:right="119" w:firstLine="397"/>
        <w:jc w:val="both"/>
        <w:rPr>
          <w:rFonts w:ascii="sans-serif" w:hAnsi="sans-serif"/>
          <w:sz w:val="22"/>
        </w:rPr>
      </w:pPr>
      <w:r>
        <w:rPr>
          <w:rFonts w:ascii="sans-serif" w:hAnsi="sans-serif"/>
          <w:sz w:val="22"/>
        </w:rPr>
        <w:t>Cash provided by operating activities increased by $430 million primarily due to a $489 million favorable impact from working capital and a $382 million increase in net income before the non-cash pension mark-to-market adjustment, partially offset by (i) a $175 million decrease in customer advances and deferred income, (ii) $151 million in OEM incentives and (iii) increased cash tax payments of $50 million.</w:t>
      </w:r>
    </w:p>
    <w:p>
      <w:pPr>
        <w:pStyle w:val="TextBody"/>
        <w:spacing w:before="119" w:after="119"/>
        <w:ind w:left="119" w:right="119" w:firstLine="397"/>
        <w:jc w:val="both"/>
        <w:rPr>
          <w:rFonts w:ascii="sans-serif" w:hAnsi="sans-serif"/>
          <w:sz w:val="22"/>
        </w:rPr>
      </w:pPr>
      <w:r>
        <w:rPr>
          <w:rFonts w:ascii="sans-serif" w:hAnsi="sans-serif"/>
          <w:sz w:val="22"/>
        </w:rPr>
        <w:t>Cash used for investing activities increased by $4,638 million primarily due to an increase in cash paid for acquisitions of $5,224 million, most significantly the Elster Division of Melrose Industries plc (Elster), and a decrease in proceeds of $159 million, primarily from the Friction Materials divestiture, partially offset by a net $659 million decrease in investments, primarily short-term marketable securities.</w:t>
      </w:r>
    </w:p>
    <w:p>
      <w:pPr>
        <w:pStyle w:val="TextBody"/>
        <w:spacing w:before="119" w:after="119"/>
        <w:ind w:left="119" w:right="119" w:firstLine="397"/>
        <w:jc w:val="both"/>
        <w:rPr>
          <w:rFonts w:ascii="sans-serif" w:hAnsi="sans-serif"/>
          <w:sz w:val="22"/>
        </w:rPr>
      </w:pPr>
      <w:r>
        <w:rPr>
          <w:rFonts w:ascii="sans-serif" w:hAnsi="sans-serif"/>
          <w:sz w:val="22"/>
        </w:rPr>
        <w:t>Cash provided by financing activities increased by $2,374 million primarily due to an increase in the net proceeds from debt issuances of $3,648 million, partially offset by an increase in net repurchases of common stock of $1,039 million and an increase in cash dividends paid of $216 million.</w:t>
      </w:r>
    </w:p>
    <w:p>
      <w:pPr>
        <w:pStyle w:val="TextBody"/>
        <w:spacing w:before="357" w:after="357"/>
        <w:ind w:left="397" w:right="357" w:hanging="0"/>
        <w:rPr>
          <w:rFonts w:ascii="sans-serif" w:hAnsi="sans-serif"/>
          <w:b/>
          <w:sz w:val="22"/>
        </w:rPr>
      </w:pPr>
      <w:r>
        <w:rPr>
          <w:rFonts w:ascii="sans-serif" w:hAnsi="sans-serif"/>
          <w:b/>
          <w:sz w:val="22"/>
        </w:rPr>
        <w:t>2014 compared with 2013</w:t>
      </w:r>
    </w:p>
    <w:p>
      <w:pPr>
        <w:pStyle w:val="TextBody"/>
        <w:spacing w:before="119" w:after="119"/>
        <w:ind w:left="119" w:right="119" w:firstLine="397"/>
        <w:jc w:val="both"/>
        <w:rPr>
          <w:rFonts w:ascii="sans-serif" w:hAnsi="sans-serif"/>
          <w:sz w:val="22"/>
        </w:rPr>
      </w:pPr>
      <w:r>
        <w:rPr>
          <w:rFonts w:ascii="sans-serif" w:hAnsi="sans-serif"/>
          <w:sz w:val="22"/>
        </w:rPr>
        <w:t>Cash provided by operating activities increased by $689 million primarily due to (i) a $508 million increase of net income before the non-cash pension mark-to-market adjustment, (ii) reduced net payments for repositioning and other charges of $233 million primarily due to the collection of a $130 million asbestos receivable due from one of our insurance carriers and lower asbestos related payments of $98 million, (iii) reduced cash contributions to our pension and other postretirement plans of $131 million and (iv) lower cash tax payments of approximately $129 million, partially offset by a $93 million unfavorable impact from working capital primarily driven by higher inventory to support sales growth.</w:t>
      </w:r>
    </w:p>
    <w:p>
      <w:pPr>
        <w:pStyle w:val="TextBody"/>
        <w:spacing w:before="119" w:after="119"/>
        <w:ind w:left="119" w:right="119" w:firstLine="397"/>
        <w:jc w:val="both"/>
        <w:rPr>
          <w:rFonts w:ascii="sans-serif" w:hAnsi="sans-serif"/>
          <w:sz w:val="22"/>
        </w:rPr>
      </w:pPr>
      <w:r>
        <w:rPr>
          <w:rFonts w:ascii="sans-serif" w:hAnsi="sans-serif"/>
          <w:sz w:val="22"/>
        </w:rPr>
        <w:t>Cash used for investing activities decreased by $83 million primarily due to a decrease in cash paid for acquisitions of $1,129 million most significantly Intermec and RAE Systems, Inc. in 2013 and an increase in proceeds from the sales of businesses of $157 million (most significantly Friction Materials), partially offset by (i) a net $688 million increase in investments primarily short-term marketable securities, (ii) an increase of approximately $371 million in settlement payments of foreign currency exchange contracts used as economic hedges on certain non-functional currency</w:t>
      </w:r>
    </w:p>
    <w:p>
      <w:pPr>
        <w:pStyle w:val="TextBody"/>
        <w:spacing w:before="119" w:after="119"/>
        <w:ind w:left="119" w:right="119" w:hanging="0"/>
        <w:jc w:val="center"/>
        <w:rPr>
          <w:rFonts w:ascii="sans-serif" w:hAnsi="sans-serif"/>
          <w:sz w:val="22"/>
        </w:rPr>
      </w:pPr>
      <w:r>
        <w:rPr>
          <w:rFonts w:ascii="sans-serif" w:hAnsi="sans-serif"/>
          <w:sz w:val="22"/>
        </w:rPr>
        <w:t>23</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rPr>
          <w:rFonts w:ascii="sans-serif" w:hAnsi="sans-serif"/>
          <w:sz w:val="22"/>
        </w:rPr>
      </w:pPr>
      <w:r>
        <w:rPr>
          <w:rFonts w:ascii="sans-serif" w:hAnsi="sans-serif"/>
          <w:sz w:val="22"/>
        </w:rPr>
        <w:t>denominated monetary assets and liabilities and (iii) a $147 million increase in expenditures for property, plant and equipment.</w:t>
      </w:r>
    </w:p>
    <w:p>
      <w:pPr>
        <w:pStyle w:val="TextBody"/>
        <w:spacing w:before="119" w:after="119"/>
        <w:ind w:left="119" w:right="119" w:firstLine="397"/>
        <w:jc w:val="both"/>
        <w:rPr>
          <w:rFonts w:ascii="sans-serif" w:hAnsi="sans-serif"/>
          <w:sz w:val="22"/>
        </w:rPr>
      </w:pPr>
      <w:r>
        <w:rPr>
          <w:rFonts w:ascii="sans-serif" w:hAnsi="sans-serif"/>
          <w:sz w:val="22"/>
        </w:rPr>
        <w:t>Cash used for financing activities increased by $1,839 million primarily due to a decrease in the net proceeds from debt issuances of $1,589 million, an increase in cash dividends paid of $157 million and lower net proceeds from the issuance of common stock of $33 million.</w:t>
      </w:r>
    </w:p>
    <w:p>
      <w:pPr>
        <w:pStyle w:val="TextBody"/>
        <w:spacing w:before="357" w:after="357"/>
        <w:ind w:left="357" w:right="357" w:hanging="0"/>
        <w:rPr>
          <w:rFonts w:ascii="sans-serif" w:hAnsi="sans-serif"/>
          <w:b/>
          <w:sz w:val="22"/>
        </w:rPr>
      </w:pPr>
      <w:r>
        <w:rPr>
          <w:rFonts w:ascii="sans-serif" w:hAnsi="sans-serif"/>
          <w:b/>
          <w:sz w:val="22"/>
        </w:rPr>
        <w:t>Liquidity</w:t>
      </w:r>
    </w:p>
    <w:p>
      <w:pPr>
        <w:pStyle w:val="TextBody"/>
        <w:spacing w:before="119" w:after="119"/>
        <w:ind w:left="119" w:right="119" w:firstLine="397"/>
        <w:jc w:val="both"/>
        <w:rPr>
          <w:rFonts w:ascii="sans-serif" w:hAnsi="sans-serif"/>
          <w:sz w:val="22"/>
        </w:rPr>
      </w:pPr>
      <w:r>
        <w:rPr>
          <w:rFonts w:ascii="sans-serif" w:hAnsi="sans-serif"/>
          <w:sz w:val="22"/>
        </w:rPr>
        <w:t>Each of our businesses is focused on implementing strategies to increase operating cash flows through revenue growth, margin expansion and improved working capital turnover. Considering the current economic environment in which each of the businesses operate and their business plans and strategies, including the focus on growth, cost reduction and productivity initiatives,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 At December 31, 2015, a substantial portion of the Companys cash and cash equivalents were held by foreign subsidiaries. If the amounts held outside of the U.S. were to be repatriated, under current law, they would be subject to U.S. federal income taxes, less applicable foreign tax credits. However, our intent is to permanently reinvest the vast majority of these funds outside of the U.S. It is not practicable to estimate the amount of tax that might be payable if some or all of such earnings were to be repatriated, and the amount of foreign tax credits that would be available to reduce or eliminate the resulting U.S. income tax liability.</w:t>
      </w:r>
    </w:p>
    <w:p>
      <w:pPr>
        <w:pStyle w:val="TextBody"/>
        <w:spacing w:before="119" w:after="119"/>
        <w:ind w:left="119" w:right="119" w:firstLine="397"/>
        <w:jc w:val="both"/>
        <w:rPr>
          <w:rFonts w:ascii="sans-serif" w:hAnsi="sans-serif"/>
          <w:sz w:val="22"/>
        </w:rPr>
      </w:pPr>
      <w:r>
        <w:rPr>
          <w:rFonts w:ascii="sans-serif" w:hAnsi="sans-serif"/>
          <w:sz w:val="22"/>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w:t>
      </w:r>
    </w:p>
    <w:p>
      <w:pPr>
        <w:pStyle w:val="TextBody"/>
        <w:spacing w:before="119" w:after="119"/>
        <w:ind w:left="119" w:right="119" w:firstLine="397"/>
        <w:jc w:val="both"/>
        <w:rPr>
          <w:rFonts w:ascii="sans-serif" w:hAnsi="sans-serif"/>
          <w:sz w:val="22"/>
        </w:rPr>
      </w:pPr>
      <w:r>
        <w:rPr>
          <w:rFonts w:ascii="sans-serif" w:hAnsi="sans-serif"/>
          <w:sz w:val="22"/>
        </w:rPr>
        <w:t>A source of liquidity is our ability to issue short-term debt in the commercial paper market. Commercial paper notes are sold at a discount and have a maturity of not more than 365 days from date of issuance. Borrowings under the commercial paper program are available for general corporate purposes as well as for financing acquisitions. The weighted average interest rate on short-term borrowings and commercial paper outstanding at December 31, 2015 and 2014 was 0.26% and 0.60%.</w:t>
      </w:r>
    </w:p>
    <w:p>
      <w:pPr>
        <w:pStyle w:val="TextBody"/>
        <w:spacing w:before="119" w:after="119"/>
        <w:ind w:left="119" w:right="119" w:firstLine="397"/>
        <w:jc w:val="both"/>
        <w:rPr>
          <w:rFonts w:ascii="sans-serif" w:hAnsi="sans-serif"/>
          <w:sz w:val="22"/>
        </w:rPr>
      </w:pPr>
      <w:r>
        <w:rPr>
          <w:rFonts w:ascii="sans-serif" w:hAnsi="sans-serif"/>
          <w:sz w:val="22"/>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2015, Standard and Poors (S&amp;P), Fitch, and Moodys have ratings on our long-term debt of A, A and A2 and short-term debt of A-1, F1 and P1. S&amp;P, Fitch and Moodys have Honeywells rating outlook as stable. To date, the Company has not experienced any limitations in our ability to access these sources of liquidity.</w:t>
      </w:r>
    </w:p>
    <w:p>
      <w:pPr>
        <w:pStyle w:val="TextBody"/>
        <w:spacing w:before="119" w:after="119"/>
        <w:ind w:left="119" w:right="119" w:firstLine="397"/>
        <w:jc w:val="both"/>
        <w:rPr>
          <w:rFonts w:ascii="sans-serif" w:hAnsi="sans-serif"/>
          <w:sz w:val="22"/>
        </w:rPr>
      </w:pPr>
      <w:r>
        <w:rPr>
          <w:rFonts w:ascii="sans-serif" w:hAnsi="sans-serif"/>
          <w:sz w:val="22"/>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 proceeds of any offering would be used for general corporate purposes, including repayment of existing indebtedness, share repurchases, capital expenditures and acquisitions.</w:t>
      </w:r>
    </w:p>
    <w:p>
      <w:pPr>
        <w:pStyle w:val="TextBody"/>
        <w:spacing w:before="119" w:after="119"/>
        <w:ind w:left="119" w:right="119" w:firstLine="397"/>
        <w:jc w:val="both"/>
        <w:rPr>
          <w:rFonts w:ascii="sans-serif" w:hAnsi="sans-serif"/>
          <w:sz w:val="22"/>
        </w:rPr>
      </w:pPr>
      <w:r>
        <w:rPr>
          <w:rFonts w:ascii="sans-serif" w:hAnsi="sans-serif"/>
          <w:sz w:val="22"/>
        </w:rPr>
        <w:t>During 2015, the Company entered into credit agreements with a syndicate of banks. See Note 12 Long-term Debt and Credit Agreements of Notes to Financial Statements for further discussion on the credit agreements.</w:t>
      </w:r>
    </w:p>
    <w:p>
      <w:pPr>
        <w:pStyle w:val="TextBody"/>
        <w:spacing w:before="119" w:after="119"/>
        <w:ind w:left="119" w:right="119" w:firstLine="397"/>
        <w:jc w:val="both"/>
        <w:rPr>
          <w:rFonts w:ascii="sans-serif" w:hAnsi="sans-serif"/>
          <w:sz w:val="22"/>
        </w:rPr>
      </w:pPr>
      <w:r>
        <w:rPr>
          <w:rFonts w:ascii="sans-serif" w:hAnsi="sans-serif"/>
          <w:sz w:val="22"/>
        </w:rPr>
        <w:t>During 2015, the Company repurchased $1,884 million of outstanding shares to offset the dilutive impact of employee stock based compensation plans, including option exercises, restricted unit vesting and matching contributions under our savings plans. In December 2013, the Board of Directors authorized the repurchase of up to a total of $5 billion of Honeywell common stock, $2.2 billion remained available as of December 31, 2015 for additional share repurchases. Honeywell presently expects to repurchase outstanding shares from time to time to offset the dilutive impact of employee stock based compensation plans, including future option exercises, restricted unit vesting and matching contributions under our savings plans.</w:t>
      </w:r>
    </w:p>
    <w:p>
      <w:pPr>
        <w:pStyle w:val="TextBody"/>
        <w:spacing w:before="119" w:after="119"/>
        <w:ind w:left="119" w:right="119" w:hanging="0"/>
        <w:jc w:val="center"/>
        <w:rPr>
          <w:rFonts w:ascii="sans-serif" w:hAnsi="sans-serif"/>
          <w:sz w:val="22"/>
        </w:rPr>
      </w:pPr>
      <w:r>
        <w:rPr>
          <w:rFonts w:ascii="sans-serif" w:hAnsi="sans-serif"/>
          <w:sz w:val="22"/>
        </w:rPr>
        <w:t>24</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firstLine="397"/>
        <w:rPr>
          <w:rFonts w:ascii="sans-serif" w:hAnsi="sans-serif"/>
          <w:sz w:val="22"/>
        </w:rPr>
      </w:pPr>
      <w:r>
        <w:rPr>
          <w:rFonts w:ascii="sans-serif" w:hAnsi="sans-serif"/>
          <w:sz w:val="22"/>
        </w:rPr>
        <w:t>In addition to our normal operating cash requirements, our principal future cash requirements will be to fund capital expenditures, dividends, strategic acquisitions, share repurchases, employee benefit obligations, environmental remediation costs, asbestos claims, severance and exit costs related to repositioning actions and debt repayments.</w:t>
      </w:r>
    </w:p>
    <w:p>
      <w:pPr>
        <w:pStyle w:val="TextBody"/>
        <w:spacing w:before="119" w:after="119"/>
        <w:ind w:left="119" w:right="119" w:firstLine="397"/>
        <w:jc w:val="both"/>
        <w:rPr>
          <w:rFonts w:ascii="sans-serif" w:hAnsi="sans-serif"/>
          <w:sz w:val="22"/>
        </w:rPr>
      </w:pPr>
      <w:r>
        <w:rPr>
          <w:rFonts w:ascii="sans-serif" w:hAnsi="sans-serif"/>
          <w:sz w:val="22"/>
        </w:rPr>
        <w:t>Specifically, we expect our primary cash requirements in 2016 to be as follows:</w:t>
      </w:r>
    </w:p>
    <w:tbl>
      <w:tblPr>
        <w:tblW w:w="10205" w:type="dxa"/>
        <w:jc w:val="left"/>
        <w:tblInd w:w="0" w:type="dxa"/>
        <w:tblCellMar>
          <w:top w:w="0" w:type="dxa"/>
          <w:left w:w="0" w:type="dxa"/>
          <w:bottom w:w="0" w:type="dxa"/>
          <w:right w:w="0" w:type="dxa"/>
        </w:tblCellMar>
      </w:tblPr>
      <w:tblGrid>
        <w:gridCol w:w="75"/>
        <w:gridCol w:w="287"/>
        <w:gridCol w:w="66"/>
        <w:gridCol w:w="9738"/>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0" w:after="283"/>
              <w:jc w:val="both"/>
              <w:rPr>
                <w:rFonts w:ascii="sans-serif" w:hAnsi="sans-serif"/>
                <w:sz w:val="22"/>
              </w:rPr>
            </w:pPr>
            <w:r>
              <w:rPr>
                <w:rFonts w:ascii="sans-serif" w:hAnsi="sans-serif"/>
                <w:sz w:val="22"/>
              </w:rPr>
              <w:t>Capital expenditureswe expect to spend approximately $1.1 billion for capital expenditures in 2016 primarily for growth, production and capacity expansion, cost reduction, maintenance, and replacement.</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Share repurchasesunder the Companys share repurchase program, $2.2 billion is available as of December 31, 2015 for additional share repurchases. Honeywell presently expects to repurchase outstanding shares from time to time to generally offset the dilutive impact of employee stock-based compensation plans, including option exercises, restricted unit vesting and matching contributions under our savings plans. The amount and timing of future repurchases may vary depending on market conditions and our level of operating, financing and other investing activities.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Dividendswe increased our dividend rate by 15% to $.5950 per share of common stock effective with the fourth quarter 2015 dividend. The Company intends to continue to pay quarterly dividends in 2016.</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Asbestos claimswe expect our cash spending for asbestos claims and our cash receipts for related insurance recoveries to be approximately $295 million and $25 million in 2016.</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Pension contributionsin 2016, we are not required to make contributions to our U.S. pension plans. We plan to make contributions of cash and/or marketable securities of approximately $160 million ($106 million of marketable securities were contributed in January 2016) to our non-U.S. plans to satisfy regulatory funding standards. The timing and amount of contributions to both our U.S. and non-U.S. plans may be impacted by a number of factors, including the funded status of the plans.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Repositioning actionswe expect that cash spending for severance and other exit costs necessary to execute repositioning actions will approximate $175 million in 2016.</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Environmental remediation costswe expect to spend approximately $250 million in 2016 for remedial response and voluntary clean-up costs.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6" w:type="dxa"/>
            <w:tcBorders/>
            <w:shd w:fill="auto" w:val="clear"/>
          </w:tcPr>
          <w:p>
            <w:pPr>
              <w:pStyle w:val="TableContents"/>
              <w:spacing w:before="0" w:after="283"/>
              <w:rPr/>
            </w:pPr>
            <w:r>
              <w:rPr/>
              <w:t> </w:t>
            </w:r>
          </w:p>
        </w:tc>
        <w:tc>
          <w:tcPr>
            <w:tcW w:w="973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Acquisitionswe acquired the remaining 30 percent noncontrolling interest in UOP Russell LLC for approximately $240 million in January 2016. In addition, in February 2016 we acquired COM DEV International for an aggregate purchase price of approximately $330 million and entered into a definitive agreement to acquire Xtralis International Holdings Limited for an aggregate purchase price of approximately $480 million.</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2015 and 2014, we realized $1 million and $160 million in cash proceeds from sales of non-strategic businesses.</w:t>
      </w:r>
    </w:p>
    <w:p>
      <w:pPr>
        <w:pStyle w:val="TextBody"/>
        <w:spacing w:before="119" w:after="119"/>
        <w:ind w:left="119" w:right="119" w:firstLine="397"/>
        <w:jc w:val="both"/>
        <w:rPr>
          <w:rFonts w:ascii="sans-serif" w:hAnsi="sans-serif"/>
          <w:sz w:val="22"/>
        </w:rPr>
      </w:pPr>
      <w:r>
        <w:rPr>
          <w:rFonts w:ascii="sans-serif" w:hAnsi="sans-serif"/>
          <w:sz w:val="22"/>
        </w:rPr>
        <w:t>Based on past performance and current expectations, we believe that our operating cash flows will be sufficient to meet our future operating cash needs. Our available cash, committed credit lines, access to the public debt and equity markets, provide additional sources of short-term and long-term liquidity to fund current operations, debt maturities, and future investment opportunities.</w:t>
      </w:r>
    </w:p>
    <w:p>
      <w:pPr>
        <w:pStyle w:val="TextBody"/>
        <w:spacing w:before="119" w:after="119"/>
        <w:ind w:left="119" w:right="119" w:hanging="0"/>
        <w:jc w:val="center"/>
        <w:rPr>
          <w:rFonts w:ascii="sans-serif" w:hAnsi="sans-serif"/>
          <w:sz w:val="22"/>
        </w:rPr>
      </w:pPr>
      <w:r>
        <w:rPr>
          <w:rFonts w:ascii="sans-serif" w:hAnsi="sans-serif"/>
          <w:sz w:val="22"/>
        </w:rPr>
        <w:t>25</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2"/>
        </w:rPr>
      </w:pPr>
      <w:r>
        <w:rPr>
          <w:rFonts w:ascii="sans-serif" w:hAnsi="sans-serif"/>
          <w:b/>
          <w:sz w:val="22"/>
        </w:rPr>
        <w:t>Contractual Obligations and Probable Liability Payments</w:t>
      </w:r>
    </w:p>
    <w:p>
      <w:pPr>
        <w:pStyle w:val="TextBody"/>
        <w:spacing w:before="119" w:after="119"/>
        <w:ind w:left="119" w:right="119" w:firstLine="397"/>
        <w:jc w:val="both"/>
        <w:rPr>
          <w:rFonts w:ascii="sans-serif" w:hAnsi="sans-serif"/>
          <w:sz w:val="22"/>
        </w:rPr>
      </w:pPr>
      <w:r>
        <w:rPr>
          <w:rFonts w:ascii="sans-serif" w:hAnsi="sans-serif"/>
          <w:sz w:val="22"/>
        </w:rPr>
        <w:t>Following is a summary of our significant contractual obligations and probable liability payments at December 31, 2015:</w:t>
      </w:r>
    </w:p>
    <w:tbl>
      <w:tblPr>
        <w:tblW w:w="10205" w:type="dxa"/>
        <w:jc w:val="left"/>
        <w:tblInd w:w="0" w:type="dxa"/>
        <w:tblCellMar>
          <w:top w:w="0" w:type="dxa"/>
          <w:left w:w="0" w:type="dxa"/>
          <w:bottom w:w="0" w:type="dxa"/>
          <w:right w:w="0" w:type="dxa"/>
        </w:tblCellMar>
      </w:tblPr>
      <w:tblGrid>
        <w:gridCol w:w="4455"/>
        <w:gridCol w:w="60"/>
        <w:gridCol w:w="60"/>
        <w:gridCol w:w="155"/>
        <w:gridCol w:w="60"/>
        <w:gridCol w:w="755"/>
        <w:gridCol w:w="95"/>
        <w:gridCol w:w="60"/>
        <w:gridCol w:w="60"/>
        <w:gridCol w:w="60"/>
        <w:gridCol w:w="155"/>
        <w:gridCol w:w="60"/>
        <w:gridCol w:w="620"/>
        <w:gridCol w:w="95"/>
        <w:gridCol w:w="60"/>
        <w:gridCol w:w="60"/>
        <w:gridCol w:w="60"/>
        <w:gridCol w:w="155"/>
        <w:gridCol w:w="60"/>
        <w:gridCol w:w="620"/>
        <w:gridCol w:w="95"/>
        <w:gridCol w:w="60"/>
        <w:gridCol w:w="60"/>
        <w:gridCol w:w="60"/>
        <w:gridCol w:w="155"/>
        <w:gridCol w:w="60"/>
        <w:gridCol w:w="620"/>
        <w:gridCol w:w="95"/>
        <w:gridCol w:w="60"/>
        <w:gridCol w:w="60"/>
        <w:gridCol w:w="62"/>
        <w:gridCol w:w="162"/>
        <w:gridCol w:w="62"/>
        <w:gridCol w:w="649"/>
        <w:gridCol w:w="99"/>
        <w:gridCol w:w="81"/>
      </w:tblGrid>
      <w:tr>
        <w:trPr/>
        <w:tc>
          <w:tcPr>
            <w:tcW w:w="44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6"/>
            <w:tcBorders/>
            <w:shd w:fill="auto" w:val="clear"/>
            <w:vAlign w:val="bottom"/>
          </w:tcPr>
          <w:p>
            <w:pPr>
              <w:pStyle w:val="TableContents"/>
              <w:spacing w:before="0" w:after="283"/>
              <w:rPr/>
            </w:pPr>
            <w:r>
              <w:rPr/>
              <w:t> </w:t>
            </w:r>
          </w:p>
        </w:tc>
      </w:tr>
      <w:tr>
        <w:trPr/>
        <w:tc>
          <w:tcPr>
            <w:tcW w:w="4455" w:type="dxa"/>
            <w:vMerge w:val="restart"/>
            <w:tcBorders/>
            <w:shd w:fill="auto" w:val="clear"/>
            <w:vAlign w:val="bottom"/>
          </w:tcPr>
          <w:p>
            <w:pPr>
              <w:pStyle w:val="TableContents"/>
              <w:spacing w:before="0" w:after="283"/>
              <w:ind w:left="198" w:right="0" w:hanging="198"/>
              <w:jc w:val="center"/>
              <w:rPr/>
            </w:pPr>
            <w:r>
              <w:rPr/>
              <w:t> </w:t>
            </w:r>
          </w:p>
        </w:tc>
        <w:tc>
          <w:tcPr>
            <w:tcW w:w="60" w:type="dxa"/>
            <w:vMerge w:val="restart"/>
            <w:tcBorders/>
            <w:shd w:fill="auto" w:val="clear"/>
            <w:vAlign w:val="bottom"/>
          </w:tcPr>
          <w:p>
            <w:pPr>
              <w:pStyle w:val="TableContents"/>
              <w:spacing w:before="0" w:after="283"/>
              <w:rPr/>
            </w:pPr>
            <w:r>
              <w:rPr/>
              <w:t> </w:t>
            </w:r>
          </w:p>
        </w:tc>
        <w:tc>
          <w:tcPr>
            <w:tcW w:w="1185" w:type="dxa"/>
            <w:gridSpan w:val="6"/>
            <w:vMerge w:val="restart"/>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Total(6)</w:t>
            </w:r>
          </w:p>
        </w:tc>
        <w:tc>
          <w:tcPr>
            <w:tcW w:w="60" w:type="dxa"/>
            <w:tcBorders/>
            <w:shd w:fill="auto" w:val="clear"/>
            <w:vAlign w:val="bottom"/>
          </w:tcPr>
          <w:p>
            <w:pPr>
              <w:pStyle w:val="TableContents"/>
              <w:spacing w:before="0" w:after="283"/>
              <w:rPr/>
            </w:pPr>
            <w:r>
              <w:rPr/>
              <w:t> </w:t>
            </w:r>
          </w:p>
        </w:tc>
        <w:tc>
          <w:tcPr>
            <w:tcW w:w="3270"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Payments by Period</w:t>
            </w:r>
          </w:p>
        </w:tc>
        <w:tc>
          <w:tcPr>
            <w:tcW w:w="60" w:type="dxa"/>
            <w:vMerge w:val="restart"/>
            <w:tcBorders/>
            <w:shd w:fill="auto" w:val="clear"/>
            <w:vAlign w:val="bottom"/>
          </w:tcPr>
          <w:p>
            <w:pPr>
              <w:pStyle w:val="TableContents"/>
              <w:spacing w:before="0" w:after="283"/>
              <w:rPr/>
            </w:pPr>
            <w:r>
              <w:rPr/>
              <w:t> </w:t>
            </w:r>
          </w:p>
        </w:tc>
        <w:tc>
          <w:tcPr>
            <w:tcW w:w="1115" w:type="dxa"/>
            <w:gridSpan w:val="6"/>
            <w:vMerge w:val="restart"/>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Thereafter</w:t>
            </w:r>
          </w:p>
        </w:tc>
      </w:tr>
      <w:tr>
        <w:trPr/>
        <w:tc>
          <w:tcPr>
            <w:tcW w:w="445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85" w:type="dxa"/>
            <w:gridSpan w:val="6"/>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2016</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2017-</w:t>
              <w:br/>
              <w:t>2018</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2019-</w:t>
              <w:br/>
              <w:t>2020</w:t>
            </w:r>
          </w:p>
        </w:tc>
        <w:tc>
          <w:tcPr>
            <w:tcW w:w="60" w:type="dxa"/>
            <w:vMerge w:val="continue"/>
            <w:tcBorders/>
            <w:shd w:fill="auto" w:val="clear"/>
            <w:vAlign w:val="bottom"/>
          </w:tcPr>
          <w:p>
            <w:pPr>
              <w:pStyle w:val="Normal"/>
              <w:rPr/>
            </w:pPr>
            <w:r>
              <w:rPr/>
            </w:r>
          </w:p>
        </w:tc>
        <w:tc>
          <w:tcPr>
            <w:tcW w:w="1115" w:type="dxa"/>
            <w:gridSpan w:val="6"/>
            <w:vMerge w:val="continue"/>
            <w:tcBorders>
              <w:bottom w:val="single" w:sz="4" w:space="0" w:color="000000"/>
            </w:tcBorders>
            <w:shd w:fill="auto" w:val="clear"/>
            <w:tcMar>
              <w:bottom w:w="28" w:type="dxa"/>
            </w:tcMar>
            <w:vAlign w:val="bottom"/>
          </w:tcPr>
          <w:p>
            <w:pPr>
              <w:pStyle w:val="Normal"/>
              <w:rPr/>
            </w:pPr>
            <w:r>
              <w:rPr/>
            </w:r>
          </w:p>
        </w:tc>
      </w:tr>
      <w:tr>
        <w:trPr/>
        <w:tc>
          <w:tcPr>
            <w:tcW w:w="44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Long-term debt, including capitalized leases(1)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6,131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1,400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904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16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E5FFFF" w:val="clear"/>
            <w:vAlign w:val="bottom"/>
          </w:tcPr>
          <w:p>
            <w:pPr>
              <w:pStyle w:val="TableContents"/>
              <w:spacing w:before="0" w:after="283"/>
              <w:rPr/>
            </w:pPr>
            <w:r>
              <w:rPr/>
              <w:t> </w:t>
            </w:r>
          </w:p>
        </w:tc>
        <w:tc>
          <w:tcPr>
            <w:tcW w:w="6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3,250</w:t>
            </w:r>
          </w:p>
        </w:tc>
        <w:tc>
          <w:tcPr>
            <w:tcW w:w="180" w:type="dxa"/>
            <w:gridSpan w:val="2"/>
            <w:tcBorders/>
            <w:shd w:fill="E5FFFF"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Interest payments on long-term debt, including capitalized leases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3,047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4" w:type="dxa"/>
            <w:gridSpan w:val="2"/>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1,919</w:t>
            </w:r>
          </w:p>
        </w:tc>
        <w:tc>
          <w:tcPr>
            <w:tcW w:w="180" w:type="dxa"/>
            <w:gridSpan w:val="2"/>
            <w:tcBorders/>
            <w:shd w:fill="auto" w:val="clear"/>
            <w:vAlign w:val="bottom"/>
          </w:tcPr>
          <w:p>
            <w:pPr>
              <w:pStyle w:val="TableContents"/>
              <w:spacing w:before="0" w:after="283"/>
              <w:rPr/>
            </w:pPr>
            <w:r>
              <w:rPr/>
              <w:t> </w:t>
            </w:r>
          </w:p>
        </w:tc>
      </w:tr>
      <w:tr>
        <w:trPr/>
        <w:tc>
          <w:tcPr>
            <w:tcW w:w="44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Minimum operating lease payments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1,201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4" w:type="dxa"/>
            <w:gridSpan w:val="2"/>
            <w:tcBorders/>
            <w:shd w:fill="E5FFFF" w:val="clear"/>
            <w:vAlign w:val="bottom"/>
          </w:tcPr>
          <w:p>
            <w:pPr>
              <w:pStyle w:val="TableContents"/>
              <w:spacing w:before="0" w:after="283"/>
              <w:rPr/>
            </w:pPr>
            <w:r>
              <w:rPr/>
              <w:t> </w:t>
            </w:r>
          </w:p>
        </w:tc>
        <w:tc>
          <w:tcPr>
            <w:tcW w:w="6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273</w:t>
            </w:r>
          </w:p>
        </w:tc>
        <w:tc>
          <w:tcPr>
            <w:tcW w:w="180" w:type="dxa"/>
            <w:gridSpan w:val="2"/>
            <w:tcBorders/>
            <w:shd w:fill="E5FFFF"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Purchase obligations(2)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1,980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962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4" w:type="dxa"/>
            <w:gridSpan w:val="2"/>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180" w:type="dxa"/>
            <w:gridSpan w:val="2"/>
            <w:tcBorders/>
            <w:shd w:fill="auto" w:val="clear"/>
            <w:vAlign w:val="bottom"/>
          </w:tcPr>
          <w:p>
            <w:pPr>
              <w:pStyle w:val="TableContents"/>
              <w:spacing w:before="0" w:after="283"/>
              <w:rPr/>
            </w:pPr>
            <w:r>
              <w:rPr/>
              <w:t> </w:t>
            </w:r>
          </w:p>
        </w:tc>
      </w:tr>
      <w:tr>
        <w:trPr/>
        <w:tc>
          <w:tcPr>
            <w:tcW w:w="44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Estimated environmental liability</w:t>
              <w:br/>
              <w:t>payments(3)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4" w:type="dxa"/>
            <w:gridSpan w:val="2"/>
            <w:tcBorders/>
            <w:shd w:fill="E5FFFF" w:val="clear"/>
            <w:vAlign w:val="bottom"/>
          </w:tcPr>
          <w:p>
            <w:pPr>
              <w:pStyle w:val="TableContents"/>
              <w:spacing w:before="0" w:after="283"/>
              <w:rPr/>
            </w:pPr>
            <w:r>
              <w:rPr/>
              <w:t> </w:t>
            </w:r>
          </w:p>
        </w:tc>
        <w:tc>
          <w:tcPr>
            <w:tcW w:w="6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180" w:type="dxa"/>
            <w:gridSpan w:val="2"/>
            <w:tcBorders/>
            <w:shd w:fill="E5FFFF"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Asbestos related liability payments(4)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1,543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4" w:type="dxa"/>
            <w:gridSpan w:val="2"/>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94</w:t>
            </w:r>
          </w:p>
        </w:tc>
        <w:tc>
          <w:tcPr>
            <w:tcW w:w="180" w:type="dxa"/>
            <w:gridSpan w:val="2"/>
            <w:tcBorders/>
            <w:shd w:fill="auto" w:val="clear"/>
            <w:vAlign w:val="bottom"/>
          </w:tcPr>
          <w:p>
            <w:pPr>
              <w:pStyle w:val="TableContents"/>
              <w:spacing w:before="0" w:after="283"/>
              <w:rPr/>
            </w:pPr>
            <w:r>
              <w:rPr/>
              <w:t> </w:t>
            </w:r>
          </w:p>
        </w:tc>
      </w:tr>
      <w:tr>
        <w:trPr/>
        <w:tc>
          <w:tcPr>
            <w:tcW w:w="44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Asbestos insurance recoveries(5)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4" w:type="dxa"/>
            <w:gridSpan w:val="2"/>
            <w:tcBorders/>
            <w:shd w:fill="E5FFFF" w:val="clear"/>
            <w:vAlign w:val="bottom"/>
          </w:tcPr>
          <w:p>
            <w:pPr>
              <w:pStyle w:val="TableContents"/>
              <w:spacing w:before="0" w:after="283"/>
              <w:rPr/>
            </w:pPr>
            <w:r>
              <w:rPr/>
              <w:t> </w:t>
            </w:r>
          </w:p>
        </w:tc>
        <w:tc>
          <w:tcPr>
            <w:tcW w:w="6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(213</w:t>
            </w:r>
          </w:p>
        </w:tc>
        <w:tc>
          <w:tcPr>
            <w:tcW w:w="9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13,971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2,667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3,793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2,165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5,346</w:t>
            </w:r>
          </w:p>
        </w:tc>
        <w:tc>
          <w:tcPr>
            <w:tcW w:w="180" w:type="dxa"/>
            <w:gridSpan w:val="2"/>
            <w:tcBorders/>
            <w:shd w:fill="auto" w:val="clear"/>
            <w:vAlign w:val="bottom"/>
          </w:tcPr>
          <w:p>
            <w:pPr>
              <w:pStyle w:val="TableContents"/>
              <w:spacing w:before="0" w:after="283"/>
              <w:rPr/>
            </w:pPr>
            <w:r>
              <w:rPr/>
              <w:t> </w:t>
            </w:r>
          </w:p>
        </w:tc>
      </w:tr>
      <w:tr>
        <w:trPr/>
        <w:tc>
          <w:tcPr>
            <w:tcW w:w="445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ind w:left="227" w:right="227" w:hanging="0"/>
        <w:rPr/>
      </w:pPr>
      <w:r>
        <w:rPr/>
        <w:t> </w:t>
      </w:r>
    </w:p>
    <w:tbl>
      <w:tblPr>
        <w:tblW w:w="10205" w:type="dxa"/>
        <w:jc w:val="left"/>
        <w:tblInd w:w="0" w:type="dxa"/>
        <w:tblCellMar>
          <w:top w:w="0" w:type="dxa"/>
          <w:left w:w="0" w:type="dxa"/>
          <w:bottom w:w="0" w:type="dxa"/>
          <w:right w:w="0" w:type="dxa"/>
        </w:tblCellMar>
      </w:tblPr>
      <w:tblGrid>
        <w:gridCol w:w="75"/>
        <w:gridCol w:w="350"/>
        <w:gridCol w:w="70"/>
        <w:gridCol w:w="9671"/>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50"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70" w:type="dxa"/>
            <w:tcBorders/>
            <w:shd w:fill="auto" w:val="clear"/>
          </w:tcPr>
          <w:p>
            <w:pPr>
              <w:pStyle w:val="TableContents"/>
              <w:spacing w:before="0" w:after="283"/>
              <w:rPr/>
            </w:pPr>
            <w:r>
              <w:rPr/>
              <w:t> </w:t>
            </w:r>
          </w:p>
        </w:tc>
        <w:tc>
          <w:tcPr>
            <w:tcW w:w="9671" w:type="dxa"/>
            <w:tcBorders/>
            <w:shd w:fill="auto" w:val="clear"/>
          </w:tcPr>
          <w:p>
            <w:pPr>
              <w:pStyle w:val="TableContents"/>
              <w:spacing w:before="0" w:after="283"/>
              <w:jc w:val="both"/>
              <w:rPr>
                <w:rFonts w:ascii="sans-serif" w:hAnsi="sans-serif"/>
                <w:sz w:val="22"/>
              </w:rPr>
            </w:pPr>
            <w:r>
              <w:rPr>
                <w:rFonts w:ascii="sans-serif" w:hAnsi="sans-serif"/>
                <w:sz w:val="22"/>
              </w:rPr>
              <w:t>Assumes all long-term debt is outstanding until scheduled maturity.</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50"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70" w:type="dxa"/>
            <w:tcBorders/>
            <w:shd w:fill="auto" w:val="clear"/>
          </w:tcPr>
          <w:p>
            <w:pPr>
              <w:pStyle w:val="TableContents"/>
              <w:spacing w:before="0" w:after="283"/>
              <w:rPr/>
            </w:pPr>
            <w:r>
              <w:rPr/>
              <w:t> </w:t>
            </w:r>
          </w:p>
        </w:tc>
        <w:tc>
          <w:tcPr>
            <w:tcW w:w="9671"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Purchase obligations are entered into with various vendors in the normal course of business and are consistent with our expected requirements.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50"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(3)</w:t>
            </w:r>
          </w:p>
        </w:tc>
        <w:tc>
          <w:tcPr>
            <w:tcW w:w="70" w:type="dxa"/>
            <w:tcBorders/>
            <w:shd w:fill="auto" w:val="clear"/>
          </w:tcPr>
          <w:p>
            <w:pPr>
              <w:pStyle w:val="TableContents"/>
              <w:spacing w:before="0" w:after="283"/>
              <w:rPr/>
            </w:pPr>
            <w:r>
              <w:rPr/>
              <w:t> </w:t>
            </w:r>
          </w:p>
        </w:tc>
        <w:tc>
          <w:tcPr>
            <w:tcW w:w="9671"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payment amounts in the table only reflect the environmental liabilities which are probable and reasonably estimable as of December 31, 2015.</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50"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(4)</w:t>
            </w:r>
          </w:p>
        </w:tc>
        <w:tc>
          <w:tcPr>
            <w:tcW w:w="70" w:type="dxa"/>
            <w:tcBorders/>
            <w:shd w:fill="auto" w:val="clear"/>
          </w:tcPr>
          <w:p>
            <w:pPr>
              <w:pStyle w:val="TableContents"/>
              <w:spacing w:before="0" w:after="283"/>
              <w:rPr/>
            </w:pPr>
            <w:r>
              <w:rPr/>
              <w:t> </w:t>
            </w:r>
          </w:p>
        </w:tc>
        <w:tc>
          <w:tcPr>
            <w:tcW w:w="9671"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These amounts are estimates of asbestos related cash payments for NARCO and Bendix based on our asbestos related liabilities which are probable and reasonably estimable as of December 31, 2015. See Asbestos Matters in Note 19 Commitments and Contingencies of Notes to Financial Statements for additional information.</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50"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(5)</w:t>
            </w:r>
          </w:p>
        </w:tc>
        <w:tc>
          <w:tcPr>
            <w:tcW w:w="70" w:type="dxa"/>
            <w:tcBorders/>
            <w:shd w:fill="auto" w:val="clear"/>
          </w:tcPr>
          <w:p>
            <w:pPr>
              <w:pStyle w:val="TableContents"/>
              <w:spacing w:before="0" w:after="283"/>
              <w:rPr/>
            </w:pPr>
            <w:r>
              <w:rPr/>
              <w:t> </w:t>
            </w:r>
          </w:p>
        </w:tc>
        <w:tc>
          <w:tcPr>
            <w:tcW w:w="9671"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These amounts represent our insurance recoveries that are deemed probable for asbestos related liabilities as of December 31, 2015. See Asbestos Matters in Note 19 Commitments and Contingencies of Notes to Financial Statements for additional information.</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50"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(6)</w:t>
            </w:r>
          </w:p>
        </w:tc>
        <w:tc>
          <w:tcPr>
            <w:tcW w:w="70" w:type="dxa"/>
            <w:tcBorders/>
            <w:shd w:fill="auto" w:val="clear"/>
          </w:tcPr>
          <w:p>
            <w:pPr>
              <w:pStyle w:val="TableContents"/>
              <w:spacing w:before="0" w:after="283"/>
              <w:rPr/>
            </w:pPr>
            <w:r>
              <w:rPr/>
              <w:t> </w:t>
            </w:r>
          </w:p>
        </w:tc>
        <w:tc>
          <w:tcPr>
            <w:tcW w:w="9671"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table excludes tax liability payments, including those for unrecognized tax benefits. See Note 5 Income Taxes of Notes to Financial Statements for additional information.</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357" w:after="357"/>
        <w:ind w:left="357" w:right="357" w:hanging="0"/>
        <w:rPr>
          <w:rFonts w:ascii="sans-serif" w:hAnsi="sans-serif"/>
          <w:b/>
          <w:sz w:val="22"/>
        </w:rPr>
      </w:pPr>
      <w:r>
        <w:rPr>
          <w:rFonts w:ascii="sans-serif" w:hAnsi="sans-serif"/>
          <w:b/>
          <w:sz w:val="22"/>
        </w:rPr>
        <w:t>Environmental Matters</w:t>
      </w:r>
    </w:p>
    <w:p>
      <w:pPr>
        <w:pStyle w:val="TextBody"/>
        <w:spacing w:before="119" w:after="119"/>
        <w:ind w:left="119" w:right="119" w:firstLine="397"/>
        <w:jc w:val="both"/>
        <w:rPr>
          <w:rFonts w:ascii="sans-serif" w:hAnsi="sans-serif"/>
          <w:sz w:val="22"/>
        </w:rPr>
      </w:pPr>
      <w:r>
        <w:rPr>
          <w:rFonts w:ascii="sans-serif" w:hAnsi="sans-serif"/>
          <w:sz w:val="22"/>
        </w:rPr>
        <w:t>Accruals for environmental matters deemed probable and reasonably estimable were $194 million, $268 million and $272 million in 2015, 2014 and 2013. In addition, in 2015 and 2014 we incurred operating costs for ongoing businesses of approximately $90 million and $88 million relating to compliance with environmental regulations.</w:t>
      </w:r>
    </w:p>
    <w:p>
      <w:pPr>
        <w:pStyle w:val="TextBody"/>
        <w:spacing w:before="119" w:after="119"/>
        <w:ind w:left="119" w:right="119" w:firstLine="397"/>
        <w:jc w:val="both"/>
        <w:rPr>
          <w:rFonts w:ascii="sans-serif" w:hAnsi="sans-serif"/>
          <w:sz w:val="22"/>
        </w:rPr>
      </w:pPr>
      <w:r>
        <w:rPr>
          <w:rFonts w:ascii="sans-serif" w:hAnsi="sans-serif"/>
          <w:sz w:val="22"/>
        </w:rPr>
        <w:t>Spending related to known environmental matters was $273 million, $321 million and $304 million in 2015, 2014 and 2013 and is estimated to be approximately $250 million in 2016. We expect to fund expenditures for these environmental matters from operating cash flow. The timing of cash expenditures depends on a numbers of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pStyle w:val="TextBody"/>
        <w:spacing w:before="119" w:after="119"/>
        <w:ind w:left="119" w:right="119" w:firstLine="397"/>
        <w:jc w:val="both"/>
        <w:rPr>
          <w:rFonts w:ascii="sans-serif" w:hAnsi="sans-serif"/>
          <w:sz w:val="22"/>
        </w:rPr>
      </w:pPr>
      <w:r>
        <w:rPr>
          <w:rFonts w:ascii="sans-serif" w:hAnsi="sans-serif"/>
          <w:sz w:val="22"/>
        </w:rPr>
        <w:t>See Note 19 Commitments and Contingencies of Notes to Financial Statements for further discussion of our environmental matters.</w:t>
      </w:r>
    </w:p>
    <w:p>
      <w:pPr>
        <w:pStyle w:val="TextBody"/>
        <w:spacing w:before="357" w:after="357"/>
        <w:ind w:left="357" w:right="357" w:hanging="0"/>
        <w:rPr>
          <w:rFonts w:ascii="sans-serif" w:hAnsi="sans-serif"/>
          <w:b/>
          <w:sz w:val="22"/>
        </w:rPr>
      </w:pPr>
      <w:r>
        <w:rPr>
          <w:rFonts w:ascii="sans-serif" w:hAnsi="sans-serif"/>
          <w:b/>
          <w:sz w:val="22"/>
        </w:rPr>
        <w:t>Financial Instruments</w:t>
      </w:r>
    </w:p>
    <w:p>
      <w:pPr>
        <w:pStyle w:val="TextBody"/>
        <w:spacing w:before="119" w:after="119"/>
        <w:ind w:left="119" w:right="119" w:firstLine="397"/>
        <w:jc w:val="both"/>
        <w:rPr>
          <w:rFonts w:ascii="sans-serif" w:hAnsi="sans-serif"/>
          <w:sz w:val="22"/>
        </w:rPr>
      </w:pPr>
      <w:r>
        <w:rPr>
          <w:rFonts w:ascii="sans-serif" w:hAnsi="sans-serif"/>
          <w:sz w:val="22"/>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w:t>
      </w:r>
    </w:p>
    <w:p>
      <w:pPr>
        <w:pStyle w:val="TextBody"/>
        <w:spacing w:before="119" w:after="119"/>
        <w:ind w:left="119" w:right="119" w:hanging="0"/>
        <w:jc w:val="center"/>
        <w:rPr>
          <w:rFonts w:ascii="sans-serif" w:hAnsi="sans-serif"/>
          <w:sz w:val="22"/>
        </w:rPr>
      </w:pPr>
      <w:r>
        <w:rPr>
          <w:rFonts w:ascii="sans-serif" w:hAnsi="sans-serif"/>
          <w:sz w:val="22"/>
        </w:rPr>
        <w:t>26</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rPr>
          <w:rFonts w:ascii="sans-serif" w:hAnsi="sans-serif"/>
          <w:sz w:val="22"/>
        </w:rPr>
      </w:pPr>
      <w:r>
        <w:rPr>
          <w:rFonts w:ascii="sans-serif" w:hAnsi="sans-serif"/>
          <w:sz w:val="22"/>
        </w:rPr>
        <w:t>based on a 10% weakening of the U.S. Dollar versus local currency exchange rates across all maturities at December 31, 2015 and 2014.</w:t>
      </w:r>
    </w:p>
    <w:tbl>
      <w:tblPr>
        <w:tblW w:w="10130" w:type="dxa"/>
        <w:jc w:val="left"/>
        <w:tblInd w:w="0" w:type="dxa"/>
        <w:tblCellMar>
          <w:top w:w="0" w:type="dxa"/>
          <w:left w:w="0" w:type="dxa"/>
          <w:bottom w:w="0" w:type="dxa"/>
          <w:right w:w="0" w:type="dxa"/>
        </w:tblCellMar>
      </w:tblPr>
      <w:tblGrid>
        <w:gridCol w:w="5435"/>
        <w:gridCol w:w="60"/>
        <w:gridCol w:w="60"/>
        <w:gridCol w:w="155"/>
        <w:gridCol w:w="60"/>
        <w:gridCol w:w="755"/>
        <w:gridCol w:w="60"/>
        <w:gridCol w:w="60"/>
        <w:gridCol w:w="60"/>
        <w:gridCol w:w="155"/>
        <w:gridCol w:w="60"/>
        <w:gridCol w:w="695"/>
        <w:gridCol w:w="95"/>
        <w:gridCol w:w="60"/>
        <w:gridCol w:w="60"/>
        <w:gridCol w:w="60"/>
        <w:gridCol w:w="155"/>
        <w:gridCol w:w="60"/>
        <w:gridCol w:w="695"/>
        <w:gridCol w:w="95"/>
        <w:gridCol w:w="60"/>
        <w:gridCol w:w="60"/>
        <w:gridCol w:w="70"/>
        <w:gridCol w:w="182"/>
        <w:gridCol w:w="70"/>
        <w:gridCol w:w="589"/>
        <w:gridCol w:w="112"/>
        <w:gridCol w:w="92"/>
      </w:tblGrid>
      <w:tr>
        <w:trPr/>
        <w:tc>
          <w:tcPr>
            <w:tcW w:w="54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6"/>
            <w:tcBorders/>
            <w:shd w:fill="auto"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Face or</w:t>
              <w:br/>
              <w:t>Notional</w:t>
              <w:br/>
              <w:t>Amount</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Carrying</w:t>
              <w:br/>
              <w:t>Value(1)</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Fair</w:t>
              <w:br/>
              <w:t>Value(1)</w:t>
            </w:r>
          </w:p>
        </w:tc>
        <w:tc>
          <w:tcPr>
            <w:tcW w:w="60" w:type="dxa"/>
            <w:tcBorders/>
            <w:shd w:fill="auto" w:val="clear"/>
            <w:vAlign w:val="bottom"/>
          </w:tcPr>
          <w:p>
            <w:pPr>
              <w:pStyle w:val="TableContents"/>
              <w:spacing w:before="0" w:after="283"/>
              <w:rPr/>
            </w:pPr>
            <w:r>
              <w:rPr/>
              <w:t> </w:t>
            </w:r>
          </w:p>
        </w:tc>
        <w:tc>
          <w:tcPr>
            <w:tcW w:w="111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Estimated</w:t>
              <w:br/>
              <w:t>Increase</w:t>
              <w:br/>
              <w:t>(Decrease)</w:t>
              <w:br/>
              <w:t>in Fair</w:t>
              <w:br/>
              <w:t>Value(2)</w:t>
            </w:r>
          </w:p>
        </w:tc>
      </w:tr>
      <w:tr>
        <w:trPr/>
        <w:tc>
          <w:tcPr>
            <w:tcW w:w="5435"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December 31, 2015</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15" w:type="dxa"/>
            <w:gridSpan w:val="6"/>
            <w:tcBorders/>
            <w:shd w:fill="E5FFFF"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283"/>
              <w:ind w:left="198" w:right="0" w:hanging="198"/>
              <w:rPr>
                <w:rFonts w:ascii="sans-serif" w:hAnsi="sans-serif"/>
                <w:b/>
                <w:sz w:val="22"/>
              </w:rPr>
            </w:pPr>
            <w:r>
              <w:rPr>
                <w:rFonts w:ascii="sans-serif" w:hAnsi="sans-serif"/>
                <w:b/>
                <w:sz w:val="22"/>
              </w:rPr>
              <w:t>Interest Rate Sensitive Instruments</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6"/>
            <w:tcBorders/>
            <w:shd w:fill="auto" w:val="clear"/>
            <w:vAlign w:val="bottom"/>
          </w:tcPr>
          <w:p>
            <w:pPr>
              <w:pStyle w:val="TableContents"/>
              <w:spacing w:before="0" w:after="283"/>
              <w:rPr/>
            </w:pPr>
            <w:r>
              <w:rPr/>
              <w:t> </w:t>
            </w:r>
          </w:p>
        </w:tc>
      </w:tr>
      <w:tr>
        <w:trPr/>
        <w:tc>
          <w:tcPr>
            <w:tcW w:w="5435" w:type="dxa"/>
            <w:tcBorders/>
            <w:shd w:fill="E5FFFF" w:val="clear"/>
            <w:vAlign w:val="bottom"/>
          </w:tcPr>
          <w:p>
            <w:pPr>
              <w:pStyle w:val="TableContents"/>
              <w:spacing w:before="0" w:after="283"/>
              <w:ind w:left="198" w:right="0" w:hanging="0"/>
              <w:rPr>
                <w:rFonts w:ascii="sans-serif" w:hAnsi="sans-serif"/>
                <w:sz w:val="22"/>
              </w:rPr>
            </w:pPr>
            <w:r>
              <w:rPr>
                <w:rFonts w:ascii="sans-serif" w:hAnsi="sans-serif"/>
                <w:sz w:val="22"/>
              </w:rPr>
              <w:t>Long-term debt (including current maturities)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6,131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(6,131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(6,721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18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0" w:type="dxa"/>
            <w:tcBorders/>
            <w:shd w:fill="E5FFFF" w:val="clear"/>
            <w:vAlign w:val="bottom"/>
          </w:tcPr>
          <w:p>
            <w:pPr>
              <w:pStyle w:val="TableContents"/>
              <w:spacing w:before="0" w:after="283"/>
              <w:rPr/>
            </w:pPr>
            <w:r>
              <w:rPr/>
              <w:t> </w:t>
            </w:r>
          </w:p>
        </w:tc>
        <w:tc>
          <w:tcPr>
            <w:tcW w:w="58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(407</w:t>
            </w:r>
          </w:p>
        </w:tc>
        <w:tc>
          <w:tcPr>
            <w:tcW w:w="11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2" w:type="dxa"/>
            <w:tcBorders/>
            <w:shd w:fill="E5FFFF"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283"/>
              <w:ind w:left="198" w:right="0" w:hanging="0"/>
              <w:rPr>
                <w:rFonts w:ascii="sans-serif" w:hAnsi="sans-serif"/>
                <w:sz w:val="22"/>
              </w:rPr>
            </w:pPr>
            <w:r>
              <w:rPr>
                <w:rFonts w:ascii="sans-serif" w:hAnsi="sans-serif"/>
                <w:sz w:val="22"/>
              </w:rPr>
              <w:t>Interest rate swap agreements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2" w:type="dxa"/>
            <w:gridSpan w:val="2"/>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(59</w:t>
            </w:r>
          </w:p>
        </w:tc>
        <w:tc>
          <w:tcPr>
            <w:tcW w:w="11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2" w:type="dxa"/>
            <w:tcBorders/>
            <w:shd w:fill="auto" w:val="clear"/>
            <w:vAlign w:val="bottom"/>
          </w:tcPr>
          <w:p>
            <w:pPr>
              <w:pStyle w:val="TableContents"/>
              <w:spacing w:before="0" w:after="283"/>
              <w:rPr/>
            </w:pPr>
            <w:r>
              <w:rPr/>
              <w:t> </w:t>
            </w:r>
          </w:p>
        </w:tc>
      </w:tr>
      <w:tr>
        <w:trPr/>
        <w:tc>
          <w:tcPr>
            <w:tcW w:w="5435"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Foreign Exchange Rate Sensitive Instruments</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15" w:type="dxa"/>
            <w:gridSpan w:val="6"/>
            <w:tcBorders/>
            <w:shd w:fill="E5FFFF"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283"/>
              <w:ind w:left="198" w:right="0" w:hanging="0"/>
              <w:rPr>
                <w:rFonts w:ascii="sans-serif" w:hAnsi="sans-serif"/>
                <w:sz w:val="22"/>
              </w:rPr>
            </w:pPr>
            <w:r>
              <w:rPr>
                <w:rFonts w:ascii="sans-serif" w:hAnsi="sans-serif"/>
                <w:sz w:val="22"/>
              </w:rPr>
              <w:t>Foreign currency exchange contracts(3)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10,538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2" w:type="dxa"/>
            <w:gridSpan w:val="2"/>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(153</w:t>
            </w:r>
          </w:p>
        </w:tc>
        <w:tc>
          <w:tcPr>
            <w:tcW w:w="11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2" w:type="dxa"/>
            <w:tcBorders/>
            <w:shd w:fill="auto" w:val="clear"/>
            <w:vAlign w:val="bottom"/>
          </w:tcPr>
          <w:p>
            <w:pPr>
              <w:pStyle w:val="TableContents"/>
              <w:spacing w:before="0" w:after="283"/>
              <w:rPr/>
            </w:pPr>
            <w:r>
              <w:rPr/>
              <w:t> </w:t>
            </w:r>
          </w:p>
        </w:tc>
      </w:tr>
      <w:tr>
        <w:trPr/>
        <w:tc>
          <w:tcPr>
            <w:tcW w:w="5435"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December 31, 2014</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15" w:type="dxa"/>
            <w:gridSpan w:val="6"/>
            <w:tcBorders/>
            <w:shd w:fill="E5FFFF"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283"/>
              <w:ind w:left="198" w:right="0" w:hanging="198"/>
              <w:rPr>
                <w:rFonts w:ascii="sans-serif" w:hAnsi="sans-serif"/>
                <w:b/>
                <w:sz w:val="22"/>
              </w:rPr>
            </w:pPr>
            <w:r>
              <w:rPr>
                <w:rFonts w:ascii="sans-serif" w:hAnsi="sans-serif"/>
                <w:b/>
                <w:sz w:val="22"/>
              </w:rPr>
              <w:t>Interest Rate Sensitive Instruments</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6"/>
            <w:tcBorders/>
            <w:shd w:fill="auto" w:val="clear"/>
            <w:vAlign w:val="bottom"/>
          </w:tcPr>
          <w:p>
            <w:pPr>
              <w:pStyle w:val="TableContents"/>
              <w:spacing w:before="0" w:after="283"/>
              <w:rPr/>
            </w:pPr>
            <w:r>
              <w:rPr/>
              <w:t> </w:t>
            </w:r>
          </w:p>
        </w:tc>
      </w:tr>
      <w:tr>
        <w:trPr/>
        <w:tc>
          <w:tcPr>
            <w:tcW w:w="5435" w:type="dxa"/>
            <w:tcBorders/>
            <w:shd w:fill="E5FFFF" w:val="clear"/>
            <w:vAlign w:val="bottom"/>
          </w:tcPr>
          <w:p>
            <w:pPr>
              <w:pStyle w:val="TableContents"/>
              <w:spacing w:before="0" w:after="283"/>
              <w:ind w:left="198" w:right="0" w:hanging="0"/>
              <w:rPr>
                <w:rFonts w:ascii="sans-serif" w:hAnsi="sans-serif"/>
                <w:sz w:val="22"/>
              </w:rPr>
            </w:pPr>
            <w:r>
              <w:rPr>
                <w:rFonts w:ascii="sans-serif" w:hAnsi="sans-serif"/>
                <w:sz w:val="22"/>
              </w:rPr>
              <w:t>Long-term debt (including current maturities)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6,985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(6,985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(7,817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18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0" w:type="dxa"/>
            <w:tcBorders/>
            <w:shd w:fill="E5FFFF" w:val="clear"/>
            <w:vAlign w:val="bottom"/>
          </w:tcPr>
          <w:p>
            <w:pPr>
              <w:pStyle w:val="TableContents"/>
              <w:spacing w:before="0" w:after="283"/>
              <w:rPr/>
            </w:pPr>
            <w:r>
              <w:rPr/>
              <w:t> </w:t>
            </w:r>
          </w:p>
        </w:tc>
        <w:tc>
          <w:tcPr>
            <w:tcW w:w="58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(478</w:t>
            </w:r>
          </w:p>
        </w:tc>
        <w:tc>
          <w:tcPr>
            <w:tcW w:w="11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92" w:type="dxa"/>
            <w:tcBorders/>
            <w:shd w:fill="E5FFFF"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283"/>
              <w:ind w:left="198" w:right="0" w:hanging="0"/>
              <w:rPr>
                <w:rFonts w:ascii="sans-serif" w:hAnsi="sans-serif"/>
                <w:sz w:val="22"/>
              </w:rPr>
            </w:pPr>
            <w:r>
              <w:rPr>
                <w:rFonts w:ascii="sans-serif" w:hAnsi="sans-serif"/>
                <w:sz w:val="22"/>
              </w:rPr>
              <w:t>Interest rate swap agreements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2" w:type="dxa"/>
            <w:gridSpan w:val="2"/>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w:t>
            </w:r>
          </w:p>
        </w:tc>
        <w:tc>
          <w:tcPr>
            <w:tcW w:w="11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2" w:type="dxa"/>
            <w:tcBorders/>
            <w:shd w:fill="auto" w:val="clear"/>
            <w:vAlign w:val="bottom"/>
          </w:tcPr>
          <w:p>
            <w:pPr>
              <w:pStyle w:val="TableContents"/>
              <w:spacing w:before="0" w:after="283"/>
              <w:rPr/>
            </w:pPr>
            <w:r>
              <w:rPr/>
              <w:t> </w:t>
            </w:r>
          </w:p>
        </w:tc>
      </w:tr>
      <w:tr>
        <w:trPr/>
        <w:tc>
          <w:tcPr>
            <w:tcW w:w="5435"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Foreign Exchange Rate Sensitive Instruments</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15" w:type="dxa"/>
            <w:gridSpan w:val="6"/>
            <w:tcBorders/>
            <w:shd w:fill="E5FFFF" w:val="clear"/>
            <w:vAlign w:val="bottom"/>
          </w:tcPr>
          <w:p>
            <w:pPr>
              <w:pStyle w:val="TableContents"/>
              <w:spacing w:before="0" w:after="283"/>
              <w:rPr/>
            </w:pPr>
            <w:r>
              <w:rPr/>
              <w:t> </w:t>
            </w:r>
          </w:p>
        </w:tc>
      </w:tr>
      <w:tr>
        <w:trPr/>
        <w:tc>
          <w:tcPr>
            <w:tcW w:w="5435" w:type="dxa"/>
            <w:tcBorders/>
            <w:shd w:fill="auto" w:val="clear"/>
            <w:vAlign w:val="bottom"/>
          </w:tcPr>
          <w:p>
            <w:pPr>
              <w:pStyle w:val="TableContents"/>
              <w:spacing w:before="0" w:after="283"/>
              <w:ind w:left="198" w:right="0" w:hanging="0"/>
              <w:rPr>
                <w:rFonts w:ascii="sans-serif" w:hAnsi="sans-serif"/>
                <w:sz w:val="22"/>
              </w:rPr>
            </w:pPr>
            <w:r>
              <w:rPr>
                <w:rFonts w:ascii="sans-serif" w:hAnsi="sans-serif"/>
                <w:sz w:val="22"/>
              </w:rPr>
              <w:t>Foreign currency exchange contracts(3)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2" w:type="dxa"/>
            <w:gridSpan w:val="2"/>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86</w:t>
            </w:r>
          </w:p>
        </w:tc>
        <w:tc>
          <w:tcPr>
            <w:tcW w:w="204" w:type="dxa"/>
            <w:gridSpan w:val="2"/>
            <w:tcBorders/>
            <w:shd w:fill="auto" w:val="clear"/>
            <w:vAlign w:val="bottom"/>
          </w:tcPr>
          <w:p>
            <w:pPr>
              <w:pStyle w:val="TableContents"/>
              <w:spacing w:before="0" w:after="283"/>
              <w:rPr/>
            </w:pPr>
            <w:r>
              <w:rPr/>
              <w:t> </w:t>
            </w:r>
          </w:p>
        </w:tc>
      </w:tr>
    </w:tbl>
    <w:p>
      <w:pPr>
        <w:pStyle w:val="TextBody"/>
        <w:pBdr>
          <w:top w:val="single" w:sz="4" w:space="1" w:color="000000"/>
        </w:pBdr>
        <w:spacing w:before="176" w:after="176"/>
        <w:ind w:left="227" w:right="227" w:hanging="0"/>
        <w:rPr/>
      </w:pPr>
      <w:r>
        <w:rPr/>
        <w:t> </w:t>
      </w:r>
    </w:p>
    <w:tbl>
      <w:tblPr>
        <w:tblW w:w="10205" w:type="dxa"/>
        <w:jc w:val="left"/>
        <w:tblInd w:w="0" w:type="dxa"/>
        <w:tblCellMar>
          <w:top w:w="0" w:type="dxa"/>
          <w:left w:w="0" w:type="dxa"/>
          <w:bottom w:w="0" w:type="dxa"/>
          <w:right w:w="0" w:type="dxa"/>
        </w:tblCellMar>
      </w:tblPr>
      <w:tblGrid>
        <w:gridCol w:w="75"/>
        <w:gridCol w:w="347"/>
        <w:gridCol w:w="69"/>
        <w:gridCol w:w="9674"/>
        <w:gridCol w:w="40"/>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47"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69" w:type="dxa"/>
            <w:tcBorders/>
            <w:shd w:fill="auto" w:val="clear"/>
          </w:tcPr>
          <w:p>
            <w:pPr>
              <w:pStyle w:val="TableContents"/>
              <w:spacing w:before="0" w:after="283"/>
              <w:rPr/>
            </w:pPr>
            <w:r>
              <w:rPr/>
              <w:t> </w:t>
            </w:r>
          </w:p>
        </w:tc>
        <w:tc>
          <w:tcPr>
            <w:tcW w:w="9674" w:type="dxa"/>
            <w:tcBorders/>
            <w:shd w:fill="auto" w:val="clear"/>
          </w:tcPr>
          <w:p>
            <w:pPr>
              <w:pStyle w:val="TableContents"/>
              <w:spacing w:before="0" w:after="283"/>
              <w:jc w:val="both"/>
              <w:rPr>
                <w:rFonts w:ascii="sans-serif" w:hAnsi="sans-serif"/>
                <w:sz w:val="22"/>
              </w:rPr>
            </w:pPr>
            <w:r>
              <w:rPr>
                <w:rFonts w:ascii="sans-serif" w:hAnsi="sans-serif"/>
                <w:sz w:val="22"/>
              </w:rPr>
              <w:t>Asset or (liability).</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47"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69" w:type="dxa"/>
            <w:tcBorders/>
            <w:shd w:fill="auto" w:val="clear"/>
          </w:tcPr>
          <w:p>
            <w:pPr>
              <w:pStyle w:val="TableContents"/>
              <w:spacing w:before="0" w:after="283"/>
              <w:rPr/>
            </w:pPr>
            <w:r>
              <w:rPr/>
              <w:t> </w:t>
            </w:r>
          </w:p>
        </w:tc>
        <w:tc>
          <w:tcPr>
            <w:tcW w:w="9674"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equal to the inverse of the amount disclosed in the table.</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47"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(3)</w:t>
            </w:r>
          </w:p>
        </w:tc>
        <w:tc>
          <w:tcPr>
            <w:tcW w:w="69" w:type="dxa"/>
            <w:tcBorders/>
            <w:shd w:fill="auto" w:val="clear"/>
          </w:tcPr>
          <w:p>
            <w:pPr>
              <w:pStyle w:val="TableContents"/>
              <w:spacing w:before="0" w:after="283"/>
              <w:rPr/>
            </w:pPr>
            <w:r>
              <w:rPr/>
              <w:t> </w:t>
            </w:r>
          </w:p>
        </w:tc>
        <w:tc>
          <w:tcPr>
            <w:tcW w:w="9674"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Changes in the fair value of foreign currency exchange contracts are offset by changes in the fair value or cash flows of underlying hedged foreign currency transactions.</w:t>
            </w:r>
          </w:p>
        </w:tc>
        <w:tc>
          <w:tcPr>
            <w:tcW w:w="40"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See Note 14 Financial Instruments and Fair Value Measures of Notes to Financial Statements for further discussion on the agreements.</w:t>
      </w:r>
    </w:p>
    <w:p>
      <w:pPr>
        <w:pStyle w:val="TextBody"/>
        <w:spacing w:before="357" w:after="357"/>
        <w:ind w:left="357" w:right="357" w:hanging="0"/>
        <w:rPr>
          <w:rFonts w:ascii="sans-serif" w:hAnsi="sans-serif"/>
          <w:b/>
          <w:sz w:val="26"/>
        </w:rPr>
      </w:pPr>
      <w:r>
        <w:rPr>
          <w:rFonts w:ascii="sans-serif" w:hAnsi="sans-serif"/>
          <w:b/>
          <w:sz w:val="26"/>
        </w:rPr>
        <w:t>CRITICAL ACCOUNTING POLICIES</w:t>
      </w:r>
    </w:p>
    <w:p>
      <w:pPr>
        <w:pStyle w:val="TextBody"/>
        <w:spacing w:before="119" w:after="119"/>
        <w:ind w:left="119" w:right="119" w:firstLine="397"/>
        <w:jc w:val="both"/>
        <w:rPr>
          <w:rFonts w:ascii="sans-serif" w:hAnsi="sans-serif"/>
          <w:sz w:val="22"/>
        </w:rPr>
      </w:pPr>
      <w:r>
        <w:rPr>
          <w:rFonts w:ascii="sans-serif" w:hAnsi="sans-serif"/>
          <w:sz w:val="22"/>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pStyle w:val="TextBody"/>
        <w:spacing w:before="119" w:after="119"/>
        <w:ind w:left="119" w:right="119" w:firstLine="397"/>
        <w:jc w:val="both"/>
        <w:rPr>
          <w:rFonts w:ascii="sans-serif" w:hAnsi="sans-serif"/>
          <w:sz w:val="22"/>
        </w:rPr>
      </w:pPr>
      <w:r>
        <w:rPr>
          <w:rFonts w:ascii="sans-serif" w:hAnsi="sans-serif"/>
          <w:b/>
          <w:i/>
          <w:sz w:val="22"/>
        </w:rPr>
        <w:t>Contingent Liabilities</w:t>
      </w:r>
      <w:r>
        <w:rPr>
          <w:rFonts w:ascii="sans-serif" w:hAnsi="sans-serif"/>
          <w:sz w:val="22"/>
        </w:rPr>
        <w:t>We are subject to a number of lawsuits, investigations and claims (some of which involve substantial dollar amounts) that arise out of the conduct of our global business operations or those of previously owned entities, including matters relating to commercial transactions, government contracts, product liability (including asbestos), prior acquisitions and divestitures, employee benefit plans, intellectual property,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Commitments and Contingencies of Notes to Financial Statements for a discussion of</w:t>
      </w:r>
    </w:p>
    <w:p>
      <w:pPr>
        <w:pStyle w:val="TextBody"/>
        <w:spacing w:before="119" w:after="119"/>
        <w:ind w:left="119" w:right="119" w:hanging="0"/>
        <w:jc w:val="center"/>
        <w:rPr>
          <w:rFonts w:ascii="sans-serif" w:hAnsi="sans-serif"/>
          <w:sz w:val="22"/>
        </w:rPr>
      </w:pPr>
      <w:r>
        <w:rPr>
          <w:rFonts w:ascii="sans-serif" w:hAnsi="sans-serif"/>
          <w:sz w:val="22"/>
        </w:rPr>
        <w:t>27</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rPr>
          <w:rFonts w:ascii="sans-serif" w:hAnsi="sans-serif"/>
          <w:sz w:val="22"/>
        </w:rPr>
      </w:pPr>
      <w:r>
        <w:rPr>
          <w:rFonts w:ascii="sans-serif" w:hAnsi="sans-serif"/>
          <w:sz w:val="22"/>
        </w:rPr>
        <w:t>managements judgment applied in the recognition and measurement of our environmental and asbestos liabilities which represent our most significant contingencies.</w:t>
      </w:r>
    </w:p>
    <w:p>
      <w:pPr>
        <w:pStyle w:val="TextBody"/>
        <w:spacing w:before="119" w:after="119"/>
        <w:ind w:left="119" w:right="119" w:firstLine="397"/>
        <w:jc w:val="both"/>
        <w:rPr>
          <w:rFonts w:ascii="sans-serif" w:hAnsi="sans-serif"/>
          <w:sz w:val="22"/>
        </w:rPr>
      </w:pPr>
      <w:r>
        <w:rPr>
          <w:rFonts w:ascii="sans-serif" w:hAnsi="sans-serif"/>
          <w:b/>
          <w:i/>
          <w:sz w:val="22"/>
        </w:rPr>
        <w:t>Asbestos Related Contingencies and Insurance Recoveries</w:t>
      </w:r>
      <w:r>
        <w:rPr>
          <w:rFonts w:ascii="sans-serif" w:hAnsi="sans-serif"/>
          <w:sz w:val="22"/>
        </w:rPr>
        <w:t>Honeywells involvement in asbestos related personal injury actions relates to two predecessor companies. Regarding North American Refractories Company (NARCO) asbestos related claims, we accrued for pending claims based on terms and conditions in agreements with NARCO, its former parent company, and certain asbestos claimants, and an estimate of the unsettled claims pending as of the time NARCO filed for bankruptcy protection. We also accrued for the estimated value of future NARCO asbestos related claims expected to be asserted against the NARCO Trust through 2018. In light of the inherent uncertainties in making long term projections and in connection with the initial operation of a 524(g) trust, as well as the stay of all NARCO asbestos claims from January 2002 through the effective date of the NARCO Trust on April 30, 2013, we do not believe that we have a reasonable basis for estimating NARCO asbestos claims beyond 2018. Regarding Bendix asbestos related claims, we accrued for the estimated value of pending claims using average resolution values for the previous five years. We also accrued for the estimated value of future anticipated claims related to Bendix for the next five years based on historic claims filing experience and dismissal rates, disease classifications, and average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w:t>
      </w:r>
    </w:p>
    <w:p>
      <w:pPr>
        <w:pStyle w:val="TextBody"/>
        <w:spacing w:before="119" w:after="119"/>
        <w:ind w:left="119" w:right="119" w:firstLine="397"/>
        <w:jc w:val="both"/>
        <w:rPr>
          <w:rFonts w:ascii="sans-serif" w:hAnsi="sans-serif"/>
          <w:sz w:val="22"/>
        </w:rPr>
      </w:pPr>
      <w:r>
        <w:rPr>
          <w:rFonts w:ascii="sans-serif" w:hAnsi="sans-serif"/>
          <w:sz w:val="22"/>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w:t>
      </w:r>
    </w:p>
    <w:p>
      <w:pPr>
        <w:pStyle w:val="TextBody"/>
        <w:spacing w:before="119" w:after="119"/>
        <w:ind w:left="119" w:right="119" w:firstLine="397"/>
        <w:jc w:val="both"/>
        <w:rPr>
          <w:rFonts w:ascii="sans-serif" w:hAnsi="sans-serif"/>
          <w:sz w:val="22"/>
        </w:rPr>
      </w:pPr>
      <w:r>
        <w:rPr>
          <w:rFonts w:ascii="sans-serif" w:hAnsi="sans-serif"/>
          <w:sz w:val="22"/>
        </w:rPr>
        <w:t>See Note 19 Commitments and Contingencies of Notes to Financial Statements for a discussion of managements judgments applied in the recognition and measurement of our asbestos-related liabilities and related insurance recoveries.</w:t>
      </w:r>
    </w:p>
    <w:p>
      <w:pPr>
        <w:pStyle w:val="TextBody"/>
        <w:spacing w:before="119" w:after="119"/>
        <w:ind w:left="119" w:right="119" w:firstLine="397"/>
        <w:jc w:val="both"/>
        <w:rPr>
          <w:rFonts w:ascii="sans-serif" w:hAnsi="sans-serif"/>
          <w:sz w:val="22"/>
        </w:rPr>
      </w:pPr>
      <w:r>
        <w:rPr>
          <w:rFonts w:ascii="sans-serif" w:hAnsi="sans-serif"/>
          <w:b/>
          <w:i/>
          <w:sz w:val="22"/>
        </w:rPr>
        <w:t>Defined Benefit Pension Plans</w:t>
      </w:r>
      <w:r>
        <w:rPr>
          <w:rFonts w:ascii="sans-serif" w:hAnsi="sans-serif"/>
          <w:sz w:val="22"/>
        </w:rPr>
        <w:t>We sponsor both funded and unfunded U.S. and non-U.S. defined benefit pension plans. For financial reporting purposes, net periodic pension (income) expense is calculated annually based upon a number of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a potential mark-to-market adjustment (MTM Adjustment) and service and interest cost, assumed return on plan assets and prior service amortization (Pension Ongoing (Income) Expense).</w:t>
      </w:r>
    </w:p>
    <w:p>
      <w:pPr>
        <w:pStyle w:val="TextBody"/>
        <w:spacing w:before="119" w:after="119"/>
        <w:ind w:left="119" w:right="119" w:firstLine="397"/>
        <w:jc w:val="both"/>
        <w:rPr>
          <w:rFonts w:ascii="sans-serif" w:hAnsi="sans-serif"/>
          <w:sz w:val="22"/>
        </w:rPr>
      </w:pPr>
      <w:r>
        <w:rPr>
          <w:rFonts w:ascii="sans-serif" w:hAnsi="sans-serif"/>
          <w:sz w:val="22"/>
        </w:rPr>
        <w:t>The key assumptions used in developing our 2015, 2014 and 2013 net periodic pension (income) expense for our U.S. plans included the following:</w:t>
      </w:r>
    </w:p>
    <w:tbl>
      <w:tblPr>
        <w:tblW w:w="9110" w:type="dxa"/>
        <w:jc w:val="left"/>
        <w:tblInd w:w="0" w:type="dxa"/>
        <w:tblCellMar>
          <w:top w:w="0" w:type="dxa"/>
          <w:left w:w="0" w:type="dxa"/>
          <w:bottom w:w="0" w:type="dxa"/>
          <w:right w:w="0" w:type="dxa"/>
        </w:tblCellMar>
      </w:tblPr>
      <w:tblGrid>
        <w:gridCol w:w="6275"/>
        <w:gridCol w:w="60"/>
        <w:gridCol w:w="60"/>
        <w:gridCol w:w="60"/>
        <w:gridCol w:w="485"/>
        <w:gridCol w:w="215"/>
        <w:gridCol w:w="60"/>
        <w:gridCol w:w="60"/>
        <w:gridCol w:w="60"/>
        <w:gridCol w:w="60"/>
        <w:gridCol w:w="485"/>
        <w:gridCol w:w="215"/>
        <w:gridCol w:w="60"/>
        <w:gridCol w:w="60"/>
        <w:gridCol w:w="60"/>
        <w:gridCol w:w="60"/>
        <w:gridCol w:w="485"/>
        <w:gridCol w:w="215"/>
        <w:gridCol w:w="75"/>
      </w:tblGrid>
      <w:tr>
        <w:trPr/>
        <w:tc>
          <w:tcPr>
            <w:tcW w:w="6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5"/>
            <w:tcBorders/>
            <w:shd w:fill="auto" w:val="clear"/>
            <w:vAlign w:val="bottom"/>
          </w:tcPr>
          <w:p>
            <w:pPr>
              <w:pStyle w:val="TableContents"/>
              <w:spacing w:before="0" w:after="283"/>
              <w:rPr/>
            </w:pPr>
            <w:r>
              <w:rPr/>
              <w:t> </w:t>
            </w:r>
          </w:p>
        </w:tc>
      </w:tr>
      <w:tr>
        <w:trPr/>
        <w:tc>
          <w:tcPr>
            <w:tcW w:w="627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9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627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Discount rate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4.08</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4.89</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4.06</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27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Assets:</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5"/>
            <w:tcBorders/>
            <w:shd w:fill="auto" w:val="clear"/>
            <w:vAlign w:val="bottom"/>
          </w:tcPr>
          <w:p>
            <w:pPr>
              <w:pStyle w:val="TableContents"/>
              <w:spacing w:before="0" w:after="283"/>
              <w:rPr/>
            </w:pPr>
            <w:r>
              <w:rPr/>
              <w:t> </w:t>
            </w:r>
          </w:p>
        </w:tc>
      </w:tr>
      <w:tr>
        <w:trPr/>
        <w:tc>
          <w:tcPr>
            <w:tcW w:w="627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Expected rate of return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7.75</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7.75</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7.75</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27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Actual rate of return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27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Actual 10 year average annual compounded rate of return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MTM Adjustment represents the recognition of net actuarial gains or losses in excess of the corridor. Net actuarial gains and losses occur when the actual experience differs from any of the</w:t>
      </w:r>
    </w:p>
    <w:p>
      <w:pPr>
        <w:pStyle w:val="TextBody"/>
        <w:spacing w:before="119" w:after="119"/>
        <w:ind w:left="119" w:right="119" w:hanging="0"/>
        <w:jc w:val="center"/>
        <w:rPr>
          <w:rFonts w:ascii="sans-serif" w:hAnsi="sans-serif"/>
          <w:sz w:val="22"/>
        </w:rPr>
      </w:pPr>
      <w:r>
        <w:rPr>
          <w:rFonts w:ascii="sans-serif" w:hAnsi="sans-serif"/>
          <w:sz w:val="22"/>
        </w:rPr>
        <w:t>28</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rPr>
          <w:rFonts w:ascii="sans-serif" w:hAnsi="sans-serif"/>
          <w:sz w:val="22"/>
        </w:rPr>
      </w:pPr>
      <w:r>
        <w:rPr>
          <w:rFonts w:ascii="sans-serif" w:hAnsi="sans-serif"/>
          <w:sz w:val="22"/>
        </w:rPr>
        <w:t>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charges were $67 million, $249 million and $51 million in 2015, 2014 and 2013.</w:t>
      </w:r>
    </w:p>
    <w:p>
      <w:pPr>
        <w:pStyle w:val="TextBody"/>
        <w:spacing w:before="119" w:after="119"/>
        <w:ind w:left="119" w:right="119" w:firstLine="397"/>
        <w:jc w:val="both"/>
        <w:rPr>
          <w:rFonts w:ascii="sans-serif" w:hAnsi="sans-serif"/>
          <w:sz w:val="22"/>
        </w:rPr>
      </w:pPr>
      <w:r>
        <w:rPr>
          <w:rFonts w:ascii="sans-serif" w:hAnsi="sans-serif"/>
          <w:sz w:val="22"/>
        </w:rPr>
        <w:t>We determine the expected long-term rate of return on plan assets utilizing historical plan asset returns over varying long-term periods combined with our expectations of future market conditions and asset mix considerations (see Note 20 Pension and Other Postretirement Benefits of Notes to Financial Statements for details on the actual various asset classes and targeted asset allocation percentages for our pension plans). We plan to continue to use an expected rate of return on plan assets of 7.75% for 2016 as this is a long-term rate based on historical plan asset returns over varying long term periods combined with our expectations of future market conditions and the asset mix of the plans investments.</w:t>
      </w:r>
    </w:p>
    <w:p>
      <w:pPr>
        <w:pStyle w:val="TextBody"/>
        <w:spacing w:before="119" w:after="119"/>
        <w:ind w:left="119" w:right="119" w:firstLine="397"/>
        <w:jc w:val="both"/>
        <w:rPr>
          <w:rFonts w:ascii="sans-serif" w:hAnsi="sans-serif"/>
          <w:sz w:val="22"/>
        </w:rPr>
      </w:pPr>
      <w:r>
        <w:rPr>
          <w:rFonts w:ascii="sans-serif" w:hAnsi="sans-serif"/>
          <w:sz w:val="22"/>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will use a 4.46% discount rate as of December 31, 2015, reflecting the increase in the market interest rate environment since the prior year-end.</w:t>
      </w:r>
    </w:p>
    <w:p>
      <w:pPr>
        <w:pStyle w:val="TextBody"/>
        <w:spacing w:before="119" w:after="119"/>
        <w:ind w:left="119" w:right="119" w:firstLine="397"/>
        <w:jc w:val="both"/>
        <w:rPr>
          <w:rFonts w:ascii="sans-serif" w:hAnsi="sans-serif"/>
          <w:sz w:val="22"/>
        </w:rPr>
      </w:pPr>
      <w:r>
        <w:rPr>
          <w:rFonts w:ascii="sans-serif" w:hAnsi="sans-serif"/>
          <w:sz w:val="22"/>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tbl>
      <w:tblPr>
        <w:tblW w:w="10205" w:type="dxa"/>
        <w:jc w:val="left"/>
        <w:tblInd w:w="0" w:type="dxa"/>
        <w:tblCellMar>
          <w:top w:w="0" w:type="dxa"/>
          <w:left w:w="0" w:type="dxa"/>
          <w:bottom w:w="0" w:type="dxa"/>
          <w:right w:w="0" w:type="dxa"/>
        </w:tblCellMar>
      </w:tblPr>
      <w:tblGrid>
        <w:gridCol w:w="5728"/>
        <w:gridCol w:w="60"/>
        <w:gridCol w:w="2266"/>
        <w:gridCol w:w="60"/>
        <w:gridCol w:w="2091"/>
      </w:tblGrid>
      <w:tr>
        <w:trPr/>
        <w:tc>
          <w:tcPr>
            <w:tcW w:w="57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6"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center"/>
              <w:rPr/>
            </w:pPr>
            <w:r>
              <w:rPr/>
              <w:t> </w:t>
            </w:r>
          </w:p>
        </w:tc>
      </w:tr>
      <w:tr>
        <w:trPr/>
        <w:tc>
          <w:tcPr>
            <w:tcW w:w="5728" w:type="dxa"/>
            <w:tcBorders>
              <w:bottom w:val="single" w:sz="4" w:space="0" w:color="000000"/>
            </w:tcBorders>
            <w:shd w:fill="auto" w:val="clear"/>
            <w:tcMar>
              <w:bottom w:w="28" w:type="dxa"/>
            </w:tcMar>
            <w:vAlign w:val="bottom"/>
          </w:tcPr>
          <w:p>
            <w:pPr>
              <w:pStyle w:val="TableContents"/>
              <w:spacing w:before="0" w:after="283"/>
              <w:ind w:left="198" w:right="0" w:hanging="198"/>
              <w:jc w:val="center"/>
              <w:rPr>
                <w:rFonts w:ascii="sans-serif" w:hAnsi="sans-serif"/>
                <w:b/>
                <w:sz w:val="18"/>
              </w:rPr>
            </w:pPr>
            <w:r>
              <w:rPr>
                <w:rFonts w:ascii="sans-serif" w:hAnsi="sans-serif"/>
                <w:b/>
                <w:sz w:val="18"/>
              </w:rPr>
              <w:t>Change in Assumption</w:t>
            </w:r>
          </w:p>
        </w:tc>
        <w:tc>
          <w:tcPr>
            <w:tcW w:w="60" w:type="dxa"/>
            <w:tcBorders/>
            <w:shd w:fill="auto" w:val="clear"/>
            <w:vAlign w:val="bottom"/>
          </w:tcPr>
          <w:p>
            <w:pPr>
              <w:pStyle w:val="TableContents"/>
              <w:spacing w:before="0" w:after="283"/>
              <w:rPr/>
            </w:pPr>
            <w:r>
              <w:rPr/>
              <w:t> </w:t>
            </w:r>
          </w:p>
        </w:tc>
        <w:tc>
          <w:tcPr>
            <w:tcW w:w="2266"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Impact on 2016</w:t>
              <w:br/>
              <w:t>Pension Ongoing Expense</w:t>
            </w:r>
          </w:p>
        </w:tc>
        <w:tc>
          <w:tcPr>
            <w:tcW w:w="60" w:type="dxa"/>
            <w:tcBorders/>
            <w:shd w:fill="auto" w:val="clear"/>
            <w:vAlign w:val="bottom"/>
          </w:tcPr>
          <w:p>
            <w:pPr>
              <w:pStyle w:val="TableContents"/>
              <w:spacing w:before="0" w:after="283"/>
              <w:rPr/>
            </w:pPr>
            <w:r>
              <w:rPr/>
              <w:t> </w:t>
            </w:r>
          </w:p>
        </w:tc>
        <w:tc>
          <w:tcPr>
            <w:tcW w:w="2091"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Impact on PBO</w:t>
            </w:r>
          </w:p>
        </w:tc>
      </w:tr>
      <w:tr>
        <w:trPr/>
        <w:tc>
          <w:tcPr>
            <w:tcW w:w="5728"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0.25 percentage point decrease in discount rate</w:t>
            </w:r>
          </w:p>
        </w:tc>
        <w:tc>
          <w:tcPr>
            <w:tcW w:w="60" w:type="dxa"/>
            <w:tcBorders/>
            <w:shd w:fill="E5FFFF" w:val="clear"/>
            <w:vAlign w:val="bottom"/>
          </w:tcPr>
          <w:p>
            <w:pPr>
              <w:pStyle w:val="TableContents"/>
              <w:spacing w:before="0" w:after="283"/>
              <w:rPr/>
            </w:pPr>
            <w:r>
              <w:rPr/>
              <w:t> </w:t>
            </w:r>
          </w:p>
        </w:tc>
        <w:tc>
          <w:tcPr>
            <w:tcW w:w="2266"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Decrease $19 million</w:t>
            </w:r>
          </w:p>
        </w:tc>
        <w:tc>
          <w:tcPr>
            <w:tcW w:w="60" w:type="dxa"/>
            <w:tcBorders/>
            <w:shd w:fill="E5FFFF" w:val="clear"/>
            <w:vAlign w:val="bottom"/>
          </w:tcPr>
          <w:p>
            <w:pPr>
              <w:pStyle w:val="TableContents"/>
              <w:spacing w:before="0" w:after="283"/>
              <w:rPr/>
            </w:pPr>
            <w:r>
              <w:rPr/>
              <w:t> </w:t>
            </w:r>
          </w:p>
        </w:tc>
        <w:tc>
          <w:tcPr>
            <w:tcW w:w="2091"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Increase $490 million</w:t>
            </w:r>
          </w:p>
        </w:tc>
      </w:tr>
      <w:tr>
        <w:trPr/>
        <w:tc>
          <w:tcPr>
            <w:tcW w:w="5728"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0.25 percentage point increase in discount rate</w:t>
            </w:r>
          </w:p>
        </w:tc>
        <w:tc>
          <w:tcPr>
            <w:tcW w:w="60" w:type="dxa"/>
            <w:tcBorders/>
            <w:shd w:fill="auto" w:val="clear"/>
            <w:vAlign w:val="bottom"/>
          </w:tcPr>
          <w:p>
            <w:pPr>
              <w:pStyle w:val="TableContents"/>
              <w:spacing w:before="0" w:after="283"/>
              <w:rPr/>
            </w:pPr>
            <w:r>
              <w:rPr/>
              <w:t> </w:t>
            </w:r>
          </w:p>
        </w:tc>
        <w:tc>
          <w:tcPr>
            <w:tcW w:w="2266"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Increase $17 million</w:t>
            </w:r>
          </w:p>
        </w:tc>
        <w:tc>
          <w:tcPr>
            <w:tcW w:w="60"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Decrease $470 million</w:t>
            </w:r>
          </w:p>
        </w:tc>
      </w:tr>
      <w:tr>
        <w:trPr/>
        <w:tc>
          <w:tcPr>
            <w:tcW w:w="5728"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0.25 percentage point decrease in expected rate of return on assets</w:t>
            </w:r>
          </w:p>
        </w:tc>
        <w:tc>
          <w:tcPr>
            <w:tcW w:w="60" w:type="dxa"/>
            <w:tcBorders/>
            <w:shd w:fill="E5FFFF" w:val="clear"/>
            <w:vAlign w:val="bottom"/>
          </w:tcPr>
          <w:p>
            <w:pPr>
              <w:pStyle w:val="TableContents"/>
              <w:spacing w:before="0" w:after="283"/>
              <w:rPr/>
            </w:pPr>
            <w:r>
              <w:rPr/>
              <w:t> </w:t>
            </w:r>
          </w:p>
        </w:tc>
        <w:tc>
          <w:tcPr>
            <w:tcW w:w="2266"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Increase $40 million</w:t>
            </w:r>
          </w:p>
        </w:tc>
        <w:tc>
          <w:tcPr>
            <w:tcW w:w="60" w:type="dxa"/>
            <w:tcBorders/>
            <w:shd w:fill="E5FFFF" w:val="clear"/>
            <w:vAlign w:val="bottom"/>
          </w:tcPr>
          <w:p>
            <w:pPr>
              <w:pStyle w:val="TableContents"/>
              <w:spacing w:before="0" w:after="283"/>
              <w:rPr/>
            </w:pPr>
            <w:r>
              <w:rPr/>
              <w:t> </w:t>
            </w:r>
          </w:p>
        </w:tc>
        <w:tc>
          <w:tcPr>
            <w:tcW w:w="2091"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w:t>
            </w:r>
          </w:p>
        </w:tc>
      </w:tr>
      <w:tr>
        <w:trPr/>
        <w:tc>
          <w:tcPr>
            <w:tcW w:w="5728"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0.25 percentage point increase in expected rate of return on assets</w:t>
            </w:r>
          </w:p>
        </w:tc>
        <w:tc>
          <w:tcPr>
            <w:tcW w:w="60" w:type="dxa"/>
            <w:tcBorders/>
            <w:shd w:fill="auto" w:val="clear"/>
            <w:vAlign w:val="bottom"/>
          </w:tcPr>
          <w:p>
            <w:pPr>
              <w:pStyle w:val="TableContents"/>
              <w:spacing w:before="0" w:after="283"/>
              <w:rPr/>
            </w:pPr>
            <w:r>
              <w:rPr/>
              <w:t> </w:t>
            </w:r>
          </w:p>
        </w:tc>
        <w:tc>
          <w:tcPr>
            <w:tcW w:w="2266"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Decrease $40 million</w:t>
            </w:r>
          </w:p>
        </w:tc>
        <w:tc>
          <w:tcPr>
            <w:tcW w:w="60"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w:t>
            </w:r>
          </w:p>
        </w:tc>
      </w:tr>
    </w:tbl>
    <w:p>
      <w:pPr>
        <w:pStyle w:val="TextBody"/>
        <w:spacing w:before="119" w:after="119"/>
        <w:ind w:left="119" w:right="119" w:firstLine="397"/>
        <w:jc w:val="both"/>
        <w:rPr>
          <w:rFonts w:ascii="sans-serif" w:hAnsi="sans-serif"/>
          <w:sz w:val="22"/>
        </w:rPr>
      </w:pPr>
      <w:r>
        <w:rPr>
          <w:rFonts w:ascii="sans-serif" w:hAnsi="sans-serif"/>
          <w:sz w:val="22"/>
        </w:rPr>
        <w:t>Pension ongoing income for all of our pension plans is expected to be approximately $580 million in 2016 compared with pension ongoing income of $430 million in 2015. The expected increase is primarily due to lower service and interest costs resulting mainly from the change in our discount rate methodology as described in Note 20 Pension and Other Postretirement Benefits of Notes to Financial Statements and the plan amendment in the fourth quarter of 2015 to freeze final average compensation in our U.S. pension plans as of December 31, 2015 partially offset by the impact of lower asset returns in 2015. Also, if required, an MTM Adjustment will be recorded in the fourth quarter of 2016 in accordance with our pension accounting method as previously described. It is difficult to reliably forecast or predict whether there will be a MTM Adjustment in 2016, and if one is required what the magnitude of such adjustment will be. MTM Adjustments are primarily driven by events and circumstances beyond the control of the Company such as changes in interest rates and the performance of the financial markets.</w:t>
      </w:r>
    </w:p>
    <w:p>
      <w:pPr>
        <w:pStyle w:val="TextBody"/>
        <w:spacing w:before="119" w:after="119"/>
        <w:ind w:left="119" w:right="119" w:firstLine="397"/>
        <w:jc w:val="both"/>
        <w:rPr>
          <w:rFonts w:ascii="sans-serif" w:hAnsi="sans-serif"/>
          <w:sz w:val="22"/>
        </w:rPr>
      </w:pPr>
      <w:r>
        <w:rPr>
          <w:rFonts w:ascii="sans-serif" w:hAnsi="sans-serif"/>
          <w:b/>
          <w:i/>
          <w:sz w:val="22"/>
        </w:rPr>
        <w:t>Long-Lived Assets (including Tangible and Finite-Lived Intangible Assets)</w:t>
      </w:r>
      <w:r>
        <w:rPr>
          <w:rFonts w:ascii="sans-serif" w:hAnsi="sans-serif"/>
          <w:sz w:val="22"/>
        </w:rPr>
        <w:t>The determination of useful lives (for depreciation/amortization purposes) and whether or not tangible and intangible assets are impaired involves the use of accounting estimates and assumptions, changes in which could materially impact our financial condition or operating performance if actual results differ from such estimates and assumptions. We evaluate the recoverability of the carrying amount of our long-lived assets whenever events or changes in circumstances indicate that the carrying amount of a long-lived asset group may not be fully recoverable. The principal factors in considering when to perform an impairment review are as follows:</w:t>
      </w:r>
    </w:p>
    <w:p>
      <w:pPr>
        <w:pStyle w:val="TextBody"/>
        <w:spacing w:before="119" w:after="119"/>
        <w:ind w:left="119" w:right="119" w:hanging="0"/>
        <w:jc w:val="center"/>
        <w:rPr>
          <w:rFonts w:ascii="sans-serif" w:hAnsi="sans-serif"/>
          <w:sz w:val="22"/>
        </w:rPr>
      </w:pPr>
      <w:r>
        <w:rPr>
          <w:rFonts w:ascii="sans-serif" w:hAnsi="sans-serif"/>
          <w:sz w:val="22"/>
        </w:rPr>
        <w:t>29</w:t>
      </w:r>
    </w:p>
    <w:p>
      <w:pPr>
        <w:pStyle w:val="HorizontalLine"/>
        <w:pBdr>
          <w:bottom w:val="single" w:sz="20" w:space="0" w:color="000000"/>
        </w:pBdr>
        <w:rPr/>
      </w:pPr>
      <w:r>
        <w:rPr/>
      </w:r>
      <w:r>
        <w:br w:type="page"/>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5"/>
        <w:gridCol w:w="287"/>
        <w:gridCol w:w="86"/>
        <w:gridCol w:w="9718"/>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86" w:type="dxa"/>
            <w:tcBorders/>
            <w:shd w:fill="auto" w:val="clear"/>
          </w:tcPr>
          <w:p>
            <w:pPr>
              <w:pStyle w:val="TableContents"/>
              <w:spacing w:before="0" w:after="283"/>
              <w:rPr/>
            </w:pPr>
            <w:r>
              <w:rPr/>
              <w:t> </w:t>
            </w:r>
          </w:p>
        </w:tc>
        <w:tc>
          <w:tcPr>
            <w:tcW w:w="9718" w:type="dxa"/>
            <w:tcBorders/>
            <w:shd w:fill="auto" w:val="clear"/>
          </w:tcPr>
          <w:p>
            <w:pPr>
              <w:pStyle w:val="TableContents"/>
              <w:spacing w:before="0" w:after="283"/>
              <w:rPr>
                <w:rFonts w:ascii="sans-serif" w:hAnsi="sans-serif"/>
                <w:sz w:val="22"/>
              </w:rPr>
            </w:pPr>
            <w:r>
              <w:rPr>
                <w:rFonts w:ascii="sans-serif" w:hAnsi="sans-serif"/>
                <w:sz w:val="22"/>
              </w:rPr>
              <w:t>Significant under-performance (i.e., declines in sales, earnings or cash flows) of a business or product line in relation to expectations;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86" w:type="dxa"/>
            <w:tcBorders/>
            <w:shd w:fill="auto" w:val="clear"/>
          </w:tcPr>
          <w:p>
            <w:pPr>
              <w:pStyle w:val="TableContents"/>
              <w:spacing w:before="0" w:after="283"/>
              <w:rPr/>
            </w:pPr>
            <w:r>
              <w:rPr/>
              <w:t> </w:t>
            </w:r>
          </w:p>
        </w:tc>
        <w:tc>
          <w:tcPr>
            <w:tcW w:w="971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Annual operating plans or five-year strategic plans that indicate an unfavorable trend in operating performance of a business or product line;</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86" w:type="dxa"/>
            <w:tcBorders/>
            <w:shd w:fill="auto" w:val="clear"/>
          </w:tcPr>
          <w:p>
            <w:pPr>
              <w:pStyle w:val="TableContents"/>
              <w:spacing w:before="0" w:after="283"/>
              <w:rPr/>
            </w:pPr>
            <w:r>
              <w:rPr/>
              <w:t> </w:t>
            </w:r>
          </w:p>
        </w:tc>
        <w:tc>
          <w:tcPr>
            <w:tcW w:w="971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Significant negative industry or economic trends; or</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86" w:type="dxa"/>
            <w:tcBorders/>
            <w:shd w:fill="auto" w:val="clear"/>
          </w:tcPr>
          <w:p>
            <w:pPr>
              <w:pStyle w:val="TableContents"/>
              <w:spacing w:before="0" w:after="283"/>
              <w:rPr/>
            </w:pPr>
            <w:r>
              <w:rPr/>
              <w:t> </w:t>
            </w:r>
          </w:p>
        </w:tc>
        <w:tc>
          <w:tcPr>
            <w:tcW w:w="971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Significant changes or planned changes in our use of the assets.</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expected industry growth rates, our assumptions as to volume, selling prices and costs, and the discount rate selected.</w:t>
      </w:r>
    </w:p>
    <w:p>
      <w:pPr>
        <w:pStyle w:val="TextBody"/>
        <w:spacing w:before="119" w:after="119"/>
        <w:ind w:left="119" w:right="119" w:firstLine="397"/>
        <w:jc w:val="both"/>
        <w:rPr>
          <w:rFonts w:ascii="sans-serif" w:hAnsi="sans-serif"/>
          <w:sz w:val="22"/>
        </w:rPr>
      </w:pPr>
      <w:r>
        <w:rPr>
          <w:rFonts w:ascii="sans-serif" w:hAnsi="sans-serif"/>
          <w:b/>
          <w:i/>
          <w:sz w:val="22"/>
        </w:rPr>
        <w:t>Goodwill and Indefinite-Lived Intangible Assets Impairment Testing</w:t>
      </w:r>
      <w:r>
        <w:rPr>
          <w:rFonts w:ascii="sans-serif" w:hAnsi="sans-serif"/>
          <w:sz w:val="22"/>
        </w:rPr>
        <w:t>In testing goodwill and indefinite-lived intangible assets, the fair value is estimated utilizing a discounted cash flow approach utilizing cash flow forecasts in our five year strategic and annual operating plans adjusted for terminal value assumptions. These impairment tests involve the use of accounting estimates and assumptions, changes in which could materially impact our financial condition or operating performance if actual results differ from such estimates and assumptions. To address this uncertainty we perform sensitivity analysis on key estimates and assumptions.</w:t>
      </w:r>
    </w:p>
    <w:p>
      <w:pPr>
        <w:pStyle w:val="TextBody"/>
        <w:spacing w:before="119" w:after="119"/>
        <w:ind w:left="119" w:right="119" w:firstLine="397"/>
        <w:jc w:val="both"/>
        <w:rPr>
          <w:rFonts w:ascii="sans-serif" w:hAnsi="sans-serif"/>
          <w:sz w:val="22"/>
        </w:rPr>
      </w:pPr>
      <w:r>
        <w:rPr>
          <w:rFonts w:ascii="sans-serif" w:hAnsi="sans-serif"/>
          <w:b/>
          <w:i/>
          <w:sz w:val="22"/>
        </w:rPr>
        <w:t>Income Taxes</w:t>
      </w:r>
      <w:r>
        <w:rPr>
          <w:rFonts w:ascii="sans-serif" w:hAnsi="sans-serif"/>
          <w:sz w:val="22"/>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pStyle w:val="TextBody"/>
        <w:spacing w:before="119" w:after="119"/>
        <w:ind w:left="119" w:right="119" w:firstLine="397"/>
        <w:jc w:val="both"/>
        <w:rPr>
          <w:rFonts w:ascii="sans-serif" w:hAnsi="sans-serif"/>
          <w:sz w:val="22"/>
        </w:rPr>
      </w:pPr>
      <w:r>
        <w:rPr>
          <w:rFonts w:ascii="sans-serif" w:hAnsi="sans-serif"/>
          <w:b/>
          <w:i/>
          <w:sz w:val="22"/>
        </w:rPr>
        <w:t>Sales Recognition on Long-Term Contracts</w:t>
      </w:r>
      <w:r>
        <w:rPr>
          <w:rFonts w:ascii="sans-serif" w:hAnsi="sans-serif"/>
          <w:sz w:val="22"/>
        </w:rPr>
        <w:t>In 2015, we recognized approximately 14% of our total net sales using the percentage-of-completion method for long-term contracts. These long-term contracts are measured on the cost-to-cost basis for engineering-type contracts and the units-of-delivery basis for production-type contracts. Accounting for these contracts involves management 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pStyle w:val="TextBody"/>
        <w:spacing w:before="119" w:after="119"/>
        <w:ind w:left="119" w:right="119" w:hanging="0"/>
        <w:jc w:val="center"/>
        <w:rPr>
          <w:rFonts w:ascii="sans-serif" w:hAnsi="sans-serif"/>
          <w:sz w:val="22"/>
        </w:rPr>
      </w:pPr>
      <w:r>
        <w:rPr>
          <w:rFonts w:ascii="sans-serif" w:hAnsi="sans-serif"/>
          <w:sz w:val="22"/>
        </w:rPr>
        <w:t>30</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6"/>
        </w:rPr>
      </w:pPr>
      <w:r>
        <w:rPr>
          <w:rFonts w:ascii="sans-serif" w:hAnsi="sans-serif"/>
          <w:b/>
          <w:sz w:val="26"/>
        </w:rPr>
        <w:t>OTHER MATTERS</w:t>
      </w:r>
    </w:p>
    <w:p>
      <w:pPr>
        <w:pStyle w:val="TextBody"/>
        <w:spacing w:before="198" w:after="198"/>
        <w:ind w:left="198" w:right="198" w:hanging="0"/>
        <w:rPr>
          <w:rFonts w:ascii="sans-serif" w:hAnsi="sans-serif"/>
          <w:b/>
          <w:sz w:val="22"/>
        </w:rPr>
      </w:pPr>
      <w:r>
        <w:rPr>
          <w:rFonts w:ascii="sans-serif" w:hAnsi="sans-serif"/>
          <w:b/>
          <w:sz w:val="22"/>
        </w:rPr>
        <w:t>Litigation</w:t>
      </w:r>
    </w:p>
    <w:p>
      <w:pPr>
        <w:pStyle w:val="TextBody"/>
        <w:spacing w:before="119" w:after="119"/>
        <w:ind w:left="119" w:right="119" w:firstLine="397"/>
        <w:jc w:val="both"/>
        <w:rPr>
          <w:rFonts w:ascii="sans-serif" w:hAnsi="sans-serif"/>
          <w:sz w:val="22"/>
        </w:rPr>
      </w:pPr>
      <w:r>
        <w:rPr>
          <w:rFonts w:ascii="sans-serif" w:hAnsi="sans-serif"/>
          <w:sz w:val="22"/>
        </w:rPr>
        <w:t>See Note 19 Commitments and Contingencies of Notes to Financial Statements for a discussion of environmental, asbestos and other litigation matters.</w:t>
      </w:r>
    </w:p>
    <w:p>
      <w:pPr>
        <w:pStyle w:val="TextBody"/>
        <w:spacing w:before="357" w:after="357"/>
        <w:ind w:left="357" w:right="357" w:hanging="0"/>
        <w:rPr>
          <w:rFonts w:ascii="sans-serif" w:hAnsi="sans-serif"/>
          <w:b/>
          <w:sz w:val="22"/>
        </w:rPr>
      </w:pPr>
      <w:r>
        <w:rPr>
          <w:rFonts w:ascii="sans-serif" w:hAnsi="sans-serif"/>
          <w:b/>
          <w:sz w:val="22"/>
        </w:rPr>
        <w:t>Recent Accounting Pronouncements</w:t>
      </w:r>
    </w:p>
    <w:p>
      <w:pPr>
        <w:pStyle w:val="TextBody"/>
        <w:spacing w:before="119" w:after="119"/>
        <w:ind w:left="119" w:right="119" w:firstLine="397"/>
        <w:jc w:val="both"/>
        <w:rPr>
          <w:rFonts w:ascii="sans-serif" w:hAnsi="sans-serif"/>
          <w:sz w:val="22"/>
        </w:rPr>
      </w:pPr>
      <w:r>
        <w:rPr>
          <w:rFonts w:ascii="sans-serif" w:hAnsi="sans-serif"/>
          <w:sz w:val="22"/>
        </w:rPr>
        <w:t>See Note 1 Summary of Significant Accounting Policies of Notes to Financial Statements for a discussion of recent accounting pronouncements.</w:t>
      </w:r>
    </w:p>
    <w:p>
      <w:pPr>
        <w:pStyle w:val="TextBody"/>
        <w:spacing w:before="278" w:after="278"/>
        <w:ind w:left="278" w:right="278" w:hanging="0"/>
        <w:rPr>
          <w:rFonts w:ascii="sans-serif" w:hAnsi="sans-serif"/>
          <w:b/>
          <w:sz w:val="26"/>
        </w:rPr>
      </w:pPr>
      <w:r>
        <w:rPr>
          <w:rFonts w:ascii="sans-serif" w:hAnsi="sans-serif"/>
          <w:b/>
          <w:sz w:val="26"/>
        </w:rPr>
        <w:t xml:space="preserve">Item 7A. </w:t>
      </w:r>
      <w:bookmarkStart w:id="12" w:name="c83288_quantitative1"/>
      <w:bookmarkEnd w:id="12"/>
      <w:r>
        <w:rPr>
          <w:rFonts w:ascii="sans-serif" w:hAnsi="sans-serif"/>
          <w:b/>
          <w:sz w:val="26"/>
        </w:rPr>
        <w:t>Quantitative and Qualitative Disclosures About Market Risks</w:t>
      </w:r>
    </w:p>
    <w:p>
      <w:pPr>
        <w:pStyle w:val="TextBody"/>
        <w:spacing w:before="119" w:after="119"/>
        <w:ind w:left="119" w:right="119" w:firstLine="397"/>
        <w:jc w:val="both"/>
        <w:rPr>
          <w:rFonts w:ascii="sans-serif" w:hAnsi="sans-serif"/>
          <w:sz w:val="22"/>
        </w:rPr>
      </w:pPr>
      <w:r>
        <w:rPr>
          <w:rFonts w:ascii="sans-serif" w:hAnsi="sans-serif"/>
          <w:sz w:val="22"/>
        </w:rPr>
        <w:t>Information relating to market risks is included in Item 7. Managements Discussion and Analysis of Financial Condition and Results of Operations under the caption Financial Instruments.</w:t>
      </w:r>
    </w:p>
    <w:p>
      <w:pPr>
        <w:pStyle w:val="TextBody"/>
        <w:spacing w:before="119" w:after="119"/>
        <w:ind w:left="119" w:right="119" w:hanging="0"/>
        <w:jc w:val="center"/>
        <w:rPr>
          <w:rFonts w:ascii="sans-serif" w:hAnsi="sans-serif"/>
          <w:sz w:val="22"/>
        </w:rPr>
      </w:pPr>
      <w:r>
        <w:rPr>
          <w:rFonts w:ascii="sans-serif" w:hAnsi="sans-serif"/>
          <w:sz w:val="22"/>
        </w:rPr>
        <w:t>31</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rPr>
          <w:rFonts w:ascii="sans-serif" w:hAnsi="sans-serif"/>
          <w:b/>
          <w:sz w:val="26"/>
        </w:rPr>
      </w:pPr>
      <w:bookmarkStart w:id="13" w:name="c83288_financial1"/>
      <w:bookmarkEnd w:id="13"/>
      <w:r>
        <w:rPr>
          <w:rFonts w:ascii="sans-serif" w:hAnsi="sans-serif"/>
          <w:b/>
          <w:sz w:val="26"/>
        </w:rPr>
        <w:t>ITEM 8. Financial Statements and Supplementary Data</w:t>
      </w:r>
    </w:p>
    <w:p>
      <w:pPr>
        <w:pStyle w:val="TextBody"/>
        <w:spacing w:before="198" w:after="198"/>
        <w:ind w:left="198" w:right="198" w:hanging="0"/>
        <w:jc w:val="center"/>
        <w:rPr/>
      </w:pPr>
      <w:r>
        <w:rPr>
          <w:rFonts w:ascii="sans-serif" w:hAnsi="sans-serif"/>
          <w:b/>
          <w:sz w:val="26"/>
        </w:rPr>
        <w:t>HONEYWELL INTERNATIONAL INC.</w:t>
      </w:r>
      <w:r>
        <w:rPr>
          <w:rFonts w:ascii="sans-serif" w:hAnsi="sans-serif"/>
          <w:b/>
          <w:sz w:val="22"/>
        </w:rPr>
        <w:br/>
        <w:t>CONSOLIDATED STATEMENT OF OPERATIONS</w:t>
      </w:r>
    </w:p>
    <w:tbl>
      <w:tblPr>
        <w:tblW w:w="10055" w:type="dxa"/>
        <w:jc w:val="left"/>
        <w:tblInd w:w="0" w:type="dxa"/>
        <w:tblCellMar>
          <w:top w:w="0" w:type="dxa"/>
          <w:left w:w="0" w:type="dxa"/>
          <w:bottom w:w="0" w:type="dxa"/>
          <w:right w:w="0" w:type="dxa"/>
        </w:tblCellMar>
      </w:tblPr>
      <w:tblGrid>
        <w:gridCol w:w="6305"/>
        <w:gridCol w:w="60"/>
        <w:gridCol w:w="60"/>
        <w:gridCol w:w="155"/>
        <w:gridCol w:w="60"/>
        <w:gridCol w:w="755"/>
        <w:gridCol w:w="95"/>
        <w:gridCol w:w="60"/>
        <w:gridCol w:w="60"/>
        <w:gridCol w:w="60"/>
        <w:gridCol w:w="155"/>
        <w:gridCol w:w="60"/>
        <w:gridCol w:w="755"/>
        <w:gridCol w:w="95"/>
        <w:gridCol w:w="60"/>
        <w:gridCol w:w="60"/>
        <w:gridCol w:w="60"/>
        <w:gridCol w:w="155"/>
        <w:gridCol w:w="60"/>
        <w:gridCol w:w="755"/>
        <w:gridCol w:w="95"/>
        <w:gridCol w:w="75"/>
      </w:tblGrid>
      <w:tr>
        <w:trPr/>
        <w:tc>
          <w:tcPr>
            <w:tcW w:w="63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630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690"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630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20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630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690" w:type="dxa"/>
            <w:gridSpan w:val="20"/>
            <w:tcBorders/>
            <w:shd w:fill="auto" w:val="clear"/>
            <w:vAlign w:val="bottom"/>
          </w:tcPr>
          <w:p>
            <w:pPr>
              <w:pStyle w:val="TableContents"/>
              <w:spacing w:before="0" w:after="283"/>
              <w:jc w:val="center"/>
              <w:rPr>
                <w:rFonts w:ascii="sans-serif" w:hAnsi="sans-serif"/>
                <w:b/>
                <w:sz w:val="18"/>
              </w:rPr>
            </w:pPr>
            <w:r>
              <w:rPr>
                <w:rFonts w:ascii="sans-serif" w:hAnsi="sans-serif"/>
                <w:b/>
                <w:sz w:val="18"/>
              </w:rPr>
              <w:t>(Dollars in millions,</w:t>
              <w:br/>
              <w:t>except per share amounts)</w:t>
            </w:r>
          </w:p>
        </w:tc>
      </w:tr>
      <w:tr>
        <w:trPr/>
        <w:tc>
          <w:tcPr>
            <w:tcW w:w="63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Product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30,695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32,398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31,214</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Service sales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7,886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7,908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7,841</w:t>
            </w:r>
          </w:p>
        </w:tc>
        <w:tc>
          <w:tcPr>
            <w:tcW w:w="170" w:type="dxa"/>
            <w:gridSpan w:val="2"/>
            <w:tcBorders/>
            <w:shd w:fill="auto"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38,581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40,306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39,055</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Costs, expenses and other</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Cost of products sold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21,775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23,889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23,317</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Cost of services sold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4,972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5,068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5,047</w:t>
            </w:r>
          </w:p>
        </w:tc>
        <w:tc>
          <w:tcPr>
            <w:tcW w:w="170" w:type="dxa"/>
            <w:gridSpan w:val="2"/>
            <w:tcBorders/>
            <w:shd w:fill="auto"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26,747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28,957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28,364</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Selling, general and administrative expenses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5,006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5,518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5,190</w:t>
            </w:r>
          </w:p>
        </w:tc>
        <w:tc>
          <w:tcPr>
            <w:tcW w:w="170" w:type="dxa"/>
            <w:gridSpan w:val="2"/>
            <w:tcBorders/>
            <w:shd w:fill="auto" w:val="cle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Other (income) expense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Interest and other financial charges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327</w:t>
            </w:r>
          </w:p>
        </w:tc>
        <w:tc>
          <w:tcPr>
            <w:tcW w:w="170" w:type="dxa"/>
            <w:gridSpan w:val="2"/>
            <w:tcBorders/>
            <w:shd w:fill="auto"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31,995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34,488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33,643</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Income from continuing operations before taxes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6,586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5,818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5,412</w:t>
            </w:r>
          </w:p>
        </w:tc>
        <w:tc>
          <w:tcPr>
            <w:tcW w:w="170" w:type="dxa"/>
            <w:gridSpan w:val="2"/>
            <w:tcBorders/>
            <w:shd w:fill="auto" w:val="cle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Tax expense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1,739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1,489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1,450</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4,847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4,329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3,962</w:t>
            </w:r>
          </w:p>
        </w:tc>
        <w:tc>
          <w:tcPr>
            <w:tcW w:w="170" w:type="dxa"/>
            <w:gridSpan w:val="2"/>
            <w:tcBorders/>
            <w:shd w:fill="auto" w:val="cle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Less: Net income attributable to the noncontrolling interest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income attributable to Honeywell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4,768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4,239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3,924</w:t>
            </w:r>
          </w:p>
        </w:tc>
        <w:tc>
          <w:tcPr>
            <w:tcW w:w="170" w:type="dxa"/>
            <w:gridSpan w:val="2"/>
            <w:tcBorders/>
            <w:shd w:fill="auto"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 of common stockbasic</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4.99</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 of common stockassuming dilution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4.92</w:t>
            </w:r>
          </w:p>
        </w:tc>
        <w:tc>
          <w:tcPr>
            <w:tcW w:w="170" w:type="dxa"/>
            <w:gridSpan w:val="2"/>
            <w:tcBorders/>
            <w:shd w:fill="auto"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Cash dividends per share of common stock</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1.68</w:t>
            </w:r>
          </w:p>
        </w:tc>
        <w:tc>
          <w:tcPr>
            <w:tcW w:w="170" w:type="dxa"/>
            <w:gridSpan w:val="2"/>
            <w:tcBorders/>
            <w:shd w:fill="E5FFFF" w:val="clear"/>
            <w:vAlign w:val="bottom"/>
          </w:tcPr>
          <w:p>
            <w:pPr>
              <w:pStyle w:val="TableContents"/>
              <w:spacing w:before="0" w:after="283"/>
              <w:rPr/>
            </w:pPr>
            <w:r>
              <w:rPr/>
              <w:t> </w:t>
            </w:r>
          </w:p>
        </w:tc>
      </w:tr>
      <w:tr>
        <w:trPr/>
        <w:tc>
          <w:tcPr>
            <w:tcW w:w="63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jc w:val="center"/>
        <w:rPr>
          <w:rFonts w:ascii="sans-serif" w:hAnsi="sans-serif"/>
          <w:sz w:val="22"/>
        </w:rPr>
      </w:pPr>
      <w:r>
        <w:rPr>
          <w:rFonts w:ascii="sans-serif" w:hAnsi="sans-serif"/>
          <w:sz w:val="22"/>
        </w:rPr>
        <w:t>The Notes to Financial Statements are an integral part of this statement.</w:t>
      </w:r>
    </w:p>
    <w:p>
      <w:pPr>
        <w:pStyle w:val="TextBody"/>
        <w:spacing w:before="119" w:after="119"/>
        <w:ind w:left="119" w:right="119" w:hanging="0"/>
        <w:jc w:val="center"/>
        <w:rPr>
          <w:rFonts w:ascii="sans-serif" w:hAnsi="sans-serif"/>
          <w:sz w:val="22"/>
        </w:rPr>
      </w:pPr>
      <w:r>
        <w:rPr>
          <w:rFonts w:ascii="sans-serif" w:hAnsi="sans-serif"/>
          <w:sz w:val="22"/>
        </w:rPr>
        <w:t>32</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pPr>
      <w:r>
        <w:rPr>
          <w:rFonts w:ascii="sans-serif" w:hAnsi="sans-serif"/>
          <w:b/>
          <w:sz w:val="26"/>
        </w:rPr>
        <w:t>HONEYWELL INTERNATIONAL INC.</w:t>
      </w:r>
      <w:r>
        <w:rPr>
          <w:rFonts w:ascii="sans-serif" w:hAnsi="sans-serif"/>
          <w:b/>
          <w:sz w:val="22"/>
        </w:rPr>
        <w:br/>
        <w:t>CONSOLIDATED STATEMENT OF COMPREHENSIVE INCOME</w:t>
      </w:r>
    </w:p>
    <w:tbl>
      <w:tblPr>
        <w:tblW w:w="10205" w:type="dxa"/>
        <w:jc w:val="left"/>
        <w:tblInd w:w="0" w:type="dxa"/>
        <w:tblCellMar>
          <w:top w:w="0" w:type="dxa"/>
          <w:left w:w="0" w:type="dxa"/>
          <w:bottom w:w="0" w:type="dxa"/>
          <w:right w:w="0" w:type="dxa"/>
        </w:tblCellMar>
      </w:tblPr>
      <w:tblGrid>
        <w:gridCol w:w="6710"/>
        <w:gridCol w:w="60"/>
        <w:gridCol w:w="60"/>
        <w:gridCol w:w="155"/>
        <w:gridCol w:w="60"/>
        <w:gridCol w:w="695"/>
        <w:gridCol w:w="95"/>
        <w:gridCol w:w="60"/>
        <w:gridCol w:w="60"/>
        <w:gridCol w:w="60"/>
        <w:gridCol w:w="155"/>
        <w:gridCol w:w="60"/>
        <w:gridCol w:w="695"/>
        <w:gridCol w:w="95"/>
        <w:gridCol w:w="60"/>
        <w:gridCol w:w="60"/>
        <w:gridCol w:w="60"/>
        <w:gridCol w:w="155"/>
        <w:gridCol w:w="60"/>
        <w:gridCol w:w="620"/>
        <w:gridCol w:w="95"/>
        <w:gridCol w:w="75"/>
      </w:tblGrid>
      <w:tr>
        <w:trPr/>
        <w:tc>
          <w:tcPr>
            <w:tcW w:w="6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671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43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671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671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435" w:type="dxa"/>
            <w:gridSpan w:val="20"/>
            <w:tcBorders/>
            <w:shd w:fill="auto" w:val="clear"/>
            <w:vAlign w:val="bottom"/>
          </w:tcPr>
          <w:p>
            <w:pPr>
              <w:pStyle w:val="TableContents"/>
              <w:spacing w:before="0" w:after="283"/>
              <w:jc w:val="center"/>
              <w:rPr>
                <w:rFonts w:ascii="sans-serif" w:hAnsi="sans-serif"/>
                <w:b/>
                <w:sz w:val="18"/>
              </w:rPr>
            </w:pPr>
            <w:r>
              <w:rPr>
                <w:rFonts w:ascii="sans-serif" w:hAnsi="sans-serif"/>
                <w:b/>
                <w:sz w:val="18"/>
              </w:rPr>
              <w:t>(Dollars in millions)</w:t>
            </w:r>
          </w:p>
        </w:tc>
      </w:tr>
      <w:tr>
        <w:trPr/>
        <w:tc>
          <w:tcPr>
            <w:tcW w:w="67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income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4,847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4,329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3,962</w:t>
            </w:r>
          </w:p>
        </w:tc>
        <w:tc>
          <w:tcPr>
            <w:tcW w:w="170" w:type="dxa"/>
            <w:gridSpan w:val="2"/>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comprehensive income (loss), net of tax</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Foreign exchange translation adjustment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(1,152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(1,044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Actuarial gains (losses)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(464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(1,411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2,064</w:t>
            </w:r>
          </w:p>
        </w:tc>
        <w:tc>
          <w:tcPr>
            <w:tcW w:w="170" w:type="dxa"/>
            <w:gridSpan w:val="2"/>
            <w:tcBorders/>
            <w:shd w:fill="auto" w:val="cle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Prior service credit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w:t>
            </w:r>
          </w:p>
        </w:tc>
        <w:tc>
          <w:tcPr>
            <w:tcW w:w="170" w:type="dxa"/>
            <w:gridSpan w:val="2"/>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Prior service cost (credit) recognized during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w:t>
            </w:r>
          </w:p>
        </w:tc>
        <w:tc>
          <w:tcPr>
            <w:tcW w:w="170" w:type="dxa"/>
            <w:gridSpan w:val="2"/>
            <w:tcBorders/>
            <w:shd w:fill="auto" w:val="cle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Actuarial losses recognized during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w:t>
            </w:r>
          </w:p>
        </w:tc>
        <w:tc>
          <w:tcPr>
            <w:tcW w:w="170" w:type="dxa"/>
            <w:gridSpan w:val="2"/>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Transition obligation recognized during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70" w:type="dxa"/>
            <w:gridSpan w:val="2"/>
            <w:tcBorders/>
            <w:shd w:fill="auto" w:val="cle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Settlements and curtailments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Foreign exchange translation and 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Pensions and other postretirement benefit adjustments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(1,083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2,203</w:t>
            </w:r>
          </w:p>
        </w:tc>
        <w:tc>
          <w:tcPr>
            <w:tcW w:w="170" w:type="dxa"/>
            <w:gridSpan w:val="2"/>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Unrealized gains for the period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140</w:t>
            </w:r>
          </w:p>
        </w:tc>
        <w:tc>
          <w:tcPr>
            <w:tcW w:w="170" w:type="dxa"/>
            <w:gridSpan w:val="2"/>
            <w:tcBorders/>
            <w:shd w:fill="auto" w:val="cle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Less: reclassification adjustment for gains included in net income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127</w:t>
            </w:r>
          </w:p>
        </w:tc>
        <w:tc>
          <w:tcPr>
            <w:tcW w:w="170" w:type="dxa"/>
            <w:gridSpan w:val="2"/>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Changes in fair value of available for sale investments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w:t>
            </w:r>
          </w:p>
        </w:tc>
        <w:tc>
          <w:tcPr>
            <w:tcW w:w="170" w:type="dxa"/>
            <w:gridSpan w:val="2"/>
            <w:tcBorders/>
            <w:shd w:fill="auto" w:val="cle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Effective portion of cash flow hedges recognized in other comprehensive income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Less: reclassification adjustment for gains (losses) included in net 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Changes in fair value of effective cash flow hedges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comprehensive income (loss), net of tax</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(1,076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(2,277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2,157</w:t>
            </w:r>
          </w:p>
        </w:tc>
        <w:tc>
          <w:tcPr>
            <w:tcW w:w="170" w:type="dxa"/>
            <w:gridSpan w:val="2"/>
            <w:tcBorders/>
            <w:shd w:fill="auto" w:val="cle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Comprehensive income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3,771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2,052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6,119</w:t>
            </w:r>
          </w:p>
        </w:tc>
        <w:tc>
          <w:tcPr>
            <w:tcW w:w="170" w:type="dxa"/>
            <w:gridSpan w:val="2"/>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Less: Comprehensive income attributable to the noncontrolling 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36</w:t>
            </w:r>
          </w:p>
        </w:tc>
        <w:tc>
          <w:tcPr>
            <w:tcW w:w="170" w:type="dxa"/>
            <w:gridSpan w:val="2"/>
            <w:tcBorders/>
            <w:shd w:fill="auto"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7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Comprehensive income attributable to Honeywell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3,698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1,965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6,083</w:t>
            </w:r>
          </w:p>
        </w:tc>
        <w:tc>
          <w:tcPr>
            <w:tcW w:w="170" w:type="dxa"/>
            <w:gridSpan w:val="2"/>
            <w:tcBorders/>
            <w:shd w:fill="E5FFFF" w:val="clear"/>
            <w:vAlign w:val="bottom"/>
          </w:tcPr>
          <w:p>
            <w:pPr>
              <w:pStyle w:val="TableContents"/>
              <w:spacing w:before="0" w:after="283"/>
              <w:rPr/>
            </w:pPr>
            <w:r>
              <w:rPr/>
              <w:t> </w:t>
            </w:r>
          </w:p>
        </w:tc>
      </w:tr>
      <w:tr>
        <w:trPr/>
        <w:tc>
          <w:tcPr>
            <w:tcW w:w="67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jc w:val="center"/>
        <w:rPr>
          <w:rFonts w:ascii="sans-serif" w:hAnsi="sans-serif"/>
          <w:sz w:val="22"/>
        </w:rPr>
      </w:pPr>
      <w:r>
        <w:rPr>
          <w:rFonts w:ascii="sans-serif" w:hAnsi="sans-serif"/>
          <w:sz w:val="22"/>
        </w:rPr>
        <w:t>The Notes to Financial Statements are an integral part of this statement.</w:t>
      </w:r>
    </w:p>
    <w:p>
      <w:pPr>
        <w:pStyle w:val="TextBody"/>
        <w:spacing w:before="119" w:after="119"/>
        <w:ind w:left="119" w:right="119" w:hanging="0"/>
        <w:jc w:val="center"/>
        <w:rPr>
          <w:rFonts w:ascii="sans-serif" w:hAnsi="sans-serif"/>
          <w:sz w:val="22"/>
        </w:rPr>
      </w:pPr>
      <w:r>
        <w:rPr>
          <w:rFonts w:ascii="sans-serif" w:hAnsi="sans-serif"/>
          <w:sz w:val="22"/>
        </w:rPr>
        <w:t>33</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pPr>
      <w:r>
        <w:rPr>
          <w:rFonts w:ascii="sans-serif" w:hAnsi="sans-serif"/>
          <w:b/>
          <w:sz w:val="26"/>
        </w:rPr>
        <w:t>HONEYWELL INTERNATIONAL INC.</w:t>
      </w:r>
      <w:r>
        <w:rPr>
          <w:rFonts w:ascii="sans-serif" w:hAnsi="sans-serif"/>
          <w:b/>
          <w:sz w:val="22"/>
        </w:rPr>
        <w:br/>
        <w:t>CONSOLIDATED BALANCE SHEET</w:t>
      </w:r>
    </w:p>
    <w:tbl>
      <w:tblPr>
        <w:tblW w:w="10205" w:type="dxa"/>
        <w:jc w:val="left"/>
        <w:tblInd w:w="0" w:type="dxa"/>
        <w:tblCellMar>
          <w:top w:w="0" w:type="dxa"/>
          <w:left w:w="0" w:type="dxa"/>
          <w:bottom w:w="0" w:type="dxa"/>
          <w:right w:w="0" w:type="dxa"/>
        </w:tblCellMar>
      </w:tblPr>
      <w:tblGrid>
        <w:gridCol w:w="7625"/>
        <w:gridCol w:w="60"/>
        <w:gridCol w:w="60"/>
        <w:gridCol w:w="155"/>
        <w:gridCol w:w="60"/>
        <w:gridCol w:w="830"/>
        <w:gridCol w:w="95"/>
        <w:gridCol w:w="60"/>
        <w:gridCol w:w="60"/>
        <w:gridCol w:w="60"/>
        <w:gridCol w:w="155"/>
        <w:gridCol w:w="60"/>
        <w:gridCol w:w="755"/>
        <w:gridCol w:w="95"/>
        <w:gridCol w:w="75"/>
      </w:tblGrid>
      <w:tr>
        <w:trPr/>
        <w:tc>
          <w:tcPr>
            <w:tcW w:w="76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762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520"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762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26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20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762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520" w:type="dxa"/>
            <w:gridSpan w:val="13"/>
            <w:tcBorders/>
            <w:shd w:fill="auto" w:val="clear"/>
            <w:vAlign w:val="bottom"/>
          </w:tcPr>
          <w:p>
            <w:pPr>
              <w:pStyle w:val="TableContents"/>
              <w:spacing w:before="0" w:after="283"/>
              <w:jc w:val="center"/>
              <w:rPr>
                <w:rFonts w:ascii="sans-serif" w:hAnsi="sans-serif"/>
                <w:b/>
                <w:sz w:val="18"/>
              </w:rPr>
            </w:pPr>
            <w:r>
              <w:rPr>
                <w:rFonts w:ascii="sans-serif" w:hAnsi="sans-serif"/>
                <w:b/>
                <w:sz w:val="18"/>
              </w:rPr>
              <w:t>(Dollars in millions)</w:t>
            </w:r>
          </w:p>
        </w:tc>
      </w:tr>
      <w:tr>
        <w:trPr/>
        <w:tc>
          <w:tcPr>
            <w:tcW w:w="7625" w:type="dxa"/>
            <w:tcBorders/>
            <w:shd w:fill="E5FFFF" w:val="clear"/>
            <w:vAlign w:val="bottom"/>
          </w:tcPr>
          <w:p>
            <w:pPr>
              <w:pStyle w:val="TableContents"/>
              <w:spacing w:before="0" w:after="283"/>
              <w:ind w:left="198" w:right="0" w:hanging="198"/>
              <w:rPr>
                <w:rFonts w:ascii="sans-serif" w:hAnsi="sans-serif"/>
                <w:b/>
                <w:sz w:val="18"/>
              </w:rPr>
            </w:pPr>
            <w:r>
              <w:rPr>
                <w:rFonts w:ascii="sans-serif" w:hAnsi="sans-serif"/>
                <w:b/>
                <w:sz w:val="18"/>
              </w:rPr>
              <w:t>ASSETS</w:t>
            </w:r>
          </w:p>
        </w:tc>
        <w:tc>
          <w:tcPr>
            <w:tcW w:w="60" w:type="dxa"/>
            <w:tcBorders/>
            <w:shd w:fill="E5FFFF" w:val="clear"/>
            <w:vAlign w:val="bottom"/>
          </w:tcPr>
          <w:p>
            <w:pPr>
              <w:pStyle w:val="TableContents"/>
              <w:spacing w:before="0" w:after="283"/>
              <w:rPr/>
            </w:pPr>
            <w:r>
              <w:rPr/>
              <w:t> </w:t>
            </w:r>
          </w:p>
        </w:tc>
        <w:tc>
          <w:tcPr>
            <w:tcW w:w="126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00" w:type="dxa"/>
            <w:gridSpan w:val="6"/>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Current assets:</w:t>
            </w:r>
          </w:p>
        </w:tc>
        <w:tc>
          <w:tcPr>
            <w:tcW w:w="60" w:type="dxa"/>
            <w:tcBorders/>
            <w:shd w:fill="auto" w:val="clear"/>
            <w:vAlign w:val="bottom"/>
          </w:tcPr>
          <w:p>
            <w:pPr>
              <w:pStyle w:val="TableContents"/>
              <w:spacing w:before="0" w:after="283"/>
              <w:rPr/>
            </w:pPr>
            <w:r>
              <w:rPr/>
              <w:t> </w:t>
            </w:r>
          </w:p>
        </w:tc>
        <w:tc>
          <w:tcPr>
            <w:tcW w:w="126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Cash and cash equivalents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5,455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6,959</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Accounts, notes and other receivables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8,075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7,960</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Inventories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4,420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4,405</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Deferred income taxes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722</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Investments and other current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2,103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2,145</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998" w:right="0" w:hanging="198"/>
              <w:rPr>
                <w:rFonts w:ascii="sans-serif" w:hAnsi="sans-serif"/>
                <w:sz w:val="22"/>
              </w:rPr>
            </w:pPr>
            <w:r>
              <w:rPr>
                <w:rFonts w:ascii="sans-serif" w:hAnsi="sans-serif"/>
                <w:sz w:val="22"/>
              </w:rPr>
              <w:t>Total current assets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20,053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22,191</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Investments and long-term receivables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465</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Property, plant and equipmentnet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5,789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5,383</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Goodwill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15,895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12,788</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intangible assetsnet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4,577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2,208</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Insurance recoveries for asbestos related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454</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Deferred income taxes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404</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1,776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1,558</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998" w:right="0" w:hanging="198"/>
              <w:rPr>
                <w:rFonts w:ascii="sans-serif" w:hAnsi="sans-serif"/>
                <w:sz w:val="22"/>
              </w:rPr>
            </w:pPr>
            <w:r>
              <w:rPr>
                <w:rFonts w:ascii="sans-serif" w:hAnsi="sans-serif"/>
                <w:sz w:val="22"/>
              </w:rPr>
              <w:t>Total assets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49,316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45,451</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b/>
                <w:sz w:val="18"/>
              </w:rPr>
            </w:pPr>
            <w:r>
              <w:rPr>
                <w:rFonts w:ascii="sans-serif" w:hAnsi="sans-serif"/>
                <w:b/>
                <w:sz w:val="18"/>
              </w:rPr>
              <w:t>LIABILITIES</w:t>
            </w:r>
          </w:p>
        </w:tc>
        <w:tc>
          <w:tcPr>
            <w:tcW w:w="60" w:type="dxa"/>
            <w:tcBorders/>
            <w:shd w:fill="E5FFFF" w:val="clear"/>
            <w:vAlign w:val="bottom"/>
          </w:tcPr>
          <w:p>
            <w:pPr>
              <w:pStyle w:val="TableContents"/>
              <w:spacing w:before="0" w:after="283"/>
              <w:rPr/>
            </w:pPr>
            <w:r>
              <w:rPr/>
              <w:t> </w:t>
            </w:r>
          </w:p>
        </w:tc>
        <w:tc>
          <w:tcPr>
            <w:tcW w:w="126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00" w:type="dxa"/>
            <w:gridSpan w:val="6"/>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Current liabilities:</w:t>
            </w:r>
          </w:p>
        </w:tc>
        <w:tc>
          <w:tcPr>
            <w:tcW w:w="60" w:type="dxa"/>
            <w:tcBorders/>
            <w:shd w:fill="auto" w:val="clear"/>
            <w:vAlign w:val="bottom"/>
          </w:tcPr>
          <w:p>
            <w:pPr>
              <w:pStyle w:val="TableContents"/>
              <w:spacing w:before="0" w:after="283"/>
              <w:rPr/>
            </w:pPr>
            <w:r>
              <w:rPr/>
              <w:t> </w:t>
            </w:r>
          </w:p>
        </w:tc>
        <w:tc>
          <w:tcPr>
            <w:tcW w:w="126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Accounts payable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5,580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5,365</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Commercial paper and other short-term borrowings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5,937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1,698</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Current maturities of long-term debt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939</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Accrued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6,277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6,771</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998" w:right="0" w:hanging="198"/>
              <w:rPr>
                <w:rFonts w:ascii="sans-serif" w:hAnsi="sans-serif"/>
                <w:sz w:val="22"/>
              </w:rPr>
            </w:pPr>
            <w:r>
              <w:rPr>
                <w:rFonts w:ascii="sans-serif" w:hAnsi="sans-serif"/>
                <w:sz w:val="22"/>
              </w:rPr>
              <w:t>Total current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18,371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14,773</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Long-term debt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5,554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6,046</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Deferred income taxes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558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236</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Postretirement benefit obligations other than pensions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526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911</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Asbestos related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1,251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1,200</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4,348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4,282</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Redeemable noncontrolling interest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219</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b/>
                <w:sz w:val="18"/>
              </w:rPr>
            </w:pPr>
            <w:r>
              <w:rPr>
                <w:rFonts w:ascii="sans-serif" w:hAnsi="sans-serif"/>
                <w:b/>
                <w:sz w:val="18"/>
              </w:rPr>
              <w:t>SHAREOWNERS EQUITY</w:t>
            </w:r>
          </w:p>
        </w:tc>
        <w:tc>
          <w:tcPr>
            <w:tcW w:w="60" w:type="dxa"/>
            <w:tcBorders/>
            <w:shd w:fill="auto" w:val="clear"/>
            <w:vAlign w:val="bottom"/>
          </w:tcPr>
          <w:p>
            <w:pPr>
              <w:pStyle w:val="TableContents"/>
              <w:spacing w:before="0" w:after="283"/>
              <w:rPr/>
            </w:pPr>
            <w:r>
              <w:rPr/>
              <w:t> </w:t>
            </w:r>
          </w:p>
        </w:tc>
        <w:tc>
          <w:tcPr>
            <w:tcW w:w="126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Capitalcommon stock issued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958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958</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799" w:right="0" w:hanging="204"/>
              <w:rPr>
                <w:rFonts w:ascii="sans-serif" w:hAnsi="sans-serif"/>
                <w:sz w:val="22"/>
              </w:rPr>
            </w:pPr>
            <w:r>
              <w:rPr>
                <w:rFonts w:ascii="sans-serif" w:hAnsi="sans-serif"/>
                <w:sz w:val="22"/>
              </w:rPr>
              <w:t>additional paid-in capital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5,377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5,038</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Common stock held in treasury, at cost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(11,664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(9,995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Accumulated other comprehensive income (loss)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(2,535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(1,459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Retained earnings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26,147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23,115</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998" w:right="0" w:hanging="198"/>
              <w:rPr>
                <w:rFonts w:ascii="sans-serif" w:hAnsi="sans-serif"/>
                <w:sz w:val="22"/>
              </w:rPr>
            </w:pPr>
            <w:r>
              <w:rPr>
                <w:rFonts w:ascii="sans-serif" w:hAnsi="sans-serif"/>
                <w:sz w:val="22"/>
              </w:rPr>
              <w:t>Total Honeywell shareowners equity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18,283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17,657</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Noncontrolling interest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127</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998" w:right="0" w:hanging="198"/>
              <w:rPr>
                <w:rFonts w:ascii="sans-serif" w:hAnsi="sans-serif"/>
                <w:sz w:val="22"/>
              </w:rPr>
            </w:pPr>
            <w:r>
              <w:rPr>
                <w:rFonts w:ascii="sans-serif" w:hAnsi="sans-serif"/>
                <w:sz w:val="22"/>
              </w:rPr>
              <w:t>Total shareowners equity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3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18,418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17,784</w:t>
            </w:r>
          </w:p>
        </w:tc>
        <w:tc>
          <w:tcPr>
            <w:tcW w:w="170" w:type="dxa"/>
            <w:gridSpan w:val="2"/>
            <w:tcBorders/>
            <w:shd w:fill="auto"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625" w:type="dxa"/>
            <w:tcBorders/>
            <w:shd w:fill="E5FFFF" w:val="clear"/>
            <w:vAlign w:val="bottom"/>
          </w:tcPr>
          <w:p>
            <w:pPr>
              <w:pStyle w:val="TableContents"/>
              <w:spacing w:before="0" w:after="283"/>
              <w:ind w:left="998" w:right="0" w:hanging="198"/>
              <w:rPr>
                <w:rFonts w:ascii="sans-serif" w:hAnsi="sans-serif"/>
                <w:sz w:val="22"/>
              </w:rPr>
            </w:pPr>
            <w:r>
              <w:rPr>
                <w:rFonts w:ascii="sans-serif" w:hAnsi="sans-serif"/>
                <w:sz w:val="22"/>
              </w:rPr>
              <w:t>Total liabilities, redeemable noncontrolling interest and shareowners equity</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83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49,316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45,451</w:t>
            </w:r>
          </w:p>
        </w:tc>
        <w:tc>
          <w:tcPr>
            <w:tcW w:w="170" w:type="dxa"/>
            <w:gridSpan w:val="2"/>
            <w:tcBorders/>
            <w:shd w:fill="E5FFFF" w:val="clear"/>
            <w:vAlign w:val="bottom"/>
          </w:tcPr>
          <w:p>
            <w:pPr>
              <w:pStyle w:val="TableContents"/>
              <w:spacing w:before="0" w:after="283"/>
              <w:rPr/>
            </w:pPr>
            <w:r>
              <w:rPr/>
              <w:t> </w:t>
            </w:r>
          </w:p>
        </w:tc>
      </w:tr>
      <w:tr>
        <w:trPr/>
        <w:tc>
          <w:tcPr>
            <w:tcW w:w="7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6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jc w:val="center"/>
        <w:rPr>
          <w:rFonts w:ascii="sans-serif" w:hAnsi="sans-serif"/>
          <w:sz w:val="22"/>
        </w:rPr>
      </w:pPr>
      <w:r>
        <w:rPr>
          <w:rFonts w:ascii="sans-serif" w:hAnsi="sans-serif"/>
          <w:sz w:val="22"/>
        </w:rPr>
        <w:t>The Notes to Financial Statements are an integral part of this statement.</w:t>
      </w:r>
    </w:p>
    <w:p>
      <w:pPr>
        <w:pStyle w:val="TextBody"/>
        <w:spacing w:before="119" w:after="119"/>
        <w:ind w:left="119" w:right="119" w:hanging="0"/>
        <w:jc w:val="center"/>
        <w:rPr>
          <w:rFonts w:ascii="sans-serif" w:hAnsi="sans-serif"/>
          <w:sz w:val="22"/>
        </w:rPr>
      </w:pPr>
      <w:r>
        <w:rPr>
          <w:rFonts w:ascii="sans-serif" w:hAnsi="sans-serif"/>
          <w:sz w:val="22"/>
        </w:rPr>
        <w:t>34</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pPr>
      <w:r>
        <w:rPr>
          <w:rFonts w:ascii="sans-serif" w:hAnsi="sans-serif"/>
          <w:b/>
          <w:sz w:val="26"/>
        </w:rPr>
        <w:t>HONEYWELL INTERNATIONAL INC.</w:t>
      </w:r>
      <w:r>
        <w:rPr>
          <w:rFonts w:ascii="sans-serif" w:hAnsi="sans-serif"/>
          <w:b/>
          <w:sz w:val="22"/>
        </w:rPr>
        <w:br/>
        <w:t>CONSOLIDATED STATEMENT OF CASH FLOWS</w:t>
      </w:r>
    </w:p>
    <w:tbl>
      <w:tblPr>
        <w:tblW w:w="10205" w:type="dxa"/>
        <w:jc w:val="left"/>
        <w:tblInd w:w="0" w:type="dxa"/>
        <w:tblCellMar>
          <w:top w:w="0" w:type="dxa"/>
          <w:left w:w="0" w:type="dxa"/>
          <w:bottom w:w="0" w:type="dxa"/>
          <w:right w:w="0" w:type="dxa"/>
        </w:tblCellMar>
      </w:tblPr>
      <w:tblGrid>
        <w:gridCol w:w="6860"/>
        <w:gridCol w:w="60"/>
        <w:gridCol w:w="60"/>
        <w:gridCol w:w="140"/>
        <w:gridCol w:w="60"/>
        <w:gridCol w:w="635"/>
        <w:gridCol w:w="95"/>
        <w:gridCol w:w="60"/>
        <w:gridCol w:w="60"/>
        <w:gridCol w:w="60"/>
        <w:gridCol w:w="140"/>
        <w:gridCol w:w="60"/>
        <w:gridCol w:w="635"/>
        <w:gridCol w:w="95"/>
        <w:gridCol w:w="60"/>
        <w:gridCol w:w="60"/>
        <w:gridCol w:w="60"/>
        <w:gridCol w:w="140"/>
        <w:gridCol w:w="60"/>
        <w:gridCol w:w="635"/>
        <w:gridCol w:w="95"/>
        <w:gridCol w:w="75"/>
      </w:tblGrid>
      <w:tr>
        <w:trPr/>
        <w:tc>
          <w:tcPr>
            <w:tcW w:w="68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6860" w:type="dxa"/>
            <w:vMerge w:val="restart"/>
            <w:tcBorders/>
            <w:shd w:fill="auto" w:val="clear"/>
            <w:vAlign w:val="bottom"/>
          </w:tcPr>
          <w:p>
            <w:pPr>
              <w:pStyle w:val="TableContents"/>
              <w:spacing w:before="0" w:after="283"/>
              <w:ind w:left="181" w:right="0" w:hanging="181"/>
              <w:jc w:val="center"/>
              <w:rPr/>
            </w:pPr>
            <w:r>
              <w:rPr/>
              <w:t> </w:t>
            </w:r>
          </w:p>
        </w:tc>
        <w:tc>
          <w:tcPr>
            <w:tcW w:w="60" w:type="dxa"/>
            <w:tcBorders/>
            <w:shd w:fill="auto" w:val="clear"/>
            <w:vAlign w:val="bottom"/>
          </w:tcPr>
          <w:p>
            <w:pPr>
              <w:pStyle w:val="TableContents"/>
              <w:spacing w:before="0" w:after="283"/>
              <w:rPr/>
            </w:pPr>
            <w:r>
              <w:rPr/>
              <w:t> </w:t>
            </w:r>
          </w:p>
        </w:tc>
        <w:tc>
          <w:tcPr>
            <w:tcW w:w="328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68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6860" w:type="dxa"/>
            <w:tcBorders/>
            <w:shd w:fill="auto" w:val="clear"/>
            <w:vAlign w:val="bottom"/>
          </w:tcPr>
          <w:p>
            <w:pPr>
              <w:pStyle w:val="TableContents"/>
              <w:spacing w:before="0" w:after="283"/>
              <w:ind w:left="181" w:right="0" w:hanging="181"/>
              <w:jc w:val="center"/>
              <w:rPr/>
            </w:pPr>
            <w:r>
              <w:rPr/>
              <w:t> </w:t>
            </w:r>
          </w:p>
        </w:tc>
        <w:tc>
          <w:tcPr>
            <w:tcW w:w="60" w:type="dxa"/>
            <w:tcBorders/>
            <w:shd w:fill="auto" w:val="clear"/>
            <w:vAlign w:val="bottom"/>
          </w:tcPr>
          <w:p>
            <w:pPr>
              <w:pStyle w:val="TableContents"/>
              <w:spacing w:before="0" w:after="283"/>
              <w:rPr/>
            </w:pPr>
            <w:r>
              <w:rPr/>
              <w:t> </w:t>
            </w:r>
          </w:p>
        </w:tc>
        <w:tc>
          <w:tcPr>
            <w:tcW w:w="3285" w:type="dxa"/>
            <w:gridSpan w:val="20"/>
            <w:tcBorders/>
            <w:shd w:fill="auto" w:val="clear"/>
            <w:vAlign w:val="bottom"/>
          </w:tcPr>
          <w:p>
            <w:pPr>
              <w:pStyle w:val="TableContents"/>
              <w:spacing w:before="0" w:after="283"/>
              <w:jc w:val="center"/>
              <w:rPr>
                <w:rFonts w:ascii="sans-serif" w:hAnsi="sans-serif"/>
                <w:b/>
                <w:sz w:val="18"/>
              </w:rPr>
            </w:pPr>
            <w:r>
              <w:rPr>
                <w:rFonts w:ascii="sans-serif" w:hAnsi="sans-serif"/>
                <w:b/>
                <w:sz w:val="18"/>
              </w:rPr>
              <w:t>(Dollars in millions)</w:t>
            </w:r>
          </w:p>
        </w:tc>
      </w:tr>
      <w:tr>
        <w:trPr/>
        <w:tc>
          <w:tcPr>
            <w:tcW w:w="6860" w:type="dxa"/>
            <w:tcBorders/>
            <w:shd w:fill="E5FFFF" w:val="clear"/>
            <w:vAlign w:val="bottom"/>
          </w:tcPr>
          <w:p>
            <w:pPr>
              <w:pStyle w:val="TableContents"/>
              <w:spacing w:before="0" w:after="283"/>
              <w:ind w:left="181" w:right="0" w:hanging="181"/>
              <w:rPr>
                <w:rFonts w:ascii="sans-serif" w:hAnsi="sans-serif"/>
                <w:b/>
                <w:sz w:val="20"/>
              </w:rPr>
            </w:pPr>
            <w:r>
              <w:rPr>
                <w:rFonts w:ascii="sans-serif" w:hAnsi="sans-serif"/>
                <w:b/>
                <w:sz w:val="20"/>
              </w:rPr>
              <w:t>Cash flows from operating activities:</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Net 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4,847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4,329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3,962</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Less: Net income attributable to the noncontrolling interest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79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38</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Net income attributable to Honeywell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4,768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4,239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3,924</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Adjustments to reconcile net income attributable to Honeywell to net cash provided by operating activities:</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896" w:right="0" w:hanging="176"/>
              <w:rPr>
                <w:rFonts w:ascii="sans-serif" w:hAnsi="sans-serif"/>
                <w:sz w:val="20"/>
              </w:rPr>
            </w:pPr>
            <w:r>
              <w:rPr>
                <w:rFonts w:ascii="sans-serif" w:hAnsi="sans-serif"/>
                <w:sz w:val="20"/>
              </w:rPr>
              <w:t>Depreciation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672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667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670</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896" w:right="0" w:hanging="176"/>
              <w:rPr>
                <w:rFonts w:ascii="sans-serif" w:hAnsi="sans-serif"/>
                <w:sz w:val="20"/>
              </w:rPr>
            </w:pPr>
            <w:r>
              <w:rPr>
                <w:rFonts w:ascii="sans-serif" w:hAnsi="sans-serif"/>
                <w:sz w:val="20"/>
              </w:rPr>
              <w:t>Amortization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257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319</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896" w:right="0" w:hanging="176"/>
              <w:rPr>
                <w:rFonts w:ascii="sans-serif" w:hAnsi="sans-serif"/>
                <w:sz w:val="20"/>
              </w:rPr>
            </w:pPr>
            <w:r>
              <w:rPr>
                <w:rFonts w:ascii="sans-serif" w:hAnsi="sans-serif"/>
                <w:sz w:val="20"/>
              </w:rPr>
              <w:t>Loss on sale of non-strategic businesses and assets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20</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896" w:right="0" w:hanging="176"/>
              <w:rPr>
                <w:rFonts w:ascii="sans-serif" w:hAnsi="sans-serif"/>
                <w:sz w:val="20"/>
              </w:rPr>
            </w:pPr>
            <w:r>
              <w:rPr>
                <w:rFonts w:ascii="sans-serif" w:hAnsi="sans-serif"/>
                <w:sz w:val="20"/>
              </w:rPr>
              <w:t>Gain on sale of available for sale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(221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(195</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896" w:right="0" w:hanging="176"/>
              <w:rPr>
                <w:rFonts w:ascii="sans-serif" w:hAnsi="sans-serif"/>
                <w:sz w:val="20"/>
              </w:rPr>
            </w:pPr>
            <w:r>
              <w:rPr>
                <w:rFonts w:ascii="sans-serif" w:hAnsi="sans-serif"/>
                <w:sz w:val="20"/>
              </w:rPr>
              <w:t>Repositioning and other charges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546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598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663</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896" w:right="0" w:hanging="176"/>
              <w:rPr>
                <w:rFonts w:ascii="sans-serif" w:hAnsi="sans-serif"/>
                <w:sz w:val="20"/>
              </w:rPr>
            </w:pPr>
            <w:r>
              <w:rPr>
                <w:rFonts w:ascii="sans-serif" w:hAnsi="sans-serif"/>
                <w:sz w:val="20"/>
              </w:rPr>
              <w:t>Net payments for repositioning and other charges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(537</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(530</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(763</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896" w:right="0" w:hanging="176"/>
              <w:rPr>
                <w:rFonts w:ascii="sans-serif" w:hAnsi="sans-serif"/>
                <w:sz w:val="20"/>
              </w:rPr>
            </w:pPr>
            <w:r>
              <w:rPr>
                <w:rFonts w:ascii="sans-serif" w:hAnsi="sans-serif"/>
                <w:sz w:val="20"/>
              </w:rPr>
              <w:t>Pension and other postretirement (income) expense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(323</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(19</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896" w:right="0" w:hanging="176"/>
              <w:rPr>
                <w:rFonts w:ascii="sans-serif" w:hAnsi="sans-serif"/>
                <w:sz w:val="20"/>
              </w:rPr>
            </w:pPr>
            <w:r>
              <w:rPr>
                <w:rFonts w:ascii="sans-serif" w:hAnsi="sans-serif"/>
                <w:sz w:val="20"/>
              </w:rPr>
              <w:t>Pension and other postretirement benefit payments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(122</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(167</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(298</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896" w:right="0" w:hanging="176"/>
              <w:rPr>
                <w:rFonts w:ascii="sans-serif" w:hAnsi="sans-serif"/>
                <w:sz w:val="20"/>
              </w:rPr>
            </w:pPr>
            <w:r>
              <w:rPr>
                <w:rFonts w:ascii="sans-serif" w:hAnsi="sans-serif"/>
                <w:sz w:val="20"/>
              </w:rPr>
              <w:t>Stock compensation expense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175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187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170</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896" w:right="0" w:hanging="176"/>
              <w:rPr>
                <w:rFonts w:ascii="sans-serif" w:hAnsi="sans-serif"/>
                <w:sz w:val="20"/>
              </w:rPr>
            </w:pPr>
            <w:r>
              <w:rPr>
                <w:rFonts w:ascii="sans-serif" w:hAnsi="sans-serif"/>
                <w:sz w:val="20"/>
              </w:rPr>
              <w:t>Deferred income taxes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315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132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262</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896" w:right="0" w:hanging="176"/>
              <w:rPr>
                <w:rFonts w:ascii="sans-serif" w:hAnsi="sans-serif"/>
                <w:sz w:val="20"/>
              </w:rPr>
            </w:pPr>
            <w:r>
              <w:rPr>
                <w:rFonts w:ascii="sans-serif" w:hAnsi="sans-serif"/>
                <w:sz w:val="20"/>
              </w:rPr>
              <w:t>Excess tax benefits from share based payment arrangements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(81</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(102</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(132</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896" w:right="0" w:hanging="176"/>
              <w:rPr>
                <w:rFonts w:ascii="sans-serif" w:hAnsi="sans-serif"/>
                <w:sz w:val="20"/>
              </w:rPr>
            </w:pPr>
            <w:r>
              <w:rPr>
                <w:rFonts w:ascii="sans-serif" w:hAnsi="sans-serif"/>
                <w:sz w:val="20"/>
              </w:rPr>
              <w:t>Other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(8</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(327</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308</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896" w:right="0" w:hanging="176"/>
              <w:rPr>
                <w:rFonts w:ascii="sans-serif" w:hAnsi="sans-serif"/>
                <w:sz w:val="20"/>
              </w:rPr>
            </w:pPr>
            <w:r>
              <w:rPr>
                <w:rFonts w:ascii="sans-serif" w:hAnsi="sans-serif"/>
                <w:sz w:val="20"/>
              </w:rPr>
              <w:t>Changes in assets and liabilities, net of the effects of acquisitions and divestitures:</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1253" w:right="0" w:hanging="176"/>
              <w:rPr>
                <w:rFonts w:ascii="sans-serif" w:hAnsi="sans-serif"/>
                <w:sz w:val="20"/>
              </w:rPr>
            </w:pPr>
            <w:r>
              <w:rPr>
                <w:rFonts w:ascii="sans-serif" w:hAnsi="sans-serif"/>
                <w:sz w:val="20"/>
              </w:rPr>
              <w:t>Accounts, notes and other receivables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(172</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(365</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253" w:right="0" w:hanging="176"/>
              <w:rPr>
                <w:rFonts w:ascii="sans-serif" w:hAnsi="sans-serif"/>
                <w:sz w:val="20"/>
              </w:rPr>
            </w:pPr>
            <w:r>
              <w:rPr>
                <w:rFonts w:ascii="sans-serif" w:hAnsi="sans-serif"/>
                <w:sz w:val="20"/>
              </w:rPr>
              <w:t>Inventories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230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(200</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41</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1253" w:right="0" w:hanging="176"/>
              <w:rPr>
                <w:rFonts w:ascii="sans-serif" w:hAnsi="sans-serif"/>
                <w:sz w:val="20"/>
              </w:rPr>
            </w:pPr>
            <w:r>
              <w:rPr>
                <w:rFonts w:ascii="sans-serif" w:hAnsi="sans-serif"/>
                <w:sz w:val="20"/>
              </w:rPr>
              <w:t>Other current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80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120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(421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253" w:right="0" w:hanging="176"/>
              <w:rPr>
                <w:rFonts w:ascii="sans-serif" w:hAnsi="sans-serif"/>
                <w:sz w:val="20"/>
              </w:rPr>
            </w:pPr>
            <w:r>
              <w:rPr>
                <w:rFonts w:ascii="sans-serif" w:hAnsi="sans-serif"/>
                <w:sz w:val="20"/>
              </w:rPr>
              <w:t>Accounts payable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(17</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307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352</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1253" w:right="0" w:hanging="176"/>
              <w:rPr>
                <w:rFonts w:ascii="sans-serif" w:hAnsi="sans-serif"/>
                <w:sz w:val="20"/>
              </w:rPr>
            </w:pPr>
            <w:r>
              <w:rPr>
                <w:rFonts w:ascii="sans-serif" w:hAnsi="sans-serif"/>
                <w:sz w:val="20"/>
              </w:rPr>
              <w:t>Accrued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(667</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181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(201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434" w:right="0" w:hanging="181"/>
              <w:rPr>
                <w:rFonts w:ascii="sans-serif" w:hAnsi="sans-serif"/>
                <w:sz w:val="20"/>
              </w:rPr>
            </w:pPr>
            <w:r>
              <w:rPr>
                <w:rFonts w:ascii="sans-serif" w:hAnsi="sans-serif"/>
                <w:sz w:val="20"/>
              </w:rPr>
              <w:t>Net cash provided by operating activities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5,454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5,024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4,335</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181" w:right="0" w:hanging="181"/>
              <w:rPr>
                <w:rFonts w:ascii="sans-serif" w:hAnsi="sans-serif"/>
                <w:b/>
                <w:sz w:val="20"/>
              </w:rPr>
            </w:pPr>
            <w:r>
              <w:rPr>
                <w:rFonts w:ascii="sans-serif" w:hAnsi="sans-serif"/>
                <w:b/>
                <w:sz w:val="20"/>
              </w:rPr>
              <w:t>Cash flows from investing activities:</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Expenditures for property, plant and equipment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(1,073</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(1,094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(947</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Proceeds from disposals of property, plant and equipment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15</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Increase in investments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(6,714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(4,074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(1,220</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Decrease in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6,587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3,288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1,122</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Cash paid for acquisitions, net of cash acquired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(5,228</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(1,133</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Proceeds from sales of businesses, net of fees paid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160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(102</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(170</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201</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1434" w:right="0" w:hanging="181"/>
              <w:rPr>
                <w:rFonts w:ascii="sans-serif" w:hAnsi="sans-serif"/>
                <w:sz w:val="20"/>
              </w:rPr>
            </w:pPr>
            <w:r>
              <w:rPr>
                <w:rFonts w:ascii="sans-serif" w:hAnsi="sans-serif"/>
                <w:sz w:val="20"/>
              </w:rPr>
              <w:t>Net cash used for investing activities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(6,514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(1,876</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(1,959</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rFonts w:ascii="sans-serif" w:hAnsi="sans-serif"/>
                <w:b/>
                <w:sz w:val="20"/>
              </w:rPr>
            </w:pPr>
            <w:r>
              <w:rPr>
                <w:rFonts w:ascii="sans-serif" w:hAnsi="sans-serif"/>
                <w:b/>
                <w:sz w:val="20"/>
              </w:rPr>
              <w:t>Cash flows from financing activities:</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Net increase in commercial paper and other short-term borrowings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4,265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309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930</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Proceeds from issuance of common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186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265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447</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Proceeds from issuance of long-term debt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1,063</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Payments of long-term debt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(880</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(609</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(607</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Excess tax benefits from share based payment arrangements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81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102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132</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Repurchases of common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(1,884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(924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(1,073</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Cash dividends paid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(1,726</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(1,510</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(1,353</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28</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1434" w:right="0" w:hanging="181"/>
              <w:rPr>
                <w:rFonts w:ascii="sans-serif" w:hAnsi="sans-serif"/>
                <w:sz w:val="20"/>
              </w:rPr>
            </w:pPr>
            <w:r>
              <w:rPr>
                <w:rFonts w:ascii="sans-serif" w:hAnsi="sans-serif"/>
                <w:sz w:val="20"/>
              </w:rPr>
              <w:t>Net cash provided by (used for) financing activities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102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(2,272</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(433</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rFonts w:ascii="sans-serif" w:hAnsi="sans-serif"/>
                <w:sz w:val="20"/>
              </w:rPr>
            </w:pPr>
            <w:r>
              <w:rPr>
                <w:rFonts w:ascii="sans-serif" w:hAnsi="sans-serif"/>
                <w:sz w:val="20"/>
              </w:rPr>
              <w:t>Effect of foreign exchange rate changes on cash and cash equivalents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(546</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(339</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(155</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Net (decrease) increase in cash and cash equivalents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(1,504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537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00" w:type="dxa"/>
            <w:gridSpan w:val="2"/>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1,788</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rFonts w:ascii="sans-serif" w:hAnsi="sans-serif"/>
                <w:sz w:val="20"/>
              </w:rPr>
            </w:pPr>
            <w:r>
              <w:rPr>
                <w:rFonts w:ascii="sans-serif" w:hAnsi="sans-serif"/>
                <w:sz w:val="20"/>
              </w:rPr>
              <w:t>Cash and cash equivalents at beginning of period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6,959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6,422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gridSpan w:val="2"/>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4,634</w:t>
            </w:r>
          </w:p>
        </w:tc>
        <w:tc>
          <w:tcPr>
            <w:tcW w:w="170" w:type="dxa"/>
            <w:gridSpan w:val="2"/>
            <w:tcBorders/>
            <w:shd w:fill="auto"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8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Cash and cash equivalents at end of period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40"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5,455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40"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6,959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40"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6,422</w:t>
            </w:r>
          </w:p>
        </w:tc>
        <w:tc>
          <w:tcPr>
            <w:tcW w:w="170" w:type="dxa"/>
            <w:gridSpan w:val="2"/>
            <w:tcBorders/>
            <w:shd w:fill="E5FFFF" w:val="clear"/>
            <w:vAlign w:val="bottom"/>
          </w:tcPr>
          <w:p>
            <w:pPr>
              <w:pStyle w:val="TableContents"/>
              <w:spacing w:before="0" w:after="283"/>
              <w:rPr/>
            </w:pPr>
            <w:r>
              <w:rPr/>
              <w:t> </w:t>
            </w:r>
          </w:p>
        </w:tc>
      </w:tr>
      <w:tr>
        <w:trPr/>
        <w:tc>
          <w:tcPr>
            <w:tcW w:w="68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The Notes to Financial Statements are an integral part of this statement.</w:t>
      </w:r>
    </w:p>
    <w:p>
      <w:pPr>
        <w:pStyle w:val="TextBody"/>
        <w:spacing w:before="119" w:after="119"/>
        <w:ind w:left="119" w:right="119" w:hanging="0"/>
        <w:jc w:val="center"/>
        <w:rPr>
          <w:rFonts w:ascii="sans-serif" w:hAnsi="sans-serif"/>
          <w:sz w:val="22"/>
        </w:rPr>
      </w:pPr>
      <w:r>
        <w:rPr>
          <w:rFonts w:ascii="sans-serif" w:hAnsi="sans-serif"/>
          <w:sz w:val="22"/>
        </w:rPr>
        <w:t>35</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pPr>
      <w:r>
        <w:rPr>
          <w:rFonts w:ascii="sans-serif" w:hAnsi="sans-serif"/>
          <w:b/>
          <w:sz w:val="26"/>
        </w:rPr>
        <w:t>HONEYWELL INTERNATIONAL INC.</w:t>
      </w:r>
      <w:r>
        <w:rPr>
          <w:rFonts w:ascii="sans-serif" w:hAnsi="sans-serif"/>
          <w:b/>
          <w:sz w:val="22"/>
        </w:rPr>
        <w:br/>
        <w:t>CONSOLIDATED STATEMENT OF SHAREOWNERS EQUITY</w:t>
      </w:r>
    </w:p>
    <w:tbl>
      <w:tblPr>
        <w:tblW w:w="10205" w:type="dxa"/>
        <w:jc w:val="left"/>
        <w:tblInd w:w="0" w:type="dxa"/>
        <w:tblCellMar>
          <w:top w:w="0" w:type="dxa"/>
          <w:left w:w="0" w:type="dxa"/>
          <w:bottom w:w="0" w:type="dxa"/>
          <w:right w:w="0" w:type="dxa"/>
        </w:tblCellMar>
      </w:tblPr>
      <w:tblGrid>
        <w:gridCol w:w="4160"/>
        <w:gridCol w:w="60"/>
        <w:gridCol w:w="60"/>
        <w:gridCol w:w="60"/>
        <w:gridCol w:w="635"/>
        <w:gridCol w:w="95"/>
        <w:gridCol w:w="60"/>
        <w:gridCol w:w="60"/>
        <w:gridCol w:w="60"/>
        <w:gridCol w:w="60"/>
        <w:gridCol w:w="755"/>
        <w:gridCol w:w="95"/>
        <w:gridCol w:w="60"/>
        <w:gridCol w:w="60"/>
        <w:gridCol w:w="60"/>
        <w:gridCol w:w="60"/>
        <w:gridCol w:w="635"/>
        <w:gridCol w:w="95"/>
        <w:gridCol w:w="60"/>
        <w:gridCol w:w="60"/>
        <w:gridCol w:w="60"/>
        <w:gridCol w:w="60"/>
        <w:gridCol w:w="680"/>
        <w:gridCol w:w="95"/>
        <w:gridCol w:w="60"/>
        <w:gridCol w:w="60"/>
        <w:gridCol w:w="60"/>
        <w:gridCol w:w="60"/>
        <w:gridCol w:w="635"/>
        <w:gridCol w:w="95"/>
        <w:gridCol w:w="60"/>
        <w:gridCol w:w="60"/>
        <w:gridCol w:w="60"/>
        <w:gridCol w:w="60"/>
        <w:gridCol w:w="680"/>
        <w:gridCol w:w="95"/>
        <w:gridCol w:w="75"/>
      </w:tblGrid>
      <w:tr>
        <w:trPr/>
        <w:tc>
          <w:tcPr>
            <w:tcW w:w="4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4160" w:type="dxa"/>
            <w:vMerge w:val="restart"/>
            <w:tcBorders/>
            <w:shd w:fill="auto" w:val="clear"/>
            <w:vAlign w:val="bottom"/>
          </w:tcPr>
          <w:p>
            <w:pPr>
              <w:pStyle w:val="TableContents"/>
              <w:spacing w:before="0" w:after="283"/>
              <w:ind w:left="181" w:right="0" w:hanging="181"/>
              <w:jc w:val="center"/>
              <w:rPr/>
            </w:pPr>
            <w:r>
              <w:rPr/>
              <w:t> </w:t>
            </w:r>
          </w:p>
        </w:tc>
        <w:tc>
          <w:tcPr>
            <w:tcW w:w="60" w:type="dxa"/>
            <w:tcBorders/>
            <w:shd w:fill="auto" w:val="clear"/>
            <w:vAlign w:val="bottom"/>
          </w:tcPr>
          <w:p>
            <w:pPr>
              <w:pStyle w:val="TableContents"/>
              <w:spacing w:before="0" w:after="283"/>
              <w:rPr/>
            </w:pPr>
            <w:r>
              <w:rPr/>
              <w:t> </w:t>
            </w:r>
          </w:p>
        </w:tc>
        <w:tc>
          <w:tcPr>
            <w:tcW w:w="5985" w:type="dxa"/>
            <w:gridSpan w:val="3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41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2000"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925"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940"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1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1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Shares</w:t>
            </w:r>
          </w:p>
        </w:tc>
        <w:tc>
          <w:tcPr>
            <w:tcW w:w="60" w:type="dxa"/>
            <w:tcBorders/>
            <w:shd w:fill="auto" w:val="clear"/>
            <w:vAlign w:val="bottom"/>
          </w:tcPr>
          <w:p>
            <w:pPr>
              <w:pStyle w:val="TableContents"/>
              <w:spacing w:before="0" w:after="283"/>
              <w:rPr/>
            </w:pPr>
            <w:r>
              <w:rPr/>
              <w:t> </w:t>
            </w:r>
          </w:p>
        </w:tc>
        <w:tc>
          <w:tcPr>
            <w:tcW w:w="103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w:t>
            </w:r>
          </w:p>
        </w:tc>
        <w:tc>
          <w:tcPr>
            <w:tcW w:w="60" w:type="dxa"/>
            <w:tcBorders/>
            <w:shd w:fill="auto" w:val="clear"/>
            <w:vAlign w:val="bottom"/>
          </w:tcPr>
          <w:p>
            <w:pPr>
              <w:pStyle w:val="TableContents"/>
              <w:spacing w:before="0" w:after="283"/>
              <w:rPr/>
            </w:pPr>
            <w:r>
              <w:rPr/>
              <w:t> </w:t>
            </w:r>
          </w:p>
        </w:tc>
        <w:tc>
          <w:tcPr>
            <w:tcW w:w="91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Shares</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w:t>
            </w:r>
          </w:p>
        </w:tc>
        <w:tc>
          <w:tcPr>
            <w:tcW w:w="60" w:type="dxa"/>
            <w:tcBorders/>
            <w:shd w:fill="auto" w:val="clear"/>
            <w:vAlign w:val="bottom"/>
          </w:tcPr>
          <w:p>
            <w:pPr>
              <w:pStyle w:val="TableContents"/>
              <w:spacing w:before="0" w:after="283"/>
              <w:rPr/>
            </w:pPr>
            <w:r>
              <w:rPr/>
              <w:t> </w:t>
            </w:r>
          </w:p>
        </w:tc>
        <w:tc>
          <w:tcPr>
            <w:tcW w:w="91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Shares</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w:t>
            </w:r>
          </w:p>
        </w:tc>
      </w:tr>
      <w:tr>
        <w:trPr/>
        <w:tc>
          <w:tcPr>
            <w:tcW w:w="4160" w:type="dxa"/>
            <w:tcBorders/>
            <w:shd w:fill="auto" w:val="clear"/>
            <w:vAlign w:val="bottom"/>
          </w:tcPr>
          <w:p>
            <w:pPr>
              <w:pStyle w:val="TableContents"/>
              <w:spacing w:before="0" w:after="283"/>
              <w:ind w:left="181" w:right="0" w:hanging="181"/>
              <w:jc w:val="center"/>
              <w:rPr/>
            </w:pPr>
            <w:r>
              <w:rPr/>
              <w:t> </w:t>
            </w:r>
          </w:p>
        </w:tc>
        <w:tc>
          <w:tcPr>
            <w:tcW w:w="60" w:type="dxa"/>
            <w:tcBorders/>
            <w:shd w:fill="auto" w:val="clear"/>
            <w:vAlign w:val="bottom"/>
          </w:tcPr>
          <w:p>
            <w:pPr>
              <w:pStyle w:val="TableContents"/>
              <w:spacing w:before="0" w:after="283"/>
              <w:rPr/>
            </w:pPr>
            <w:r>
              <w:rPr/>
              <w:t> </w:t>
            </w:r>
          </w:p>
        </w:tc>
        <w:tc>
          <w:tcPr>
            <w:tcW w:w="5985" w:type="dxa"/>
            <w:gridSpan w:val="35"/>
            <w:tcBorders/>
            <w:shd w:fill="auto" w:val="clear"/>
            <w:vAlign w:val="bottom"/>
          </w:tcPr>
          <w:p>
            <w:pPr>
              <w:pStyle w:val="TableContents"/>
              <w:spacing w:before="0" w:after="283"/>
              <w:jc w:val="center"/>
              <w:rPr>
                <w:rFonts w:ascii="sans-serif" w:hAnsi="sans-serif"/>
                <w:b/>
                <w:sz w:val="18"/>
              </w:rPr>
            </w:pPr>
            <w:r>
              <w:rPr>
                <w:rFonts w:ascii="sans-serif" w:hAnsi="sans-serif"/>
                <w:b/>
                <w:sz w:val="18"/>
              </w:rPr>
              <w:t>(in millions)</w:t>
            </w:r>
          </w:p>
        </w:tc>
      </w:tr>
      <w:tr>
        <w:trPr/>
        <w:tc>
          <w:tcPr>
            <w:tcW w:w="4160" w:type="dxa"/>
            <w:tcBorders/>
            <w:shd w:fill="E5FFFF" w:val="clear"/>
            <w:vAlign w:val="bottom"/>
          </w:tcPr>
          <w:p>
            <w:pPr>
              <w:pStyle w:val="TableContents"/>
              <w:spacing w:before="0" w:after="283"/>
              <w:ind w:left="181" w:right="0" w:hanging="181"/>
              <w:rPr>
                <w:rFonts w:ascii="sans-serif" w:hAnsi="sans-serif"/>
                <w:b/>
                <w:sz w:val="20"/>
              </w:rPr>
            </w:pPr>
            <w:r>
              <w:rPr>
                <w:rFonts w:ascii="sans-serif" w:hAnsi="sans-serif"/>
                <w:b/>
                <w:sz w:val="20"/>
              </w:rPr>
              <w:t>Common stock, par value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957.6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958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957.6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958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957.6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958</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rFonts w:ascii="sans-serif" w:hAnsi="sans-serif"/>
                <w:b/>
                <w:sz w:val="20"/>
              </w:rPr>
            </w:pPr>
            <w:r>
              <w:rPr>
                <w:rFonts w:ascii="sans-serif" w:hAnsi="sans-serif"/>
                <w:b/>
                <w:sz w:val="20"/>
              </w:rPr>
              <w:t>Additional paid-in capital</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Beginning balance</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5,038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4,682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4,358</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Issued for employee savings and option plans</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164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175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155</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Stock-based compensation expense</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187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170</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Other owner changes</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Ending balance</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5,377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5,038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4,682</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rFonts w:ascii="sans-serif" w:hAnsi="sans-serif"/>
                <w:b/>
                <w:sz w:val="20"/>
              </w:rPr>
            </w:pPr>
            <w:r>
              <w:rPr>
                <w:rFonts w:ascii="sans-serif" w:hAnsi="sans-serif"/>
                <w:b/>
                <w:sz w:val="20"/>
              </w:rPr>
              <w:t>Treasury stock</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Beginning balance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(175.4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(9,995</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(173.8</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(9,374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(174.8</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(8,801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Reacquired stock or repurchases of common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(18.8</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(1,884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(10.0</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(924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(13.5</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(1,073</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Issued for employee savings and option plans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215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8.4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303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14.5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500</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Other owner changes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0.3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Ending balance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(187.2</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(11,664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(175.4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(9,995</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(173.8</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(9,374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rFonts w:ascii="sans-serif" w:hAnsi="sans-serif"/>
                <w:b/>
                <w:sz w:val="20"/>
              </w:rPr>
            </w:pPr>
            <w:r>
              <w:rPr>
                <w:rFonts w:ascii="sans-serif" w:hAnsi="sans-serif"/>
                <w:b/>
                <w:sz w:val="20"/>
              </w:rPr>
              <w:t>Retained earnings</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Beginning balance</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23,115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20,383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17,799</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Net income attributable to Honeywell</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4,768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4,239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3,924</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Dividends on common stock</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(1,686</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(1,478</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(1,329</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Redemption value adjustment</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(50</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(29</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(11</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Ending balance</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26,147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23,115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20,383</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rFonts w:ascii="sans-serif" w:hAnsi="sans-serif"/>
                <w:b/>
                <w:sz w:val="20"/>
              </w:rPr>
            </w:pPr>
            <w:r>
              <w:rPr>
                <w:rFonts w:ascii="sans-serif" w:hAnsi="sans-serif"/>
                <w:b/>
                <w:sz w:val="20"/>
              </w:rPr>
              <w:t>Accumulated other comprehensive income (loss)</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Beginning balance</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(1,459</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818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(1,339</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Foreign exchange translation adjustment</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(1,152</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(1,044</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(52</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Pensions and other postretirement benefit adjustments</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84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(1,083</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2,203</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Changes in fair value of available for sale investments</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(170</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13</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Changes in fair value of effective cash flow hedges</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(8</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(7</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rFonts w:ascii="sans-serif" w:hAnsi="sans-serif"/>
                <w:sz w:val="20"/>
              </w:rPr>
            </w:pPr>
            <w:r>
              <w:rPr>
                <w:rFonts w:ascii="sans-serif" w:hAnsi="sans-serif"/>
                <w:sz w:val="20"/>
              </w:rPr>
              <w:t>Ending balance</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(2,535</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(1,459</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818</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b/>
                <w:sz w:val="20"/>
              </w:rPr>
            </w:pPr>
            <w:r>
              <w:rPr>
                <w:rFonts w:ascii="sans-serif" w:hAnsi="sans-serif"/>
                <w:b/>
                <w:sz w:val="20"/>
              </w:rPr>
              <w:t>Noncontrolling interest</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3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70" w:type="dxa"/>
            <w:gridSpan w:val="5"/>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rFonts w:ascii="sans-serif" w:hAnsi="sans-serif"/>
                <w:sz w:val="20"/>
              </w:rPr>
            </w:pPr>
            <w:r>
              <w:rPr>
                <w:rFonts w:ascii="sans-serif" w:hAnsi="sans-serif"/>
                <w:sz w:val="20"/>
              </w:rPr>
              <w:t>Beginning balance</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127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112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90</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Acquisitions</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Interest sold (bought)</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(7</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Net income attributable to noncontrolling interest</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Foreign exchange translation adjustment</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Dividends paid</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(26</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(16</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5" w:type="dxa"/>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39" w:right="0" w:hanging="181"/>
              <w:rPr>
                <w:rFonts w:ascii="sans-serif" w:hAnsi="sans-serif"/>
                <w:sz w:val="20"/>
              </w:rPr>
            </w:pPr>
            <w:r>
              <w:rPr>
                <w:rFonts w:ascii="sans-serif" w:hAnsi="sans-serif"/>
                <w:sz w:val="20"/>
              </w:rPr>
              <w:t>Contributions from noncontrolling interest holders</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28</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39" w:right="0" w:hanging="181"/>
              <w:rPr>
                <w:rFonts w:ascii="sans-serif" w:hAnsi="sans-serif"/>
                <w:sz w:val="20"/>
              </w:rPr>
            </w:pPr>
            <w:r>
              <w:rPr>
                <w:rFonts w:ascii="sans-serif" w:hAnsi="sans-serif"/>
                <w:sz w:val="20"/>
              </w:rPr>
              <w:t>Other owner changes</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1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rFonts w:ascii="sans-serif" w:hAnsi="sans-serif"/>
                <w:sz w:val="20"/>
              </w:rPr>
            </w:pPr>
            <w:r>
              <w:rPr>
                <w:rFonts w:ascii="sans-serif" w:hAnsi="sans-serif"/>
                <w:sz w:val="20"/>
              </w:rPr>
              <w:t>Ending balance</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135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127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112</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81" w:right="0" w:hanging="181"/>
              <w:rPr>
                <w:rFonts w:ascii="sans-serif" w:hAnsi="sans-serif"/>
                <w:b/>
                <w:sz w:val="20"/>
              </w:rPr>
            </w:pPr>
            <w:r>
              <w:rPr>
                <w:rFonts w:ascii="sans-serif" w:hAnsi="sans-serif"/>
                <w:b/>
                <w:sz w:val="20"/>
              </w:rPr>
              <w:t>Total shareowners equity</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770.4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18,418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782.2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17,784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3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783.8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17,579</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jc w:val="center"/>
        <w:rPr>
          <w:rFonts w:ascii="sans-serif" w:hAnsi="sans-serif"/>
          <w:sz w:val="22"/>
        </w:rPr>
      </w:pPr>
      <w:r>
        <w:rPr>
          <w:rFonts w:ascii="sans-serif" w:hAnsi="sans-serif"/>
          <w:sz w:val="22"/>
        </w:rPr>
        <w:t>The Notes to Financial Statements are an integral part of this statement.</w:t>
      </w:r>
    </w:p>
    <w:p>
      <w:pPr>
        <w:pStyle w:val="TextBody"/>
        <w:spacing w:before="119" w:after="119"/>
        <w:ind w:left="119" w:right="119" w:hanging="0"/>
        <w:jc w:val="center"/>
        <w:rPr>
          <w:rFonts w:ascii="sans-serif" w:hAnsi="sans-serif"/>
          <w:sz w:val="22"/>
        </w:rPr>
      </w:pPr>
      <w:r>
        <w:rPr>
          <w:rFonts w:ascii="sans-serif" w:hAnsi="sans-serif"/>
          <w:sz w:val="22"/>
        </w:rPr>
        <w:t>36</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1. Summary of Significant Accounting Policies</w:t>
      </w:r>
    </w:p>
    <w:p>
      <w:pPr>
        <w:pStyle w:val="TextBody"/>
        <w:spacing w:before="119" w:after="119"/>
        <w:ind w:left="119" w:right="119" w:firstLine="397"/>
        <w:jc w:val="both"/>
        <w:rPr>
          <w:rFonts w:ascii="sans-serif" w:hAnsi="sans-serif"/>
          <w:sz w:val="22"/>
        </w:rPr>
      </w:pPr>
      <w:r>
        <w:rPr>
          <w:rFonts w:ascii="sans-serif" w:hAnsi="sans-serif"/>
          <w:b/>
          <w:i/>
          <w:sz w:val="22"/>
        </w:rPr>
        <w:t>Accounting Principles</w:t>
      </w:r>
      <w:r>
        <w:rPr>
          <w:rFonts w:ascii="sans-serif" w:hAnsi="sans-serif"/>
          <w:sz w:val="22"/>
        </w:rPr>
        <w:t>The financial statements and accompanying notes are prepared in accordance with accounting principles generally accepted in the United States of America. The following is a description of Honeywells significant accounting policies.</w:t>
      </w:r>
    </w:p>
    <w:p>
      <w:pPr>
        <w:pStyle w:val="TextBody"/>
        <w:spacing w:before="119" w:after="119"/>
        <w:ind w:left="119" w:right="119" w:firstLine="397"/>
        <w:jc w:val="both"/>
        <w:rPr>
          <w:rFonts w:ascii="sans-serif" w:hAnsi="sans-serif"/>
          <w:sz w:val="22"/>
        </w:rPr>
      </w:pPr>
      <w:r>
        <w:rPr>
          <w:rFonts w:ascii="sans-serif" w:hAnsi="sans-serif"/>
          <w:b/>
          <w:i/>
          <w:sz w:val="22"/>
        </w:rPr>
        <w:t>Principles of Consolidation</w:t>
      </w:r>
      <w:r>
        <w:rPr>
          <w:rFonts w:ascii="sans-serif" w:hAnsi="sans-serif"/>
          <w:sz w:val="22"/>
        </w:rPr>
        <w:t>The consolidated financial statements include the accounts of Honeywell International Inc. and all of its subsidiaries and entities in which a controlling interest is maintained. Our consolidation policy requires equity investments that we exercise significant influence over but do not control the investee and are not the primary beneficiary of the investees activities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pStyle w:val="TextBody"/>
        <w:spacing w:before="119" w:after="119"/>
        <w:ind w:left="119" w:right="119" w:firstLine="397"/>
        <w:jc w:val="both"/>
        <w:rPr>
          <w:rFonts w:ascii="sans-serif" w:hAnsi="sans-serif"/>
          <w:sz w:val="22"/>
        </w:rPr>
      </w:pPr>
      <w:r>
        <w:rPr>
          <w:rFonts w:ascii="sans-serif" w:hAnsi="sans-serif"/>
          <w:sz w:val="22"/>
        </w:rPr>
        <w:t>Redeemable noncontrolling interest is considered to be temporary equity and is therefore reported outside of permanent equity on the Consolidated Balance Sheet at the greater of the initial carrying amount adjusted for the noncontrolling interests share of net income (loss) or its redemption value.</w:t>
      </w:r>
    </w:p>
    <w:p>
      <w:pPr>
        <w:pStyle w:val="TextBody"/>
        <w:spacing w:before="119" w:after="119"/>
        <w:ind w:left="119" w:right="119" w:firstLine="397"/>
        <w:jc w:val="both"/>
        <w:rPr>
          <w:rFonts w:ascii="sans-serif" w:hAnsi="sans-serif"/>
          <w:sz w:val="22"/>
        </w:rPr>
      </w:pPr>
      <w:r>
        <w:rPr>
          <w:rFonts w:ascii="sans-serif" w:hAnsi="sans-serif"/>
          <w:b/>
          <w:i/>
          <w:sz w:val="22"/>
        </w:rPr>
        <w:t>Property, Plant and Equipment</w:t>
      </w:r>
      <w:r>
        <w:rPr>
          <w:rFonts w:ascii="sans-serif" w:hAnsi="sans-serif"/>
          <w:sz w:val="22"/>
        </w:rPr>
        <w:t>Property, plant and equipment are recorded at cost, including any asset retirement obligations, less 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pStyle w:val="TextBody"/>
        <w:spacing w:before="119" w:after="119"/>
        <w:ind w:left="119" w:right="119" w:firstLine="397"/>
        <w:jc w:val="both"/>
        <w:rPr>
          <w:rFonts w:ascii="sans-serif" w:hAnsi="sans-serif"/>
          <w:sz w:val="22"/>
        </w:rPr>
      </w:pPr>
      <w:r>
        <w:rPr>
          <w:rFonts w:ascii="sans-serif" w:hAnsi="sans-serif"/>
          <w:b/>
          <w:i/>
          <w:sz w:val="22"/>
        </w:rPr>
        <w:t>Goodwill and Indefinite-Lived Intangible Assets</w:t>
      </w:r>
      <w:r>
        <w:rPr>
          <w:rFonts w:ascii="sans-serif" w:hAnsi="sans-serif"/>
          <w:sz w:val="22"/>
        </w:rPr>
        <w:t>Goodwill and indefinite-lived intangible assets are subject to impairment testing annually as of March 31, or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2015 and determined that there was no impairment as of that date.</w:t>
      </w:r>
    </w:p>
    <w:p>
      <w:pPr>
        <w:pStyle w:val="TextBody"/>
        <w:spacing w:before="119" w:after="119"/>
        <w:ind w:left="119" w:right="119" w:firstLine="397"/>
        <w:jc w:val="both"/>
        <w:rPr>
          <w:rFonts w:ascii="sans-serif" w:hAnsi="sans-serif"/>
          <w:sz w:val="22"/>
        </w:rPr>
      </w:pPr>
      <w:r>
        <w:rPr>
          <w:rFonts w:ascii="sans-serif" w:hAnsi="sans-serif"/>
          <w:b/>
          <w:i/>
          <w:sz w:val="22"/>
        </w:rPr>
        <w:t>Other Intangible Assets with Determinable Lives</w:t>
      </w:r>
      <w:r>
        <w:rPr>
          <w:rFonts w:ascii="sans-serif" w:hAnsi="sans-serif"/>
          <w:sz w:val="22"/>
        </w:rPr>
        <w:t>Other intangible assets with determinable lives consist of customer lists, technology, patents and trademarks and other intangibles and are amortized over their estimated useful lives, ranging from 2 to 24 years.</w:t>
      </w:r>
    </w:p>
    <w:p>
      <w:pPr>
        <w:pStyle w:val="TextBody"/>
        <w:spacing w:before="119" w:after="119"/>
        <w:ind w:left="119" w:right="119" w:firstLine="397"/>
        <w:jc w:val="both"/>
        <w:rPr>
          <w:rFonts w:ascii="sans-serif" w:hAnsi="sans-serif"/>
          <w:sz w:val="22"/>
        </w:rPr>
      </w:pPr>
      <w:r>
        <w:rPr>
          <w:rFonts w:ascii="sans-serif" w:hAnsi="sans-serif"/>
          <w:b/>
          <w:i/>
          <w:sz w:val="22"/>
        </w:rPr>
        <w:t>Sales Recognition</w:t>
      </w:r>
      <w:r>
        <w:rPr>
          <w:rFonts w:ascii="sans-serif" w:hAnsi="sans-serif"/>
          <w:sz w:val="22"/>
        </w:rPr>
        <w:t>Product and service sales are recognized when persuasive evidence of an arrangement exists, product delivery has occurred or services have been rendered, pricing is fixed or determinable, and collection is reasonably assured. Service sales, principally representing repair, maintenance and engineering activities are recognized over the contractual period or as services are rendered. Sales under long-term contracts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provided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pStyle w:val="TextBody"/>
        <w:spacing w:before="119" w:after="119"/>
        <w:ind w:left="119" w:right="119" w:firstLine="397"/>
        <w:jc w:val="both"/>
        <w:rPr>
          <w:rFonts w:ascii="sans-serif" w:hAnsi="sans-serif"/>
          <w:sz w:val="22"/>
        </w:rPr>
      </w:pPr>
      <w:r>
        <w:rPr>
          <w:rFonts w:ascii="sans-serif" w:hAnsi="sans-serif"/>
          <w:b/>
          <w:i/>
          <w:sz w:val="22"/>
        </w:rPr>
        <w:t>Environmental</w:t>
      </w:r>
      <w:r>
        <w:rPr>
          <w:rFonts w:ascii="sans-serif" w:hAnsi="sans-serif"/>
          <w:sz w:val="22"/>
        </w:rPr>
        <w:t>We accrue costs related to environmental matters when it is probable that we have incurred a liability related to a contaminated site and the amount can be reasonably estimated. For additional information, see Note 19 Commitments and Contingencies.</w:t>
      </w:r>
    </w:p>
    <w:p>
      <w:pPr>
        <w:pStyle w:val="TextBody"/>
        <w:spacing w:before="119" w:after="119"/>
        <w:ind w:left="119" w:right="119" w:firstLine="397"/>
        <w:jc w:val="both"/>
        <w:rPr>
          <w:rFonts w:ascii="sans-serif" w:hAnsi="sans-serif"/>
          <w:sz w:val="22"/>
        </w:rPr>
      </w:pPr>
      <w:r>
        <w:rPr>
          <w:rFonts w:ascii="sans-serif" w:hAnsi="sans-serif"/>
          <w:b/>
          <w:i/>
          <w:sz w:val="22"/>
        </w:rPr>
        <w:t>Asbestos Related Contingencies and Insurance Recoveries</w:t>
      </w:r>
      <w:r>
        <w:rPr>
          <w:rFonts w:ascii="sans-serif" w:hAnsi="sans-serif"/>
          <w:sz w:val="22"/>
        </w:rPr>
        <w:t>We recognize a liability for any asbestos related contingency that is probable of occurrence and reasonably estimable. In connection</w:t>
      </w:r>
    </w:p>
    <w:p>
      <w:pPr>
        <w:pStyle w:val="TextBody"/>
        <w:spacing w:before="119" w:after="119"/>
        <w:ind w:left="119" w:right="119" w:hanging="0"/>
        <w:jc w:val="center"/>
        <w:rPr>
          <w:rFonts w:ascii="sans-serif" w:hAnsi="sans-serif"/>
          <w:sz w:val="22"/>
        </w:rPr>
      </w:pPr>
      <w:r>
        <w:rPr>
          <w:rFonts w:ascii="sans-serif" w:hAnsi="sans-serif"/>
          <w:sz w:val="22"/>
        </w:rPr>
        <w:t>37</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with the recognition of liabilities for asbestos related matters, we record asbestos related insurance recoveries that are deemed probable. For additional information, see Note 19 Commitments and Contingencies.</w:t>
      </w:r>
    </w:p>
    <w:p>
      <w:pPr>
        <w:pStyle w:val="TextBody"/>
        <w:spacing w:before="119" w:after="119"/>
        <w:ind w:left="119" w:right="119" w:firstLine="397"/>
        <w:jc w:val="both"/>
        <w:rPr>
          <w:rFonts w:ascii="sans-serif" w:hAnsi="sans-serif"/>
          <w:sz w:val="22"/>
        </w:rPr>
      </w:pPr>
      <w:r>
        <w:rPr>
          <w:rFonts w:ascii="sans-serif" w:hAnsi="sans-serif"/>
          <w:b/>
          <w:i/>
          <w:sz w:val="22"/>
        </w:rPr>
        <w:t>Aerospace Sales Incentives</w:t>
      </w:r>
      <w:r>
        <w:rPr>
          <w:rFonts w:ascii="sans-serif" w:hAnsi="sans-serif"/>
          <w:sz w:val="22"/>
        </w:rPr>
        <w:t>We provide sales incentives to commercial aircraft manufacturers and airlines in connection with their selection of our aircraft equipment, predominately wheel and braking system hardware, avionics, and auxiliary power units, for installation on commercial aircraft. These incentives consist of free or deeply discounted products, credits for future purchases of product and upfront cash payments. These costs are recognized in the period incurred as cost of products sold or as a reduction to sales, as appropriate.</w:t>
      </w:r>
    </w:p>
    <w:p>
      <w:pPr>
        <w:pStyle w:val="TextBody"/>
        <w:spacing w:before="119" w:after="119"/>
        <w:ind w:left="119" w:right="119" w:firstLine="397"/>
        <w:jc w:val="both"/>
        <w:rPr>
          <w:rFonts w:ascii="sans-serif" w:hAnsi="sans-serif"/>
          <w:sz w:val="22"/>
        </w:rPr>
      </w:pPr>
      <w:r>
        <w:rPr>
          <w:rFonts w:ascii="sans-serif" w:hAnsi="sans-serif"/>
          <w:b/>
          <w:i/>
          <w:sz w:val="22"/>
        </w:rPr>
        <w:t>Research and Development</w:t>
      </w:r>
      <w:r>
        <w:rPr>
          <w:rFonts w:ascii="sans-serif" w:hAnsi="sans-serif"/>
          <w:sz w:val="22"/>
        </w:rPr>
        <w:t>Research and development costs for company-sponsored research and development projects are expensed as incurred. Such costs are principally included in cost of products sold and were $1,856 million, $1,892 million and $1,804 million in 2015, 2014 and 2013.</w:t>
      </w:r>
    </w:p>
    <w:p>
      <w:pPr>
        <w:pStyle w:val="TextBody"/>
        <w:spacing w:before="119" w:after="119"/>
        <w:ind w:left="119" w:right="119" w:firstLine="397"/>
        <w:jc w:val="both"/>
        <w:rPr>
          <w:rFonts w:ascii="sans-serif" w:hAnsi="sans-serif"/>
          <w:sz w:val="22"/>
        </w:rPr>
      </w:pPr>
      <w:r>
        <w:rPr>
          <w:rFonts w:ascii="sans-serif" w:hAnsi="sans-serif"/>
          <w:b/>
          <w:i/>
          <w:sz w:val="22"/>
        </w:rPr>
        <w:t>Stock-Based Compensation Plans</w:t>
      </w:r>
      <w:r>
        <w:rPr>
          <w:rFonts w:ascii="sans-serif" w:hAnsi="sans-serif"/>
          <w:sz w:val="22"/>
        </w:rPr>
        <w:t>The principal awards issued under our stock-based compensation plans, which are described in Note 18 Stock-Based Compensation Plans,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that are expected to vest and are based on our historical forfeiture rates.</w:t>
      </w:r>
    </w:p>
    <w:p>
      <w:pPr>
        <w:pStyle w:val="TextBody"/>
        <w:spacing w:before="119" w:after="119"/>
        <w:ind w:left="119" w:right="119" w:firstLine="397"/>
        <w:jc w:val="both"/>
        <w:rPr>
          <w:rFonts w:ascii="sans-serif" w:hAnsi="sans-serif"/>
          <w:sz w:val="22"/>
        </w:rPr>
      </w:pPr>
      <w:r>
        <w:rPr>
          <w:rFonts w:ascii="sans-serif" w:hAnsi="sans-serif"/>
          <w:b/>
          <w:i/>
          <w:sz w:val="22"/>
        </w:rPr>
        <w:t>Pension Benefits</w:t>
      </w:r>
      <w:r>
        <w:rPr>
          <w:rFonts w:ascii="sans-serif" w:hAnsi="sans-serif"/>
          <w:sz w:val="22"/>
        </w:rPr>
        <w:t>We recognize net actuarial gains or losses in excess of 10% of the greater of the fair value of plan assets or the plans projected benefit obligation (the corridor) annually in the fourth quarter each year (MTM Adjustment), and, if applicable, in any quarter in which an interim remeasurement is triggered. The remaining components of pension (income) expense, primarily service and interest costs and assumed return on plan assets, are recognized on a quarterly basis (Pension ongoing (income) expense).</w:t>
      </w:r>
    </w:p>
    <w:p>
      <w:pPr>
        <w:pStyle w:val="TextBody"/>
        <w:spacing w:before="119" w:after="119"/>
        <w:ind w:left="119" w:right="119" w:firstLine="397"/>
        <w:jc w:val="both"/>
        <w:rPr>
          <w:rFonts w:ascii="sans-serif" w:hAnsi="sans-serif"/>
          <w:sz w:val="22"/>
        </w:rPr>
      </w:pPr>
      <w:r>
        <w:rPr>
          <w:rFonts w:ascii="sans-serif" w:hAnsi="sans-serif"/>
          <w:b/>
          <w:i/>
          <w:sz w:val="22"/>
        </w:rPr>
        <w:t>Foreign Currency Translation</w:t>
      </w:r>
      <w:r>
        <w:rPr>
          <w:rFonts w:ascii="sans-serif" w:hAnsi="sans-serif"/>
          <w:sz w:val="22"/>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pStyle w:val="TextBody"/>
        <w:spacing w:before="119" w:after="119"/>
        <w:ind w:left="119" w:right="119" w:firstLine="397"/>
        <w:jc w:val="both"/>
        <w:rPr>
          <w:rFonts w:ascii="sans-serif" w:hAnsi="sans-serif"/>
          <w:sz w:val="22"/>
        </w:rPr>
      </w:pPr>
      <w:r>
        <w:rPr>
          <w:rFonts w:ascii="sans-serif" w:hAnsi="sans-serif"/>
          <w:b/>
          <w:i/>
          <w:sz w:val="22"/>
        </w:rPr>
        <w:t>Derivative Financial Instruments</w:t>
      </w:r>
      <w:r>
        <w:rPr>
          <w:rFonts w:ascii="sans-serif" w:hAnsi="sans-serif"/>
          <w:sz w:val="22"/>
        </w:rPr>
        <w:t>We minimize our risks from interest and foreign currency exchange rate fluctuations through our normal operating and financing activities and, when deemed appropriate through the use of derivative financial instruments. Derivative financial instruments are used to manage risk and are not used for trading or other speculative purposes and we do not use leveraged derivative financial instruments.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pStyle w:val="TextBody"/>
        <w:spacing w:before="119" w:after="119"/>
        <w:ind w:left="119" w:right="119" w:firstLine="397"/>
        <w:jc w:val="both"/>
        <w:rPr>
          <w:rFonts w:ascii="sans-serif" w:hAnsi="sans-serif"/>
          <w:sz w:val="22"/>
        </w:rPr>
      </w:pPr>
      <w:r>
        <w:rPr>
          <w:rFonts w:ascii="sans-serif" w:hAnsi="sans-serif"/>
          <w:sz w:val="22"/>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w:t>
      </w:r>
    </w:p>
    <w:p>
      <w:pPr>
        <w:pStyle w:val="TextBody"/>
        <w:spacing w:before="119" w:after="119"/>
        <w:ind w:left="119" w:right="119" w:hanging="0"/>
        <w:jc w:val="center"/>
        <w:rPr>
          <w:rFonts w:ascii="sans-serif" w:hAnsi="sans-serif"/>
          <w:sz w:val="22"/>
        </w:rPr>
      </w:pPr>
      <w:r>
        <w:rPr>
          <w:rFonts w:ascii="sans-serif" w:hAnsi="sans-serif"/>
          <w:sz w:val="22"/>
        </w:rPr>
        <w:t>38</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w:t>
      </w:r>
    </w:p>
    <w:p>
      <w:pPr>
        <w:pStyle w:val="TextBody"/>
        <w:spacing w:before="119" w:after="119"/>
        <w:ind w:left="119" w:right="119" w:firstLine="397"/>
        <w:jc w:val="both"/>
        <w:rPr>
          <w:rFonts w:ascii="sans-serif" w:hAnsi="sans-serif"/>
          <w:sz w:val="22"/>
        </w:rPr>
      </w:pPr>
      <w:r>
        <w:rPr>
          <w:rFonts w:ascii="sans-serif" w:hAnsi="sans-serif"/>
          <w:b/>
          <w:i/>
          <w:sz w:val="22"/>
        </w:rPr>
        <w:t>Income Taxes</w:t>
      </w:r>
      <w:r>
        <w:rPr>
          <w:rFonts w:ascii="sans-serif" w:hAnsi="sans-serif"/>
          <w:sz w:val="22"/>
        </w:rPr>
        <w:t>Significant judgment is required in evaluating tax positions. We establish additional reserves for income taxes when, despite the 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change in estimate become known.</w:t>
      </w:r>
    </w:p>
    <w:p>
      <w:pPr>
        <w:pStyle w:val="TextBody"/>
        <w:spacing w:before="119" w:after="119"/>
        <w:ind w:left="119" w:right="119" w:firstLine="397"/>
        <w:jc w:val="both"/>
        <w:rPr>
          <w:rFonts w:ascii="sans-serif" w:hAnsi="sans-serif"/>
          <w:sz w:val="22"/>
        </w:rPr>
      </w:pPr>
      <w:r>
        <w:rPr>
          <w:rFonts w:ascii="sans-serif" w:hAnsi="sans-serif"/>
          <w:b/>
          <w:i/>
          <w:sz w:val="22"/>
        </w:rPr>
        <w:t>Earnings Per Share</w:t>
      </w:r>
      <w:r>
        <w:rPr>
          <w:rFonts w:ascii="sans-serif" w:hAnsi="sans-serif"/>
          <w:sz w:val="22"/>
        </w:rPr>
        <w:t>Basic earnings per share is based on the weighted average number of common shares outstanding. Diluted earnings per share is based on the weighted average number of common shares outstanding and all dilutive potential common shares outstanding.</w:t>
      </w:r>
    </w:p>
    <w:p>
      <w:pPr>
        <w:pStyle w:val="TextBody"/>
        <w:spacing w:before="119" w:after="119"/>
        <w:ind w:left="119" w:right="119" w:firstLine="397"/>
        <w:jc w:val="both"/>
        <w:rPr>
          <w:rFonts w:ascii="sans-serif" w:hAnsi="sans-serif"/>
          <w:sz w:val="22"/>
        </w:rPr>
      </w:pPr>
      <w:r>
        <w:rPr>
          <w:rFonts w:ascii="sans-serif" w:hAnsi="sans-serif"/>
          <w:b/>
          <w:i/>
          <w:sz w:val="22"/>
        </w:rPr>
        <w:t>Reclassifications</w:t>
      </w:r>
      <w:r>
        <w:rPr>
          <w:rFonts w:ascii="sans-serif" w:hAnsi="sans-serif"/>
          <w:sz w:val="22"/>
        </w:rPr>
        <w:t>Certain prior year amounts have been reclassified to conform to the current year presentation.</w:t>
      </w:r>
    </w:p>
    <w:p>
      <w:pPr>
        <w:pStyle w:val="TextBody"/>
        <w:spacing w:before="119" w:after="119"/>
        <w:ind w:left="119" w:right="119" w:firstLine="397"/>
        <w:jc w:val="both"/>
        <w:rPr>
          <w:rFonts w:ascii="sans-serif" w:hAnsi="sans-serif"/>
          <w:sz w:val="22"/>
        </w:rPr>
      </w:pPr>
      <w:r>
        <w:rPr>
          <w:rFonts w:ascii="sans-serif" w:hAnsi="sans-serif"/>
          <w:b/>
          <w:i/>
          <w:sz w:val="22"/>
        </w:rPr>
        <w:t>Recent Accounting Pronouncements</w:t>
      </w:r>
      <w:r>
        <w:rPr>
          <w:rFonts w:ascii="sans-serif" w:hAnsi="sans-serif"/>
          <w:sz w:val="22"/>
        </w:rPr>
        <w:t>We consider the applicability and impact of all Accounting Standards Updates (ASUs). ASUs not listed below were assessed and determined to be either not applicable or are expected to have minimal impact on our consolidated financial position or results of operations.</w:t>
      </w:r>
    </w:p>
    <w:p>
      <w:pPr>
        <w:pStyle w:val="TextBody"/>
        <w:spacing w:before="119" w:after="119"/>
        <w:ind w:left="119" w:right="119" w:firstLine="397"/>
        <w:jc w:val="both"/>
        <w:rPr>
          <w:rFonts w:ascii="sans-serif" w:hAnsi="sans-serif"/>
          <w:sz w:val="22"/>
        </w:rPr>
      </w:pPr>
      <w:r>
        <w:rPr>
          <w:rFonts w:ascii="sans-serif" w:hAnsi="sans-serif"/>
          <w:sz w:val="22"/>
        </w:rPr>
        <w:t>In November 2015, the Financial Accounting Standards Board (FASB) issued guidance to simplify the presentation of deferred income taxes by permitting classification of all deferred tax assets and liabilities as noncurrent on the consolidated balance sheet. The Company has elected to early adopt the guidance on a prospective basis effective with the consolidated balance sheet as of December 31, 2015. This is a change from the Companys historical presentation whereby certain deferred tax assets and liabilities were classified as current and the remainder were classified as non-current. Adoption of the guidance resulted in a reclassification of $662 million from current assets and $32 million from current liabilities within the consolidated balance sheet as of December 31, 2015.</w:t>
      </w:r>
    </w:p>
    <w:p>
      <w:pPr>
        <w:pStyle w:val="TextBody"/>
        <w:spacing w:before="119" w:after="119"/>
        <w:ind w:left="119" w:right="119" w:firstLine="397"/>
        <w:jc w:val="both"/>
        <w:rPr>
          <w:rFonts w:ascii="sans-serif" w:hAnsi="sans-serif"/>
          <w:sz w:val="22"/>
        </w:rPr>
      </w:pPr>
      <w:r>
        <w:rPr>
          <w:rFonts w:ascii="sans-serif" w:hAnsi="sans-serif"/>
          <w:sz w:val="22"/>
        </w:rPr>
        <w:t>In May 2014,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effective date was deferred for one year to the interim and annual periods beginning on or after December 15, 2017. Early adoption is permitted as of the original effective dateinterim and annual periods beginning on or after December 15, 2016.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pStyle w:val="TextBody"/>
        <w:spacing w:before="119" w:after="119"/>
        <w:ind w:left="119" w:right="119" w:hanging="0"/>
        <w:jc w:val="center"/>
        <w:rPr>
          <w:rFonts w:ascii="sans-serif" w:hAnsi="sans-serif"/>
          <w:sz w:val="22"/>
        </w:rPr>
      </w:pPr>
      <w:r>
        <w:rPr>
          <w:rFonts w:ascii="sans-serif" w:hAnsi="sans-serif"/>
          <w:sz w:val="22"/>
        </w:rPr>
        <w:t>39</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2. Acquisitions</w:t>
      </w:r>
    </w:p>
    <w:p>
      <w:pPr>
        <w:pStyle w:val="TextBody"/>
        <w:spacing w:before="119" w:after="119"/>
        <w:ind w:left="119" w:right="119" w:firstLine="397"/>
        <w:jc w:val="both"/>
        <w:rPr>
          <w:rFonts w:ascii="sans-serif" w:hAnsi="sans-serif"/>
          <w:sz w:val="22"/>
        </w:rPr>
      </w:pPr>
      <w:r>
        <w:rPr>
          <w:rFonts w:ascii="sans-serif" w:hAnsi="sans-serif"/>
          <w:sz w:val="22"/>
        </w:rPr>
        <w:t>During 2015, we acquired businesses for an aggregate cost (net of cash acquired) of $5,244 million.</w:t>
      </w:r>
    </w:p>
    <w:p>
      <w:pPr>
        <w:pStyle w:val="TextBody"/>
        <w:spacing w:before="119" w:after="119"/>
        <w:ind w:left="119" w:right="119" w:firstLine="397"/>
        <w:jc w:val="both"/>
        <w:rPr>
          <w:rFonts w:ascii="sans-serif" w:hAnsi="sans-serif"/>
          <w:sz w:val="22"/>
        </w:rPr>
      </w:pPr>
      <w:r>
        <w:rPr>
          <w:rFonts w:ascii="sans-serif" w:hAnsi="sans-serif"/>
          <w:sz w:val="22"/>
        </w:rPr>
        <w:t>On December 29, 2015, the Company completed the acquisition of the Elster Division of Melrose Industries plc (Elster), a leading provider of thermal gas solutions for commercial, industrial, and residential heating systems and gas, water, and electricity meters, including smart meters and software and data analytics solutions, for an aggregate value, net of cash acquired, of approximately $4,899 million. Elster had 2015 revenues of approximately $1,670 million and will primarily be integrated into ACS. The following amounts represent the preliminary determination of the fair value of the identifiable assets acquired and liabilities assumed that are included in the Companys consolidated balance sheet as of December 31, 2015.</w:t>
      </w:r>
    </w:p>
    <w:tbl>
      <w:tblPr>
        <w:tblW w:w="3725" w:type="dxa"/>
        <w:jc w:val="left"/>
        <w:tblInd w:w="0" w:type="dxa"/>
        <w:tblCellMar>
          <w:top w:w="0" w:type="dxa"/>
          <w:left w:w="0" w:type="dxa"/>
          <w:bottom w:w="0" w:type="dxa"/>
          <w:right w:w="0" w:type="dxa"/>
        </w:tblCellMar>
      </w:tblPr>
      <w:tblGrid>
        <w:gridCol w:w="2600"/>
        <w:gridCol w:w="60"/>
        <w:gridCol w:w="60"/>
        <w:gridCol w:w="155"/>
        <w:gridCol w:w="60"/>
        <w:gridCol w:w="620"/>
        <w:gridCol w:w="95"/>
        <w:gridCol w:w="75"/>
      </w:tblGrid>
      <w:tr>
        <w:trPr/>
        <w:tc>
          <w:tcPr>
            <w:tcW w:w="26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26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Current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532</w:t>
            </w:r>
          </w:p>
        </w:tc>
        <w:tc>
          <w:tcPr>
            <w:tcW w:w="170" w:type="dxa"/>
            <w:gridSpan w:val="2"/>
            <w:tcBorders/>
            <w:shd w:fill="E5FFFF" w:val="clear"/>
            <w:vAlign w:val="bottom"/>
          </w:tcPr>
          <w:p>
            <w:pPr>
              <w:pStyle w:val="TableContents"/>
              <w:spacing w:before="0" w:after="283"/>
              <w:rPr/>
            </w:pPr>
            <w:r>
              <w:rPr/>
              <w:t> </w:t>
            </w:r>
          </w:p>
        </w:tc>
      </w:tr>
      <w:tr>
        <w:trPr/>
        <w:tc>
          <w:tcPr>
            <w:tcW w:w="26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Intangible assets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2,463</w:t>
            </w:r>
          </w:p>
        </w:tc>
        <w:tc>
          <w:tcPr>
            <w:tcW w:w="170" w:type="dxa"/>
            <w:gridSpan w:val="2"/>
            <w:tcBorders/>
            <w:shd w:fill="auto" w:val="clear"/>
            <w:vAlign w:val="bottom"/>
          </w:tcPr>
          <w:p>
            <w:pPr>
              <w:pStyle w:val="TableContents"/>
              <w:spacing w:before="0" w:after="283"/>
              <w:rPr/>
            </w:pPr>
            <w:r>
              <w:rPr/>
              <w:t> </w:t>
            </w:r>
          </w:p>
        </w:tc>
      </w:tr>
      <w:tr>
        <w:trPr/>
        <w:tc>
          <w:tcPr>
            <w:tcW w:w="26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 noncurrent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179</w:t>
            </w:r>
          </w:p>
        </w:tc>
        <w:tc>
          <w:tcPr>
            <w:tcW w:w="170" w:type="dxa"/>
            <w:gridSpan w:val="2"/>
            <w:tcBorders/>
            <w:shd w:fill="E5FFFF" w:val="clear"/>
            <w:vAlign w:val="bottom"/>
          </w:tcPr>
          <w:p>
            <w:pPr>
              <w:pStyle w:val="TableContents"/>
              <w:spacing w:before="0" w:after="283"/>
              <w:rPr/>
            </w:pPr>
            <w:r>
              <w:rPr/>
              <w:t> </w:t>
            </w:r>
          </w:p>
        </w:tc>
      </w:tr>
      <w:tr>
        <w:trPr/>
        <w:tc>
          <w:tcPr>
            <w:tcW w:w="26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Current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(658</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26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Noncurrent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(836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26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26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Net assets acquired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1,680</w:t>
            </w:r>
          </w:p>
        </w:tc>
        <w:tc>
          <w:tcPr>
            <w:tcW w:w="170" w:type="dxa"/>
            <w:gridSpan w:val="2"/>
            <w:tcBorders/>
            <w:shd w:fill="auto" w:val="clear"/>
            <w:vAlign w:val="bottom"/>
          </w:tcPr>
          <w:p>
            <w:pPr>
              <w:pStyle w:val="TableContents"/>
              <w:spacing w:before="0" w:after="283"/>
              <w:rPr/>
            </w:pPr>
            <w:r>
              <w:rPr/>
              <w:t> </w:t>
            </w:r>
          </w:p>
        </w:tc>
      </w:tr>
      <w:tr>
        <w:trPr/>
        <w:tc>
          <w:tcPr>
            <w:tcW w:w="26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Noncontrolling interest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26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Goodwill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3,222</w:t>
            </w:r>
          </w:p>
        </w:tc>
        <w:tc>
          <w:tcPr>
            <w:tcW w:w="170" w:type="dxa"/>
            <w:gridSpan w:val="2"/>
            <w:tcBorders/>
            <w:shd w:fill="auto" w:val="clear"/>
            <w:vAlign w:val="bottom"/>
          </w:tcPr>
          <w:p>
            <w:pPr>
              <w:pStyle w:val="TableContents"/>
              <w:spacing w:before="0" w:after="283"/>
              <w:rPr/>
            </w:pPr>
            <w:r>
              <w:rPr/>
              <w:t> </w:t>
            </w:r>
          </w:p>
        </w:tc>
      </w:tr>
      <w:tr>
        <w:trPr/>
        <w:tc>
          <w:tcPr>
            <w:tcW w:w="26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26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Purchase Price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4,899</w:t>
            </w:r>
          </w:p>
        </w:tc>
        <w:tc>
          <w:tcPr>
            <w:tcW w:w="170" w:type="dxa"/>
            <w:gridSpan w:val="2"/>
            <w:tcBorders/>
            <w:shd w:fill="E5FFFF" w:val="clear"/>
            <w:vAlign w:val="bottom"/>
          </w:tcPr>
          <w:p>
            <w:pPr>
              <w:pStyle w:val="TableContents"/>
              <w:spacing w:before="0" w:after="283"/>
              <w:rPr/>
            </w:pPr>
            <w:r>
              <w:rPr/>
              <w:t> </w:t>
            </w:r>
          </w:p>
        </w:tc>
      </w:tr>
      <w:tr>
        <w:trPr/>
        <w:tc>
          <w:tcPr>
            <w:tcW w:w="26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identifiable intangible assets primarily include customer relationships, trade names and technology that are being amortized over their estimated lives ranging from 1 to 20 years using straight line and accelerated amortization methods. The goodwill is non-deductible for tax purposes. The results from the date of acquisition through December 31, 2015 were included principally in ACS and were not material to the consolidated results of operations.</w:t>
      </w:r>
    </w:p>
    <w:p>
      <w:pPr>
        <w:pStyle w:val="TextBody"/>
        <w:spacing w:before="119" w:after="119"/>
        <w:ind w:left="119" w:right="119" w:firstLine="397"/>
        <w:jc w:val="both"/>
        <w:rPr>
          <w:rFonts w:ascii="sans-serif" w:hAnsi="sans-serif"/>
          <w:sz w:val="22"/>
        </w:rPr>
      </w:pPr>
      <w:r>
        <w:rPr>
          <w:rFonts w:ascii="sans-serif" w:hAnsi="sans-serif"/>
          <w:sz w:val="22"/>
        </w:rPr>
        <w:t>As of December 31, 2015, the purchase accounting for Elster is subject to final adjustment primarily for the valuation of useful lives of intangible assets, amounts allocated to intangible assets and goodwill, tax balances and for certain pre-acquisition contingencies.</w:t>
      </w:r>
    </w:p>
    <w:p>
      <w:pPr>
        <w:pStyle w:val="TextBody"/>
        <w:spacing w:before="119" w:after="119"/>
        <w:ind w:left="119" w:right="119" w:firstLine="397"/>
        <w:jc w:val="both"/>
        <w:rPr>
          <w:rFonts w:ascii="sans-serif" w:hAnsi="sans-serif"/>
          <w:sz w:val="22"/>
        </w:rPr>
      </w:pPr>
      <w:r>
        <w:rPr>
          <w:rFonts w:ascii="sans-serif" w:hAnsi="sans-serif"/>
          <w:sz w:val="22"/>
        </w:rPr>
        <w:t>In January 2016, the Company acquired the remaining 30 percent noncontrolling interest in UOP Russell LLC, which develops technology and manufactures modular equipment to process natural gas, for approximately $240 million.</w:t>
      </w:r>
    </w:p>
    <w:p>
      <w:pPr>
        <w:pStyle w:val="TextBody"/>
        <w:spacing w:before="119" w:after="119"/>
        <w:ind w:left="119" w:right="119" w:firstLine="397"/>
        <w:jc w:val="both"/>
        <w:rPr>
          <w:rFonts w:ascii="sans-serif" w:hAnsi="sans-serif"/>
          <w:sz w:val="22"/>
        </w:rPr>
      </w:pPr>
      <w:r>
        <w:rPr>
          <w:rFonts w:ascii="sans-serif" w:hAnsi="sans-serif"/>
          <w:sz w:val="22"/>
        </w:rPr>
        <w:t>In February 2016, the Company acquired 100 percent of the issued and outstanding shares of COM DEV International (COM DEV), a leading satellite and space components provider, for an aggregate purchase price of approximately $330 million. COM DEV, a public company in Canada, operates globally and had reported 2015 revenues of approximately $180 million. COM DEV will be integrated into Aerospace.</w:t>
      </w:r>
    </w:p>
    <w:p>
      <w:pPr>
        <w:pStyle w:val="TextBody"/>
        <w:spacing w:before="119" w:after="119"/>
        <w:ind w:left="119" w:right="119" w:firstLine="397"/>
        <w:jc w:val="both"/>
        <w:rPr>
          <w:rFonts w:ascii="sans-serif" w:hAnsi="sans-serif"/>
          <w:sz w:val="22"/>
        </w:rPr>
      </w:pPr>
      <w:r>
        <w:rPr>
          <w:rFonts w:ascii="sans-serif" w:hAnsi="sans-serif"/>
          <w:sz w:val="22"/>
        </w:rPr>
        <w:t>In February 2016, the Company entered into a definitive agreement to acquire Xtralis International Holdings Limited (Xtralis), a leading global provider of aspiration smoke detection and perimeter security technologies, for approximately $480 million. The transaction is expected to close in the second quarter of 2016, pending regulatory approvals. Xtralis will be integrated into ACS.</w:t>
      </w:r>
    </w:p>
    <w:p>
      <w:pPr>
        <w:pStyle w:val="TextBody"/>
        <w:spacing w:before="119" w:after="119"/>
        <w:ind w:left="119" w:right="119" w:hanging="0"/>
        <w:jc w:val="center"/>
        <w:rPr>
          <w:rFonts w:ascii="sans-serif" w:hAnsi="sans-serif"/>
          <w:sz w:val="22"/>
        </w:rPr>
      </w:pPr>
      <w:r>
        <w:rPr>
          <w:rFonts w:ascii="sans-serif" w:hAnsi="sans-serif"/>
          <w:sz w:val="22"/>
        </w:rPr>
        <w:t>40</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3. Repositioning and Other Charges</w:t>
      </w:r>
    </w:p>
    <w:p>
      <w:pPr>
        <w:pStyle w:val="TextBody"/>
        <w:spacing w:before="119" w:after="119"/>
        <w:ind w:left="119" w:right="119" w:firstLine="397"/>
        <w:jc w:val="both"/>
        <w:rPr>
          <w:rFonts w:ascii="sans-serif" w:hAnsi="sans-serif"/>
          <w:sz w:val="22"/>
        </w:rPr>
      </w:pPr>
      <w:r>
        <w:rPr>
          <w:rFonts w:ascii="sans-serif" w:hAnsi="sans-serif"/>
          <w:sz w:val="22"/>
        </w:rPr>
        <w:t>A summary of repositioning and other charges follows:</w:t>
      </w:r>
    </w:p>
    <w:tbl>
      <w:tblPr>
        <w:tblW w:w="9251" w:type="dxa"/>
        <w:jc w:val="left"/>
        <w:tblInd w:w="0" w:type="dxa"/>
        <w:tblCellMar>
          <w:top w:w="0" w:type="dxa"/>
          <w:left w:w="0" w:type="dxa"/>
          <w:bottom w:w="0" w:type="dxa"/>
          <w:right w:w="0" w:type="dxa"/>
        </w:tblCellMar>
      </w:tblPr>
      <w:tblGrid>
        <w:gridCol w:w="6425"/>
        <w:gridCol w:w="60"/>
        <w:gridCol w:w="61"/>
        <w:gridCol w:w="159"/>
        <w:gridCol w:w="61"/>
        <w:gridCol w:w="437"/>
        <w:gridCol w:w="97"/>
        <w:gridCol w:w="61"/>
        <w:gridCol w:w="61"/>
        <w:gridCol w:w="61"/>
        <w:gridCol w:w="159"/>
        <w:gridCol w:w="61"/>
        <w:gridCol w:w="437"/>
        <w:gridCol w:w="97"/>
        <w:gridCol w:w="61"/>
        <w:gridCol w:w="61"/>
        <w:gridCol w:w="61"/>
        <w:gridCol w:w="159"/>
        <w:gridCol w:w="61"/>
        <w:gridCol w:w="437"/>
        <w:gridCol w:w="97"/>
        <w:gridCol w:w="77"/>
      </w:tblGrid>
      <w:tr>
        <w:trPr/>
        <w:tc>
          <w:tcPr>
            <w:tcW w:w="64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gridSpan w:val="6"/>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76" w:type="dxa"/>
            <w:gridSpan w:val="6"/>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2" w:type="dxa"/>
            <w:gridSpan w:val="6"/>
            <w:tcBorders/>
            <w:shd w:fill="auto" w:val="clear"/>
            <w:vAlign w:val="bottom"/>
          </w:tcPr>
          <w:p>
            <w:pPr>
              <w:pStyle w:val="TableContents"/>
              <w:spacing w:before="0" w:after="283"/>
              <w:rPr/>
            </w:pPr>
            <w:r>
              <w:rPr/>
              <w:t> </w:t>
            </w:r>
          </w:p>
        </w:tc>
      </w:tr>
      <w:tr>
        <w:trPr/>
        <w:tc>
          <w:tcPr>
            <w:tcW w:w="642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766"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642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76"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1" w:type="dxa"/>
            <w:tcBorders/>
            <w:shd w:fill="auto" w:val="clear"/>
            <w:vAlign w:val="bottom"/>
          </w:tcPr>
          <w:p>
            <w:pPr>
              <w:pStyle w:val="TableContents"/>
              <w:spacing w:before="0" w:after="283"/>
              <w:rPr/>
            </w:pPr>
            <w:r>
              <w:rPr/>
              <w:t> </w:t>
            </w:r>
          </w:p>
        </w:tc>
        <w:tc>
          <w:tcPr>
            <w:tcW w:w="876"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1" w:type="dxa"/>
            <w:tcBorders/>
            <w:shd w:fill="auto" w:val="clear"/>
            <w:vAlign w:val="bottom"/>
          </w:tcPr>
          <w:p>
            <w:pPr>
              <w:pStyle w:val="TableContents"/>
              <w:spacing w:before="0" w:after="283"/>
              <w:rPr/>
            </w:pPr>
            <w:r>
              <w:rPr/>
              <w:t> </w:t>
            </w:r>
          </w:p>
        </w:tc>
        <w:tc>
          <w:tcPr>
            <w:tcW w:w="892"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64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Severance</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15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197</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15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156</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15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186</w:t>
            </w:r>
          </w:p>
        </w:tc>
        <w:tc>
          <w:tcPr>
            <w:tcW w:w="174" w:type="dxa"/>
            <w:gridSpan w:val="2"/>
            <w:tcBorders/>
            <w:shd w:fill="E5FFFF"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Asset impairments</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w:t>
            </w:r>
          </w:p>
        </w:tc>
        <w:tc>
          <w:tcPr>
            <w:tcW w:w="158"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158"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174" w:type="dxa"/>
            <w:gridSpan w:val="2"/>
            <w:tcBorders/>
            <w:shd w:fill="auto" w:val="clear"/>
            <w:vAlign w:val="bottom"/>
          </w:tcPr>
          <w:p>
            <w:pPr>
              <w:pStyle w:val="TableContents"/>
              <w:spacing w:before="0" w:after="283"/>
              <w:rPr/>
            </w:pPr>
            <w:r>
              <w:rPr/>
              <w:t> </w:t>
            </w:r>
          </w:p>
        </w:tc>
      </w:tr>
      <w:tr>
        <w:trPr/>
        <w:tc>
          <w:tcPr>
            <w:tcW w:w="64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Exit costs</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w:t>
            </w:r>
          </w:p>
        </w:tc>
        <w:tc>
          <w:tcPr>
            <w:tcW w:w="174" w:type="dxa"/>
            <w:gridSpan w:val="2"/>
            <w:tcBorders/>
            <w:shd w:fill="E5FFFF"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Reserve adjustments</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w:t>
            </w:r>
          </w:p>
        </w:tc>
        <w:tc>
          <w:tcPr>
            <w:tcW w:w="9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w:t>
            </w:r>
          </w:p>
        </w:tc>
        <w:tc>
          <w:tcPr>
            <w:tcW w:w="9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(30</w:t>
            </w:r>
          </w:p>
        </w:tc>
        <w:tc>
          <w:tcPr>
            <w:tcW w:w="9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7" w:type="dxa"/>
            <w:tcBorders/>
            <w:shd w:fill="auto"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76"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76"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2"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42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Total net repositioning charge</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163</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146</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201</w:t>
            </w:r>
          </w:p>
        </w:tc>
        <w:tc>
          <w:tcPr>
            <w:tcW w:w="174" w:type="dxa"/>
            <w:gridSpan w:val="2"/>
            <w:tcBorders/>
            <w:shd w:fill="E5FFFF"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76"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76"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2"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Asbestos related litigation charges, net of insurance</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189</w:t>
            </w:r>
          </w:p>
        </w:tc>
        <w:tc>
          <w:tcPr>
            <w:tcW w:w="158"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182</w:t>
            </w:r>
          </w:p>
        </w:tc>
        <w:tc>
          <w:tcPr>
            <w:tcW w:w="158"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181</w:t>
            </w:r>
          </w:p>
        </w:tc>
        <w:tc>
          <w:tcPr>
            <w:tcW w:w="174" w:type="dxa"/>
            <w:gridSpan w:val="2"/>
            <w:tcBorders/>
            <w:shd w:fill="auto" w:val="clear"/>
            <w:vAlign w:val="bottom"/>
          </w:tcPr>
          <w:p>
            <w:pPr>
              <w:pStyle w:val="TableContents"/>
              <w:spacing w:before="0" w:after="283"/>
              <w:rPr/>
            </w:pPr>
            <w:r>
              <w:rPr/>
              <w:t> </w:t>
            </w:r>
          </w:p>
        </w:tc>
      </w:tr>
      <w:tr>
        <w:trPr/>
        <w:tc>
          <w:tcPr>
            <w:tcW w:w="64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Probable and reasonably estimable environmental liabilities</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194</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268</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20" w:type="dxa"/>
            <w:gridSpan w:val="2"/>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272</w:t>
            </w:r>
          </w:p>
        </w:tc>
        <w:tc>
          <w:tcPr>
            <w:tcW w:w="174" w:type="dxa"/>
            <w:gridSpan w:val="2"/>
            <w:tcBorders/>
            <w:shd w:fill="E5FFFF"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8"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58"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20" w:type="dxa"/>
            <w:gridSpan w:val="2"/>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w:t>
            </w:r>
          </w:p>
        </w:tc>
        <w:tc>
          <w:tcPr>
            <w:tcW w:w="174" w:type="dxa"/>
            <w:gridSpan w:val="2"/>
            <w:tcBorders/>
            <w:shd w:fill="auto"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76"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76"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2"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42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Total net repositioning and other charges</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15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546</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15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598</w:t>
            </w:r>
          </w:p>
        </w:tc>
        <w:tc>
          <w:tcPr>
            <w:tcW w:w="158"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15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4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663</w:t>
            </w:r>
          </w:p>
        </w:tc>
        <w:tc>
          <w:tcPr>
            <w:tcW w:w="174" w:type="dxa"/>
            <w:gridSpan w:val="2"/>
            <w:tcBorders/>
            <w:shd w:fill="E5FFFF" w:val="clear"/>
            <w:vAlign w:val="bottom"/>
          </w:tcPr>
          <w:p>
            <w:pPr>
              <w:pStyle w:val="TableContents"/>
              <w:spacing w:before="0" w:after="283"/>
              <w:rPr/>
            </w:pPr>
            <w:r>
              <w:rPr/>
              <w:t> </w:t>
            </w:r>
          </w:p>
        </w:tc>
      </w:tr>
      <w:tr>
        <w:trPr/>
        <w:tc>
          <w:tcPr>
            <w:tcW w:w="64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76"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76"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2"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following table summarizes the pretax distribution of total net repositioning and other charges by income statement classification:</w:t>
      </w:r>
    </w:p>
    <w:tbl>
      <w:tblPr>
        <w:tblW w:w="7763" w:type="dxa"/>
        <w:jc w:val="left"/>
        <w:tblInd w:w="0" w:type="dxa"/>
        <w:tblCellMar>
          <w:top w:w="0" w:type="dxa"/>
          <w:left w:w="0" w:type="dxa"/>
          <w:bottom w:w="0" w:type="dxa"/>
          <w:right w:w="0" w:type="dxa"/>
        </w:tblCellMar>
      </w:tblPr>
      <w:tblGrid>
        <w:gridCol w:w="4820"/>
        <w:gridCol w:w="60"/>
        <w:gridCol w:w="72"/>
        <w:gridCol w:w="188"/>
        <w:gridCol w:w="72"/>
        <w:gridCol w:w="516"/>
        <w:gridCol w:w="60"/>
        <w:gridCol w:w="72"/>
        <w:gridCol w:w="72"/>
        <w:gridCol w:w="188"/>
        <w:gridCol w:w="72"/>
        <w:gridCol w:w="516"/>
        <w:gridCol w:w="60"/>
        <w:gridCol w:w="72"/>
        <w:gridCol w:w="72"/>
        <w:gridCol w:w="188"/>
        <w:gridCol w:w="72"/>
        <w:gridCol w:w="516"/>
        <w:gridCol w:w="75"/>
      </w:tblGrid>
      <w:tr>
        <w:trPr/>
        <w:tc>
          <w:tcPr>
            <w:tcW w:w="48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8" w:type="dxa"/>
            <w:gridSpan w:val="5"/>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8" w:type="dxa"/>
            <w:gridSpan w:val="5"/>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23" w:type="dxa"/>
            <w:gridSpan w:val="5"/>
            <w:tcBorders/>
            <w:shd w:fill="auto" w:val="clear"/>
            <w:vAlign w:val="bottom"/>
          </w:tcPr>
          <w:p>
            <w:pPr>
              <w:pStyle w:val="TableContents"/>
              <w:spacing w:before="0" w:after="283"/>
              <w:rPr/>
            </w:pPr>
            <w:r>
              <w:rPr/>
              <w:t> </w:t>
            </w:r>
          </w:p>
        </w:tc>
      </w:tr>
      <w:tr>
        <w:trPr/>
        <w:tc>
          <w:tcPr>
            <w:tcW w:w="482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883"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482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08"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72" w:type="dxa"/>
            <w:tcBorders/>
            <w:shd w:fill="auto" w:val="clear"/>
            <w:vAlign w:val="bottom"/>
          </w:tcPr>
          <w:p>
            <w:pPr>
              <w:pStyle w:val="TableContents"/>
              <w:spacing w:before="0" w:after="283"/>
              <w:rPr/>
            </w:pPr>
            <w:r>
              <w:rPr/>
              <w:t> </w:t>
            </w:r>
          </w:p>
        </w:tc>
        <w:tc>
          <w:tcPr>
            <w:tcW w:w="908"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72" w:type="dxa"/>
            <w:tcBorders/>
            <w:shd w:fill="auto" w:val="clear"/>
            <w:vAlign w:val="bottom"/>
          </w:tcPr>
          <w:p>
            <w:pPr>
              <w:pStyle w:val="TableContents"/>
              <w:spacing w:before="0" w:after="283"/>
              <w:rPr/>
            </w:pPr>
            <w:r>
              <w:rPr/>
              <w:t> </w:t>
            </w:r>
          </w:p>
        </w:tc>
        <w:tc>
          <w:tcPr>
            <w:tcW w:w="923"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82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Cost of products and services sold</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483</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525</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566</w:t>
            </w:r>
          </w:p>
        </w:tc>
        <w:tc>
          <w:tcPr>
            <w:tcW w:w="75" w:type="dxa"/>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Selling, general and administrative expenses</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63</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73</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97</w:t>
            </w:r>
          </w:p>
        </w:tc>
        <w:tc>
          <w:tcPr>
            <w:tcW w:w="75" w:type="dxa"/>
            <w:tcBorders/>
            <w:shd w:fill="auto"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08"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8"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23"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82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546</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598</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663</w:t>
            </w:r>
          </w:p>
        </w:tc>
        <w:tc>
          <w:tcPr>
            <w:tcW w:w="75" w:type="dxa"/>
            <w:tcBorders/>
            <w:shd w:fill="E5FFFF" w:val="clear"/>
            <w:vAlign w:val="bottom"/>
          </w:tcPr>
          <w:p>
            <w:pPr>
              <w:pStyle w:val="TableContents"/>
              <w:spacing w:before="0" w:after="283"/>
              <w:rPr/>
            </w:pPr>
            <w:r>
              <w:rPr/>
              <w:t> </w:t>
            </w:r>
          </w:p>
        </w:tc>
      </w:tr>
      <w:tr>
        <w:trPr/>
        <w:tc>
          <w:tcPr>
            <w:tcW w:w="482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08"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8"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23"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following table summarizes the pretax impact of total net repositioning and other charges by segment:</w:t>
      </w:r>
    </w:p>
    <w:tbl>
      <w:tblPr>
        <w:tblW w:w="7343" w:type="dxa"/>
        <w:jc w:val="left"/>
        <w:tblInd w:w="0" w:type="dxa"/>
        <w:tblCellMar>
          <w:top w:w="0" w:type="dxa"/>
          <w:left w:w="0" w:type="dxa"/>
          <w:bottom w:w="0" w:type="dxa"/>
          <w:right w:w="0" w:type="dxa"/>
        </w:tblCellMar>
      </w:tblPr>
      <w:tblGrid>
        <w:gridCol w:w="4400"/>
        <w:gridCol w:w="60"/>
        <w:gridCol w:w="72"/>
        <w:gridCol w:w="188"/>
        <w:gridCol w:w="72"/>
        <w:gridCol w:w="516"/>
        <w:gridCol w:w="60"/>
        <w:gridCol w:w="72"/>
        <w:gridCol w:w="72"/>
        <w:gridCol w:w="188"/>
        <w:gridCol w:w="72"/>
        <w:gridCol w:w="516"/>
        <w:gridCol w:w="60"/>
        <w:gridCol w:w="72"/>
        <w:gridCol w:w="72"/>
        <w:gridCol w:w="188"/>
        <w:gridCol w:w="72"/>
        <w:gridCol w:w="516"/>
        <w:gridCol w:w="75"/>
      </w:tblGrid>
      <w:tr>
        <w:trPr/>
        <w:tc>
          <w:tcPr>
            <w:tcW w:w="44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8" w:type="dxa"/>
            <w:gridSpan w:val="5"/>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8" w:type="dxa"/>
            <w:gridSpan w:val="5"/>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23" w:type="dxa"/>
            <w:gridSpan w:val="5"/>
            <w:tcBorders/>
            <w:shd w:fill="auto" w:val="clear"/>
            <w:vAlign w:val="bottom"/>
          </w:tcPr>
          <w:p>
            <w:pPr>
              <w:pStyle w:val="TableContents"/>
              <w:spacing w:before="0" w:after="283"/>
              <w:rPr/>
            </w:pPr>
            <w:r>
              <w:rPr/>
              <w:t> </w:t>
            </w:r>
          </w:p>
        </w:tc>
      </w:tr>
      <w:tr>
        <w:trPr/>
        <w:tc>
          <w:tcPr>
            <w:tcW w:w="440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883"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440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08"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72" w:type="dxa"/>
            <w:tcBorders/>
            <w:shd w:fill="auto" w:val="clear"/>
            <w:vAlign w:val="bottom"/>
          </w:tcPr>
          <w:p>
            <w:pPr>
              <w:pStyle w:val="TableContents"/>
              <w:spacing w:before="0" w:after="283"/>
              <w:rPr/>
            </w:pPr>
            <w:r>
              <w:rPr/>
              <w:t> </w:t>
            </w:r>
          </w:p>
        </w:tc>
        <w:tc>
          <w:tcPr>
            <w:tcW w:w="908"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72" w:type="dxa"/>
            <w:tcBorders/>
            <w:shd w:fill="auto" w:val="clear"/>
            <w:vAlign w:val="bottom"/>
          </w:tcPr>
          <w:p>
            <w:pPr>
              <w:pStyle w:val="TableContents"/>
              <w:spacing w:before="0" w:after="283"/>
              <w:rPr/>
            </w:pPr>
            <w:r>
              <w:rPr/>
              <w:t> </w:t>
            </w:r>
          </w:p>
        </w:tc>
        <w:tc>
          <w:tcPr>
            <w:tcW w:w="923"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Aerospace</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211</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193</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235</w:t>
            </w:r>
          </w:p>
        </w:tc>
        <w:tc>
          <w:tcPr>
            <w:tcW w:w="75" w:type="dxa"/>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Automation and Control Solutions</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80</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68</w:t>
            </w:r>
          </w:p>
        </w:tc>
        <w:tc>
          <w:tcPr>
            <w:tcW w:w="75" w:type="dxa"/>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Performance Materials and Technologies</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260" w:type="dxa"/>
            <w:gridSpan w:val="2"/>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260" w:type="dxa"/>
            <w:gridSpan w:val="2"/>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260" w:type="dxa"/>
            <w:gridSpan w:val="2"/>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w:t>
            </w:r>
          </w:p>
        </w:tc>
        <w:tc>
          <w:tcPr>
            <w:tcW w:w="75" w:type="dxa"/>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Corporate</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218</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292</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304</w:t>
            </w:r>
          </w:p>
        </w:tc>
        <w:tc>
          <w:tcPr>
            <w:tcW w:w="75" w:type="dxa"/>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08"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8"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23"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546</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598</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51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663</w:t>
            </w:r>
          </w:p>
        </w:tc>
        <w:tc>
          <w:tcPr>
            <w:tcW w:w="75" w:type="dxa"/>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08"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08"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923"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In 2015, we recognized repositioning charges totaling $216 million including severance costs of $197 million related to workforce reductions of 6,405 manufacturing and administrative positions across all of our segments. The workforce reductions were primarily related to cost savings actions taken in connection with our productivity and ongoing functional transformation initiatives. Also, $53 million of previously established accruals, primarily for severance, mainly in Aerospace and ACS, were returned to income in 2015 due principally to higher attrition than anticipated in prior severance programs resulting in lower required severance payments, and changes in scope of previously announced repositioning actions.</w:t>
      </w:r>
    </w:p>
    <w:p>
      <w:pPr>
        <w:pStyle w:val="TextBody"/>
        <w:spacing w:before="119" w:after="119"/>
        <w:ind w:left="119" w:right="119" w:firstLine="397"/>
        <w:jc w:val="both"/>
        <w:rPr>
          <w:rFonts w:ascii="sans-serif" w:hAnsi="sans-serif"/>
          <w:sz w:val="22"/>
        </w:rPr>
      </w:pPr>
      <w:r>
        <w:rPr>
          <w:rFonts w:ascii="sans-serif" w:hAnsi="sans-serif"/>
          <w:sz w:val="22"/>
        </w:rPr>
        <w:t>In 2014, we recognized repositioning charges totaling $184 million including severance costs of $156 million related to workforce reductions of 2,975 manufacturing and administrative positions across all of our segments. The workforce reductions were primarily related to cost savings actions taken in connection with our productivity and ongoing functional transformation initiatives, factory transitions in ACS and Aerospace to more cost-effective locations, and site consolidations and organizational realignments of businesses in ACS and PMT. Also, $38 million of previously established accruals, primarily for severance, mainly in Aerospace and ACS, were returned to income in 2014 due principally</w:t>
      </w:r>
    </w:p>
    <w:p>
      <w:pPr>
        <w:pStyle w:val="TextBody"/>
        <w:spacing w:before="119" w:after="119"/>
        <w:ind w:left="119" w:right="119" w:hanging="0"/>
        <w:jc w:val="center"/>
        <w:rPr>
          <w:rFonts w:ascii="sans-serif" w:hAnsi="sans-serif"/>
          <w:sz w:val="22"/>
        </w:rPr>
      </w:pPr>
      <w:r>
        <w:rPr>
          <w:rFonts w:ascii="sans-serif" w:hAnsi="sans-serif"/>
          <w:sz w:val="22"/>
        </w:rPr>
        <w:t>41</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to the change in scope of a previously announced repositioning action and higher attrition than anticipated in prior severance programs resulting in lower required severance payments.</w:t>
      </w:r>
    </w:p>
    <w:p>
      <w:pPr>
        <w:pStyle w:val="TextBody"/>
        <w:spacing w:before="119" w:after="119"/>
        <w:ind w:left="119" w:right="119" w:firstLine="397"/>
        <w:jc w:val="both"/>
        <w:rPr>
          <w:rFonts w:ascii="sans-serif" w:hAnsi="sans-serif"/>
          <w:sz w:val="22"/>
        </w:rPr>
      </w:pPr>
      <w:r>
        <w:rPr>
          <w:rFonts w:ascii="sans-serif" w:hAnsi="sans-serif"/>
          <w:sz w:val="22"/>
        </w:rPr>
        <w:t>In 2013, we recognized repositioning charges totaling $231 million including severance costs of $186 million related to workforce reductions of 3,081 manufacturing and administrative positions across all of our segments. The workforce reductions were primarily related to cost savings actions taken in connection with our productivity and ongoing functional transformation initiatives, achieving acquisition-related synergies in ACS, outsourcing of non-core components in Aerospace, the shutdown of a manufacturing facility in PMT, and factory transitions in ACS to more cost-effective locations. Also, $30 million of previously established accruals, primarily for severance, in ACS and PMT, were returned to income in 2013 due to changes in the scope of previously announced repositioning actions, lower than expected costs in completing the exit of a product line and higher attrition than anticipated in prior severance programs resulting in lower required severance payments.</w:t>
      </w:r>
    </w:p>
    <w:p>
      <w:pPr>
        <w:pStyle w:val="TextBody"/>
        <w:spacing w:before="119" w:after="119"/>
        <w:ind w:left="119" w:right="119" w:firstLine="397"/>
        <w:jc w:val="both"/>
        <w:rPr>
          <w:rFonts w:ascii="sans-serif" w:hAnsi="sans-serif"/>
          <w:sz w:val="22"/>
        </w:rPr>
      </w:pPr>
      <w:r>
        <w:rPr>
          <w:rFonts w:ascii="sans-serif" w:hAnsi="sans-serif"/>
          <w:sz w:val="22"/>
        </w:rPr>
        <w:t>The following table summarizes the status of our total repositioning reserves:</w:t>
      </w:r>
    </w:p>
    <w:tbl>
      <w:tblPr>
        <w:tblW w:w="7740" w:type="dxa"/>
        <w:jc w:val="left"/>
        <w:tblInd w:w="0" w:type="dxa"/>
        <w:tblCellMar>
          <w:top w:w="0" w:type="dxa"/>
          <w:left w:w="0" w:type="dxa"/>
          <w:bottom w:w="0" w:type="dxa"/>
          <w:right w:w="0" w:type="dxa"/>
        </w:tblCellMar>
      </w:tblPr>
      <w:tblGrid>
        <w:gridCol w:w="3350"/>
        <w:gridCol w:w="60"/>
        <w:gridCol w:w="70"/>
        <w:gridCol w:w="180"/>
        <w:gridCol w:w="70"/>
        <w:gridCol w:w="583"/>
        <w:gridCol w:w="110"/>
        <w:gridCol w:w="72"/>
        <w:gridCol w:w="60"/>
        <w:gridCol w:w="100"/>
        <w:gridCol w:w="258"/>
        <w:gridCol w:w="100"/>
        <w:gridCol w:w="608"/>
        <w:gridCol w:w="158"/>
        <w:gridCol w:w="101"/>
        <w:gridCol w:w="60"/>
        <w:gridCol w:w="60"/>
        <w:gridCol w:w="155"/>
        <w:gridCol w:w="60"/>
        <w:gridCol w:w="365"/>
        <w:gridCol w:w="95"/>
        <w:gridCol w:w="60"/>
        <w:gridCol w:w="60"/>
        <w:gridCol w:w="60"/>
        <w:gridCol w:w="155"/>
        <w:gridCol w:w="60"/>
        <w:gridCol w:w="500"/>
        <w:gridCol w:w="95"/>
        <w:gridCol w:w="75"/>
      </w:tblGrid>
      <w:tr>
        <w:trPr/>
        <w:tc>
          <w:tcPr>
            <w:tcW w:w="3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shd w:fill="auto"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Severance</w:t>
              <w:br/>
              <w:t>Costs</w:t>
            </w:r>
          </w:p>
        </w:tc>
        <w:tc>
          <w:tcPr>
            <w:tcW w:w="60" w:type="dxa"/>
            <w:tcBorders/>
            <w:shd w:fill="auto" w:val="clear"/>
            <w:vAlign w:val="bottom"/>
          </w:tcPr>
          <w:p>
            <w:pPr>
              <w:pStyle w:val="TableContents"/>
              <w:spacing w:before="0" w:after="283"/>
              <w:rPr/>
            </w:pPr>
            <w:r>
              <w:rPr/>
              <w:t> </w:t>
            </w:r>
          </w:p>
        </w:tc>
        <w:tc>
          <w:tcPr>
            <w:tcW w:w="13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Asset</w:t>
              <w:br/>
              <w:t>Impairments</w:t>
            </w:r>
          </w:p>
        </w:tc>
        <w:tc>
          <w:tcPr>
            <w:tcW w:w="60" w:type="dxa"/>
            <w:tcBorders/>
            <w:shd w:fill="auto" w:val="clear"/>
            <w:vAlign w:val="bottom"/>
          </w:tcPr>
          <w:p>
            <w:pPr>
              <w:pStyle w:val="TableContents"/>
              <w:spacing w:before="0" w:after="283"/>
              <w:rPr/>
            </w:pPr>
            <w:r>
              <w:rPr/>
              <w:t> </w:t>
            </w:r>
          </w:p>
        </w:tc>
        <w:tc>
          <w:tcPr>
            <w:tcW w:w="79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Exit</w:t>
              <w:br/>
              <w:t>Costs</w:t>
            </w:r>
          </w:p>
        </w:tc>
        <w:tc>
          <w:tcPr>
            <w:tcW w:w="60" w:type="dxa"/>
            <w:tcBorders/>
            <w:shd w:fill="auto" w:val="clear"/>
            <w:vAlign w:val="bottom"/>
          </w:tcPr>
          <w:p>
            <w:pPr>
              <w:pStyle w:val="TableContents"/>
              <w:spacing w:before="0" w:after="283"/>
              <w:rPr/>
            </w:pPr>
            <w:r>
              <w:rPr/>
              <w:t> </w:t>
            </w:r>
          </w:p>
        </w:tc>
        <w:tc>
          <w:tcPr>
            <w:tcW w:w="94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Total</w:t>
            </w:r>
          </w:p>
        </w:tc>
      </w:tr>
      <w:tr>
        <w:trPr/>
        <w:tc>
          <w:tcPr>
            <w:tcW w:w="33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2012</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18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0" w:type="dxa"/>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276</w:t>
            </w:r>
          </w:p>
        </w:tc>
        <w:tc>
          <w:tcPr>
            <w:tcW w:w="182"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25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00" w:type="dxa"/>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323</w:t>
            </w:r>
          </w:p>
        </w:tc>
        <w:tc>
          <w:tcPr>
            <w:tcW w:w="170" w:type="dxa"/>
            <w:gridSpan w:val="2"/>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2013 charges</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186</w:t>
            </w:r>
          </w:p>
        </w:tc>
        <w:tc>
          <w:tcPr>
            <w:tcW w:w="1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2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231</w:t>
            </w:r>
          </w:p>
        </w:tc>
        <w:tc>
          <w:tcPr>
            <w:tcW w:w="170" w:type="dxa"/>
            <w:gridSpan w:val="2"/>
            <w:tcBorders/>
            <w:shd w:fill="auto" w:val="cle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2013 usagecash</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(139</w:t>
            </w:r>
          </w:p>
        </w:tc>
        <w:tc>
          <w:tcPr>
            <w:tcW w:w="1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2013 usagenoncash</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15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Adjustments</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w:t>
            </w:r>
          </w:p>
        </w:tc>
        <w:tc>
          <w:tcPr>
            <w:tcW w:w="1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Foreign currency translation</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w:t>
            </w:r>
          </w:p>
        </w:tc>
        <w:tc>
          <w:tcPr>
            <w:tcW w:w="1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w:t>
            </w:r>
          </w:p>
        </w:tc>
        <w:tc>
          <w:tcPr>
            <w:tcW w:w="170" w:type="dxa"/>
            <w:gridSpan w:val="2"/>
            <w:tcBorders/>
            <w:shd w:fill="auto"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2013</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302</w:t>
            </w:r>
          </w:p>
        </w:tc>
        <w:tc>
          <w:tcPr>
            <w:tcW w:w="182"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347</w:t>
            </w:r>
          </w:p>
        </w:tc>
        <w:tc>
          <w:tcPr>
            <w:tcW w:w="170" w:type="dxa"/>
            <w:gridSpan w:val="2"/>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2014 charges</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156</w:t>
            </w:r>
          </w:p>
        </w:tc>
        <w:tc>
          <w:tcPr>
            <w:tcW w:w="1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2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184</w:t>
            </w:r>
          </w:p>
        </w:tc>
        <w:tc>
          <w:tcPr>
            <w:tcW w:w="170" w:type="dxa"/>
            <w:gridSpan w:val="2"/>
            <w:tcBorders/>
            <w:shd w:fill="auto" w:val="cle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2014 usagecash</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(135</w:t>
            </w:r>
          </w:p>
        </w:tc>
        <w:tc>
          <w:tcPr>
            <w:tcW w:w="1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2014 usagenoncash</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15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Adjustments</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w:t>
            </w:r>
          </w:p>
        </w:tc>
        <w:tc>
          <w:tcPr>
            <w:tcW w:w="1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Foreign currency translation</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w:t>
            </w:r>
          </w:p>
        </w:tc>
        <w:tc>
          <w:tcPr>
            <w:tcW w:w="11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2014</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285</w:t>
            </w:r>
          </w:p>
        </w:tc>
        <w:tc>
          <w:tcPr>
            <w:tcW w:w="182"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315</w:t>
            </w:r>
          </w:p>
        </w:tc>
        <w:tc>
          <w:tcPr>
            <w:tcW w:w="170" w:type="dxa"/>
            <w:gridSpan w:val="2"/>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2015 charges</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197</w:t>
            </w:r>
          </w:p>
        </w:tc>
        <w:tc>
          <w:tcPr>
            <w:tcW w:w="1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w:t>
            </w:r>
          </w:p>
        </w:tc>
        <w:tc>
          <w:tcPr>
            <w:tcW w:w="2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216</w:t>
            </w:r>
          </w:p>
        </w:tc>
        <w:tc>
          <w:tcPr>
            <w:tcW w:w="170" w:type="dxa"/>
            <w:gridSpan w:val="2"/>
            <w:tcBorders/>
            <w:shd w:fill="auto" w:val="cle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2015 usagecash</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(109</w:t>
            </w:r>
          </w:p>
        </w:tc>
        <w:tc>
          <w:tcPr>
            <w:tcW w:w="1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2015 usagenoncash</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w:t>
            </w:r>
          </w:p>
        </w:tc>
        <w:tc>
          <w:tcPr>
            <w:tcW w:w="15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Acquisitions</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w:t>
            </w:r>
          </w:p>
        </w:tc>
        <w:tc>
          <w:tcPr>
            <w:tcW w:w="182"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w:t>
            </w:r>
          </w:p>
        </w:tc>
        <w:tc>
          <w:tcPr>
            <w:tcW w:w="170" w:type="dxa"/>
            <w:gridSpan w:val="2"/>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Adjustments</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250" w:type="dxa"/>
            <w:gridSpan w:val="2"/>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w:t>
            </w:r>
          </w:p>
        </w:tc>
        <w:tc>
          <w:tcPr>
            <w:tcW w:w="11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58" w:type="dxa"/>
            <w:gridSpan w:val="2"/>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35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Foreign currency translation</w:t>
            </w:r>
          </w:p>
        </w:tc>
        <w:tc>
          <w:tcPr>
            <w:tcW w:w="60" w:type="dxa"/>
            <w:tcBorders/>
            <w:shd w:fill="E5FFFF" w:val="clear"/>
            <w:vAlign w:val="bottom"/>
          </w:tcPr>
          <w:p>
            <w:pPr>
              <w:pStyle w:val="TableContents"/>
              <w:spacing w:before="0" w:after="283"/>
              <w:rPr/>
            </w:pPr>
            <w:r>
              <w:rPr/>
              <w:t> </w:t>
            </w:r>
          </w:p>
        </w:tc>
        <w:tc>
          <w:tcPr>
            <w:tcW w:w="70" w:type="dxa"/>
            <w:tcBorders/>
            <w:shd w:fill="E5FFFF" w:val="clear"/>
            <w:vAlign w:val="bottom"/>
          </w:tcPr>
          <w:p>
            <w:pPr>
              <w:pStyle w:val="TableContents"/>
              <w:spacing w:before="0" w:after="283"/>
              <w:rPr/>
            </w:pPr>
            <w:r>
              <w:rPr/>
              <w:t> </w:t>
            </w:r>
          </w:p>
        </w:tc>
        <w:tc>
          <w:tcPr>
            <w:tcW w:w="250" w:type="dxa"/>
            <w:gridSpan w:val="2"/>
            <w:tcBorders/>
            <w:shd w:fill="E5FFFF" w:val="clear"/>
            <w:vAlign w:val="bottom"/>
          </w:tcPr>
          <w:p>
            <w:pPr>
              <w:pStyle w:val="TableContents"/>
              <w:spacing w:before="0" w:after="283"/>
              <w:rPr/>
            </w:pPr>
            <w:r>
              <w:rPr/>
              <w:t> </w:t>
            </w:r>
          </w:p>
        </w:tc>
        <w:tc>
          <w:tcPr>
            <w:tcW w:w="58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w:t>
            </w:r>
          </w:p>
        </w:tc>
        <w:tc>
          <w:tcPr>
            <w:tcW w:w="1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58" w:type="dxa"/>
            <w:gridSpan w:val="2"/>
            <w:tcBorders/>
            <w:shd w:fill="E5FFFF" w:val="clear"/>
            <w:vAlign w:val="bottom"/>
          </w:tcPr>
          <w:p>
            <w:pPr>
              <w:pStyle w:val="TableContents"/>
              <w:spacing w:before="0" w:after="283"/>
              <w:rPr/>
            </w:pPr>
            <w:r>
              <w:rPr/>
              <w:t> </w:t>
            </w:r>
          </w:p>
        </w:tc>
        <w:tc>
          <w:tcPr>
            <w:tcW w:w="60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2015</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0" w:type="dxa"/>
            <w:tcBorders/>
            <w:shd w:fill="auto" w:val="clear"/>
            <w:vAlign w:val="bottom"/>
          </w:tcPr>
          <w:p>
            <w:pPr>
              <w:pStyle w:val="TableContents"/>
              <w:spacing w:before="0" w:after="283"/>
              <w:rPr/>
            </w:pPr>
            <w:r>
              <w:rPr/>
              <w:t> </w:t>
            </w:r>
          </w:p>
        </w:tc>
        <w:tc>
          <w:tcPr>
            <w:tcW w:w="58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329</w:t>
            </w:r>
          </w:p>
        </w:tc>
        <w:tc>
          <w:tcPr>
            <w:tcW w:w="1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0" w:type="dxa"/>
            <w:tcBorders/>
            <w:shd w:fill="auto" w:val="clear"/>
            <w:vAlign w:val="bottom"/>
          </w:tcPr>
          <w:p>
            <w:pPr>
              <w:pStyle w:val="TableContents"/>
              <w:spacing w:before="0" w:after="283"/>
              <w:rPr/>
            </w:pPr>
            <w:r>
              <w:rPr/>
              <w:t> </w:t>
            </w:r>
          </w:p>
        </w:tc>
        <w:tc>
          <w:tcPr>
            <w:tcW w:w="60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25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350</w:t>
            </w:r>
          </w:p>
        </w:tc>
        <w:tc>
          <w:tcPr>
            <w:tcW w:w="170" w:type="dxa"/>
            <w:gridSpan w:val="2"/>
            <w:tcBorders/>
            <w:shd w:fill="auto" w:val="clear"/>
            <w:vAlign w:val="bottom"/>
          </w:tcPr>
          <w:p>
            <w:pPr>
              <w:pStyle w:val="TableContents"/>
              <w:spacing w:before="0" w:after="283"/>
              <w:rPr/>
            </w:pPr>
            <w:r>
              <w:rPr/>
              <w:t> </w:t>
            </w:r>
          </w:p>
        </w:tc>
      </w:tr>
      <w:tr>
        <w:trPr/>
        <w:tc>
          <w:tcPr>
            <w:tcW w:w="3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Certain repositioning projects in Aerospace, ACS and PMT in 2015, 2014 and 2013 included exit or disposal activities, the costs related to which will be recognized in future periods when the actual liability is incurred. Such exit and disposal costs were not significant.</w:t>
      </w:r>
    </w:p>
    <w:p>
      <w:pPr>
        <w:pStyle w:val="TextBody"/>
        <w:spacing w:before="119" w:after="119"/>
        <w:ind w:left="119" w:right="119" w:hanging="0"/>
        <w:jc w:val="center"/>
        <w:rPr>
          <w:rFonts w:ascii="sans-serif" w:hAnsi="sans-serif"/>
          <w:sz w:val="22"/>
        </w:rPr>
      </w:pPr>
      <w:r>
        <w:rPr>
          <w:rFonts w:ascii="sans-serif" w:hAnsi="sans-serif"/>
          <w:sz w:val="22"/>
        </w:rPr>
        <w:t>42</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4. Other (income) expense</w:t>
      </w:r>
    </w:p>
    <w:tbl>
      <w:tblPr>
        <w:tblW w:w="8450" w:type="dxa"/>
        <w:jc w:val="left"/>
        <w:tblInd w:w="0" w:type="dxa"/>
        <w:tblCellMar>
          <w:top w:w="0" w:type="dxa"/>
          <w:left w:w="0" w:type="dxa"/>
          <w:bottom w:w="0" w:type="dxa"/>
          <w:right w:w="0" w:type="dxa"/>
        </w:tblCellMar>
      </w:tblPr>
      <w:tblGrid>
        <w:gridCol w:w="5465"/>
        <w:gridCol w:w="60"/>
        <w:gridCol w:w="60"/>
        <w:gridCol w:w="155"/>
        <w:gridCol w:w="60"/>
        <w:gridCol w:w="500"/>
        <w:gridCol w:w="95"/>
        <w:gridCol w:w="60"/>
        <w:gridCol w:w="60"/>
        <w:gridCol w:w="60"/>
        <w:gridCol w:w="155"/>
        <w:gridCol w:w="60"/>
        <w:gridCol w:w="500"/>
        <w:gridCol w:w="95"/>
        <w:gridCol w:w="60"/>
        <w:gridCol w:w="60"/>
        <w:gridCol w:w="60"/>
        <w:gridCol w:w="155"/>
        <w:gridCol w:w="60"/>
        <w:gridCol w:w="500"/>
        <w:gridCol w:w="95"/>
        <w:gridCol w:w="75"/>
      </w:tblGrid>
      <w:tr>
        <w:trPr/>
        <w:tc>
          <w:tcPr>
            <w:tcW w:w="54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shd w:fill="auto" w:val="clear"/>
            <w:vAlign w:val="bottom"/>
          </w:tcPr>
          <w:p>
            <w:pPr>
              <w:pStyle w:val="TableContents"/>
              <w:spacing w:before="0" w:after="283"/>
              <w:rPr/>
            </w:pPr>
            <w:r>
              <w:rPr/>
              <w:t> </w:t>
            </w:r>
          </w:p>
        </w:tc>
      </w:tr>
      <w:tr>
        <w:trPr/>
        <w:tc>
          <w:tcPr>
            <w:tcW w:w="546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92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546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4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54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Equity (income) loss of affiliated companies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546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Gain on sale of available for sale investments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54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Loss on sale of non-strategic businesses and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170" w:type="dxa"/>
            <w:gridSpan w:val="2"/>
            <w:tcBorders/>
            <w:shd w:fill="E5FFFF" w:val="clear"/>
            <w:vAlign w:val="bottom"/>
          </w:tcPr>
          <w:p>
            <w:pPr>
              <w:pStyle w:val="TableContents"/>
              <w:spacing w:before="0" w:after="283"/>
              <w:rPr/>
            </w:pPr>
            <w:r>
              <w:rPr/>
              <w:t> </w:t>
            </w:r>
          </w:p>
        </w:tc>
      </w:tr>
      <w:tr>
        <w:trPr/>
        <w:tc>
          <w:tcPr>
            <w:tcW w:w="546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Interest 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54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Foreign exchange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34</w:t>
            </w:r>
          </w:p>
        </w:tc>
        <w:tc>
          <w:tcPr>
            <w:tcW w:w="170" w:type="dxa"/>
            <w:gridSpan w:val="2"/>
            <w:tcBorders/>
            <w:shd w:fill="E5FFFF" w:val="clear"/>
            <w:vAlign w:val="bottom"/>
          </w:tcPr>
          <w:p>
            <w:pPr>
              <w:pStyle w:val="TableContents"/>
              <w:spacing w:before="0" w:after="283"/>
              <w:rPr/>
            </w:pPr>
            <w:r>
              <w:rPr/>
              <w:t> </w:t>
            </w:r>
          </w:p>
        </w:tc>
      </w:tr>
      <w:tr>
        <w:trPr/>
        <w:tc>
          <w:tcPr>
            <w:tcW w:w="546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net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w:t>
            </w:r>
          </w:p>
        </w:tc>
        <w:tc>
          <w:tcPr>
            <w:tcW w:w="170" w:type="dxa"/>
            <w:gridSpan w:val="2"/>
            <w:tcBorders/>
            <w:shd w:fill="auto" w:val="clear"/>
            <w:vAlign w:val="bottom"/>
          </w:tcPr>
          <w:p>
            <w:pPr>
              <w:pStyle w:val="TableContents"/>
              <w:spacing w:before="0" w:after="283"/>
              <w:rPr/>
            </w:pPr>
            <w:r>
              <w:rPr/>
              <w:t> </w:t>
            </w:r>
          </w:p>
        </w:tc>
      </w:tr>
      <w:tr>
        <w:trPr/>
        <w:tc>
          <w:tcPr>
            <w:tcW w:w="54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546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54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Note 5. Income Taxes</w:t>
      </w:r>
    </w:p>
    <w:p>
      <w:pPr>
        <w:pStyle w:val="TextBody"/>
        <w:spacing w:before="198" w:after="198"/>
        <w:ind w:left="198" w:right="198" w:hanging="0"/>
        <w:rPr>
          <w:rFonts w:ascii="sans-serif" w:hAnsi="sans-serif"/>
          <w:b/>
          <w:sz w:val="22"/>
        </w:rPr>
      </w:pPr>
      <w:r>
        <w:rPr>
          <w:rFonts w:ascii="sans-serif" w:hAnsi="sans-serif"/>
          <w:b/>
          <w:sz w:val="22"/>
        </w:rPr>
        <w:t>Income from continuing operations before taxes</w:t>
      </w:r>
    </w:p>
    <w:tbl>
      <w:tblPr>
        <w:tblW w:w="3995" w:type="dxa"/>
        <w:jc w:val="left"/>
        <w:tblInd w:w="0" w:type="dxa"/>
        <w:tblCellMar>
          <w:top w:w="0" w:type="dxa"/>
          <w:left w:w="0" w:type="dxa"/>
          <w:bottom w:w="0" w:type="dxa"/>
          <w:right w:w="0" w:type="dxa"/>
        </w:tblCellMar>
      </w:tblPr>
      <w:tblGrid>
        <w:gridCol w:w="935"/>
        <w:gridCol w:w="60"/>
        <w:gridCol w:w="60"/>
        <w:gridCol w:w="155"/>
        <w:gridCol w:w="60"/>
        <w:gridCol w:w="620"/>
        <w:gridCol w:w="60"/>
        <w:gridCol w:w="60"/>
        <w:gridCol w:w="60"/>
        <w:gridCol w:w="155"/>
        <w:gridCol w:w="60"/>
        <w:gridCol w:w="620"/>
        <w:gridCol w:w="60"/>
        <w:gridCol w:w="60"/>
        <w:gridCol w:w="60"/>
        <w:gridCol w:w="155"/>
        <w:gridCol w:w="60"/>
        <w:gridCol w:w="620"/>
        <w:gridCol w:w="75"/>
      </w:tblGrid>
      <w:tr>
        <w:trPr/>
        <w:tc>
          <w:tcPr>
            <w:tcW w:w="9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93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000"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9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93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U.S.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3,361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3,340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3,002</w:t>
            </w:r>
          </w:p>
        </w:tc>
        <w:tc>
          <w:tcPr>
            <w:tcW w:w="75" w:type="dxa"/>
            <w:tcBorders/>
            <w:shd w:fill="E5FFFF" w:val="clear"/>
            <w:vAlign w:val="bottom"/>
          </w:tcPr>
          <w:p>
            <w:pPr>
              <w:pStyle w:val="TableContents"/>
              <w:spacing w:before="0" w:after="283"/>
              <w:rPr/>
            </w:pPr>
            <w:r>
              <w:rPr/>
              <w:t> </w:t>
            </w:r>
          </w:p>
        </w:tc>
      </w:tr>
      <w:tr>
        <w:trPr/>
        <w:tc>
          <w:tcPr>
            <w:tcW w:w="9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Non-U.S.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2,410</w:t>
            </w:r>
          </w:p>
        </w:tc>
        <w:tc>
          <w:tcPr>
            <w:tcW w:w="75" w:type="dxa"/>
            <w:tcBorders/>
            <w:shd w:fill="auto" w:val="clear"/>
            <w:vAlign w:val="bottom"/>
          </w:tcPr>
          <w:p>
            <w:pPr>
              <w:pStyle w:val="TableContents"/>
              <w:spacing w:before="0" w:after="283"/>
              <w:rPr/>
            </w:pPr>
            <w:r>
              <w:rPr/>
              <w:t> </w:t>
            </w:r>
          </w:p>
        </w:tc>
      </w:tr>
      <w:tr>
        <w:trPr/>
        <w:tc>
          <w:tcPr>
            <w:tcW w:w="9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93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6,586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5,818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5,412</w:t>
            </w:r>
          </w:p>
        </w:tc>
        <w:tc>
          <w:tcPr>
            <w:tcW w:w="75" w:type="dxa"/>
            <w:tcBorders/>
            <w:shd w:fill="E5FFFF" w:val="clear"/>
            <w:vAlign w:val="bottom"/>
          </w:tcPr>
          <w:p>
            <w:pPr>
              <w:pStyle w:val="TableContents"/>
              <w:spacing w:before="0" w:after="283"/>
              <w:rPr/>
            </w:pPr>
            <w:r>
              <w:rPr/>
              <w:t> </w:t>
            </w:r>
          </w:p>
        </w:tc>
      </w:tr>
      <w:tr>
        <w:trPr/>
        <w:tc>
          <w:tcPr>
            <w:tcW w:w="9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Tax expense (benefit)</w:t>
      </w:r>
    </w:p>
    <w:tbl>
      <w:tblPr>
        <w:tblW w:w="6670" w:type="dxa"/>
        <w:jc w:val="left"/>
        <w:tblInd w:w="0" w:type="dxa"/>
        <w:tblCellMar>
          <w:top w:w="0" w:type="dxa"/>
          <w:left w:w="0" w:type="dxa"/>
          <w:bottom w:w="0" w:type="dxa"/>
          <w:right w:w="0" w:type="dxa"/>
        </w:tblCellMar>
      </w:tblPr>
      <w:tblGrid>
        <w:gridCol w:w="3515"/>
        <w:gridCol w:w="60"/>
        <w:gridCol w:w="60"/>
        <w:gridCol w:w="155"/>
        <w:gridCol w:w="60"/>
        <w:gridCol w:w="620"/>
        <w:gridCol w:w="60"/>
        <w:gridCol w:w="60"/>
        <w:gridCol w:w="60"/>
        <w:gridCol w:w="155"/>
        <w:gridCol w:w="60"/>
        <w:gridCol w:w="620"/>
        <w:gridCol w:w="95"/>
        <w:gridCol w:w="60"/>
        <w:gridCol w:w="60"/>
        <w:gridCol w:w="60"/>
        <w:gridCol w:w="155"/>
        <w:gridCol w:w="60"/>
        <w:gridCol w:w="620"/>
        <w:gridCol w:w="75"/>
      </w:tblGrid>
      <w:tr>
        <w:trPr/>
        <w:tc>
          <w:tcPr>
            <w:tcW w:w="3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51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095" w:type="dxa"/>
            <w:gridSpan w:val="18"/>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351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351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Tax expense (benefit) consists of</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70" w:type="dxa"/>
            <w:gridSpan w:val="5"/>
            <w:tcBorders/>
            <w:shd w:fill="E5FFFF"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Current:</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51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U.S. Federal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786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746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663</w:t>
            </w:r>
          </w:p>
        </w:tc>
        <w:tc>
          <w:tcPr>
            <w:tcW w:w="75" w:type="dxa"/>
            <w:tcBorders/>
            <w:shd w:fill="E5FFFF"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U.S. State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97</w:t>
            </w:r>
          </w:p>
        </w:tc>
        <w:tc>
          <w:tcPr>
            <w:tcW w:w="75" w:type="dxa"/>
            <w:tcBorders/>
            <w:shd w:fill="auto" w:val="clear"/>
            <w:vAlign w:val="bottom"/>
          </w:tcPr>
          <w:p>
            <w:pPr>
              <w:pStyle w:val="TableContents"/>
              <w:spacing w:before="0" w:after="283"/>
              <w:rPr/>
            </w:pPr>
            <w:r>
              <w:rPr/>
              <w:t> </w:t>
            </w:r>
          </w:p>
        </w:tc>
      </w:tr>
      <w:tr>
        <w:trPr/>
        <w:tc>
          <w:tcPr>
            <w:tcW w:w="351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Non-U.S.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428</w:t>
            </w:r>
          </w:p>
        </w:tc>
        <w:tc>
          <w:tcPr>
            <w:tcW w:w="75" w:type="dxa"/>
            <w:tcBorders/>
            <w:shd w:fill="E5FFFF"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1,357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1,188</w:t>
            </w:r>
          </w:p>
        </w:tc>
        <w:tc>
          <w:tcPr>
            <w:tcW w:w="75"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51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Deferred:</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70" w:type="dxa"/>
            <w:gridSpan w:val="5"/>
            <w:tcBorders/>
            <w:shd w:fill="E5FFFF"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U.S. Federal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160</w:t>
            </w:r>
          </w:p>
        </w:tc>
        <w:tc>
          <w:tcPr>
            <w:tcW w:w="75" w:type="dxa"/>
            <w:tcBorders/>
            <w:shd w:fill="auto" w:val="clear"/>
            <w:vAlign w:val="bottom"/>
          </w:tcPr>
          <w:p>
            <w:pPr>
              <w:pStyle w:val="TableContents"/>
              <w:spacing w:before="0" w:after="283"/>
              <w:rPr/>
            </w:pPr>
            <w:r>
              <w:rPr/>
              <w:t> </w:t>
            </w:r>
          </w:p>
        </w:tc>
      </w:tr>
      <w:tr>
        <w:trPr/>
        <w:tc>
          <w:tcPr>
            <w:tcW w:w="351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U.S. State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72</w:t>
            </w:r>
          </w:p>
        </w:tc>
        <w:tc>
          <w:tcPr>
            <w:tcW w:w="75" w:type="dxa"/>
            <w:tcBorders/>
            <w:shd w:fill="E5FFFF"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Non-U.S.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30</w:t>
            </w:r>
          </w:p>
        </w:tc>
        <w:tc>
          <w:tcPr>
            <w:tcW w:w="75"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51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262</w:t>
            </w:r>
          </w:p>
        </w:tc>
        <w:tc>
          <w:tcPr>
            <w:tcW w:w="75" w:type="dxa"/>
            <w:tcBorders/>
            <w:shd w:fill="E5FFFF"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1,739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1,489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1,450</w:t>
            </w:r>
          </w:p>
        </w:tc>
        <w:tc>
          <w:tcPr>
            <w:tcW w:w="75"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43</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tbl>
      <w:tblPr>
        <w:tblW w:w="10205" w:type="dxa"/>
        <w:jc w:val="left"/>
        <w:tblInd w:w="0" w:type="dxa"/>
        <w:tblCellMar>
          <w:top w:w="0" w:type="dxa"/>
          <w:left w:w="0" w:type="dxa"/>
          <w:bottom w:w="0" w:type="dxa"/>
          <w:right w:w="0" w:type="dxa"/>
        </w:tblCellMar>
      </w:tblPr>
      <w:tblGrid>
        <w:gridCol w:w="7300"/>
        <w:gridCol w:w="60"/>
        <w:gridCol w:w="61"/>
        <w:gridCol w:w="60"/>
        <w:gridCol w:w="498"/>
        <w:gridCol w:w="220"/>
        <w:gridCol w:w="61"/>
        <w:gridCol w:w="61"/>
        <w:gridCol w:w="61"/>
        <w:gridCol w:w="60"/>
        <w:gridCol w:w="498"/>
        <w:gridCol w:w="220"/>
        <w:gridCol w:w="61"/>
        <w:gridCol w:w="61"/>
        <w:gridCol w:w="61"/>
        <w:gridCol w:w="60"/>
        <w:gridCol w:w="498"/>
        <w:gridCol w:w="220"/>
        <w:gridCol w:w="84"/>
      </w:tblGrid>
      <w:tr>
        <w:trPr/>
        <w:tc>
          <w:tcPr>
            <w:tcW w:w="73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0" w:type="dxa"/>
            <w:gridSpan w:val="5"/>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900" w:type="dxa"/>
            <w:gridSpan w:val="5"/>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923" w:type="dxa"/>
            <w:gridSpan w:val="5"/>
            <w:tcBorders/>
            <w:shd w:fill="auto" w:val="clear"/>
            <w:vAlign w:val="bottom"/>
          </w:tcPr>
          <w:p>
            <w:pPr>
              <w:pStyle w:val="TableContents"/>
              <w:spacing w:before="0" w:after="283"/>
              <w:rPr/>
            </w:pPr>
            <w:r>
              <w:rPr/>
              <w:t> </w:t>
            </w:r>
          </w:p>
        </w:tc>
      </w:tr>
      <w:tr>
        <w:trPr/>
        <w:tc>
          <w:tcPr>
            <w:tcW w:w="730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845"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730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0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1" w:type="dxa"/>
            <w:tcBorders/>
            <w:shd w:fill="auto" w:val="clear"/>
            <w:vAlign w:val="bottom"/>
          </w:tcPr>
          <w:p>
            <w:pPr>
              <w:pStyle w:val="TableContents"/>
              <w:spacing w:before="0" w:after="283"/>
              <w:rPr/>
            </w:pPr>
            <w:r>
              <w:rPr/>
              <w:t> </w:t>
            </w:r>
          </w:p>
        </w:tc>
        <w:tc>
          <w:tcPr>
            <w:tcW w:w="90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1" w:type="dxa"/>
            <w:tcBorders/>
            <w:shd w:fill="auto" w:val="clear"/>
            <w:vAlign w:val="bottom"/>
          </w:tcPr>
          <w:p>
            <w:pPr>
              <w:pStyle w:val="TableContents"/>
              <w:spacing w:before="0" w:after="283"/>
              <w:rPr/>
            </w:pPr>
            <w:r>
              <w:rPr/>
              <w:t> </w:t>
            </w:r>
          </w:p>
        </w:tc>
        <w:tc>
          <w:tcPr>
            <w:tcW w:w="923"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73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The U.S. federal statutory income tax rate is reconciled to our effective income tax rate as follows:</w:t>
            </w:r>
          </w:p>
        </w:tc>
        <w:tc>
          <w:tcPr>
            <w:tcW w:w="60" w:type="dxa"/>
            <w:tcBorders/>
            <w:shd w:fill="E5FFFF" w:val="clear"/>
            <w:vAlign w:val="bottom"/>
          </w:tcPr>
          <w:p>
            <w:pPr>
              <w:pStyle w:val="TableContents"/>
              <w:spacing w:before="0" w:after="283"/>
              <w:rPr/>
            </w:pPr>
            <w:r>
              <w:rPr/>
              <w:t> </w:t>
            </w:r>
          </w:p>
        </w:tc>
        <w:tc>
          <w:tcPr>
            <w:tcW w:w="900" w:type="dxa"/>
            <w:gridSpan w:val="5"/>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900" w:type="dxa"/>
            <w:gridSpan w:val="5"/>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923" w:type="dxa"/>
            <w:gridSpan w:val="5"/>
            <w:tcBorders/>
            <w:shd w:fill="E5FFFF" w:val="clear"/>
            <w:vAlign w:val="bottom"/>
          </w:tcPr>
          <w:p>
            <w:pPr>
              <w:pStyle w:val="TableContents"/>
              <w:spacing w:before="0" w:after="283"/>
              <w:rPr/>
            </w:pPr>
            <w:r>
              <w:rPr/>
              <w:t> </w:t>
            </w:r>
          </w:p>
        </w:tc>
      </w:tr>
      <w:tr>
        <w:trPr/>
        <w:tc>
          <w:tcPr>
            <w:tcW w:w="73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U.S. federal statutory income tax rate</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35.0</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35.0</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35.0</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auto" w:val="clear"/>
            <w:vAlign w:val="bottom"/>
          </w:tcPr>
          <w:p>
            <w:pPr>
              <w:pStyle w:val="TableContents"/>
              <w:spacing w:before="0" w:after="283"/>
              <w:rPr/>
            </w:pPr>
            <w:r>
              <w:rPr/>
              <w:t> </w:t>
            </w:r>
          </w:p>
        </w:tc>
      </w:tr>
      <w:tr>
        <w:trPr/>
        <w:tc>
          <w:tcPr>
            <w:tcW w:w="73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Taxes on non-U.S. earnings below U.S. tax rate(1)</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(8.0</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(7.0</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(7.2</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r>
      <w:tr>
        <w:trPr/>
        <w:tc>
          <w:tcPr>
            <w:tcW w:w="73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U.S. state income taxes(1)</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281"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281"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w:t>
            </w:r>
          </w:p>
        </w:tc>
        <w:tc>
          <w:tcPr>
            <w:tcW w:w="304" w:type="dxa"/>
            <w:gridSpan w:val="2"/>
            <w:tcBorders/>
            <w:shd w:fill="auto" w:val="clear"/>
            <w:vAlign w:val="bottom"/>
          </w:tcPr>
          <w:p>
            <w:pPr>
              <w:pStyle w:val="TableContents"/>
              <w:spacing w:before="0" w:after="283"/>
              <w:rPr/>
            </w:pPr>
            <w:r>
              <w:rPr/>
              <w:t> </w:t>
            </w:r>
          </w:p>
        </w:tc>
      </w:tr>
      <w:tr>
        <w:trPr/>
        <w:tc>
          <w:tcPr>
            <w:tcW w:w="73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Manufacturing incentives</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(0.9</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r>
      <w:tr>
        <w:trPr/>
        <w:tc>
          <w:tcPr>
            <w:tcW w:w="73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ESOP dividend tax benefit</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(0.4</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(0.4</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(0.5</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auto" w:val="clear"/>
            <w:vAlign w:val="bottom"/>
          </w:tcPr>
          <w:p>
            <w:pPr>
              <w:pStyle w:val="TableContents"/>
              <w:spacing w:before="0" w:after="283"/>
              <w:rPr/>
            </w:pPr>
            <w:r>
              <w:rPr/>
              <w:t> </w:t>
            </w:r>
          </w:p>
        </w:tc>
      </w:tr>
      <w:tr>
        <w:trPr/>
        <w:tc>
          <w:tcPr>
            <w:tcW w:w="73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Tax credits</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r>
      <w:tr>
        <w:trPr/>
        <w:tc>
          <w:tcPr>
            <w:tcW w:w="73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Reserves for tax contingencies</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0.7</w:t>
            </w:r>
          </w:p>
        </w:tc>
        <w:tc>
          <w:tcPr>
            <w:tcW w:w="281"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(0.2</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0.6</w:t>
            </w:r>
          </w:p>
        </w:tc>
        <w:tc>
          <w:tcPr>
            <w:tcW w:w="304" w:type="dxa"/>
            <w:gridSpan w:val="2"/>
            <w:tcBorders/>
            <w:shd w:fill="auto" w:val="clear"/>
            <w:vAlign w:val="bottom"/>
          </w:tcPr>
          <w:p>
            <w:pPr>
              <w:pStyle w:val="TableContents"/>
              <w:spacing w:before="0" w:after="283"/>
              <w:rPr/>
            </w:pPr>
            <w:r>
              <w:rPr/>
              <w:t> </w:t>
            </w:r>
          </w:p>
        </w:tc>
      </w:tr>
      <w:tr>
        <w:trPr/>
        <w:tc>
          <w:tcPr>
            <w:tcW w:w="73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All other itemsnet</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0.4</w:t>
            </w:r>
          </w:p>
        </w:tc>
        <w:tc>
          <w:tcPr>
            <w:tcW w:w="281" w:type="dxa"/>
            <w:gridSpan w:val="2"/>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(0.2</w:t>
            </w:r>
          </w:p>
        </w:tc>
        <w:tc>
          <w:tcPr>
            <w:tcW w:w="22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r>
      <w:tr>
        <w:trPr/>
        <w:tc>
          <w:tcPr>
            <w:tcW w:w="73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0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90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923"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73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26.4</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25.6</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26.8</w:t>
            </w:r>
          </w:p>
        </w:tc>
        <w:tc>
          <w:tcPr>
            <w:tcW w:w="2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auto" w:val="clear"/>
            <w:vAlign w:val="bottom"/>
          </w:tcPr>
          <w:p>
            <w:pPr>
              <w:pStyle w:val="TableContents"/>
              <w:spacing w:before="0" w:after="283"/>
              <w:rPr/>
            </w:pPr>
            <w:r>
              <w:rPr/>
              <w:t> </w:t>
            </w:r>
          </w:p>
        </w:tc>
      </w:tr>
      <w:tr>
        <w:trPr/>
        <w:tc>
          <w:tcPr>
            <w:tcW w:w="73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0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90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923"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4578" w:type="dxa"/>
        <w:jc w:val="left"/>
        <w:tblInd w:w="0" w:type="dxa"/>
        <w:tblCellMar>
          <w:top w:w="0" w:type="dxa"/>
          <w:left w:w="0" w:type="dxa"/>
          <w:bottom w:w="0" w:type="dxa"/>
          <w:right w:w="0" w:type="dxa"/>
        </w:tblCellMar>
      </w:tblPr>
      <w:tblGrid>
        <w:gridCol w:w="75"/>
        <w:gridCol w:w="305"/>
        <w:gridCol w:w="105"/>
        <w:gridCol w:w="4055"/>
        <w:gridCol w:w="38"/>
      </w:tblGrid>
      <w:tr>
        <w:trPr/>
        <w:tc>
          <w:tcPr>
            <w:tcW w:w="4578"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105" w:type="dxa"/>
            <w:tcBorders/>
            <w:shd w:fill="auto" w:val="clear"/>
          </w:tcPr>
          <w:p>
            <w:pPr>
              <w:pStyle w:val="TableContents"/>
              <w:spacing w:before="0" w:after="283"/>
              <w:rPr/>
            </w:pPr>
            <w:r>
              <w:rPr/>
              <w:t> </w:t>
            </w:r>
          </w:p>
        </w:tc>
        <w:tc>
          <w:tcPr>
            <w:tcW w:w="4055" w:type="dxa"/>
            <w:tcBorders/>
            <w:shd w:fill="auto" w:val="clear"/>
          </w:tcPr>
          <w:p>
            <w:pPr>
              <w:pStyle w:val="TableContents"/>
              <w:spacing w:before="0" w:after="283"/>
              <w:jc w:val="both"/>
              <w:rPr>
                <w:rFonts w:ascii="sans-serif" w:hAnsi="sans-serif"/>
                <w:sz w:val="22"/>
              </w:rPr>
            </w:pPr>
            <w:r>
              <w:rPr>
                <w:rFonts w:ascii="sans-serif" w:hAnsi="sans-serif"/>
                <w:sz w:val="22"/>
              </w:rPr>
              <w:t>Net of changes in valuation allowance</w:t>
            </w:r>
          </w:p>
        </w:tc>
        <w:tc>
          <w:tcPr>
            <w:tcW w:w="38"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The effective tax rate increased by 0.8 percentage points in 2015 compared to 2014. The increase was primarily attributable to decreased tax benefits from the resolution of tax audits, partially offset by increased tax benefits from manufacturing incentives, the impact of more income in jurisdictions with lower tax rates and fewer reserves. The Companys non-U.S. effective tax rate for 2015 was 19.5%, a decrease of approximately 1.8 percentage points compared to 2014. The year-over-year decrease in the non-U.S. effective tax rate was primarily attributable to higher earnings in lower tax rate jurisdictions coupled with lower expense related to reserves in various jurisdictions, partially offset by an increase from the tax impact of restructuring and dispositions. The effective tax rate was lower than the U.S. federal statutory rate of 35% primarily due to overall non-U.S. earnings taxed at lower rates.</w:t>
      </w:r>
    </w:p>
    <w:p>
      <w:pPr>
        <w:pStyle w:val="TextBody"/>
        <w:spacing w:before="119" w:after="119"/>
        <w:ind w:left="119" w:right="119" w:firstLine="397"/>
        <w:jc w:val="both"/>
        <w:rPr>
          <w:rFonts w:ascii="sans-serif" w:hAnsi="sans-serif"/>
          <w:sz w:val="22"/>
        </w:rPr>
      </w:pPr>
      <w:r>
        <w:rPr>
          <w:rFonts w:ascii="sans-serif" w:hAnsi="sans-serif"/>
          <w:sz w:val="22"/>
        </w:rPr>
        <w:t>The effective tax rate decreased by 1.2 percentage points in 2014 compared to 2013. The decrease was primarily attributable to lower tax expense from the resolution of audits, partially offset by the impact of more income in jurisdictions with higher tax rates and additional reserves. The Companys non-U.S. effective tax rate for 2014 was 21.3%, an increase of approximately 2.3 percentage points compared to 2013. The increase in the non-U.S. effective tax rate was primarily attributable to additional reserves and the impact of more income in jurisdictions with higher tax rates, partially offset by the tax impact of dispositions. The effective tax rate was lower than the U.S. federal statutory rate of 35% primarily due to overall non-U.S. earnings taxed at lower rates.</w:t>
      </w:r>
    </w:p>
    <w:p>
      <w:pPr>
        <w:pStyle w:val="TextBody"/>
        <w:spacing w:before="119" w:after="119"/>
        <w:ind w:left="119" w:right="119" w:hanging="0"/>
        <w:jc w:val="center"/>
        <w:rPr>
          <w:rFonts w:ascii="sans-serif" w:hAnsi="sans-serif"/>
          <w:sz w:val="22"/>
        </w:rPr>
      </w:pPr>
      <w:r>
        <w:rPr>
          <w:rFonts w:ascii="sans-serif" w:hAnsi="sans-serif"/>
          <w:sz w:val="22"/>
        </w:rPr>
        <w:t>44</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Deferred tax assets (liabilities)</w:t>
      </w:r>
    </w:p>
    <w:p>
      <w:pPr>
        <w:pStyle w:val="TextBody"/>
        <w:spacing w:before="119" w:after="119"/>
        <w:ind w:left="119" w:right="119" w:firstLine="397"/>
        <w:jc w:val="both"/>
        <w:rPr>
          <w:rFonts w:ascii="sans-serif" w:hAnsi="sans-serif"/>
          <w:sz w:val="22"/>
        </w:rPr>
      </w:pPr>
      <w:r>
        <w:rPr>
          <w:rFonts w:ascii="sans-serif" w:hAnsi="sans-serif"/>
          <w:sz w:val="22"/>
        </w:rPr>
        <w:t>The tax effects of temporary differences and tax carryforwards which give rise to future income tax benefits and payables are as follows:</w:t>
      </w:r>
    </w:p>
    <w:tbl>
      <w:tblPr>
        <w:tblW w:w="7085" w:type="dxa"/>
        <w:jc w:val="left"/>
        <w:tblInd w:w="0" w:type="dxa"/>
        <w:tblCellMar>
          <w:top w:w="0" w:type="dxa"/>
          <w:left w:w="0" w:type="dxa"/>
          <w:bottom w:w="0" w:type="dxa"/>
          <w:right w:w="0" w:type="dxa"/>
        </w:tblCellMar>
      </w:tblPr>
      <w:tblGrid>
        <w:gridCol w:w="4700"/>
        <w:gridCol w:w="60"/>
        <w:gridCol w:w="60"/>
        <w:gridCol w:w="155"/>
        <w:gridCol w:w="60"/>
        <w:gridCol w:w="695"/>
        <w:gridCol w:w="95"/>
        <w:gridCol w:w="60"/>
        <w:gridCol w:w="60"/>
        <w:gridCol w:w="60"/>
        <w:gridCol w:w="155"/>
        <w:gridCol w:w="60"/>
        <w:gridCol w:w="695"/>
        <w:gridCol w:w="95"/>
        <w:gridCol w:w="75"/>
      </w:tblGrid>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shd w:fill="auto" w:val="clear"/>
            <w:vAlign w:val="bottom"/>
          </w:tcPr>
          <w:p>
            <w:pPr>
              <w:pStyle w:val="TableContents"/>
              <w:spacing w:before="0" w:after="283"/>
              <w:rPr/>
            </w:pPr>
            <w:r>
              <w:rPr/>
              <w:t> </w:t>
            </w:r>
          </w:p>
        </w:tc>
      </w:tr>
      <w:tr>
        <w:trPr/>
        <w:tc>
          <w:tcPr>
            <w:tcW w:w="4700" w:type="dxa"/>
            <w:vMerge w:val="restart"/>
            <w:tcBorders/>
            <w:shd w:fill="auto" w:val="clear"/>
            <w:vAlign w:val="bottom"/>
          </w:tcPr>
          <w:p>
            <w:pPr>
              <w:pStyle w:val="TableContents"/>
              <w:spacing w:before="0" w:after="283"/>
              <w:rPr>
                <w:rFonts w:ascii="sans-serif" w:hAnsi="sans-serif"/>
                <w:b/>
                <w:sz w:val="22"/>
              </w:rPr>
            </w:pPr>
            <w:r>
              <w:rPr>
                <w:rFonts w:ascii="sans-serif" w:hAnsi="sans-serif"/>
                <w:b/>
                <w:sz w:val="22"/>
              </w:rPr>
              <w:t>Deferred tax assets:</w:t>
            </w:r>
          </w:p>
        </w:tc>
        <w:tc>
          <w:tcPr>
            <w:tcW w:w="60" w:type="dxa"/>
            <w:tcBorders/>
            <w:shd w:fill="auto" w:val="clear"/>
            <w:vAlign w:val="bottom"/>
          </w:tcPr>
          <w:p>
            <w:pPr>
              <w:pStyle w:val="TableContents"/>
              <w:spacing w:before="0" w:after="283"/>
              <w:rPr/>
            </w:pPr>
            <w:r>
              <w:rPr/>
              <w:t> </w:t>
            </w:r>
          </w:p>
        </w:tc>
        <w:tc>
          <w:tcPr>
            <w:tcW w:w="2325"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470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4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470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Pension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500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573</w:t>
            </w:r>
          </w:p>
        </w:tc>
        <w:tc>
          <w:tcPr>
            <w:tcW w:w="170" w:type="dxa"/>
            <w:gridSpan w:val="2"/>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Postretirement benefits other than pensions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441</w:t>
            </w:r>
          </w:p>
        </w:tc>
        <w:tc>
          <w:tcPr>
            <w:tcW w:w="170" w:type="dxa"/>
            <w:gridSpan w:val="2"/>
            <w:tcBorders/>
            <w:shd w:fill="auto" w:val="clear"/>
            <w:vAlign w:val="bottom"/>
          </w:tcPr>
          <w:p>
            <w:pPr>
              <w:pStyle w:val="TableContents"/>
              <w:spacing w:before="0" w:after="283"/>
              <w:rPr/>
            </w:pPr>
            <w:r>
              <w:rPr/>
              <w:t> </w:t>
            </w:r>
          </w:p>
        </w:tc>
      </w:tr>
      <w:tr>
        <w:trPr/>
        <w:tc>
          <w:tcPr>
            <w:tcW w:w="470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Asbestos and environmental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477</w:t>
            </w:r>
          </w:p>
        </w:tc>
        <w:tc>
          <w:tcPr>
            <w:tcW w:w="170" w:type="dxa"/>
            <w:gridSpan w:val="2"/>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Employee compensation and benefits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387</w:t>
            </w:r>
          </w:p>
        </w:tc>
        <w:tc>
          <w:tcPr>
            <w:tcW w:w="170" w:type="dxa"/>
            <w:gridSpan w:val="2"/>
            <w:tcBorders/>
            <w:shd w:fill="auto" w:val="clear"/>
            <w:vAlign w:val="bottom"/>
          </w:tcPr>
          <w:p>
            <w:pPr>
              <w:pStyle w:val="TableContents"/>
              <w:spacing w:before="0" w:after="283"/>
              <w:rPr/>
            </w:pPr>
            <w:r>
              <w:rPr/>
              <w:t> </w:t>
            </w:r>
          </w:p>
        </w:tc>
      </w:tr>
      <w:tr>
        <w:trPr/>
        <w:tc>
          <w:tcPr>
            <w:tcW w:w="470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Other accruals and reserves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672</w:t>
            </w:r>
          </w:p>
        </w:tc>
        <w:tc>
          <w:tcPr>
            <w:tcW w:w="170" w:type="dxa"/>
            <w:gridSpan w:val="2"/>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Net operating and capital 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639</w:t>
            </w:r>
          </w:p>
        </w:tc>
        <w:tc>
          <w:tcPr>
            <w:tcW w:w="170" w:type="dxa"/>
            <w:gridSpan w:val="2"/>
            <w:tcBorders/>
            <w:shd w:fill="auto" w:val="clear"/>
            <w:vAlign w:val="bottom"/>
          </w:tcPr>
          <w:p>
            <w:pPr>
              <w:pStyle w:val="TableContents"/>
              <w:spacing w:before="0" w:after="283"/>
              <w:rPr/>
            </w:pPr>
            <w:r>
              <w:rPr/>
              <w:t> </w:t>
            </w:r>
          </w:p>
        </w:tc>
      </w:tr>
      <w:tr>
        <w:trPr/>
        <w:tc>
          <w:tcPr>
            <w:tcW w:w="470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Tax credit carryforwards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199</w:t>
            </w:r>
          </w:p>
        </w:tc>
        <w:tc>
          <w:tcPr>
            <w:tcW w:w="170" w:type="dxa"/>
            <w:gridSpan w:val="2"/>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Gross deferred tax assets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3,096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3,388</w:t>
            </w:r>
          </w:p>
        </w:tc>
        <w:tc>
          <w:tcPr>
            <w:tcW w:w="170" w:type="dxa"/>
            <w:gridSpan w:val="2"/>
            <w:tcBorders/>
            <w:shd w:fill="auto" w:val="clear"/>
            <w:vAlign w:val="bottom"/>
          </w:tcPr>
          <w:p>
            <w:pPr>
              <w:pStyle w:val="TableContents"/>
              <w:spacing w:before="0" w:after="283"/>
              <w:rPr/>
            </w:pPr>
            <w:r>
              <w:rPr/>
              <w:t> </w:t>
            </w:r>
          </w:p>
        </w:tc>
      </w:tr>
      <w:tr>
        <w:trPr/>
        <w:tc>
          <w:tcPr>
            <w:tcW w:w="47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Valuation allowance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(589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Total deferred tax assets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2,507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2,828</w:t>
            </w:r>
          </w:p>
        </w:tc>
        <w:tc>
          <w:tcPr>
            <w:tcW w:w="170" w:type="dxa"/>
            <w:gridSpan w:val="2"/>
            <w:tcBorders/>
            <w:shd w:fill="auto"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4700"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Deferred tax liabilities:</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40" w:type="dxa"/>
            <w:gridSpan w:val="6"/>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Property, plant and equipment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(661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70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Intangibles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(1,797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(1,060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Other asset basis differences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70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Other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Total deferred tax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(2,782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(1,965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7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deferred tax (liability) asset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863</w:t>
            </w:r>
          </w:p>
        </w:tc>
        <w:tc>
          <w:tcPr>
            <w:tcW w:w="170" w:type="dxa"/>
            <w:gridSpan w:val="2"/>
            <w:tcBorders/>
            <w:shd w:fill="E5FF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As described in Note 1 Summary of Significant Accounting Policies, the Company has presented deferred income taxes as noncurrent as of December 31, 2015.</w:t>
      </w:r>
    </w:p>
    <w:p>
      <w:pPr>
        <w:pStyle w:val="TextBody"/>
        <w:spacing w:before="119" w:after="119"/>
        <w:ind w:left="119" w:right="119" w:firstLine="397"/>
        <w:jc w:val="both"/>
        <w:rPr>
          <w:rFonts w:ascii="sans-serif" w:hAnsi="sans-serif"/>
          <w:sz w:val="22"/>
        </w:rPr>
      </w:pPr>
      <w:r>
        <w:rPr>
          <w:rFonts w:ascii="sans-serif" w:hAnsi="sans-serif"/>
          <w:sz w:val="22"/>
        </w:rPr>
        <w:t>The change in deferred tax balance was primarily attributable to deferred tax liabilities for intangible assets that were recorded in connection with the acquisition of Elster. Our gross deferred tax asset includes $1,049 million related to non-U.S. operations comprised principally of deductible temporary differences and net operating loss, capital loss and tax credit carryforwards (mainly in Canada, France, Luxembourg and the United Kingdom). We maintain a valuation allowance of $587 million against a portion of the non-U.S. gross deferred tax assets. The change in the valuation allowance resulted in an increase of $114 million, decrease of $10 million and increase of $49 million to income tax expense in 2015, 2014 and 2013. In the event we determine that we will not be able to realize our net deferred tax assets in the future, we will reduce such amounts through an increase to income tax expense in the period such determination is made. Conversely, if we determine that we will be able to realize net deferred tax assets in excess of the carrying amounts, we will decrease the recorded valuation allowance through a reduction to income tax expense in the period that such determination is made.</w:t>
      </w:r>
    </w:p>
    <w:p>
      <w:pPr>
        <w:pStyle w:val="TextBody"/>
        <w:spacing w:before="119" w:after="119"/>
        <w:ind w:left="119" w:right="119" w:firstLine="397"/>
        <w:jc w:val="both"/>
        <w:rPr>
          <w:rFonts w:ascii="sans-serif" w:hAnsi="sans-serif"/>
          <w:sz w:val="22"/>
        </w:rPr>
      </w:pPr>
      <w:r>
        <w:rPr>
          <w:rFonts w:ascii="sans-serif" w:hAnsi="sans-serif"/>
          <w:sz w:val="22"/>
        </w:rPr>
        <w:t>As of December 31, 2015, our net operating loss, capital loss and tax credit carryforwards were as follows:</w:t>
      </w:r>
    </w:p>
    <w:tbl>
      <w:tblPr>
        <w:tblW w:w="5788" w:type="dxa"/>
        <w:jc w:val="left"/>
        <w:tblInd w:w="0" w:type="dxa"/>
        <w:tblCellMar>
          <w:top w:w="0" w:type="dxa"/>
          <w:left w:w="0" w:type="dxa"/>
          <w:bottom w:w="0" w:type="dxa"/>
          <w:right w:w="0" w:type="dxa"/>
        </w:tblCellMar>
      </w:tblPr>
      <w:tblGrid>
        <w:gridCol w:w="1310"/>
        <w:gridCol w:w="60"/>
        <w:gridCol w:w="1070"/>
        <w:gridCol w:w="60"/>
        <w:gridCol w:w="110"/>
        <w:gridCol w:w="286"/>
        <w:gridCol w:w="110"/>
        <w:gridCol w:w="1147"/>
        <w:gridCol w:w="60"/>
        <w:gridCol w:w="60"/>
        <w:gridCol w:w="123"/>
        <w:gridCol w:w="319"/>
        <w:gridCol w:w="123"/>
        <w:gridCol w:w="875"/>
        <w:gridCol w:w="75"/>
      </w:tblGrid>
      <w:tr>
        <w:trPr/>
        <w:tc>
          <w:tcPr>
            <w:tcW w:w="13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713"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5" w:type="dxa"/>
            <w:gridSpan w:val="5"/>
            <w:tcBorders/>
            <w:shd w:fill="auto" w:val="clear"/>
            <w:vAlign w:val="bottom"/>
          </w:tcPr>
          <w:p>
            <w:pPr>
              <w:pStyle w:val="TableContents"/>
              <w:spacing w:before="0" w:after="283"/>
              <w:rPr/>
            </w:pPr>
            <w:r>
              <w:rPr/>
              <w:t> </w:t>
            </w:r>
          </w:p>
        </w:tc>
      </w:tr>
      <w:tr>
        <w:trPr/>
        <w:tc>
          <w:tcPr>
            <w:tcW w:w="1310" w:type="dxa"/>
            <w:tcBorders>
              <w:bottom w:val="single" w:sz="4" w:space="0" w:color="000000"/>
            </w:tcBorders>
            <w:shd w:fill="auto" w:val="clear"/>
            <w:tcMar>
              <w:bottom w:w="28" w:type="dxa"/>
            </w:tcMar>
            <w:vAlign w:val="bottom"/>
          </w:tcPr>
          <w:p>
            <w:pPr>
              <w:pStyle w:val="TableContents"/>
              <w:spacing w:before="0" w:after="283"/>
              <w:ind w:left="198" w:right="0" w:hanging="198"/>
              <w:jc w:val="center"/>
              <w:rPr>
                <w:rFonts w:ascii="sans-serif" w:hAnsi="sans-serif"/>
                <w:b/>
                <w:sz w:val="18"/>
              </w:rPr>
            </w:pPr>
            <w:r>
              <w:rPr>
                <w:rFonts w:ascii="sans-serif" w:hAnsi="sans-serif"/>
                <w:b/>
                <w:sz w:val="18"/>
              </w:rPr>
              <w:t>Jurisdiction</w:t>
            </w:r>
          </w:p>
        </w:tc>
        <w:tc>
          <w:tcPr>
            <w:tcW w:w="60" w:type="dxa"/>
            <w:tcBorders/>
            <w:shd w:fill="auto" w:val="clear"/>
            <w:vAlign w:val="bottom"/>
          </w:tcPr>
          <w:p>
            <w:pPr>
              <w:pStyle w:val="TableContents"/>
              <w:spacing w:before="0" w:after="283"/>
              <w:rPr/>
            </w:pPr>
            <w:r>
              <w:rPr/>
              <w:t> </w:t>
            </w:r>
          </w:p>
        </w:tc>
        <w:tc>
          <w:tcPr>
            <w:tcW w:w="1070"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Expiration</w:t>
              <w:br/>
              <w:t>Period</w:t>
            </w:r>
          </w:p>
        </w:tc>
        <w:tc>
          <w:tcPr>
            <w:tcW w:w="60" w:type="dxa"/>
            <w:tcBorders/>
            <w:shd w:fill="auto" w:val="clear"/>
            <w:vAlign w:val="bottom"/>
          </w:tcPr>
          <w:p>
            <w:pPr>
              <w:pStyle w:val="TableContents"/>
              <w:spacing w:before="0" w:after="283"/>
              <w:rPr/>
            </w:pPr>
            <w:r>
              <w:rPr/>
              <w:t> </w:t>
            </w:r>
          </w:p>
        </w:tc>
        <w:tc>
          <w:tcPr>
            <w:tcW w:w="1713"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Net Operating</w:t>
              <w:br/>
              <w:t>and Capital Loss</w:t>
              <w:br/>
              <w:t>Carryforwards</w:t>
            </w:r>
          </w:p>
        </w:tc>
        <w:tc>
          <w:tcPr>
            <w:tcW w:w="60" w:type="dxa"/>
            <w:tcBorders/>
            <w:shd w:fill="auto" w:val="clear"/>
            <w:vAlign w:val="bottom"/>
          </w:tcPr>
          <w:p>
            <w:pPr>
              <w:pStyle w:val="TableContents"/>
              <w:spacing w:before="0" w:after="283"/>
              <w:rPr/>
            </w:pPr>
            <w:r>
              <w:rPr/>
              <w:t> </w:t>
            </w:r>
          </w:p>
        </w:tc>
        <w:tc>
          <w:tcPr>
            <w:tcW w:w="151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Tax Credit</w:t>
              <w:br/>
              <w:t>Carryforwards</w:t>
            </w:r>
          </w:p>
        </w:tc>
      </w:tr>
      <w:tr>
        <w:trPr/>
        <w:tc>
          <w:tcPr>
            <w:tcW w:w="13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U.S. Federal</w:t>
            </w:r>
          </w:p>
        </w:tc>
        <w:tc>
          <w:tcPr>
            <w:tcW w:w="60" w:type="dxa"/>
            <w:tcBorders/>
            <w:shd w:fill="E5FFFF" w:val="clear"/>
            <w:vAlign w:val="bottom"/>
          </w:tcPr>
          <w:p>
            <w:pPr>
              <w:pStyle w:val="TableContents"/>
              <w:spacing w:before="0" w:after="283"/>
              <w:rPr/>
            </w:pPr>
            <w:r>
              <w:rPr/>
              <w:t> </w:t>
            </w:r>
          </w:p>
        </w:tc>
        <w:tc>
          <w:tcPr>
            <w:tcW w:w="107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2032</w:t>
            </w:r>
          </w:p>
        </w:tc>
        <w:tc>
          <w:tcPr>
            <w:tcW w:w="60" w:type="dxa"/>
            <w:tcBorders/>
            <w:shd w:fill="E5FFFF" w:val="clear"/>
            <w:vAlign w:val="bottom"/>
          </w:tcPr>
          <w:p>
            <w:pPr>
              <w:pStyle w:val="TableContents"/>
              <w:spacing w:before="0" w:after="283"/>
              <w:rPr/>
            </w:pPr>
            <w:r>
              <w:rPr/>
              <w:t> </w:t>
            </w:r>
          </w:p>
        </w:tc>
        <w:tc>
          <w:tcPr>
            <w:tcW w:w="110" w:type="dxa"/>
            <w:tcBorders/>
            <w:shd w:fill="E5FFFF" w:val="clear"/>
            <w:vAlign w:val="bottom"/>
          </w:tcPr>
          <w:p>
            <w:pPr>
              <w:pStyle w:val="TableContents"/>
              <w:spacing w:before="0" w:after="283"/>
              <w:rPr/>
            </w:pPr>
            <w:r>
              <w:rPr/>
              <w:t> </w:t>
            </w:r>
          </w:p>
        </w:tc>
        <w:tc>
          <w:tcPr>
            <w:tcW w:w="286"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0" w:type="dxa"/>
            <w:tcBorders/>
            <w:shd w:fill="E5FFFF" w:val="clear"/>
            <w:vAlign w:val="bottom"/>
          </w:tcPr>
          <w:p>
            <w:pPr>
              <w:pStyle w:val="TableContents"/>
              <w:spacing w:before="0" w:after="283"/>
              <w:rPr/>
            </w:pPr>
            <w:r>
              <w:rPr/>
              <w:t> </w:t>
            </w:r>
          </w:p>
        </w:tc>
        <w:tc>
          <w:tcPr>
            <w:tcW w:w="114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3" w:type="dxa"/>
            <w:tcBorders/>
            <w:shd w:fill="E5FFFF" w:val="clear"/>
            <w:vAlign w:val="bottom"/>
          </w:tcPr>
          <w:p>
            <w:pPr>
              <w:pStyle w:val="TableContents"/>
              <w:spacing w:before="0" w:after="283"/>
              <w:rPr/>
            </w:pPr>
            <w:r>
              <w:rPr/>
              <w:t> </w:t>
            </w:r>
          </w:p>
        </w:tc>
        <w:tc>
          <w:tcPr>
            <w:tcW w:w="31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23" w:type="dxa"/>
            <w:tcBorders/>
            <w:shd w:fill="E5FFFF" w:val="clear"/>
            <w:vAlign w:val="bottom"/>
          </w:tcPr>
          <w:p>
            <w:pPr>
              <w:pStyle w:val="TableContents"/>
              <w:spacing w:before="0" w:after="283"/>
              <w:rPr/>
            </w:pPr>
            <w:r>
              <w:rPr/>
              <w:t> </w:t>
            </w:r>
          </w:p>
        </w:tc>
        <w:tc>
          <w:tcPr>
            <w:tcW w:w="87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w:t>
            </w:r>
          </w:p>
        </w:tc>
        <w:tc>
          <w:tcPr>
            <w:tcW w:w="75" w:type="dxa"/>
            <w:tcBorders/>
            <w:shd w:fill="E5FFFF" w:val="clear"/>
            <w:vAlign w:val="bottom"/>
          </w:tcPr>
          <w:p>
            <w:pPr>
              <w:pStyle w:val="TableContents"/>
              <w:spacing w:before="0" w:after="283"/>
              <w:rPr/>
            </w:pPr>
            <w:r>
              <w:rPr/>
              <w:t> </w:t>
            </w:r>
          </w:p>
        </w:tc>
      </w:tr>
      <w:tr>
        <w:trPr/>
        <w:tc>
          <w:tcPr>
            <w:tcW w:w="13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U.S. State</w:t>
            </w:r>
          </w:p>
        </w:tc>
        <w:tc>
          <w:tcPr>
            <w:tcW w:w="6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2034</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6" w:type="dxa"/>
            <w:gridSpan w:val="2"/>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42" w:type="dxa"/>
            <w:gridSpan w:val="2"/>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w:t>
            </w:r>
          </w:p>
        </w:tc>
        <w:tc>
          <w:tcPr>
            <w:tcW w:w="75" w:type="dxa"/>
            <w:tcBorders/>
            <w:shd w:fill="auto" w:val="clear"/>
            <w:vAlign w:val="bottom"/>
          </w:tcPr>
          <w:p>
            <w:pPr>
              <w:pStyle w:val="TableContents"/>
              <w:spacing w:before="0" w:after="283"/>
              <w:rPr/>
            </w:pPr>
            <w:r>
              <w:rPr/>
              <w:t> </w:t>
            </w:r>
          </w:p>
        </w:tc>
      </w:tr>
      <w:tr>
        <w:trPr/>
        <w:tc>
          <w:tcPr>
            <w:tcW w:w="13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Non-U.S.</w:t>
            </w:r>
          </w:p>
        </w:tc>
        <w:tc>
          <w:tcPr>
            <w:tcW w:w="60" w:type="dxa"/>
            <w:tcBorders/>
            <w:shd w:fill="E5FFFF" w:val="clear"/>
            <w:vAlign w:val="bottom"/>
          </w:tcPr>
          <w:p>
            <w:pPr>
              <w:pStyle w:val="TableContents"/>
              <w:spacing w:before="0" w:after="283"/>
              <w:rPr/>
            </w:pPr>
            <w:r>
              <w:rPr/>
              <w:t> </w:t>
            </w:r>
          </w:p>
        </w:tc>
        <w:tc>
          <w:tcPr>
            <w:tcW w:w="107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2035</w:t>
            </w:r>
          </w:p>
        </w:tc>
        <w:tc>
          <w:tcPr>
            <w:tcW w:w="60" w:type="dxa"/>
            <w:tcBorders/>
            <w:shd w:fill="E5FFFF" w:val="clear"/>
            <w:vAlign w:val="bottom"/>
          </w:tcPr>
          <w:p>
            <w:pPr>
              <w:pStyle w:val="TableContents"/>
              <w:spacing w:before="0" w:after="283"/>
              <w:rPr/>
            </w:pPr>
            <w:r>
              <w:rPr/>
              <w:t> </w:t>
            </w:r>
          </w:p>
        </w:tc>
        <w:tc>
          <w:tcPr>
            <w:tcW w:w="110" w:type="dxa"/>
            <w:tcBorders/>
            <w:shd w:fill="E5FFFF" w:val="clear"/>
            <w:vAlign w:val="bottom"/>
          </w:tcPr>
          <w:p>
            <w:pPr>
              <w:pStyle w:val="TableContents"/>
              <w:spacing w:before="0" w:after="283"/>
              <w:rPr/>
            </w:pPr>
            <w:r>
              <w:rPr/>
              <w:t> </w:t>
            </w:r>
          </w:p>
        </w:tc>
        <w:tc>
          <w:tcPr>
            <w:tcW w:w="396" w:type="dxa"/>
            <w:gridSpan w:val="2"/>
            <w:tcBorders/>
            <w:shd w:fill="E5FFFF" w:val="clear"/>
            <w:vAlign w:val="bottom"/>
          </w:tcPr>
          <w:p>
            <w:pPr>
              <w:pStyle w:val="TableContents"/>
              <w:spacing w:before="0" w:after="283"/>
              <w:rPr/>
            </w:pPr>
            <w:r>
              <w:rPr/>
              <w:t> </w:t>
            </w:r>
          </w:p>
        </w:tc>
        <w:tc>
          <w:tcPr>
            <w:tcW w:w="114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3" w:type="dxa"/>
            <w:tcBorders/>
            <w:shd w:fill="E5FFFF" w:val="clear"/>
            <w:vAlign w:val="bottom"/>
          </w:tcPr>
          <w:p>
            <w:pPr>
              <w:pStyle w:val="TableContents"/>
              <w:spacing w:before="0" w:after="283"/>
              <w:rPr/>
            </w:pPr>
            <w:r>
              <w:rPr/>
              <w:t> </w:t>
            </w:r>
          </w:p>
        </w:tc>
        <w:tc>
          <w:tcPr>
            <w:tcW w:w="442" w:type="dxa"/>
            <w:gridSpan w:val="2"/>
            <w:tcBorders/>
            <w:shd w:fill="E5FFFF" w:val="clear"/>
            <w:vAlign w:val="bottom"/>
          </w:tcPr>
          <w:p>
            <w:pPr>
              <w:pStyle w:val="TableContents"/>
              <w:spacing w:before="0" w:after="283"/>
              <w:rPr/>
            </w:pPr>
            <w:r>
              <w:rPr/>
              <w:t> </w:t>
            </w:r>
          </w:p>
        </w:tc>
        <w:tc>
          <w:tcPr>
            <w:tcW w:w="87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131</w:t>
            </w:r>
          </w:p>
        </w:tc>
        <w:tc>
          <w:tcPr>
            <w:tcW w:w="75" w:type="dxa"/>
            <w:tcBorders/>
            <w:shd w:fill="E5FFFF" w:val="clear"/>
            <w:vAlign w:val="bottom"/>
          </w:tcPr>
          <w:p>
            <w:pPr>
              <w:pStyle w:val="TableContents"/>
              <w:spacing w:before="0" w:after="283"/>
              <w:rPr/>
            </w:pPr>
            <w:r>
              <w:rPr/>
              <w:t> </w:t>
            </w:r>
          </w:p>
        </w:tc>
      </w:tr>
      <w:tr>
        <w:trPr/>
        <w:tc>
          <w:tcPr>
            <w:tcW w:w="13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Non-U.S.</w:t>
            </w:r>
          </w:p>
        </w:tc>
        <w:tc>
          <w:tcPr>
            <w:tcW w:w="6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Indefinite</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6" w:type="dxa"/>
            <w:gridSpan w:val="2"/>
            <w:tcBorders/>
            <w:shd w:fill="auto" w:val="clear"/>
            <w:vAlign w:val="bottom"/>
          </w:tcPr>
          <w:p>
            <w:pPr>
              <w:pStyle w:val="TableContents"/>
              <w:spacing w:before="0" w:after="283"/>
              <w:rPr/>
            </w:pPr>
            <w:r>
              <w:rPr/>
              <w:t> </w:t>
            </w:r>
          </w:p>
        </w:tc>
        <w:tc>
          <w:tcPr>
            <w:tcW w:w="114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2,339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42" w:type="dxa"/>
            <w:gridSpan w:val="2"/>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13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713"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5"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131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1070" w:type="dxa"/>
            <w:tcBorders/>
            <w:shd w:fill="E5FFFF" w:val="clear"/>
            <w:vAlign w:val="bottom"/>
          </w:tcPr>
          <w:p>
            <w:pPr>
              <w:pStyle w:val="TableContents"/>
              <w:spacing w:before="0" w:after="283"/>
              <w:jc w:val="center"/>
              <w:rPr/>
            </w:pPr>
            <w:r>
              <w:rPr/>
              <w:t> </w:t>
            </w:r>
          </w:p>
        </w:tc>
        <w:tc>
          <w:tcPr>
            <w:tcW w:w="60" w:type="dxa"/>
            <w:tcBorders/>
            <w:shd w:fill="E5FFFF" w:val="clear"/>
            <w:vAlign w:val="bottom"/>
          </w:tcPr>
          <w:p>
            <w:pPr>
              <w:pStyle w:val="TableContents"/>
              <w:spacing w:before="0" w:after="283"/>
              <w:rPr/>
            </w:pPr>
            <w:r>
              <w:rPr/>
              <w:t> </w:t>
            </w:r>
          </w:p>
        </w:tc>
        <w:tc>
          <w:tcPr>
            <w:tcW w:w="110" w:type="dxa"/>
            <w:tcBorders/>
            <w:shd w:fill="E5FFFF" w:val="clear"/>
            <w:vAlign w:val="bottom"/>
          </w:tcPr>
          <w:p>
            <w:pPr>
              <w:pStyle w:val="TableContents"/>
              <w:spacing w:before="0" w:after="283"/>
              <w:rPr/>
            </w:pPr>
            <w:r>
              <w:rPr/>
              <w:t> </w:t>
            </w:r>
          </w:p>
        </w:tc>
        <w:tc>
          <w:tcPr>
            <w:tcW w:w="286"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0" w:type="dxa"/>
            <w:tcBorders/>
            <w:shd w:fill="E5FFFF" w:val="clear"/>
            <w:vAlign w:val="bottom"/>
          </w:tcPr>
          <w:p>
            <w:pPr>
              <w:pStyle w:val="TableContents"/>
              <w:spacing w:before="0" w:after="283"/>
              <w:rPr/>
            </w:pPr>
            <w:r>
              <w:rPr/>
              <w:t> </w:t>
            </w:r>
          </w:p>
        </w:tc>
        <w:tc>
          <w:tcPr>
            <w:tcW w:w="114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4,173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3" w:type="dxa"/>
            <w:tcBorders/>
            <w:shd w:fill="E5FFFF" w:val="clear"/>
            <w:vAlign w:val="bottom"/>
          </w:tcPr>
          <w:p>
            <w:pPr>
              <w:pStyle w:val="TableContents"/>
              <w:spacing w:before="0" w:after="283"/>
              <w:rPr/>
            </w:pPr>
            <w:r>
              <w:rPr/>
              <w:t> </w:t>
            </w:r>
          </w:p>
        </w:tc>
        <w:tc>
          <w:tcPr>
            <w:tcW w:w="31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23" w:type="dxa"/>
            <w:tcBorders/>
            <w:shd w:fill="E5FFFF" w:val="clear"/>
            <w:vAlign w:val="bottom"/>
          </w:tcPr>
          <w:p>
            <w:pPr>
              <w:pStyle w:val="TableContents"/>
              <w:spacing w:before="0" w:after="283"/>
              <w:rPr/>
            </w:pPr>
            <w:r>
              <w:rPr/>
              <w:t> </w:t>
            </w:r>
          </w:p>
        </w:tc>
        <w:tc>
          <w:tcPr>
            <w:tcW w:w="87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201</w:t>
            </w:r>
          </w:p>
        </w:tc>
        <w:tc>
          <w:tcPr>
            <w:tcW w:w="75" w:type="dxa"/>
            <w:tcBorders/>
            <w:shd w:fill="E5FFFF" w:val="clear"/>
            <w:vAlign w:val="bottom"/>
          </w:tcPr>
          <w:p>
            <w:pPr>
              <w:pStyle w:val="TableContents"/>
              <w:spacing w:before="0" w:after="283"/>
              <w:rPr/>
            </w:pPr>
            <w:r>
              <w:rPr/>
              <w:t> </w:t>
            </w:r>
          </w:p>
        </w:tc>
      </w:tr>
      <w:tr>
        <w:trPr/>
        <w:tc>
          <w:tcPr>
            <w:tcW w:w="13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713"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5"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45</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pStyle w:val="TextBody"/>
        <w:spacing w:before="119" w:after="119"/>
        <w:ind w:left="119" w:right="119" w:firstLine="397"/>
        <w:jc w:val="both"/>
        <w:rPr>
          <w:rFonts w:ascii="sans-serif" w:hAnsi="sans-serif"/>
          <w:sz w:val="22"/>
        </w:rPr>
      </w:pPr>
      <w:r>
        <w:rPr>
          <w:rFonts w:ascii="sans-serif" w:hAnsi="sans-serif"/>
          <w:sz w:val="22"/>
        </w:rPr>
        <w:t>U.S. federal income taxes have not been provided on undistributed earnings of the vast majority of our international subsidiaries as it is our intention to reinvest these earnings into the respective subsidiaries. At December 31, 2015 Honeywell has not provided for U.S. federal income and non-U.S. withholding taxes on approximately $16.6 billion of such earnings of our non-U.S. operations. It is not practicable to estimate the amount of tax that might be payable if some or all of such earnings were to be repatriated, and the amount of foreign tax credits that would be available to reduce or eliminate the resulting U.S. income tax liability.</w:t>
      </w:r>
    </w:p>
    <w:tbl>
      <w:tblPr>
        <w:tblW w:w="9830" w:type="dxa"/>
        <w:jc w:val="left"/>
        <w:tblInd w:w="0" w:type="dxa"/>
        <w:tblCellMar>
          <w:top w:w="0" w:type="dxa"/>
          <w:left w:w="0" w:type="dxa"/>
          <w:bottom w:w="0" w:type="dxa"/>
          <w:right w:w="0" w:type="dxa"/>
        </w:tblCellMar>
      </w:tblPr>
      <w:tblGrid>
        <w:gridCol w:w="6995"/>
        <w:gridCol w:w="60"/>
        <w:gridCol w:w="60"/>
        <w:gridCol w:w="155"/>
        <w:gridCol w:w="60"/>
        <w:gridCol w:w="425"/>
        <w:gridCol w:w="95"/>
        <w:gridCol w:w="60"/>
        <w:gridCol w:w="60"/>
        <w:gridCol w:w="60"/>
        <w:gridCol w:w="155"/>
        <w:gridCol w:w="60"/>
        <w:gridCol w:w="500"/>
        <w:gridCol w:w="95"/>
        <w:gridCol w:w="60"/>
        <w:gridCol w:w="60"/>
        <w:gridCol w:w="60"/>
        <w:gridCol w:w="155"/>
        <w:gridCol w:w="60"/>
        <w:gridCol w:w="425"/>
        <w:gridCol w:w="95"/>
        <w:gridCol w:w="75"/>
      </w:tblGrid>
      <w:tr>
        <w:trPr/>
        <w:tc>
          <w:tcPr>
            <w:tcW w:w="6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0" w:type="dxa"/>
            <w:gridSpan w:val="6"/>
            <w:tcBorders/>
            <w:shd w:fill="auto" w:val="clear"/>
            <w:vAlign w:val="bottom"/>
          </w:tcPr>
          <w:p>
            <w:pPr>
              <w:pStyle w:val="TableContents"/>
              <w:spacing w:before="0" w:after="283"/>
              <w:rPr/>
            </w:pPr>
            <w:r>
              <w:rPr/>
              <w:t> </w:t>
            </w:r>
          </w:p>
        </w:tc>
      </w:tr>
      <w:tr>
        <w:trPr/>
        <w:tc>
          <w:tcPr>
            <w:tcW w:w="699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7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69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Change in unrecognized tax benefits:</w:t>
            </w:r>
          </w:p>
        </w:tc>
        <w:tc>
          <w:tcPr>
            <w:tcW w:w="60" w:type="dxa"/>
            <w:tcBorders/>
            <w:shd w:fill="E5FFFF" w:val="clear"/>
            <w:vAlign w:val="bottom"/>
          </w:tcPr>
          <w:p>
            <w:pPr>
              <w:pStyle w:val="TableContents"/>
              <w:spacing w:before="0" w:after="283"/>
              <w:rPr/>
            </w:pPr>
            <w:r>
              <w:rPr/>
              <w:t> </w:t>
            </w:r>
          </w:p>
        </w:tc>
        <w:tc>
          <w:tcPr>
            <w:tcW w:w="85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3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70" w:type="dxa"/>
            <w:gridSpan w:val="6"/>
            <w:tcBorders/>
            <w:shd w:fill="E5FFFF" w:val="clear"/>
            <w:vAlign w:val="bottom"/>
          </w:tcPr>
          <w:p>
            <w:pPr>
              <w:pStyle w:val="TableContents"/>
              <w:spacing w:before="0" w:after="283"/>
              <w:rPr/>
            </w:pPr>
            <w:r>
              <w:rPr/>
              <w:t> </w:t>
            </w:r>
          </w:p>
        </w:tc>
      </w:tr>
      <w:tr>
        <w:trPr/>
        <w:tc>
          <w:tcPr>
            <w:tcW w:w="699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Balance at beginning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659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722</w:t>
            </w:r>
          </w:p>
        </w:tc>
        <w:tc>
          <w:tcPr>
            <w:tcW w:w="170" w:type="dxa"/>
            <w:gridSpan w:val="2"/>
            <w:tcBorders/>
            <w:shd w:fill="auto" w:val="clear"/>
            <w:vAlign w:val="bottom"/>
          </w:tcPr>
          <w:p>
            <w:pPr>
              <w:pStyle w:val="TableContents"/>
              <w:spacing w:before="0" w:after="283"/>
              <w:rPr/>
            </w:pPr>
            <w:r>
              <w:rPr/>
              <w:t> </w:t>
            </w:r>
          </w:p>
        </w:tc>
      </w:tr>
      <w:tr>
        <w:trPr/>
        <w:tc>
          <w:tcPr>
            <w:tcW w:w="699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Gross increases related to current period tax positions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41</w:t>
            </w:r>
          </w:p>
        </w:tc>
        <w:tc>
          <w:tcPr>
            <w:tcW w:w="170" w:type="dxa"/>
            <w:gridSpan w:val="2"/>
            <w:tcBorders/>
            <w:shd w:fill="E5FFFF" w:val="clear"/>
            <w:vAlign w:val="bottom"/>
          </w:tcPr>
          <w:p>
            <w:pPr>
              <w:pStyle w:val="TableContents"/>
              <w:spacing w:before="0" w:after="283"/>
              <w:rPr/>
            </w:pPr>
            <w:r>
              <w:rPr/>
              <w:t> </w:t>
            </w:r>
          </w:p>
        </w:tc>
      </w:tr>
      <w:tr>
        <w:trPr/>
        <w:tc>
          <w:tcPr>
            <w:tcW w:w="699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Gross increases related to prior periods tax positions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118</w:t>
            </w:r>
          </w:p>
        </w:tc>
        <w:tc>
          <w:tcPr>
            <w:tcW w:w="170" w:type="dxa"/>
            <w:gridSpan w:val="2"/>
            <w:tcBorders/>
            <w:shd w:fill="auto" w:val="clear"/>
            <w:vAlign w:val="bottom"/>
          </w:tcPr>
          <w:p>
            <w:pPr>
              <w:pStyle w:val="TableContents"/>
              <w:spacing w:before="0" w:after="283"/>
              <w:rPr/>
            </w:pPr>
            <w:r>
              <w:rPr/>
              <w:t> </w:t>
            </w:r>
          </w:p>
        </w:tc>
      </w:tr>
      <w:tr>
        <w:trPr/>
        <w:tc>
          <w:tcPr>
            <w:tcW w:w="699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Gross decreases related to prior periods tax positions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99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Decrease related to resolutions of audits with tax authorities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995"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Expiration of the statute of limitations for the assessment of taxes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995"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Foreign currency translation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9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9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end of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765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659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729</w:t>
            </w:r>
          </w:p>
        </w:tc>
        <w:tc>
          <w:tcPr>
            <w:tcW w:w="170" w:type="dxa"/>
            <w:gridSpan w:val="2"/>
            <w:tcBorders/>
            <w:shd w:fill="E5FFFF" w:val="clear"/>
            <w:vAlign w:val="bottom"/>
          </w:tcPr>
          <w:p>
            <w:pPr>
              <w:pStyle w:val="TableContents"/>
              <w:spacing w:before="0" w:after="283"/>
              <w:rPr/>
            </w:pPr>
            <w:r>
              <w:rPr/>
              <w:t> </w:t>
            </w:r>
          </w:p>
        </w:tc>
      </w:tr>
      <w:tr>
        <w:trPr/>
        <w:tc>
          <w:tcPr>
            <w:tcW w:w="69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As of December 31, 2015, 2014, and 2013 there were $765 million, $659 million and $729 million of unrecognized tax benefits that if recognized would be recorded as a component of income tax expense.</w:t>
      </w:r>
    </w:p>
    <w:p>
      <w:pPr>
        <w:pStyle w:val="TextBody"/>
        <w:spacing w:before="119" w:after="119"/>
        <w:ind w:left="119" w:right="119" w:firstLine="397"/>
        <w:jc w:val="both"/>
        <w:rPr>
          <w:rFonts w:ascii="sans-serif" w:hAnsi="sans-serif"/>
          <w:sz w:val="22"/>
        </w:rPr>
      </w:pPr>
      <w:r>
        <w:rPr>
          <w:rFonts w:ascii="sans-serif" w:hAnsi="sans-serif"/>
          <w:sz w:val="22"/>
        </w:rPr>
        <w:t>Generally, our unrecognized tax benefits are related to tax years that remain subject to examination by the relevant tax authorities. The following table summarizes these open tax years by major jurisdiction as of December 31, 2015:</w:t>
      </w:r>
    </w:p>
    <w:tbl>
      <w:tblPr>
        <w:tblW w:w="5535" w:type="dxa"/>
        <w:jc w:val="left"/>
        <w:tblInd w:w="0" w:type="dxa"/>
        <w:tblCellMar>
          <w:top w:w="0" w:type="dxa"/>
          <w:left w:w="0" w:type="dxa"/>
          <w:bottom w:w="0" w:type="dxa"/>
          <w:right w:w="0" w:type="dxa"/>
        </w:tblCellMar>
      </w:tblPr>
      <w:tblGrid>
        <w:gridCol w:w="1730"/>
        <w:gridCol w:w="60"/>
        <w:gridCol w:w="1550"/>
        <w:gridCol w:w="60"/>
        <w:gridCol w:w="2135"/>
      </w:tblGrid>
      <w:tr>
        <w:trPr/>
        <w:tc>
          <w:tcPr>
            <w:tcW w:w="17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2135" w:type="dxa"/>
            <w:tcBorders/>
            <w:shd w:fill="auto" w:val="clear"/>
            <w:vAlign w:val="bottom"/>
          </w:tcPr>
          <w:p>
            <w:pPr>
              <w:pStyle w:val="TableContents"/>
              <w:spacing w:before="0" w:after="283"/>
              <w:jc w:val="center"/>
              <w:rPr/>
            </w:pPr>
            <w:r>
              <w:rPr/>
              <w:t> </w:t>
            </w:r>
          </w:p>
        </w:tc>
      </w:tr>
      <w:tr>
        <w:trPr/>
        <w:tc>
          <w:tcPr>
            <w:tcW w:w="1730" w:type="dxa"/>
            <w:vMerge w:val="restart"/>
            <w:tcBorders>
              <w:bottom w:val="single" w:sz="4" w:space="0" w:color="000000"/>
            </w:tcBorders>
            <w:shd w:fill="auto" w:val="clear"/>
            <w:tcMar>
              <w:bottom w:w="28" w:type="dxa"/>
            </w:tcMar>
            <w:vAlign w:val="bottom"/>
          </w:tcPr>
          <w:p>
            <w:pPr>
              <w:pStyle w:val="TableContents"/>
              <w:spacing w:before="0" w:after="283"/>
              <w:ind w:left="198" w:right="0" w:hanging="198"/>
              <w:jc w:val="center"/>
              <w:rPr>
                <w:rFonts w:ascii="sans-serif" w:hAnsi="sans-serif"/>
                <w:b/>
                <w:sz w:val="18"/>
              </w:rPr>
            </w:pPr>
            <w:r>
              <w:rPr>
                <w:rFonts w:ascii="sans-serif" w:hAnsi="sans-serif"/>
                <w:b/>
                <w:sz w:val="18"/>
              </w:rPr>
              <w:t>Jurisdiction</w:t>
            </w:r>
          </w:p>
        </w:tc>
        <w:tc>
          <w:tcPr>
            <w:tcW w:w="60" w:type="dxa"/>
            <w:tcBorders/>
            <w:shd w:fill="auto" w:val="clear"/>
            <w:vAlign w:val="bottom"/>
          </w:tcPr>
          <w:p>
            <w:pPr>
              <w:pStyle w:val="TableContents"/>
              <w:spacing w:before="0" w:after="283"/>
              <w:rPr/>
            </w:pPr>
            <w:r>
              <w:rPr/>
              <w:t> </w:t>
            </w:r>
          </w:p>
        </w:tc>
        <w:tc>
          <w:tcPr>
            <w:tcW w:w="3745" w:type="dxa"/>
            <w:gridSpan w:val="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Open Tax Years</w:t>
              <w:br/>
              <w:t>Based on Originally Filed Returns</w:t>
            </w:r>
          </w:p>
        </w:tc>
      </w:tr>
      <w:tr>
        <w:trPr/>
        <w:tc>
          <w:tcPr>
            <w:tcW w:w="1730"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550"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Examination in</w:t>
              <w:br/>
              <w:t>progress</w:t>
            </w:r>
          </w:p>
        </w:tc>
        <w:tc>
          <w:tcPr>
            <w:tcW w:w="60" w:type="dxa"/>
            <w:tcBorders/>
            <w:shd w:fill="auto" w:val="clear"/>
            <w:vAlign w:val="bottom"/>
          </w:tcPr>
          <w:p>
            <w:pPr>
              <w:pStyle w:val="TableContents"/>
              <w:spacing w:before="0" w:after="283"/>
              <w:rPr/>
            </w:pPr>
            <w:r>
              <w:rPr/>
              <w:t> </w:t>
            </w:r>
          </w:p>
        </w:tc>
        <w:tc>
          <w:tcPr>
            <w:tcW w:w="2135"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Examination not yet</w:t>
              <w:br/>
              <w:t>initiated</w:t>
            </w:r>
          </w:p>
        </w:tc>
      </w:tr>
      <w:tr>
        <w:trPr/>
        <w:tc>
          <w:tcPr>
            <w:tcW w:w="17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U.S. Federal</w:t>
            </w:r>
          </w:p>
        </w:tc>
        <w:tc>
          <w:tcPr>
            <w:tcW w:w="60" w:type="dxa"/>
            <w:tcBorders/>
            <w:shd w:fill="E5FFFF" w:val="clear"/>
            <w:vAlign w:val="bottom"/>
          </w:tcPr>
          <w:p>
            <w:pPr>
              <w:pStyle w:val="TableContents"/>
              <w:spacing w:before="0" w:after="283"/>
              <w:rPr/>
            </w:pPr>
            <w:r>
              <w:rPr/>
              <w:t> </w:t>
            </w:r>
          </w:p>
        </w:tc>
        <w:tc>
          <w:tcPr>
            <w:tcW w:w="155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2010    2012</w:t>
            </w:r>
          </w:p>
        </w:tc>
        <w:tc>
          <w:tcPr>
            <w:tcW w:w="60" w:type="dxa"/>
            <w:tcBorders/>
            <w:shd w:fill="E5FFFF" w:val="clear"/>
            <w:vAlign w:val="bottom"/>
          </w:tcPr>
          <w:p>
            <w:pPr>
              <w:pStyle w:val="TableContents"/>
              <w:spacing w:before="0" w:after="283"/>
              <w:rPr/>
            </w:pPr>
            <w:r>
              <w:rPr/>
              <w:t> </w:t>
            </w:r>
          </w:p>
        </w:tc>
        <w:tc>
          <w:tcPr>
            <w:tcW w:w="2135"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2013    2015</w:t>
            </w:r>
          </w:p>
        </w:tc>
      </w:tr>
      <w:tr>
        <w:trPr/>
        <w:tc>
          <w:tcPr>
            <w:tcW w:w="173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U.S. State</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2008    2014</w:t>
            </w:r>
          </w:p>
        </w:tc>
        <w:tc>
          <w:tcPr>
            <w:tcW w:w="60" w:type="dxa"/>
            <w:tcBorders/>
            <w:shd w:fill="auto" w:val="clear"/>
            <w:vAlign w:val="bottom"/>
          </w:tcPr>
          <w:p>
            <w:pPr>
              <w:pStyle w:val="TableContents"/>
              <w:spacing w:before="0" w:after="283"/>
              <w:rPr/>
            </w:pPr>
            <w:r>
              <w:rPr/>
              <w:t> </w:t>
            </w:r>
          </w:p>
        </w:tc>
        <w:tc>
          <w:tcPr>
            <w:tcW w:w="2135"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2011    2015</w:t>
            </w:r>
          </w:p>
        </w:tc>
      </w:tr>
      <w:tr>
        <w:trPr/>
        <w:tc>
          <w:tcPr>
            <w:tcW w:w="17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United Kingdom</w:t>
            </w:r>
          </w:p>
        </w:tc>
        <w:tc>
          <w:tcPr>
            <w:tcW w:w="60" w:type="dxa"/>
            <w:tcBorders/>
            <w:shd w:fill="E5FFFF" w:val="clear"/>
            <w:vAlign w:val="bottom"/>
          </w:tcPr>
          <w:p>
            <w:pPr>
              <w:pStyle w:val="TableContents"/>
              <w:spacing w:before="0" w:after="283"/>
              <w:rPr/>
            </w:pPr>
            <w:r>
              <w:rPr/>
              <w:t> </w:t>
            </w:r>
          </w:p>
        </w:tc>
        <w:tc>
          <w:tcPr>
            <w:tcW w:w="155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N/A</w:t>
            </w:r>
          </w:p>
        </w:tc>
        <w:tc>
          <w:tcPr>
            <w:tcW w:w="60" w:type="dxa"/>
            <w:tcBorders/>
            <w:shd w:fill="E5FFFF" w:val="clear"/>
            <w:vAlign w:val="bottom"/>
          </w:tcPr>
          <w:p>
            <w:pPr>
              <w:pStyle w:val="TableContents"/>
              <w:spacing w:before="0" w:after="283"/>
              <w:rPr/>
            </w:pPr>
            <w:r>
              <w:rPr/>
              <w:t> </w:t>
            </w:r>
          </w:p>
        </w:tc>
        <w:tc>
          <w:tcPr>
            <w:tcW w:w="2135"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2013    2015</w:t>
            </w:r>
          </w:p>
        </w:tc>
      </w:tr>
      <w:tr>
        <w:trPr/>
        <w:tc>
          <w:tcPr>
            <w:tcW w:w="173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Canada(1)</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2010    2013</w:t>
            </w:r>
          </w:p>
        </w:tc>
        <w:tc>
          <w:tcPr>
            <w:tcW w:w="60" w:type="dxa"/>
            <w:tcBorders/>
            <w:shd w:fill="auto" w:val="clear"/>
            <w:vAlign w:val="bottom"/>
          </w:tcPr>
          <w:p>
            <w:pPr>
              <w:pStyle w:val="TableContents"/>
              <w:spacing w:before="0" w:after="283"/>
              <w:rPr/>
            </w:pPr>
            <w:r>
              <w:rPr/>
              <w:t> </w:t>
            </w:r>
          </w:p>
        </w:tc>
        <w:tc>
          <w:tcPr>
            <w:tcW w:w="2135"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2014    2015</w:t>
            </w:r>
          </w:p>
        </w:tc>
      </w:tr>
      <w:tr>
        <w:trPr/>
        <w:tc>
          <w:tcPr>
            <w:tcW w:w="17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Germany(1)</w:t>
            </w:r>
          </w:p>
        </w:tc>
        <w:tc>
          <w:tcPr>
            <w:tcW w:w="60" w:type="dxa"/>
            <w:tcBorders/>
            <w:shd w:fill="E5FFFF" w:val="clear"/>
            <w:vAlign w:val="bottom"/>
          </w:tcPr>
          <w:p>
            <w:pPr>
              <w:pStyle w:val="TableContents"/>
              <w:spacing w:before="0" w:after="283"/>
              <w:rPr/>
            </w:pPr>
            <w:r>
              <w:rPr/>
              <w:t> </w:t>
            </w:r>
          </w:p>
        </w:tc>
        <w:tc>
          <w:tcPr>
            <w:tcW w:w="155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2008    2012</w:t>
            </w:r>
          </w:p>
        </w:tc>
        <w:tc>
          <w:tcPr>
            <w:tcW w:w="60" w:type="dxa"/>
            <w:tcBorders/>
            <w:shd w:fill="E5FFFF" w:val="clear"/>
            <w:vAlign w:val="bottom"/>
          </w:tcPr>
          <w:p>
            <w:pPr>
              <w:pStyle w:val="TableContents"/>
              <w:spacing w:before="0" w:after="283"/>
              <w:rPr/>
            </w:pPr>
            <w:r>
              <w:rPr/>
              <w:t> </w:t>
            </w:r>
          </w:p>
        </w:tc>
        <w:tc>
          <w:tcPr>
            <w:tcW w:w="2135"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2013    2015</w:t>
            </w:r>
          </w:p>
        </w:tc>
      </w:tr>
      <w:tr>
        <w:trPr/>
        <w:tc>
          <w:tcPr>
            <w:tcW w:w="173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France</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2012    2014</w:t>
            </w:r>
          </w:p>
        </w:tc>
        <w:tc>
          <w:tcPr>
            <w:tcW w:w="60" w:type="dxa"/>
            <w:tcBorders/>
            <w:shd w:fill="auto" w:val="clear"/>
            <w:vAlign w:val="bottom"/>
          </w:tcPr>
          <w:p>
            <w:pPr>
              <w:pStyle w:val="TableContents"/>
              <w:spacing w:before="0" w:after="283"/>
              <w:rPr/>
            </w:pPr>
            <w:r>
              <w:rPr/>
              <w:t> </w:t>
            </w:r>
          </w:p>
        </w:tc>
        <w:tc>
          <w:tcPr>
            <w:tcW w:w="2135"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2005    2011, 2015</w:t>
            </w:r>
          </w:p>
        </w:tc>
      </w:tr>
      <w:tr>
        <w:trPr/>
        <w:tc>
          <w:tcPr>
            <w:tcW w:w="17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Netherlands</w:t>
            </w:r>
          </w:p>
        </w:tc>
        <w:tc>
          <w:tcPr>
            <w:tcW w:w="60" w:type="dxa"/>
            <w:tcBorders/>
            <w:shd w:fill="E5FFFF" w:val="clear"/>
            <w:vAlign w:val="bottom"/>
          </w:tcPr>
          <w:p>
            <w:pPr>
              <w:pStyle w:val="TableContents"/>
              <w:spacing w:before="0" w:after="283"/>
              <w:rPr/>
            </w:pPr>
            <w:r>
              <w:rPr/>
              <w:t> </w:t>
            </w:r>
          </w:p>
        </w:tc>
        <w:tc>
          <w:tcPr>
            <w:tcW w:w="155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2009</w:t>
            </w:r>
          </w:p>
        </w:tc>
        <w:tc>
          <w:tcPr>
            <w:tcW w:w="60" w:type="dxa"/>
            <w:tcBorders/>
            <w:shd w:fill="E5FFFF" w:val="clear"/>
            <w:vAlign w:val="bottom"/>
          </w:tcPr>
          <w:p>
            <w:pPr>
              <w:pStyle w:val="TableContents"/>
              <w:spacing w:before="0" w:after="283"/>
              <w:rPr/>
            </w:pPr>
            <w:r>
              <w:rPr/>
              <w:t> </w:t>
            </w:r>
          </w:p>
        </w:tc>
        <w:tc>
          <w:tcPr>
            <w:tcW w:w="2135"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2011    2015</w:t>
            </w:r>
          </w:p>
        </w:tc>
      </w:tr>
      <w:tr>
        <w:trPr/>
        <w:tc>
          <w:tcPr>
            <w:tcW w:w="173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Australia</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N/A</w:t>
            </w:r>
          </w:p>
        </w:tc>
        <w:tc>
          <w:tcPr>
            <w:tcW w:w="60" w:type="dxa"/>
            <w:tcBorders/>
            <w:shd w:fill="auto" w:val="clear"/>
            <w:vAlign w:val="bottom"/>
          </w:tcPr>
          <w:p>
            <w:pPr>
              <w:pStyle w:val="TableContents"/>
              <w:spacing w:before="0" w:after="283"/>
              <w:rPr/>
            </w:pPr>
            <w:r>
              <w:rPr/>
              <w:t> </w:t>
            </w:r>
          </w:p>
        </w:tc>
        <w:tc>
          <w:tcPr>
            <w:tcW w:w="2135"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2010    2015</w:t>
            </w:r>
          </w:p>
        </w:tc>
      </w:tr>
      <w:tr>
        <w:trPr/>
        <w:tc>
          <w:tcPr>
            <w:tcW w:w="17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China</w:t>
            </w:r>
          </w:p>
        </w:tc>
        <w:tc>
          <w:tcPr>
            <w:tcW w:w="60" w:type="dxa"/>
            <w:tcBorders/>
            <w:shd w:fill="E5FFFF" w:val="clear"/>
            <w:vAlign w:val="bottom"/>
          </w:tcPr>
          <w:p>
            <w:pPr>
              <w:pStyle w:val="TableContents"/>
              <w:spacing w:before="0" w:after="283"/>
              <w:rPr/>
            </w:pPr>
            <w:r>
              <w:rPr/>
              <w:t> </w:t>
            </w:r>
          </w:p>
        </w:tc>
        <w:tc>
          <w:tcPr>
            <w:tcW w:w="155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2003    2014</w:t>
            </w:r>
          </w:p>
        </w:tc>
        <w:tc>
          <w:tcPr>
            <w:tcW w:w="60" w:type="dxa"/>
            <w:tcBorders/>
            <w:shd w:fill="E5FFFF" w:val="clear"/>
            <w:vAlign w:val="bottom"/>
          </w:tcPr>
          <w:p>
            <w:pPr>
              <w:pStyle w:val="TableContents"/>
              <w:spacing w:before="0" w:after="283"/>
              <w:rPr/>
            </w:pPr>
            <w:r>
              <w:rPr/>
              <w:t> </w:t>
            </w:r>
          </w:p>
        </w:tc>
        <w:tc>
          <w:tcPr>
            <w:tcW w:w="2135"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2015</w:t>
            </w:r>
          </w:p>
        </w:tc>
      </w:tr>
      <w:tr>
        <w:trPr/>
        <w:tc>
          <w:tcPr>
            <w:tcW w:w="173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India</w:t>
            </w:r>
          </w:p>
        </w:tc>
        <w:tc>
          <w:tcPr>
            <w:tcW w:w="60" w:type="dxa"/>
            <w:tcBorders/>
            <w:shd w:fill="auto" w:val="clear"/>
            <w:vAlign w:val="bottom"/>
          </w:tcPr>
          <w:p>
            <w:pPr>
              <w:pStyle w:val="TableContents"/>
              <w:spacing w:before="0" w:after="283"/>
              <w:rPr/>
            </w:pPr>
            <w:r>
              <w:rPr/>
              <w:t> </w:t>
            </w:r>
          </w:p>
        </w:tc>
        <w:tc>
          <w:tcPr>
            <w:tcW w:w="155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1999    2013</w:t>
            </w:r>
          </w:p>
        </w:tc>
        <w:tc>
          <w:tcPr>
            <w:tcW w:w="60" w:type="dxa"/>
            <w:tcBorders/>
            <w:shd w:fill="auto" w:val="clear"/>
            <w:vAlign w:val="bottom"/>
          </w:tcPr>
          <w:p>
            <w:pPr>
              <w:pStyle w:val="TableContents"/>
              <w:spacing w:before="0" w:after="283"/>
              <w:rPr/>
            </w:pPr>
            <w:r>
              <w:rPr/>
              <w:t> </w:t>
            </w:r>
          </w:p>
        </w:tc>
        <w:tc>
          <w:tcPr>
            <w:tcW w:w="2135"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2014    2015</w:t>
            </w:r>
          </w:p>
        </w:tc>
      </w:tr>
      <w:tr>
        <w:trPr/>
        <w:tc>
          <w:tcPr>
            <w:tcW w:w="17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Italy</w:t>
            </w:r>
          </w:p>
        </w:tc>
        <w:tc>
          <w:tcPr>
            <w:tcW w:w="60" w:type="dxa"/>
            <w:tcBorders/>
            <w:shd w:fill="E5FFFF" w:val="clear"/>
            <w:vAlign w:val="bottom"/>
          </w:tcPr>
          <w:p>
            <w:pPr>
              <w:pStyle w:val="TableContents"/>
              <w:spacing w:before="0" w:after="283"/>
              <w:rPr/>
            </w:pPr>
            <w:r>
              <w:rPr/>
              <w:t> </w:t>
            </w:r>
          </w:p>
        </w:tc>
        <w:tc>
          <w:tcPr>
            <w:tcW w:w="155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2008    2012</w:t>
            </w:r>
          </w:p>
        </w:tc>
        <w:tc>
          <w:tcPr>
            <w:tcW w:w="60" w:type="dxa"/>
            <w:tcBorders/>
            <w:shd w:fill="E5FFFF" w:val="clear"/>
            <w:vAlign w:val="bottom"/>
          </w:tcPr>
          <w:p>
            <w:pPr>
              <w:pStyle w:val="TableContents"/>
              <w:spacing w:before="0" w:after="283"/>
              <w:rPr/>
            </w:pPr>
            <w:r>
              <w:rPr/>
              <w:t> </w:t>
            </w:r>
          </w:p>
        </w:tc>
        <w:tc>
          <w:tcPr>
            <w:tcW w:w="2135"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2014    2015</w:t>
            </w:r>
          </w:p>
        </w:tc>
      </w:tr>
    </w:tbl>
    <w:p>
      <w:pPr>
        <w:pStyle w:val="TextBody"/>
        <w:pBdr>
          <w:top w:val="single" w:sz="4" w:space="1" w:color="000000"/>
        </w:pBdr>
        <w:spacing w:before="176" w:after="176"/>
        <w:rPr/>
      </w:pPr>
      <w:r>
        <w:rPr/>
        <w:t> </w:t>
      </w:r>
    </w:p>
    <w:tbl>
      <w:tblPr>
        <w:tblW w:w="7098" w:type="dxa"/>
        <w:jc w:val="left"/>
        <w:tblInd w:w="0" w:type="dxa"/>
        <w:tblCellMar>
          <w:top w:w="0" w:type="dxa"/>
          <w:left w:w="0" w:type="dxa"/>
          <w:bottom w:w="0" w:type="dxa"/>
          <w:right w:w="0" w:type="dxa"/>
        </w:tblCellMar>
      </w:tblPr>
      <w:tblGrid>
        <w:gridCol w:w="75"/>
        <w:gridCol w:w="305"/>
        <w:gridCol w:w="105"/>
        <w:gridCol w:w="6575"/>
        <w:gridCol w:w="38"/>
      </w:tblGrid>
      <w:tr>
        <w:trPr/>
        <w:tc>
          <w:tcPr>
            <w:tcW w:w="7098"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105" w:type="dxa"/>
            <w:tcBorders/>
            <w:shd w:fill="auto" w:val="clear"/>
          </w:tcPr>
          <w:p>
            <w:pPr>
              <w:pStyle w:val="TableContents"/>
              <w:spacing w:before="0" w:after="283"/>
              <w:rPr/>
            </w:pPr>
            <w:r>
              <w:rPr/>
              <w:t> </w:t>
            </w:r>
          </w:p>
        </w:tc>
        <w:tc>
          <w:tcPr>
            <w:tcW w:w="6575" w:type="dxa"/>
            <w:tcBorders/>
            <w:shd w:fill="auto" w:val="clear"/>
          </w:tcPr>
          <w:p>
            <w:pPr>
              <w:pStyle w:val="TableContents"/>
              <w:spacing w:before="0" w:after="283"/>
              <w:jc w:val="both"/>
              <w:rPr>
                <w:rFonts w:ascii="sans-serif" w:hAnsi="sans-serif"/>
                <w:sz w:val="22"/>
              </w:rPr>
            </w:pPr>
            <w:r>
              <w:rPr>
                <w:rFonts w:ascii="sans-serif" w:hAnsi="sans-serif"/>
                <w:sz w:val="22"/>
              </w:rPr>
              <w:t>Includes provincial or similar local jurisdictions, as applicable.</w:t>
            </w:r>
          </w:p>
        </w:tc>
        <w:tc>
          <w:tcPr>
            <w:tcW w:w="38"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w:t>
      </w:r>
    </w:p>
    <w:p>
      <w:pPr>
        <w:pStyle w:val="TextBody"/>
        <w:spacing w:before="119" w:after="119"/>
        <w:ind w:left="119" w:right="119" w:hanging="0"/>
        <w:jc w:val="center"/>
        <w:rPr>
          <w:rFonts w:ascii="sans-serif" w:hAnsi="sans-serif"/>
          <w:sz w:val="22"/>
        </w:rPr>
      </w:pPr>
      <w:r>
        <w:rPr>
          <w:rFonts w:ascii="sans-serif" w:hAnsi="sans-serif"/>
          <w:sz w:val="22"/>
        </w:rPr>
        <w:t>46</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liabilities in our financial statements. In addition, the outcome of these examinations may impact the valuation of certain deferred tax assets (such as net operating losses) in future periods.</w:t>
      </w:r>
    </w:p>
    <w:p>
      <w:pPr>
        <w:pStyle w:val="TextBody"/>
        <w:spacing w:before="119" w:after="119"/>
        <w:ind w:left="119" w:right="119" w:firstLine="397"/>
        <w:jc w:val="both"/>
        <w:rPr>
          <w:rFonts w:ascii="sans-serif" w:hAnsi="sans-serif"/>
          <w:sz w:val="22"/>
        </w:rPr>
      </w:pPr>
      <w:r>
        <w:rPr>
          <w:rFonts w:ascii="sans-serif" w:hAnsi="sans-serif"/>
          <w:sz w:val="22"/>
        </w:rPr>
        <w:t>Unrecognized tax benefits for examinations in progress were $349 million, $403 million and $431 million, as of December 31, 2015, 2014, and 2013. Estimated interest and penalties related to the underpayment of income taxes are classified as a component of Tax Expense in the Consolidated Statement of Operations and totaled $11 million, $24 million and $17 million for the years ended December 31, 2015, 2014, and 2013. Accrued interest and penalties were $336 million, $325 million and $301 million, as of December 31, 2015, 2014, and 2013.</w:t>
      </w:r>
    </w:p>
    <w:p>
      <w:pPr>
        <w:pStyle w:val="TextBody"/>
        <w:spacing w:before="357" w:after="357"/>
        <w:ind w:left="357" w:right="357" w:hanging="0"/>
        <w:rPr>
          <w:rFonts w:ascii="sans-serif" w:hAnsi="sans-serif"/>
          <w:b/>
          <w:sz w:val="22"/>
        </w:rPr>
      </w:pPr>
      <w:r>
        <w:rPr>
          <w:rFonts w:ascii="sans-serif" w:hAnsi="sans-serif"/>
          <w:b/>
          <w:sz w:val="22"/>
        </w:rPr>
        <w:t>Note 6. Earnings Per Share</w:t>
      </w:r>
    </w:p>
    <w:p>
      <w:pPr>
        <w:pStyle w:val="TextBody"/>
        <w:spacing w:before="119" w:after="119"/>
        <w:ind w:left="119" w:right="119" w:firstLine="397"/>
        <w:jc w:val="both"/>
        <w:rPr>
          <w:rFonts w:ascii="sans-serif" w:hAnsi="sans-serif"/>
          <w:sz w:val="22"/>
        </w:rPr>
      </w:pPr>
      <w:r>
        <w:rPr>
          <w:rFonts w:ascii="sans-serif" w:hAnsi="sans-serif"/>
          <w:sz w:val="22"/>
        </w:rPr>
        <w:t>The details of the earnings per share calculations for the years ended December 31, 2015, 2014 and 2013 are as follows:</w:t>
      </w:r>
    </w:p>
    <w:tbl>
      <w:tblPr>
        <w:tblW w:w="7145" w:type="dxa"/>
        <w:jc w:val="left"/>
        <w:tblInd w:w="0" w:type="dxa"/>
        <w:tblCellMar>
          <w:top w:w="0" w:type="dxa"/>
          <w:left w:w="0" w:type="dxa"/>
          <w:bottom w:w="0" w:type="dxa"/>
          <w:right w:w="0" w:type="dxa"/>
        </w:tblCellMar>
      </w:tblPr>
      <w:tblGrid>
        <w:gridCol w:w="4085"/>
        <w:gridCol w:w="60"/>
        <w:gridCol w:w="60"/>
        <w:gridCol w:w="155"/>
        <w:gridCol w:w="60"/>
        <w:gridCol w:w="620"/>
        <w:gridCol w:w="60"/>
        <w:gridCol w:w="60"/>
        <w:gridCol w:w="60"/>
        <w:gridCol w:w="155"/>
        <w:gridCol w:w="60"/>
        <w:gridCol w:w="620"/>
        <w:gridCol w:w="60"/>
        <w:gridCol w:w="60"/>
        <w:gridCol w:w="60"/>
        <w:gridCol w:w="155"/>
        <w:gridCol w:w="60"/>
        <w:gridCol w:w="620"/>
        <w:gridCol w:w="75"/>
      </w:tblGrid>
      <w:tr>
        <w:trPr/>
        <w:tc>
          <w:tcPr>
            <w:tcW w:w="4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4085" w:type="dxa"/>
            <w:vMerge w:val="restart"/>
            <w:tcBorders/>
            <w:shd w:fill="auto" w:val="clear"/>
            <w:vAlign w:val="bottom"/>
          </w:tcPr>
          <w:p>
            <w:pPr>
              <w:pStyle w:val="TableContents"/>
              <w:spacing w:before="0" w:after="283"/>
              <w:rPr>
                <w:rFonts w:ascii="sans-serif" w:hAnsi="sans-serif"/>
                <w:b/>
                <w:sz w:val="18"/>
                <w:u w:val="single"/>
              </w:rPr>
            </w:pPr>
            <w:r>
              <w:rPr>
                <w:rFonts w:ascii="sans-serif" w:hAnsi="sans-serif"/>
                <w:b/>
                <w:sz w:val="18"/>
                <w:u w:val="single"/>
              </w:rPr>
              <w:t>Basic</w:t>
            </w:r>
          </w:p>
        </w:tc>
        <w:tc>
          <w:tcPr>
            <w:tcW w:w="60" w:type="dxa"/>
            <w:tcBorders/>
            <w:shd w:fill="auto" w:val="clear"/>
            <w:vAlign w:val="bottom"/>
          </w:tcPr>
          <w:p>
            <w:pPr>
              <w:pStyle w:val="TableContents"/>
              <w:spacing w:before="0" w:after="283"/>
              <w:rPr/>
            </w:pPr>
            <w:r>
              <w:rPr/>
              <w:t> </w:t>
            </w:r>
          </w:p>
        </w:tc>
        <w:tc>
          <w:tcPr>
            <w:tcW w:w="3000"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408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0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income attributable to Honeywell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4,768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4,239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3,924</w:t>
            </w:r>
          </w:p>
        </w:tc>
        <w:tc>
          <w:tcPr>
            <w:tcW w:w="75" w:type="dxa"/>
            <w:tcBorders/>
            <w:shd w:fill="E5FFFF" w:val="clear"/>
            <w:vAlign w:val="bottom"/>
          </w:tcPr>
          <w:p>
            <w:pPr>
              <w:pStyle w:val="TableContents"/>
              <w:spacing w:before="0" w:after="283"/>
              <w:rPr/>
            </w:pPr>
            <w:r>
              <w:rPr/>
              <w:t> </w:t>
            </w:r>
          </w:p>
        </w:tc>
      </w:tr>
      <w:tr>
        <w:trPr/>
        <w:tc>
          <w:tcPr>
            <w:tcW w:w="40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Weighted average shares outstanding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784.4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786.4</w:t>
            </w:r>
          </w:p>
        </w:tc>
        <w:tc>
          <w:tcPr>
            <w:tcW w:w="75" w:type="dxa"/>
            <w:tcBorders/>
            <w:shd w:fill="auto" w:val="clear"/>
            <w:vAlign w:val="bottom"/>
          </w:tcPr>
          <w:p>
            <w:pPr>
              <w:pStyle w:val="TableContents"/>
              <w:spacing w:before="0" w:after="283"/>
              <w:rPr/>
            </w:pPr>
            <w:r>
              <w:rPr/>
              <w:t> </w:t>
            </w:r>
          </w:p>
        </w:tc>
      </w:tr>
      <w:tr>
        <w:trPr/>
        <w:tc>
          <w:tcPr>
            <w:tcW w:w="40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 of common stock</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4.99</w:t>
            </w:r>
          </w:p>
        </w:tc>
        <w:tc>
          <w:tcPr>
            <w:tcW w:w="75" w:type="dxa"/>
            <w:tcBorders/>
            <w:shd w:fill="E5FFFF" w:val="clear"/>
            <w:vAlign w:val="bottom"/>
          </w:tcPr>
          <w:p>
            <w:pPr>
              <w:pStyle w:val="TableContents"/>
              <w:spacing w:before="0" w:after="283"/>
              <w:rPr/>
            </w:pPr>
            <w:r>
              <w:rPr/>
              <w:t> </w:t>
            </w:r>
          </w:p>
        </w:tc>
      </w:tr>
    </w:tbl>
    <w:tbl>
      <w:tblPr>
        <w:tblW w:w="8990" w:type="dxa"/>
        <w:jc w:val="left"/>
        <w:tblInd w:w="0" w:type="dxa"/>
        <w:tblCellMar>
          <w:top w:w="0" w:type="dxa"/>
          <w:left w:w="0" w:type="dxa"/>
          <w:bottom w:w="0" w:type="dxa"/>
          <w:right w:w="0" w:type="dxa"/>
        </w:tblCellMar>
      </w:tblPr>
      <w:tblGrid>
        <w:gridCol w:w="5930"/>
        <w:gridCol w:w="60"/>
        <w:gridCol w:w="60"/>
        <w:gridCol w:w="155"/>
        <w:gridCol w:w="60"/>
        <w:gridCol w:w="620"/>
        <w:gridCol w:w="60"/>
        <w:gridCol w:w="60"/>
        <w:gridCol w:w="60"/>
        <w:gridCol w:w="155"/>
        <w:gridCol w:w="60"/>
        <w:gridCol w:w="620"/>
        <w:gridCol w:w="60"/>
        <w:gridCol w:w="60"/>
        <w:gridCol w:w="60"/>
        <w:gridCol w:w="155"/>
        <w:gridCol w:w="60"/>
        <w:gridCol w:w="620"/>
        <w:gridCol w:w="75"/>
      </w:tblGrid>
      <w:tr>
        <w:trPr/>
        <w:tc>
          <w:tcPr>
            <w:tcW w:w="5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5930" w:type="dxa"/>
            <w:vMerge w:val="restart"/>
            <w:tcBorders/>
            <w:shd w:fill="auto" w:val="clear"/>
            <w:vAlign w:val="bottom"/>
          </w:tcPr>
          <w:p>
            <w:pPr>
              <w:pStyle w:val="TableContents"/>
              <w:spacing w:before="0" w:after="283"/>
              <w:rPr>
                <w:rFonts w:ascii="sans-serif" w:hAnsi="sans-serif"/>
                <w:b/>
                <w:sz w:val="18"/>
                <w:u w:val="single"/>
              </w:rPr>
            </w:pPr>
            <w:r>
              <w:rPr>
                <w:rFonts w:ascii="sans-serif" w:hAnsi="sans-serif"/>
                <w:b/>
                <w:sz w:val="18"/>
                <w:u w:val="single"/>
              </w:rPr>
              <w:t>Assuming Dilution</w:t>
            </w:r>
          </w:p>
        </w:tc>
        <w:tc>
          <w:tcPr>
            <w:tcW w:w="60" w:type="dxa"/>
            <w:tcBorders/>
            <w:shd w:fill="auto" w:val="clear"/>
            <w:vAlign w:val="bottom"/>
          </w:tcPr>
          <w:p>
            <w:pPr>
              <w:pStyle w:val="TableContents"/>
              <w:spacing w:before="0" w:after="283"/>
              <w:rPr/>
            </w:pPr>
            <w:r>
              <w:rPr/>
              <w:t> </w:t>
            </w:r>
          </w:p>
        </w:tc>
        <w:tc>
          <w:tcPr>
            <w:tcW w:w="3000"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593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59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income attributable to Honeywell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4,768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4,239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3,924</w:t>
            </w:r>
          </w:p>
        </w:tc>
        <w:tc>
          <w:tcPr>
            <w:tcW w:w="75" w:type="dxa"/>
            <w:tcBorders/>
            <w:shd w:fill="E5FFFF" w:val="clear"/>
            <w:vAlign w:val="bottom"/>
          </w:tcPr>
          <w:p>
            <w:pPr>
              <w:pStyle w:val="TableContents"/>
              <w:spacing w:before="0" w:after="283"/>
              <w:rPr/>
            </w:pPr>
            <w:r>
              <w:rPr/>
              <w:t> </w:t>
            </w:r>
          </w:p>
        </w:tc>
      </w:tr>
      <w:tr>
        <w:trPr/>
        <w:tc>
          <w:tcPr>
            <w:tcW w:w="5930" w:type="dxa"/>
            <w:tcBorders/>
            <w:shd w:fill="auto" w:val="clear"/>
            <w:vAlign w:val="bottom"/>
          </w:tcPr>
          <w:p>
            <w:pPr>
              <w:pStyle w:val="TableContents"/>
              <w:spacing w:before="0" w:after="283"/>
              <w:ind w:left="198" w:right="0" w:hanging="198"/>
              <w:rPr>
                <w:rFonts w:ascii="sans-serif" w:hAnsi="sans-serif"/>
                <w:b/>
                <w:sz w:val="18"/>
                <w:u w:val="single"/>
              </w:rPr>
            </w:pPr>
            <w:r>
              <w:rPr>
                <w:rFonts w:ascii="sans-serif" w:hAnsi="sans-serif"/>
                <w:b/>
                <w:sz w:val="18"/>
                <w:u w:val="single"/>
              </w:rPr>
              <w:t>Average Shares</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59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Weighted average shares outstanding</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779.8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784.4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786.4</w:t>
            </w:r>
          </w:p>
        </w:tc>
        <w:tc>
          <w:tcPr>
            <w:tcW w:w="75" w:type="dxa"/>
            <w:tcBorders/>
            <w:shd w:fill="E5FFFF" w:val="clear"/>
            <w:vAlign w:val="bottom"/>
          </w:tcPr>
          <w:p>
            <w:pPr>
              <w:pStyle w:val="TableContents"/>
              <w:spacing w:before="0" w:after="283"/>
              <w:rPr/>
            </w:pPr>
            <w:r>
              <w:rPr/>
              <w:t> </w:t>
            </w:r>
          </w:p>
        </w:tc>
      </w:tr>
      <w:tr>
        <w:trPr/>
        <w:tc>
          <w:tcPr>
            <w:tcW w:w="593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Dilutive securities issuablestock plans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10.9</w:t>
            </w:r>
          </w:p>
        </w:tc>
        <w:tc>
          <w:tcPr>
            <w:tcW w:w="75" w:type="dxa"/>
            <w:tcBorders/>
            <w:shd w:fill="auto" w:val="clear"/>
            <w:vAlign w:val="bottom"/>
          </w:tcPr>
          <w:p>
            <w:pPr>
              <w:pStyle w:val="TableContents"/>
              <w:spacing w:before="0" w:after="283"/>
              <w:rPr/>
            </w:pPr>
            <w:r>
              <w:rPr/>
              <w:t> </w:t>
            </w:r>
          </w:p>
        </w:tc>
      </w:tr>
      <w:tr>
        <w:trPr/>
        <w:tc>
          <w:tcPr>
            <w:tcW w:w="593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59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Total weighted average diluted shares outstanding</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789.3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795.2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797.3</w:t>
            </w:r>
          </w:p>
        </w:tc>
        <w:tc>
          <w:tcPr>
            <w:tcW w:w="75" w:type="dxa"/>
            <w:tcBorders/>
            <w:shd w:fill="E5FFFF" w:val="clear"/>
            <w:vAlign w:val="bottom"/>
          </w:tcPr>
          <w:p>
            <w:pPr>
              <w:pStyle w:val="TableContents"/>
              <w:spacing w:before="0" w:after="283"/>
              <w:rPr/>
            </w:pPr>
            <w:r>
              <w:rPr/>
              <w:t> </w:t>
            </w:r>
          </w:p>
        </w:tc>
      </w:tr>
      <w:tr>
        <w:trPr/>
        <w:tc>
          <w:tcPr>
            <w:tcW w:w="593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r>
      <w:tr>
        <w:trPr/>
        <w:tc>
          <w:tcPr>
            <w:tcW w:w="593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 of common stockassuming dilution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4.92</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diluted earnings per share calculations exclude the effect of stock options when the options assumed proceeds exceed the average market price of the common shares during the period. In 2015, 2014, and 2013 the weighted number of stock options excluded from the computations were 7.1 million, 4.7 million, and 2.2 million. These stock options were outstanding at the end of each of the respective periods.</w:t>
      </w:r>
    </w:p>
    <w:p>
      <w:pPr>
        <w:pStyle w:val="TextBody"/>
        <w:spacing w:before="357" w:after="357"/>
        <w:ind w:left="357" w:right="357" w:hanging="0"/>
        <w:rPr>
          <w:rFonts w:ascii="sans-serif" w:hAnsi="sans-serif"/>
          <w:b/>
          <w:sz w:val="22"/>
        </w:rPr>
      </w:pPr>
      <w:r>
        <w:rPr>
          <w:rFonts w:ascii="sans-serif" w:hAnsi="sans-serif"/>
          <w:b/>
          <w:sz w:val="22"/>
        </w:rPr>
        <w:t>Note 7. Accounts, Notes and Other Receivables</w:t>
      </w:r>
    </w:p>
    <w:tbl>
      <w:tblPr>
        <w:tblW w:w="6275" w:type="dxa"/>
        <w:jc w:val="left"/>
        <w:tblInd w:w="0" w:type="dxa"/>
        <w:tblCellMar>
          <w:top w:w="0" w:type="dxa"/>
          <w:left w:w="0" w:type="dxa"/>
          <w:bottom w:w="0" w:type="dxa"/>
          <w:right w:w="0" w:type="dxa"/>
        </w:tblCellMar>
      </w:tblPr>
      <w:tblGrid>
        <w:gridCol w:w="4040"/>
        <w:gridCol w:w="60"/>
        <w:gridCol w:w="60"/>
        <w:gridCol w:w="155"/>
        <w:gridCol w:w="60"/>
        <w:gridCol w:w="620"/>
        <w:gridCol w:w="95"/>
        <w:gridCol w:w="60"/>
        <w:gridCol w:w="60"/>
        <w:gridCol w:w="60"/>
        <w:gridCol w:w="155"/>
        <w:gridCol w:w="60"/>
        <w:gridCol w:w="620"/>
        <w:gridCol w:w="95"/>
        <w:gridCol w:w="75"/>
      </w:tblGrid>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404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175"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404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40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Trade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7,901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7,788</w:t>
            </w:r>
          </w:p>
        </w:tc>
        <w:tc>
          <w:tcPr>
            <w:tcW w:w="170" w:type="dxa"/>
            <w:gridSpan w:val="2"/>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445</w:t>
            </w:r>
          </w:p>
        </w:tc>
        <w:tc>
          <w:tcPr>
            <w:tcW w:w="170" w:type="dxa"/>
            <w:gridSpan w:val="2"/>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8,337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8,233</w:t>
            </w:r>
          </w:p>
        </w:tc>
        <w:tc>
          <w:tcPr>
            <w:tcW w:w="170" w:type="dxa"/>
            <w:gridSpan w:val="2"/>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LessAllowance for doubtful accounts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8,075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7,960</w:t>
            </w:r>
          </w:p>
        </w:tc>
        <w:tc>
          <w:tcPr>
            <w:tcW w:w="170" w:type="dxa"/>
            <w:gridSpan w:val="2"/>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Trade Receivables includes $1,590 million and $1,636 million of unbilled balances under long-term contracts as of December 31, 2015 and December 31, 2014. These amounts are billed in accordance with the terms of customer contracts to which they relate.</w:t>
      </w:r>
    </w:p>
    <w:p>
      <w:pPr>
        <w:pStyle w:val="TextBody"/>
        <w:spacing w:before="119" w:after="119"/>
        <w:ind w:left="119" w:right="119" w:hanging="0"/>
        <w:jc w:val="center"/>
        <w:rPr>
          <w:rFonts w:ascii="sans-serif" w:hAnsi="sans-serif"/>
          <w:sz w:val="22"/>
        </w:rPr>
      </w:pPr>
      <w:r>
        <w:rPr>
          <w:rFonts w:ascii="sans-serif" w:hAnsi="sans-serif"/>
          <w:sz w:val="22"/>
        </w:rPr>
        <w:t>47</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8. Inventories</w:t>
      </w:r>
    </w:p>
    <w:tbl>
      <w:tblPr>
        <w:tblW w:w="5240" w:type="dxa"/>
        <w:jc w:val="left"/>
        <w:tblInd w:w="0" w:type="dxa"/>
        <w:tblCellMar>
          <w:top w:w="0" w:type="dxa"/>
          <w:left w:w="0" w:type="dxa"/>
          <w:bottom w:w="0" w:type="dxa"/>
          <w:right w:w="0" w:type="dxa"/>
        </w:tblCellMar>
      </w:tblPr>
      <w:tblGrid>
        <w:gridCol w:w="3005"/>
        <w:gridCol w:w="60"/>
        <w:gridCol w:w="60"/>
        <w:gridCol w:w="155"/>
        <w:gridCol w:w="60"/>
        <w:gridCol w:w="620"/>
        <w:gridCol w:w="95"/>
        <w:gridCol w:w="60"/>
        <w:gridCol w:w="60"/>
        <w:gridCol w:w="60"/>
        <w:gridCol w:w="155"/>
        <w:gridCol w:w="60"/>
        <w:gridCol w:w="620"/>
        <w:gridCol w:w="95"/>
        <w:gridCol w:w="75"/>
      </w:tblGrid>
      <w:tr>
        <w:trPr/>
        <w:tc>
          <w:tcPr>
            <w:tcW w:w="30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300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175"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300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30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Raw materials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1,120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1,124</w:t>
            </w:r>
          </w:p>
        </w:tc>
        <w:tc>
          <w:tcPr>
            <w:tcW w:w="170" w:type="dxa"/>
            <w:gridSpan w:val="2"/>
            <w:tcBorders/>
            <w:shd w:fill="E5FFFF" w:val="clear"/>
            <w:vAlign w:val="bottom"/>
          </w:tcPr>
          <w:p>
            <w:pPr>
              <w:pStyle w:val="TableContents"/>
              <w:spacing w:before="0" w:after="283"/>
              <w:rPr/>
            </w:pPr>
            <w:r>
              <w:rPr/>
              <w:t> </w:t>
            </w:r>
          </w:p>
        </w:tc>
      </w:tr>
      <w:tr>
        <w:trPr/>
        <w:tc>
          <w:tcPr>
            <w:tcW w:w="30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Work in process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826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815</w:t>
            </w:r>
          </w:p>
        </w:tc>
        <w:tc>
          <w:tcPr>
            <w:tcW w:w="170" w:type="dxa"/>
            <w:gridSpan w:val="2"/>
            <w:tcBorders/>
            <w:shd w:fill="auto" w:val="clear"/>
            <w:vAlign w:val="bottom"/>
          </w:tcPr>
          <w:p>
            <w:pPr>
              <w:pStyle w:val="TableContents"/>
              <w:spacing w:before="0" w:after="283"/>
              <w:rPr/>
            </w:pPr>
            <w:r>
              <w:rPr/>
              <w:t> </w:t>
            </w:r>
          </w:p>
        </w:tc>
      </w:tr>
      <w:tr>
        <w:trPr/>
        <w:tc>
          <w:tcPr>
            <w:tcW w:w="30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Finished products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2,590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2,634</w:t>
            </w:r>
          </w:p>
        </w:tc>
        <w:tc>
          <w:tcPr>
            <w:tcW w:w="170" w:type="dxa"/>
            <w:gridSpan w:val="2"/>
            <w:tcBorders/>
            <w:shd w:fill="E5FFFF" w:val="clear"/>
            <w:vAlign w:val="bottom"/>
          </w:tcPr>
          <w:p>
            <w:pPr>
              <w:pStyle w:val="TableContents"/>
              <w:spacing w:before="0" w:after="283"/>
              <w:rPr/>
            </w:pPr>
            <w:r>
              <w:rPr/>
              <w:t> </w:t>
            </w:r>
          </w:p>
        </w:tc>
      </w:tr>
      <w:tr>
        <w:trPr/>
        <w:tc>
          <w:tcPr>
            <w:tcW w:w="30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0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4,536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4,573</w:t>
            </w:r>
          </w:p>
        </w:tc>
        <w:tc>
          <w:tcPr>
            <w:tcW w:w="170" w:type="dxa"/>
            <w:gridSpan w:val="2"/>
            <w:tcBorders/>
            <w:shd w:fill="auto" w:val="clear"/>
            <w:vAlign w:val="bottom"/>
          </w:tcPr>
          <w:p>
            <w:pPr>
              <w:pStyle w:val="TableContents"/>
              <w:spacing w:before="0" w:after="283"/>
              <w:rPr/>
            </w:pPr>
            <w:r>
              <w:rPr/>
              <w:t> </w:t>
            </w:r>
          </w:p>
        </w:tc>
      </w:tr>
      <w:tr>
        <w:trPr/>
        <w:tc>
          <w:tcPr>
            <w:tcW w:w="30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Reduction to LIFO cost basis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0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0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4,420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4,405</w:t>
            </w:r>
          </w:p>
        </w:tc>
        <w:tc>
          <w:tcPr>
            <w:tcW w:w="170" w:type="dxa"/>
            <w:gridSpan w:val="2"/>
            <w:tcBorders/>
            <w:shd w:fill="auto" w:val="clear"/>
            <w:vAlign w:val="bottom"/>
          </w:tcPr>
          <w:p>
            <w:pPr>
              <w:pStyle w:val="TableContents"/>
              <w:spacing w:before="0" w:after="283"/>
              <w:rPr/>
            </w:pPr>
            <w:r>
              <w:rPr/>
              <w:t> </w:t>
            </w:r>
          </w:p>
        </w:tc>
      </w:tr>
      <w:tr>
        <w:trPr/>
        <w:tc>
          <w:tcPr>
            <w:tcW w:w="30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Inventories valued at LIFO amounted to $399 million and $434 million at December 31, 2015 and 2014. Had such LIFO inventories been valued at current costs, their carrying values would have been approximately $116 million and $168 million higher at December 31, 2015 and 2014.</w:t>
      </w:r>
    </w:p>
    <w:p>
      <w:pPr>
        <w:pStyle w:val="TextBody"/>
        <w:spacing w:before="357" w:after="357"/>
        <w:ind w:left="357" w:right="357" w:hanging="0"/>
        <w:rPr>
          <w:rFonts w:ascii="sans-serif" w:hAnsi="sans-serif"/>
          <w:b/>
          <w:sz w:val="22"/>
        </w:rPr>
      </w:pPr>
      <w:r>
        <w:rPr>
          <w:rFonts w:ascii="sans-serif" w:hAnsi="sans-serif"/>
          <w:b/>
          <w:sz w:val="22"/>
        </w:rPr>
        <w:t>Note 9. Property, Plant and EquipmentNet</w:t>
      </w:r>
    </w:p>
    <w:tbl>
      <w:tblPr>
        <w:tblW w:w="5945" w:type="dxa"/>
        <w:jc w:val="left"/>
        <w:tblInd w:w="0" w:type="dxa"/>
        <w:tblCellMar>
          <w:top w:w="0" w:type="dxa"/>
          <w:left w:w="0" w:type="dxa"/>
          <w:bottom w:w="0" w:type="dxa"/>
          <w:right w:w="0" w:type="dxa"/>
        </w:tblCellMar>
      </w:tblPr>
      <w:tblGrid>
        <w:gridCol w:w="3440"/>
        <w:gridCol w:w="60"/>
        <w:gridCol w:w="60"/>
        <w:gridCol w:w="155"/>
        <w:gridCol w:w="60"/>
        <w:gridCol w:w="755"/>
        <w:gridCol w:w="95"/>
        <w:gridCol w:w="60"/>
        <w:gridCol w:w="60"/>
        <w:gridCol w:w="60"/>
        <w:gridCol w:w="155"/>
        <w:gridCol w:w="60"/>
        <w:gridCol w:w="755"/>
        <w:gridCol w:w="95"/>
        <w:gridCol w:w="75"/>
      </w:tblGrid>
      <w:tr>
        <w:trPr/>
        <w:tc>
          <w:tcPr>
            <w:tcW w:w="3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344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445"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344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20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34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Land and improvements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343</w:t>
            </w:r>
          </w:p>
        </w:tc>
        <w:tc>
          <w:tcPr>
            <w:tcW w:w="170" w:type="dxa"/>
            <w:gridSpan w:val="2"/>
            <w:tcBorders/>
            <w:shd w:fill="E5FF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Machinery and equipment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10,505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10,313</w:t>
            </w:r>
          </w:p>
        </w:tc>
        <w:tc>
          <w:tcPr>
            <w:tcW w:w="170" w:type="dxa"/>
            <w:gridSpan w:val="2"/>
            <w:tcBorders/>
            <w:shd w:fill="auto" w:val="clear"/>
            <w:vAlign w:val="bottom"/>
          </w:tcPr>
          <w:p>
            <w:pPr>
              <w:pStyle w:val="TableContents"/>
              <w:spacing w:before="0" w:after="283"/>
              <w:rPr/>
            </w:pPr>
            <w:r>
              <w:rPr/>
              <w:t> </w:t>
            </w:r>
          </w:p>
        </w:tc>
      </w:tr>
      <w:tr>
        <w:trPr/>
        <w:tc>
          <w:tcPr>
            <w:tcW w:w="34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Buildings and improvements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3,188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3,119</w:t>
            </w:r>
          </w:p>
        </w:tc>
        <w:tc>
          <w:tcPr>
            <w:tcW w:w="170" w:type="dxa"/>
            <w:gridSpan w:val="2"/>
            <w:tcBorders/>
            <w:shd w:fill="E5FF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Construction in progress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848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727</w:t>
            </w:r>
          </w:p>
        </w:tc>
        <w:tc>
          <w:tcPr>
            <w:tcW w:w="170" w:type="dxa"/>
            <w:gridSpan w:val="2"/>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44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14,908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14,502</w:t>
            </w:r>
          </w:p>
        </w:tc>
        <w:tc>
          <w:tcPr>
            <w:tcW w:w="170" w:type="dxa"/>
            <w:gridSpan w:val="2"/>
            <w:tcBorders/>
            <w:shd w:fill="E5FF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LessAccumulated depreciation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(9,119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(9,119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44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5,789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5,383</w:t>
            </w:r>
          </w:p>
        </w:tc>
        <w:tc>
          <w:tcPr>
            <w:tcW w:w="170" w:type="dxa"/>
            <w:gridSpan w:val="2"/>
            <w:tcBorders/>
            <w:shd w:fill="E5FFFF" w:val="clear"/>
            <w:vAlign w:val="bottom"/>
          </w:tcPr>
          <w:p>
            <w:pPr>
              <w:pStyle w:val="TableContents"/>
              <w:spacing w:before="0" w:after="283"/>
              <w:rPr/>
            </w:pPr>
            <w:r>
              <w:rPr/>
              <w:t> </w:t>
            </w:r>
          </w:p>
        </w:tc>
      </w:tr>
      <w:tr>
        <w:trPr/>
        <w:tc>
          <w:tcPr>
            <w:tcW w:w="344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Depreciation expense was $672 million, $667 million and $670 million in 2015, 2014 and 2013.</w:t>
      </w:r>
    </w:p>
    <w:p>
      <w:pPr>
        <w:pStyle w:val="TextBody"/>
        <w:spacing w:before="357" w:after="357"/>
        <w:ind w:left="357" w:right="357" w:hanging="0"/>
        <w:rPr>
          <w:rFonts w:ascii="sans-serif" w:hAnsi="sans-serif"/>
          <w:b/>
          <w:sz w:val="22"/>
        </w:rPr>
      </w:pPr>
      <w:r>
        <w:rPr>
          <w:rFonts w:ascii="sans-serif" w:hAnsi="sans-serif"/>
          <w:b/>
          <w:sz w:val="22"/>
        </w:rPr>
        <w:t>Note 10. Goodwill and Other Intangible AssetsNet</w:t>
      </w:r>
    </w:p>
    <w:p>
      <w:pPr>
        <w:pStyle w:val="TextBody"/>
        <w:spacing w:before="119" w:after="119"/>
        <w:ind w:left="119" w:right="119" w:firstLine="397"/>
        <w:jc w:val="both"/>
        <w:rPr>
          <w:rFonts w:ascii="sans-serif" w:hAnsi="sans-serif"/>
          <w:sz w:val="22"/>
        </w:rPr>
      </w:pPr>
      <w:r>
        <w:rPr>
          <w:rFonts w:ascii="sans-serif" w:hAnsi="sans-serif"/>
          <w:sz w:val="22"/>
        </w:rPr>
        <w:t>The change in the carrying amount of goodwill for the years ended December 31, 2015 and 2014 by segment is as follows:</w:t>
      </w:r>
    </w:p>
    <w:tbl>
      <w:tblPr>
        <w:tblW w:w="10149" w:type="dxa"/>
        <w:jc w:val="left"/>
        <w:tblInd w:w="0" w:type="dxa"/>
        <w:tblCellMar>
          <w:top w:w="0" w:type="dxa"/>
          <w:left w:w="0" w:type="dxa"/>
          <w:bottom w:w="0" w:type="dxa"/>
          <w:right w:w="0" w:type="dxa"/>
        </w:tblCellMar>
      </w:tblPr>
      <w:tblGrid>
        <w:gridCol w:w="4400"/>
        <w:gridCol w:w="60"/>
        <w:gridCol w:w="81"/>
        <w:gridCol w:w="210"/>
        <w:gridCol w:w="81"/>
        <w:gridCol w:w="1024"/>
        <w:gridCol w:w="60"/>
        <w:gridCol w:w="60"/>
        <w:gridCol w:w="86"/>
        <w:gridCol w:w="223"/>
        <w:gridCol w:w="86"/>
        <w:gridCol w:w="894"/>
        <w:gridCol w:w="60"/>
        <w:gridCol w:w="60"/>
        <w:gridCol w:w="78"/>
        <w:gridCol w:w="203"/>
        <w:gridCol w:w="78"/>
        <w:gridCol w:w="655"/>
        <w:gridCol w:w="124"/>
        <w:gridCol w:w="82"/>
        <w:gridCol w:w="60"/>
        <w:gridCol w:w="81"/>
        <w:gridCol w:w="212"/>
        <w:gridCol w:w="81"/>
        <w:gridCol w:w="1035"/>
        <w:gridCol w:w="75"/>
      </w:tblGrid>
      <w:tr>
        <w:trPr/>
        <w:tc>
          <w:tcPr>
            <w:tcW w:w="44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56"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4" w:type="dxa"/>
            <w:gridSpan w:val="5"/>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456"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br/>
              <w:t>2014</w:t>
            </w:r>
          </w:p>
        </w:tc>
        <w:tc>
          <w:tcPr>
            <w:tcW w:w="60" w:type="dxa"/>
            <w:tcBorders/>
            <w:shd w:fill="auto" w:val="clear"/>
            <w:vAlign w:val="bottom"/>
          </w:tcPr>
          <w:p>
            <w:pPr>
              <w:pStyle w:val="TableContents"/>
              <w:spacing w:before="0" w:after="283"/>
              <w:rPr/>
            </w:pPr>
            <w:r>
              <w:rPr/>
              <w:t> </w:t>
            </w:r>
          </w:p>
        </w:tc>
        <w:tc>
          <w:tcPr>
            <w:tcW w:w="1349"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Acquisitions/</w:t>
              <w:br/>
              <w:t>Divestitures</w:t>
            </w:r>
          </w:p>
        </w:tc>
        <w:tc>
          <w:tcPr>
            <w:tcW w:w="60" w:type="dxa"/>
            <w:tcBorders/>
            <w:shd w:fill="auto" w:val="clear"/>
            <w:vAlign w:val="bottom"/>
          </w:tcPr>
          <w:p>
            <w:pPr>
              <w:pStyle w:val="TableContents"/>
              <w:spacing w:before="0" w:after="283"/>
              <w:rPr/>
            </w:pPr>
            <w:r>
              <w:rPr/>
              <w:t> </w:t>
            </w:r>
          </w:p>
        </w:tc>
        <w:tc>
          <w:tcPr>
            <w:tcW w:w="122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Currency</w:t>
              <w:br/>
              <w:t>Translation</w:t>
              <w:br/>
              <w:t>Adjustment</w:t>
            </w:r>
          </w:p>
        </w:tc>
        <w:tc>
          <w:tcPr>
            <w:tcW w:w="60" w:type="dxa"/>
            <w:tcBorders/>
            <w:shd w:fill="auto" w:val="clear"/>
            <w:vAlign w:val="bottom"/>
          </w:tcPr>
          <w:p>
            <w:pPr>
              <w:pStyle w:val="TableContents"/>
              <w:spacing w:before="0" w:after="283"/>
              <w:rPr/>
            </w:pPr>
            <w:r>
              <w:rPr/>
              <w:t> </w:t>
            </w:r>
          </w:p>
        </w:tc>
        <w:tc>
          <w:tcPr>
            <w:tcW w:w="1484"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br/>
              <w:t>2015</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Aerospace</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c>
          <w:tcPr>
            <w:tcW w:w="102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2,258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6" w:type="dxa"/>
            <w:tcBorders/>
            <w:shd w:fill="E5FFFF" w:val="clear"/>
            <w:vAlign w:val="bottom"/>
          </w:tcPr>
          <w:p>
            <w:pPr>
              <w:pStyle w:val="TableContents"/>
              <w:spacing w:before="0" w:after="283"/>
              <w:rPr/>
            </w:pPr>
            <w:r>
              <w:rPr/>
              <w:t> </w:t>
            </w:r>
          </w:p>
        </w:tc>
        <w:tc>
          <w:tcPr>
            <w:tcW w:w="22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E5FFFF" w:val="clear"/>
            <w:vAlign w:val="bottom"/>
          </w:tcPr>
          <w:p>
            <w:pPr>
              <w:pStyle w:val="TableContents"/>
              <w:spacing w:before="0" w:after="283"/>
              <w:rPr/>
            </w:pPr>
            <w:r>
              <w:rPr/>
              <w:t> </w:t>
            </w:r>
          </w:p>
        </w:tc>
        <w:tc>
          <w:tcPr>
            <w:tcW w:w="89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20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8" w:type="dxa"/>
            <w:tcBorders/>
            <w:shd w:fill="E5FFFF" w:val="clear"/>
            <w:vAlign w:val="bottom"/>
          </w:tcPr>
          <w:p>
            <w:pPr>
              <w:pStyle w:val="TableContents"/>
              <w:spacing w:before="0" w:after="283"/>
              <w:rPr/>
            </w:pPr>
            <w:r>
              <w:rPr/>
              <w:t> </w:t>
            </w:r>
          </w:p>
        </w:tc>
        <w:tc>
          <w:tcPr>
            <w:tcW w:w="6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w:t>
            </w:r>
          </w:p>
        </w:tc>
        <w:tc>
          <w:tcPr>
            <w:tcW w:w="12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1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c>
          <w:tcPr>
            <w:tcW w:w="103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2,296</w:t>
            </w:r>
          </w:p>
        </w:tc>
        <w:tc>
          <w:tcPr>
            <w:tcW w:w="75" w:type="dxa"/>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Automation and Control Solutions</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1" w:type="dxa"/>
            <w:gridSpan w:val="2"/>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7,824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309" w:type="dxa"/>
            <w:gridSpan w:val="2"/>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281" w:type="dxa"/>
            <w:gridSpan w:val="2"/>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(216</w:t>
            </w:r>
          </w:p>
        </w:tc>
        <w:tc>
          <w:tcPr>
            <w:tcW w:w="12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3" w:type="dxa"/>
            <w:gridSpan w:val="2"/>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10,588</w:t>
            </w:r>
          </w:p>
        </w:tc>
        <w:tc>
          <w:tcPr>
            <w:tcW w:w="75" w:type="dxa"/>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Performance Materials and Technologies</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1" w:type="dxa"/>
            <w:gridSpan w:val="2"/>
            <w:tcBorders/>
            <w:shd w:fill="E5FFFF" w:val="clear"/>
            <w:vAlign w:val="bottom"/>
          </w:tcPr>
          <w:p>
            <w:pPr>
              <w:pStyle w:val="TableContents"/>
              <w:spacing w:before="0" w:after="283"/>
              <w:rPr/>
            </w:pPr>
            <w:r>
              <w:rPr/>
              <w:t> </w:t>
            </w:r>
          </w:p>
        </w:tc>
        <w:tc>
          <w:tcPr>
            <w:tcW w:w="102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2,706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6" w:type="dxa"/>
            <w:tcBorders/>
            <w:shd w:fill="E5FFFF" w:val="clear"/>
            <w:vAlign w:val="bottom"/>
          </w:tcPr>
          <w:p>
            <w:pPr>
              <w:pStyle w:val="TableContents"/>
              <w:spacing w:before="0" w:after="283"/>
              <w:rPr/>
            </w:pPr>
            <w:r>
              <w:rPr/>
              <w:t> </w:t>
            </w:r>
          </w:p>
        </w:tc>
        <w:tc>
          <w:tcPr>
            <w:tcW w:w="309" w:type="dxa"/>
            <w:gridSpan w:val="2"/>
            <w:tcBorders/>
            <w:shd w:fill="E5FFFF" w:val="clear"/>
            <w:vAlign w:val="bottom"/>
          </w:tcPr>
          <w:p>
            <w:pPr>
              <w:pStyle w:val="TableContents"/>
              <w:spacing w:before="0" w:after="283"/>
              <w:rPr/>
            </w:pPr>
            <w:r>
              <w:rPr/>
              <w:t> </w:t>
            </w:r>
          </w:p>
        </w:tc>
        <w:tc>
          <w:tcPr>
            <w:tcW w:w="89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281" w:type="dxa"/>
            <w:gridSpan w:val="2"/>
            <w:tcBorders/>
            <w:shd w:fill="E5FFFF" w:val="clear"/>
            <w:vAlign w:val="bottom"/>
          </w:tcPr>
          <w:p>
            <w:pPr>
              <w:pStyle w:val="TableContents"/>
              <w:spacing w:before="0" w:after="283"/>
              <w:rPr/>
            </w:pPr>
            <w:r>
              <w:rPr/>
              <w:t> </w:t>
            </w:r>
          </w:p>
        </w:tc>
        <w:tc>
          <w:tcPr>
            <w:tcW w:w="6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(65</w:t>
            </w:r>
          </w:p>
        </w:tc>
        <w:tc>
          <w:tcPr>
            <w:tcW w:w="12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2"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3" w:type="dxa"/>
            <w:gridSpan w:val="2"/>
            <w:tcBorders/>
            <w:shd w:fill="E5FFFF" w:val="clear"/>
            <w:vAlign w:val="bottom"/>
          </w:tcPr>
          <w:p>
            <w:pPr>
              <w:pStyle w:val="TableContents"/>
              <w:spacing w:before="0" w:after="283"/>
              <w:rPr/>
            </w:pPr>
            <w:r>
              <w:rPr/>
              <w:t> </w:t>
            </w:r>
          </w:p>
        </w:tc>
        <w:tc>
          <w:tcPr>
            <w:tcW w:w="103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3,011</w:t>
            </w:r>
          </w:p>
        </w:tc>
        <w:tc>
          <w:tcPr>
            <w:tcW w:w="75" w:type="dxa"/>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56"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9"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4"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12,788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3,399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8" w:type="dxa"/>
            <w:tcBorders/>
            <w:shd w:fill="auto" w:val="clear"/>
            <w:vAlign w:val="bottom"/>
          </w:tcPr>
          <w:p>
            <w:pPr>
              <w:pStyle w:val="TableContents"/>
              <w:spacing w:before="0" w:after="283"/>
              <w:rPr/>
            </w:pPr>
            <w:r>
              <w:rPr/>
              <w:t> </w:t>
            </w:r>
          </w:p>
        </w:tc>
        <w:tc>
          <w:tcPr>
            <w:tcW w:w="6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(292</w:t>
            </w:r>
          </w:p>
        </w:tc>
        <w:tc>
          <w:tcPr>
            <w:tcW w:w="12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15,895</w:t>
            </w:r>
          </w:p>
        </w:tc>
        <w:tc>
          <w:tcPr>
            <w:tcW w:w="75" w:type="dxa"/>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56"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49"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84"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48</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Other intangible assets are comprised of:</w:t>
      </w:r>
    </w:p>
    <w:tbl>
      <w:tblPr>
        <w:tblW w:w="10106" w:type="dxa"/>
        <w:jc w:val="left"/>
        <w:tblInd w:w="0" w:type="dxa"/>
        <w:tblCellMar>
          <w:top w:w="0" w:type="dxa"/>
          <w:left w:w="0" w:type="dxa"/>
          <w:bottom w:w="0" w:type="dxa"/>
          <w:right w:w="0" w:type="dxa"/>
        </w:tblCellMar>
      </w:tblPr>
      <w:tblGrid>
        <w:gridCol w:w="3200"/>
        <w:gridCol w:w="60"/>
        <w:gridCol w:w="60"/>
        <w:gridCol w:w="155"/>
        <w:gridCol w:w="60"/>
        <w:gridCol w:w="620"/>
        <w:gridCol w:w="60"/>
        <w:gridCol w:w="60"/>
        <w:gridCol w:w="72"/>
        <w:gridCol w:w="186"/>
        <w:gridCol w:w="72"/>
        <w:gridCol w:w="837"/>
        <w:gridCol w:w="114"/>
        <w:gridCol w:w="74"/>
        <w:gridCol w:w="60"/>
        <w:gridCol w:w="60"/>
        <w:gridCol w:w="155"/>
        <w:gridCol w:w="60"/>
        <w:gridCol w:w="620"/>
        <w:gridCol w:w="60"/>
        <w:gridCol w:w="60"/>
        <w:gridCol w:w="60"/>
        <w:gridCol w:w="155"/>
        <w:gridCol w:w="60"/>
        <w:gridCol w:w="620"/>
        <w:gridCol w:w="60"/>
        <w:gridCol w:w="60"/>
        <w:gridCol w:w="72"/>
        <w:gridCol w:w="186"/>
        <w:gridCol w:w="72"/>
        <w:gridCol w:w="837"/>
        <w:gridCol w:w="114"/>
        <w:gridCol w:w="74"/>
        <w:gridCol w:w="60"/>
        <w:gridCol w:w="60"/>
        <w:gridCol w:w="155"/>
        <w:gridCol w:w="60"/>
        <w:gridCol w:w="621"/>
        <w:gridCol w:w="75"/>
      </w:tblGrid>
      <w:tr>
        <w:trPr/>
        <w:tc>
          <w:tcPr>
            <w:tcW w:w="3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1" w:type="dxa"/>
            <w:gridSpan w:val="5"/>
            <w:tcBorders/>
            <w:shd w:fill="auto" w:val="clear"/>
            <w:vAlign w:val="bottom"/>
          </w:tcPr>
          <w:p>
            <w:pPr>
              <w:pStyle w:val="TableContents"/>
              <w:spacing w:before="0" w:after="283"/>
              <w:rPr/>
            </w:pPr>
            <w:r>
              <w:rPr/>
              <w:t> </w:t>
            </w:r>
          </w:p>
        </w:tc>
      </w:tr>
      <w:tr>
        <w:trPr/>
        <w:tc>
          <w:tcPr>
            <w:tcW w:w="320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385" w:type="dxa"/>
            <w:gridSpan w:val="18"/>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 2015</w:t>
            </w:r>
          </w:p>
        </w:tc>
        <w:tc>
          <w:tcPr>
            <w:tcW w:w="60" w:type="dxa"/>
            <w:tcBorders/>
            <w:shd w:fill="auto" w:val="clear"/>
            <w:vAlign w:val="bottom"/>
          </w:tcPr>
          <w:p>
            <w:pPr>
              <w:pStyle w:val="TableContents"/>
              <w:spacing w:before="0" w:after="283"/>
              <w:rPr/>
            </w:pPr>
            <w:r>
              <w:rPr/>
              <w:t> </w:t>
            </w:r>
          </w:p>
        </w:tc>
        <w:tc>
          <w:tcPr>
            <w:tcW w:w="3401" w:type="dxa"/>
            <w:gridSpan w:val="18"/>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 2014</w:t>
            </w:r>
          </w:p>
        </w:tc>
      </w:tr>
      <w:tr>
        <w:trPr/>
        <w:tc>
          <w:tcPr>
            <w:tcW w:w="320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Gross</w:t>
              <w:br/>
              <w:t>Carrying</w:t>
              <w:br/>
              <w:t>Amount</w:t>
            </w:r>
          </w:p>
        </w:tc>
        <w:tc>
          <w:tcPr>
            <w:tcW w:w="60" w:type="dxa"/>
            <w:tcBorders/>
            <w:shd w:fill="auto" w:val="clear"/>
            <w:vAlign w:val="bottom"/>
          </w:tcPr>
          <w:p>
            <w:pPr>
              <w:pStyle w:val="TableContents"/>
              <w:spacing w:before="0" w:after="283"/>
              <w:rPr/>
            </w:pPr>
            <w:r>
              <w:rPr/>
              <w:t> </w:t>
            </w:r>
          </w:p>
        </w:tc>
        <w:tc>
          <w:tcPr>
            <w:tcW w:w="13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Accumulated</w:t>
              <w:br/>
              <w:t>Amortization</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Net</w:t>
              <w:br/>
              <w:t>Carrying</w:t>
              <w:br/>
              <w:t>Amount</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Gross</w:t>
              <w:br/>
              <w:t>Carrying</w:t>
              <w:br/>
              <w:t>Amount</w:t>
            </w:r>
          </w:p>
        </w:tc>
        <w:tc>
          <w:tcPr>
            <w:tcW w:w="60" w:type="dxa"/>
            <w:tcBorders/>
            <w:shd w:fill="auto" w:val="clear"/>
            <w:vAlign w:val="bottom"/>
          </w:tcPr>
          <w:p>
            <w:pPr>
              <w:pStyle w:val="TableContents"/>
              <w:spacing w:before="0" w:after="283"/>
              <w:rPr/>
            </w:pPr>
            <w:r>
              <w:rPr/>
              <w:t> </w:t>
            </w:r>
          </w:p>
        </w:tc>
        <w:tc>
          <w:tcPr>
            <w:tcW w:w="13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Accumulated</w:t>
              <w:br/>
              <w:t>Amortization</w:t>
            </w:r>
          </w:p>
        </w:tc>
        <w:tc>
          <w:tcPr>
            <w:tcW w:w="60" w:type="dxa"/>
            <w:tcBorders/>
            <w:shd w:fill="auto" w:val="clear"/>
            <w:vAlign w:val="bottom"/>
          </w:tcPr>
          <w:p>
            <w:pPr>
              <w:pStyle w:val="TableContents"/>
              <w:spacing w:before="0" w:after="283"/>
              <w:rPr/>
            </w:pPr>
            <w:r>
              <w:rPr/>
              <w:t> </w:t>
            </w:r>
          </w:p>
        </w:tc>
        <w:tc>
          <w:tcPr>
            <w:tcW w:w="971"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Net</w:t>
              <w:br/>
              <w:t>Carrying</w:t>
              <w:br/>
              <w:t>Amount</w:t>
            </w:r>
          </w:p>
        </w:tc>
      </w:tr>
      <w:tr>
        <w:trPr/>
        <w:tc>
          <w:tcPr>
            <w:tcW w:w="32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Determinable life intangibles:</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35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35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71" w:type="dxa"/>
            <w:gridSpan w:val="5"/>
            <w:tcBorders/>
            <w:shd w:fill="E5FFFF" w:val="clear"/>
            <w:vAlign w:val="bottom"/>
          </w:tcPr>
          <w:p>
            <w:pPr>
              <w:pStyle w:val="TableContents"/>
              <w:spacing w:before="0" w:after="283"/>
              <w:rPr/>
            </w:pPr>
            <w:r>
              <w:rPr/>
              <w:t> </w:t>
            </w:r>
          </w:p>
        </w:tc>
      </w:tr>
      <w:tr>
        <w:trPr/>
        <w:tc>
          <w:tcPr>
            <w:tcW w:w="32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Patents and technology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1,688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(1,061</w:t>
            </w:r>
          </w:p>
        </w:tc>
        <w:tc>
          <w:tcPr>
            <w:tcW w:w="11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(1,005</w:t>
            </w:r>
          </w:p>
        </w:tc>
        <w:tc>
          <w:tcPr>
            <w:tcW w:w="11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395</w:t>
            </w:r>
          </w:p>
        </w:tc>
        <w:tc>
          <w:tcPr>
            <w:tcW w:w="75" w:type="dxa"/>
            <w:tcBorders/>
            <w:shd w:fill="auto" w:val="clear"/>
            <w:vAlign w:val="bottom"/>
          </w:tcPr>
          <w:p>
            <w:pPr>
              <w:pStyle w:val="TableContents"/>
              <w:spacing w:before="0" w:after="283"/>
              <w:rPr/>
            </w:pPr>
            <w:r>
              <w:rPr/>
              <w:t> </w:t>
            </w:r>
          </w:p>
        </w:tc>
      </w:tr>
      <w:tr>
        <w:trPr/>
        <w:tc>
          <w:tcPr>
            <w:tcW w:w="32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Customer relationships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3,558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258" w:type="dxa"/>
            <w:gridSpan w:val="2"/>
            <w:tcBorders/>
            <w:shd w:fill="E5FFFF" w:val="clear"/>
            <w:vAlign w:val="bottom"/>
          </w:tcPr>
          <w:p>
            <w:pPr>
              <w:pStyle w:val="TableContents"/>
              <w:spacing w:before="0" w:after="283"/>
              <w:rPr/>
            </w:pPr>
            <w:r>
              <w:rPr/>
              <w:t> </w:t>
            </w:r>
          </w:p>
        </w:tc>
        <w:tc>
          <w:tcPr>
            <w:tcW w:w="8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(942</w:t>
            </w:r>
          </w:p>
        </w:tc>
        <w:tc>
          <w:tcPr>
            <w:tcW w:w="11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2,616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1,867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258" w:type="dxa"/>
            <w:gridSpan w:val="2"/>
            <w:tcBorders/>
            <w:shd w:fill="E5FFFF" w:val="clear"/>
            <w:vAlign w:val="bottom"/>
          </w:tcPr>
          <w:p>
            <w:pPr>
              <w:pStyle w:val="TableContents"/>
              <w:spacing w:before="0" w:after="283"/>
              <w:rPr/>
            </w:pPr>
            <w:r>
              <w:rPr/>
              <w:t> </w:t>
            </w:r>
          </w:p>
        </w:tc>
        <w:tc>
          <w:tcPr>
            <w:tcW w:w="8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(857</w:t>
            </w:r>
          </w:p>
        </w:tc>
        <w:tc>
          <w:tcPr>
            <w:tcW w:w="11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1,010</w:t>
            </w:r>
          </w:p>
        </w:tc>
        <w:tc>
          <w:tcPr>
            <w:tcW w:w="75" w:type="dxa"/>
            <w:tcBorders/>
            <w:shd w:fill="E5FFFF" w:val="clear"/>
            <w:vAlign w:val="bottom"/>
          </w:tcPr>
          <w:p>
            <w:pPr>
              <w:pStyle w:val="TableContents"/>
              <w:spacing w:before="0" w:after="283"/>
              <w:rPr/>
            </w:pPr>
            <w:r>
              <w:rPr/>
              <w:t> </w:t>
            </w:r>
          </w:p>
        </w:tc>
      </w:tr>
      <w:tr>
        <w:trPr/>
        <w:tc>
          <w:tcPr>
            <w:tcW w:w="32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Trademarks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8" w:type="dxa"/>
            <w:gridSpan w:val="2"/>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(131</w:t>
            </w:r>
          </w:p>
        </w:tc>
        <w:tc>
          <w:tcPr>
            <w:tcW w:w="11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8" w:type="dxa"/>
            <w:gridSpan w:val="2"/>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(125</w:t>
            </w:r>
          </w:p>
        </w:tc>
        <w:tc>
          <w:tcPr>
            <w:tcW w:w="11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66</w:t>
            </w:r>
          </w:p>
        </w:tc>
        <w:tc>
          <w:tcPr>
            <w:tcW w:w="75" w:type="dxa"/>
            <w:tcBorders/>
            <w:shd w:fill="auto" w:val="clear"/>
            <w:vAlign w:val="bottom"/>
          </w:tcPr>
          <w:p>
            <w:pPr>
              <w:pStyle w:val="TableContents"/>
              <w:spacing w:before="0" w:after="283"/>
              <w:rPr/>
            </w:pPr>
            <w:r>
              <w:rPr/>
              <w:t> </w:t>
            </w:r>
          </w:p>
        </w:tc>
      </w:tr>
      <w:tr>
        <w:trPr/>
        <w:tc>
          <w:tcPr>
            <w:tcW w:w="32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Other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258" w:type="dxa"/>
            <w:gridSpan w:val="2"/>
            <w:tcBorders/>
            <w:shd w:fill="E5FFFF" w:val="clear"/>
            <w:vAlign w:val="bottom"/>
          </w:tcPr>
          <w:p>
            <w:pPr>
              <w:pStyle w:val="TableContents"/>
              <w:spacing w:before="0" w:after="283"/>
              <w:rPr/>
            </w:pPr>
            <w:r>
              <w:rPr/>
              <w:t> </w:t>
            </w:r>
          </w:p>
        </w:tc>
        <w:tc>
          <w:tcPr>
            <w:tcW w:w="8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(264</w:t>
            </w:r>
          </w:p>
        </w:tc>
        <w:tc>
          <w:tcPr>
            <w:tcW w:w="11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258" w:type="dxa"/>
            <w:gridSpan w:val="2"/>
            <w:tcBorders/>
            <w:shd w:fill="E5FFFF" w:val="clear"/>
            <w:vAlign w:val="bottom"/>
          </w:tcPr>
          <w:p>
            <w:pPr>
              <w:pStyle w:val="TableContents"/>
              <w:spacing w:before="0" w:after="283"/>
              <w:rPr/>
            </w:pPr>
            <w:r>
              <w:rPr/>
              <w:t> </w:t>
            </w:r>
          </w:p>
        </w:tc>
        <w:tc>
          <w:tcPr>
            <w:tcW w:w="8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(260</w:t>
            </w:r>
          </w:p>
        </w:tc>
        <w:tc>
          <w:tcPr>
            <w:tcW w:w="11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w:t>
            </w:r>
          </w:p>
        </w:tc>
        <w:tc>
          <w:tcPr>
            <w:tcW w:w="75" w:type="dxa"/>
            <w:tcBorders/>
            <w:shd w:fill="E5FFFF" w:val="clear"/>
            <w:vAlign w:val="bottom"/>
          </w:tcPr>
          <w:p>
            <w:pPr>
              <w:pStyle w:val="TableContents"/>
              <w:spacing w:before="0" w:after="283"/>
              <w:rPr/>
            </w:pPr>
            <w:r>
              <w:rPr/>
              <w:t> </w:t>
            </w:r>
          </w:p>
        </w:tc>
      </w:tr>
      <w:tr>
        <w:trPr/>
        <w:tc>
          <w:tcPr>
            <w:tcW w:w="32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1"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2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8" w:type="dxa"/>
            <w:gridSpan w:val="2"/>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(2,398</w:t>
            </w:r>
          </w:p>
        </w:tc>
        <w:tc>
          <w:tcPr>
            <w:tcW w:w="11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3,749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8" w:type="dxa"/>
            <w:gridSpan w:val="2"/>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(2,247</w:t>
            </w:r>
          </w:p>
        </w:tc>
        <w:tc>
          <w:tcPr>
            <w:tcW w:w="11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1,502</w:t>
            </w:r>
          </w:p>
        </w:tc>
        <w:tc>
          <w:tcPr>
            <w:tcW w:w="75" w:type="dxa"/>
            <w:tcBorders/>
            <w:shd w:fill="auto" w:val="clear"/>
            <w:vAlign w:val="bottom"/>
          </w:tcPr>
          <w:p>
            <w:pPr>
              <w:pStyle w:val="TableContents"/>
              <w:spacing w:before="0" w:after="283"/>
              <w:rPr/>
            </w:pPr>
            <w:r>
              <w:rPr/>
              <w:t> </w:t>
            </w:r>
          </w:p>
        </w:tc>
      </w:tr>
      <w:tr>
        <w:trPr/>
        <w:tc>
          <w:tcPr>
            <w:tcW w:w="32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1"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2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Indefinite life intangibles:</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35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35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71" w:type="dxa"/>
            <w:gridSpan w:val="5"/>
            <w:tcBorders/>
            <w:shd w:fill="E5FFFF" w:val="clear"/>
            <w:vAlign w:val="bottom"/>
          </w:tcPr>
          <w:p>
            <w:pPr>
              <w:pStyle w:val="TableContents"/>
              <w:spacing w:before="0" w:after="283"/>
              <w:rPr/>
            </w:pPr>
            <w:r>
              <w:rPr/>
              <w:t> </w:t>
            </w:r>
          </w:p>
        </w:tc>
      </w:tr>
      <w:tr>
        <w:trPr/>
        <w:tc>
          <w:tcPr>
            <w:tcW w:w="32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Trademarks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8" w:type="dxa"/>
            <w:gridSpan w:val="2"/>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8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706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58" w:type="dxa"/>
            <w:gridSpan w:val="2"/>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8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706</w:t>
            </w:r>
          </w:p>
        </w:tc>
        <w:tc>
          <w:tcPr>
            <w:tcW w:w="75" w:type="dxa"/>
            <w:tcBorders/>
            <w:shd w:fill="auto" w:val="clear"/>
            <w:vAlign w:val="bottom"/>
          </w:tcPr>
          <w:p>
            <w:pPr>
              <w:pStyle w:val="TableContents"/>
              <w:spacing w:before="0" w:after="283"/>
              <w:rPr/>
            </w:pPr>
            <w:r>
              <w:rPr/>
              <w:t> </w:t>
            </w:r>
          </w:p>
        </w:tc>
      </w:tr>
      <w:tr>
        <w:trPr/>
        <w:tc>
          <w:tcPr>
            <w:tcW w:w="32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1"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20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6,975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6"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8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(2,398</w:t>
            </w:r>
          </w:p>
        </w:tc>
        <w:tc>
          <w:tcPr>
            <w:tcW w:w="11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4,577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4,455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2" w:type="dxa"/>
            <w:tcBorders/>
            <w:shd w:fill="E5FFFF" w:val="clear"/>
            <w:vAlign w:val="bottom"/>
          </w:tcPr>
          <w:p>
            <w:pPr>
              <w:pStyle w:val="TableContents"/>
              <w:spacing w:before="0" w:after="283"/>
              <w:rPr/>
            </w:pPr>
            <w:r>
              <w:rPr/>
              <w:t> </w:t>
            </w:r>
          </w:p>
        </w:tc>
        <w:tc>
          <w:tcPr>
            <w:tcW w:w="186"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2" w:type="dxa"/>
            <w:tcBorders/>
            <w:shd w:fill="E5FFFF" w:val="clear"/>
            <w:vAlign w:val="bottom"/>
          </w:tcPr>
          <w:p>
            <w:pPr>
              <w:pStyle w:val="TableContents"/>
              <w:spacing w:before="0" w:after="283"/>
              <w:rPr/>
            </w:pPr>
            <w:r>
              <w:rPr/>
              <w:t> </w:t>
            </w:r>
          </w:p>
        </w:tc>
        <w:tc>
          <w:tcPr>
            <w:tcW w:w="83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(2,247</w:t>
            </w:r>
          </w:p>
        </w:tc>
        <w:tc>
          <w:tcPr>
            <w:tcW w:w="11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2,208</w:t>
            </w:r>
          </w:p>
        </w:tc>
        <w:tc>
          <w:tcPr>
            <w:tcW w:w="75" w:type="dxa"/>
            <w:tcBorders/>
            <w:shd w:fill="E5FFFF" w:val="clear"/>
            <w:vAlign w:val="bottom"/>
          </w:tcPr>
          <w:p>
            <w:pPr>
              <w:pStyle w:val="TableContents"/>
              <w:spacing w:before="0" w:after="283"/>
              <w:rPr/>
            </w:pPr>
            <w:r>
              <w:rPr/>
              <w:t> </w:t>
            </w:r>
          </w:p>
        </w:tc>
      </w:tr>
      <w:tr>
        <w:trPr/>
        <w:tc>
          <w:tcPr>
            <w:tcW w:w="32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1"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Intangible assets amortization expense was $211 million, $257 million, and $319 million in 2015, 2014, 2013. Estimated intangible asset amortization expense for each of the next five years approximates $336 million in 2016, $357 million in 2017, $356 million in 2018, $342 million in 2019, and $302 million in 2020.</w:t>
      </w:r>
    </w:p>
    <w:p>
      <w:pPr>
        <w:pStyle w:val="TextBody"/>
        <w:spacing w:before="357" w:after="357"/>
        <w:ind w:left="357" w:right="357" w:hanging="0"/>
        <w:rPr>
          <w:rFonts w:ascii="sans-serif" w:hAnsi="sans-serif"/>
          <w:b/>
          <w:sz w:val="22"/>
        </w:rPr>
      </w:pPr>
      <w:r>
        <w:rPr>
          <w:rFonts w:ascii="sans-serif" w:hAnsi="sans-serif"/>
          <w:b/>
          <w:sz w:val="22"/>
        </w:rPr>
        <w:t>Note 11. Accrued Liabilities</w:t>
      </w:r>
    </w:p>
    <w:tbl>
      <w:tblPr>
        <w:tblW w:w="7540" w:type="dxa"/>
        <w:jc w:val="left"/>
        <w:tblInd w:w="0" w:type="dxa"/>
        <w:tblCellMar>
          <w:top w:w="0" w:type="dxa"/>
          <w:left w:w="0" w:type="dxa"/>
          <w:bottom w:w="0" w:type="dxa"/>
          <w:right w:w="0" w:type="dxa"/>
        </w:tblCellMar>
      </w:tblPr>
      <w:tblGrid>
        <w:gridCol w:w="5495"/>
        <w:gridCol w:w="60"/>
        <w:gridCol w:w="60"/>
        <w:gridCol w:w="155"/>
        <w:gridCol w:w="60"/>
        <w:gridCol w:w="620"/>
        <w:gridCol w:w="60"/>
        <w:gridCol w:w="60"/>
        <w:gridCol w:w="60"/>
        <w:gridCol w:w="155"/>
        <w:gridCol w:w="60"/>
        <w:gridCol w:w="620"/>
        <w:gridCol w:w="75"/>
      </w:tblGrid>
      <w:tr>
        <w:trPr/>
        <w:tc>
          <w:tcPr>
            <w:tcW w:w="54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549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985"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549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54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Customer advances and deferred income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1,863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2,094</w:t>
            </w:r>
          </w:p>
        </w:tc>
        <w:tc>
          <w:tcPr>
            <w:tcW w:w="75" w:type="dxa"/>
            <w:tcBorders/>
            <w:shd w:fill="E5FFFF" w:val="clear"/>
            <w:vAlign w:val="bottom"/>
          </w:tcPr>
          <w:p>
            <w:pPr>
              <w:pStyle w:val="TableContents"/>
              <w:spacing w:before="0" w:after="283"/>
              <w:rPr/>
            </w:pPr>
            <w:r>
              <w:rPr/>
              <w:t> </w:t>
            </w:r>
          </w:p>
        </w:tc>
      </w:tr>
      <w:tr>
        <w:trPr/>
        <w:tc>
          <w:tcPr>
            <w:tcW w:w="54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Compensation, benefit and other employee related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1,476</w:t>
            </w:r>
          </w:p>
        </w:tc>
        <w:tc>
          <w:tcPr>
            <w:tcW w:w="75" w:type="dxa"/>
            <w:tcBorders/>
            <w:shd w:fill="auto" w:val="clear"/>
            <w:vAlign w:val="bottom"/>
          </w:tcPr>
          <w:p>
            <w:pPr>
              <w:pStyle w:val="TableContents"/>
              <w:spacing w:before="0" w:after="283"/>
              <w:rPr/>
            </w:pPr>
            <w:r>
              <w:rPr/>
              <w:t> </w:t>
            </w:r>
          </w:p>
        </w:tc>
      </w:tr>
      <w:tr>
        <w:trPr/>
        <w:tc>
          <w:tcPr>
            <w:tcW w:w="54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Asbestos related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352</w:t>
            </w:r>
          </w:p>
        </w:tc>
        <w:tc>
          <w:tcPr>
            <w:tcW w:w="75" w:type="dxa"/>
            <w:tcBorders/>
            <w:shd w:fill="E5FFFF" w:val="clear"/>
            <w:vAlign w:val="bottom"/>
          </w:tcPr>
          <w:p>
            <w:pPr>
              <w:pStyle w:val="TableContents"/>
              <w:spacing w:before="0" w:after="283"/>
              <w:rPr/>
            </w:pPr>
            <w:r>
              <w:rPr/>
              <w:t> </w:t>
            </w:r>
          </w:p>
        </w:tc>
      </w:tr>
      <w:tr>
        <w:trPr/>
        <w:tc>
          <w:tcPr>
            <w:tcW w:w="54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Repositioning</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284</w:t>
            </w:r>
          </w:p>
        </w:tc>
        <w:tc>
          <w:tcPr>
            <w:tcW w:w="75" w:type="dxa"/>
            <w:tcBorders/>
            <w:shd w:fill="auto" w:val="clear"/>
            <w:vAlign w:val="bottom"/>
          </w:tcPr>
          <w:p>
            <w:pPr>
              <w:pStyle w:val="TableContents"/>
              <w:spacing w:before="0" w:after="283"/>
              <w:rPr/>
            </w:pPr>
            <w:r>
              <w:rPr/>
              <w:t> </w:t>
            </w:r>
          </w:p>
        </w:tc>
      </w:tr>
      <w:tr>
        <w:trPr/>
        <w:tc>
          <w:tcPr>
            <w:tcW w:w="54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Product warranties and performance guarantees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332</w:t>
            </w:r>
          </w:p>
        </w:tc>
        <w:tc>
          <w:tcPr>
            <w:tcW w:w="75" w:type="dxa"/>
            <w:tcBorders/>
            <w:shd w:fill="E5FFFF" w:val="clear"/>
            <w:vAlign w:val="bottom"/>
          </w:tcPr>
          <w:p>
            <w:pPr>
              <w:pStyle w:val="TableContents"/>
              <w:spacing w:before="0" w:after="283"/>
              <w:rPr/>
            </w:pPr>
            <w:r>
              <w:rPr/>
              <w:t> </w:t>
            </w:r>
          </w:p>
        </w:tc>
      </w:tr>
      <w:tr>
        <w:trPr/>
        <w:tc>
          <w:tcPr>
            <w:tcW w:w="54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Environmental costs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278</w:t>
            </w:r>
          </w:p>
        </w:tc>
        <w:tc>
          <w:tcPr>
            <w:tcW w:w="75" w:type="dxa"/>
            <w:tcBorders/>
            <w:shd w:fill="auto" w:val="clear"/>
            <w:vAlign w:val="bottom"/>
          </w:tcPr>
          <w:p>
            <w:pPr>
              <w:pStyle w:val="TableContents"/>
              <w:spacing w:before="0" w:after="283"/>
              <w:rPr/>
            </w:pPr>
            <w:r>
              <w:rPr/>
              <w:t> </w:t>
            </w:r>
          </w:p>
        </w:tc>
      </w:tr>
      <w:tr>
        <w:trPr/>
        <w:tc>
          <w:tcPr>
            <w:tcW w:w="54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Income taxes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261</w:t>
            </w:r>
          </w:p>
        </w:tc>
        <w:tc>
          <w:tcPr>
            <w:tcW w:w="75" w:type="dxa"/>
            <w:tcBorders/>
            <w:shd w:fill="E5FFFF" w:val="clear"/>
            <w:vAlign w:val="bottom"/>
          </w:tcPr>
          <w:p>
            <w:pPr>
              <w:pStyle w:val="TableContents"/>
              <w:spacing w:before="0" w:after="283"/>
              <w:rPr/>
            </w:pPr>
            <w:r>
              <w:rPr/>
              <w:t> </w:t>
            </w:r>
          </w:p>
        </w:tc>
      </w:tr>
      <w:tr>
        <w:trPr/>
        <w:tc>
          <w:tcPr>
            <w:tcW w:w="54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Accrued 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101</w:t>
            </w:r>
          </w:p>
        </w:tc>
        <w:tc>
          <w:tcPr>
            <w:tcW w:w="75" w:type="dxa"/>
            <w:tcBorders/>
            <w:shd w:fill="auto" w:val="clear"/>
            <w:vAlign w:val="bottom"/>
          </w:tcPr>
          <w:p>
            <w:pPr>
              <w:pStyle w:val="TableContents"/>
              <w:spacing w:before="0" w:after="283"/>
              <w:rPr/>
            </w:pPr>
            <w:r>
              <w:rPr/>
              <w:t> </w:t>
            </w:r>
          </w:p>
        </w:tc>
      </w:tr>
      <w:tr>
        <w:trPr/>
        <w:tc>
          <w:tcPr>
            <w:tcW w:w="54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 taxes (payroll, sales, VAT etc.)</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243</w:t>
            </w:r>
          </w:p>
        </w:tc>
        <w:tc>
          <w:tcPr>
            <w:tcW w:w="75" w:type="dxa"/>
            <w:tcBorders/>
            <w:shd w:fill="E5FFFF" w:val="clear"/>
            <w:vAlign w:val="bottom"/>
          </w:tcPr>
          <w:p>
            <w:pPr>
              <w:pStyle w:val="TableContents"/>
              <w:spacing w:before="0" w:after="283"/>
              <w:rPr/>
            </w:pPr>
            <w:r>
              <w:rPr/>
              <w:t> </w:t>
            </w:r>
          </w:p>
        </w:tc>
      </w:tr>
      <w:tr>
        <w:trPr/>
        <w:tc>
          <w:tcPr>
            <w:tcW w:w="54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Insurance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264</w:t>
            </w:r>
          </w:p>
        </w:tc>
        <w:tc>
          <w:tcPr>
            <w:tcW w:w="75" w:type="dxa"/>
            <w:tcBorders/>
            <w:shd w:fill="auto" w:val="clear"/>
            <w:vAlign w:val="bottom"/>
          </w:tcPr>
          <w:p>
            <w:pPr>
              <w:pStyle w:val="TableContents"/>
              <w:spacing w:before="0" w:after="283"/>
              <w:rPr/>
            </w:pPr>
            <w:r>
              <w:rPr/>
              <w:t> </w:t>
            </w:r>
          </w:p>
        </w:tc>
      </w:tr>
      <w:tr>
        <w:trPr/>
        <w:tc>
          <w:tcPr>
            <w:tcW w:w="54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 (primarily operating expenses)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950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1,086</w:t>
            </w:r>
          </w:p>
        </w:tc>
        <w:tc>
          <w:tcPr>
            <w:tcW w:w="75" w:type="dxa"/>
            <w:tcBorders/>
            <w:shd w:fill="E5FFFF" w:val="clear"/>
            <w:vAlign w:val="bottom"/>
          </w:tcPr>
          <w:p>
            <w:pPr>
              <w:pStyle w:val="TableContents"/>
              <w:spacing w:before="0" w:after="283"/>
              <w:rPr/>
            </w:pPr>
            <w:r>
              <w:rPr/>
              <w:t> </w:t>
            </w:r>
          </w:p>
        </w:tc>
      </w:tr>
      <w:tr>
        <w:trPr/>
        <w:tc>
          <w:tcPr>
            <w:tcW w:w="54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54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6,277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6,771</w:t>
            </w:r>
          </w:p>
        </w:tc>
        <w:tc>
          <w:tcPr>
            <w:tcW w:w="75" w:type="dxa"/>
            <w:tcBorders/>
            <w:shd w:fill="auto" w:val="clear"/>
            <w:vAlign w:val="bottom"/>
          </w:tcPr>
          <w:p>
            <w:pPr>
              <w:pStyle w:val="TableContents"/>
              <w:spacing w:before="0" w:after="283"/>
              <w:rPr/>
            </w:pPr>
            <w:r>
              <w:rPr/>
              <w:t> </w:t>
            </w:r>
          </w:p>
        </w:tc>
      </w:tr>
      <w:tr>
        <w:trPr/>
        <w:tc>
          <w:tcPr>
            <w:tcW w:w="54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49</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12. Long-term Debt and Credit Agreements</w:t>
      </w:r>
    </w:p>
    <w:tbl>
      <w:tblPr>
        <w:tblW w:w="10205" w:type="dxa"/>
        <w:jc w:val="left"/>
        <w:tblInd w:w="0" w:type="dxa"/>
        <w:tblCellMar>
          <w:top w:w="0" w:type="dxa"/>
          <w:left w:w="0" w:type="dxa"/>
          <w:bottom w:w="0" w:type="dxa"/>
          <w:right w:w="0" w:type="dxa"/>
        </w:tblCellMar>
      </w:tblPr>
      <w:tblGrid>
        <w:gridCol w:w="7895"/>
        <w:gridCol w:w="60"/>
        <w:gridCol w:w="60"/>
        <w:gridCol w:w="155"/>
        <w:gridCol w:w="60"/>
        <w:gridCol w:w="620"/>
        <w:gridCol w:w="95"/>
        <w:gridCol w:w="60"/>
        <w:gridCol w:w="60"/>
        <w:gridCol w:w="60"/>
        <w:gridCol w:w="155"/>
        <w:gridCol w:w="60"/>
        <w:gridCol w:w="657"/>
        <w:gridCol w:w="132"/>
        <w:gridCol w:w="76"/>
      </w:tblGrid>
      <w:tr>
        <w:trPr/>
        <w:tc>
          <w:tcPr>
            <w:tcW w:w="78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shd w:fill="auto" w:val="clear"/>
            <w:vAlign w:val="bottom"/>
          </w:tcPr>
          <w:p>
            <w:pPr>
              <w:pStyle w:val="TableContents"/>
              <w:spacing w:before="0" w:after="283"/>
              <w:rPr>
                <w:sz w:val="4"/>
                <w:szCs w:val="4"/>
              </w:rPr>
            </w:pPr>
            <w:r>
              <w:rPr>
                <w:sz w:val="4"/>
                <w:szCs w:val="4"/>
              </w:rPr>
            </w:r>
          </w:p>
        </w:tc>
      </w:tr>
      <w:tr>
        <w:trPr/>
        <w:tc>
          <w:tcPr>
            <w:tcW w:w="789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250" w:type="dxa"/>
            <w:gridSpan w:val="13"/>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December 31,</w:t>
            </w:r>
            <w:r>
              <w:rPr/>
              <w:t xml:space="preserve"> </w:t>
            </w:r>
          </w:p>
        </w:tc>
      </w:tr>
      <w:tr>
        <w:trPr/>
        <w:tc>
          <w:tcPr>
            <w:tcW w:w="789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40"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2014</w:t>
            </w:r>
            <w:r>
              <w:rPr/>
              <w:t xml:space="preserve"> </w:t>
            </w:r>
          </w:p>
        </w:tc>
      </w:tr>
      <w:tr>
        <w:trPr/>
        <w:tc>
          <w:tcPr>
            <w:tcW w:w="7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Floating rate notes due 2015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700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5.40% notes due 2016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400 </w:t>
            </w:r>
          </w:p>
        </w:tc>
        <w:tc>
          <w:tcPr>
            <w:tcW w:w="208" w:type="dxa"/>
            <w:gridSpan w:val="2"/>
            <w:tcBorders/>
            <w:shd w:fill="auto" w:val="clear"/>
            <w:vAlign w:val="bottom"/>
          </w:tcPr>
          <w:p>
            <w:pPr>
              <w:pStyle w:val="TableContents"/>
              <w:spacing w:before="0" w:after="283"/>
              <w:rPr/>
            </w:pPr>
            <w:r>
              <w:rPr/>
              <w:t> </w:t>
            </w:r>
          </w:p>
        </w:tc>
      </w:tr>
      <w:tr>
        <w:trPr/>
        <w:tc>
          <w:tcPr>
            <w:tcW w:w="7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5.30% notes due 2017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400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5.30% notes due 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900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900 </w:t>
            </w:r>
          </w:p>
        </w:tc>
        <w:tc>
          <w:tcPr>
            <w:tcW w:w="208" w:type="dxa"/>
            <w:gridSpan w:val="2"/>
            <w:tcBorders/>
            <w:shd w:fill="auto" w:val="clear"/>
            <w:vAlign w:val="bottom"/>
          </w:tcPr>
          <w:p>
            <w:pPr>
              <w:pStyle w:val="TableContents"/>
              <w:spacing w:before="0" w:after="283"/>
              <w:rPr/>
            </w:pPr>
            <w:r>
              <w:rPr/>
              <w:t> </w:t>
            </w:r>
          </w:p>
        </w:tc>
      </w:tr>
      <w:tr>
        <w:trPr/>
        <w:tc>
          <w:tcPr>
            <w:tcW w:w="7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5.00% notes due 2019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900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900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4.25% notes due 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800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800 </w:t>
            </w:r>
          </w:p>
        </w:tc>
        <w:tc>
          <w:tcPr>
            <w:tcW w:w="208" w:type="dxa"/>
            <w:gridSpan w:val="2"/>
            <w:tcBorders/>
            <w:shd w:fill="auto" w:val="clear"/>
            <w:vAlign w:val="bottom"/>
          </w:tcPr>
          <w:p>
            <w:pPr>
              <w:pStyle w:val="TableContents"/>
              <w:spacing w:before="0" w:after="283"/>
              <w:rPr/>
            </w:pPr>
            <w:r>
              <w:rPr/>
              <w:t> </w:t>
            </w:r>
          </w:p>
        </w:tc>
      </w:tr>
      <w:tr>
        <w:trPr/>
        <w:tc>
          <w:tcPr>
            <w:tcW w:w="7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3.35% notes due 2023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300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5.70% notes due 2036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550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550 </w:t>
            </w:r>
          </w:p>
        </w:tc>
        <w:tc>
          <w:tcPr>
            <w:tcW w:w="208" w:type="dxa"/>
            <w:gridSpan w:val="2"/>
            <w:tcBorders/>
            <w:shd w:fill="auto" w:val="clear"/>
            <w:vAlign w:val="bottom"/>
          </w:tcPr>
          <w:p>
            <w:pPr>
              <w:pStyle w:val="TableContents"/>
              <w:spacing w:before="0" w:after="283"/>
              <w:rPr/>
            </w:pPr>
            <w:r>
              <w:rPr/>
              <w:t> </w:t>
            </w:r>
          </w:p>
        </w:tc>
      </w:tr>
      <w:tr>
        <w:trPr/>
        <w:tc>
          <w:tcPr>
            <w:tcW w:w="7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5.70% notes due 2037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600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600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5.375% notes due 2041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600 </w:t>
            </w:r>
          </w:p>
        </w:tc>
        <w:tc>
          <w:tcPr>
            <w:tcW w:w="208" w:type="dxa"/>
            <w:gridSpan w:val="2"/>
            <w:tcBorders/>
            <w:shd w:fill="auto" w:val="clear"/>
            <w:vAlign w:val="bottom"/>
          </w:tcPr>
          <w:p>
            <w:pPr>
              <w:pStyle w:val="TableContents"/>
              <w:spacing w:before="0" w:after="283"/>
              <w:rPr/>
            </w:pPr>
            <w:r>
              <w:rPr/>
              <w:t> </w:t>
            </w:r>
          </w:p>
        </w:tc>
      </w:tr>
      <w:tr>
        <w:trPr/>
        <w:tc>
          <w:tcPr>
            <w:tcW w:w="7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Industrial development bond obligations, floating rate maturing at various dates through 2037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30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6.625% debentures due 2028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216 </w:t>
            </w:r>
          </w:p>
        </w:tc>
        <w:tc>
          <w:tcPr>
            <w:tcW w:w="208" w:type="dxa"/>
            <w:gridSpan w:val="2"/>
            <w:tcBorders/>
            <w:shd w:fill="auto" w:val="clear"/>
            <w:vAlign w:val="bottom"/>
          </w:tcPr>
          <w:p>
            <w:pPr>
              <w:pStyle w:val="TableContents"/>
              <w:spacing w:before="0" w:after="283"/>
              <w:rPr/>
            </w:pPr>
            <w:r>
              <w:rPr/>
              <w:t> </w:t>
            </w:r>
          </w:p>
        </w:tc>
      </w:tr>
      <w:tr>
        <w:trPr/>
        <w:tc>
          <w:tcPr>
            <w:tcW w:w="789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9.065% debentures due 2033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51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(including capitalized leases and debt issuance costs), 0.6%-9.5% maturing at various dates through 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538 </w:t>
            </w:r>
          </w:p>
        </w:tc>
        <w:tc>
          <w:tcPr>
            <w:tcW w:w="208" w:type="dxa"/>
            <w:gridSpan w:val="2"/>
            <w:tcBorders/>
            <w:shd w:fill="auto"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89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6,131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6,985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Less: current portion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(939</w:t>
            </w:r>
          </w:p>
        </w:tc>
        <w:tc>
          <w:tcPr>
            <w:tcW w:w="132"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6" w:type="dxa"/>
            <w:tcBorders/>
            <w:shd w:fill="auto"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89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5,554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6,046 </w:t>
            </w:r>
          </w:p>
        </w:tc>
        <w:tc>
          <w:tcPr>
            <w:tcW w:w="208" w:type="dxa"/>
            <w:gridSpan w:val="2"/>
            <w:tcBorders/>
            <w:shd w:fill="E5FFFF" w:val="clear"/>
            <w:vAlign w:val="bottom"/>
          </w:tcPr>
          <w:p>
            <w:pPr>
              <w:pStyle w:val="TableContents"/>
              <w:spacing w:before="0" w:after="283"/>
              <w:rPr/>
            </w:pPr>
            <w:r>
              <w:rPr/>
              <w:t> </w:t>
            </w:r>
          </w:p>
        </w:tc>
      </w:tr>
      <w:tr>
        <w:trPr/>
        <w:tc>
          <w:tcPr>
            <w:tcW w:w="789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schedule of principal payments on long-term debt is as follows:</w:t>
      </w:r>
    </w:p>
    <w:tbl>
      <w:tblPr>
        <w:tblW w:w="3684" w:type="dxa"/>
        <w:jc w:val="left"/>
        <w:tblInd w:w="0" w:type="dxa"/>
        <w:tblCellMar>
          <w:top w:w="0" w:type="dxa"/>
          <w:left w:w="0" w:type="dxa"/>
          <w:bottom w:w="0" w:type="dxa"/>
          <w:right w:w="0" w:type="dxa"/>
        </w:tblCellMar>
      </w:tblPr>
      <w:tblGrid>
        <w:gridCol w:w="2180"/>
        <w:gridCol w:w="60"/>
        <w:gridCol w:w="73"/>
        <w:gridCol w:w="189"/>
        <w:gridCol w:w="73"/>
        <w:gridCol w:w="829"/>
        <w:gridCol w:w="189"/>
        <w:gridCol w:w="91"/>
      </w:tblGrid>
      <w:tr>
        <w:trPr/>
        <w:tc>
          <w:tcPr>
            <w:tcW w:w="2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4" w:type="dxa"/>
            <w:gridSpan w:val="6"/>
            <w:tcBorders/>
            <w:shd w:fill="auto" w:val="clear"/>
            <w:vAlign w:val="bottom"/>
          </w:tcPr>
          <w:p>
            <w:pPr>
              <w:pStyle w:val="TableContents"/>
              <w:spacing w:before="0" w:after="283"/>
              <w:rPr>
                <w:sz w:val="4"/>
                <w:szCs w:val="4"/>
              </w:rPr>
            </w:pPr>
            <w:r>
              <w:rPr>
                <w:sz w:val="4"/>
                <w:szCs w:val="4"/>
              </w:rPr>
            </w:r>
          </w:p>
        </w:tc>
      </w:tr>
      <w:tr>
        <w:trPr/>
        <w:tc>
          <w:tcPr>
            <w:tcW w:w="218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444"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December 31,</w:t>
              <w:br/>
              <w:t>2015</w:t>
            </w:r>
            <w:r>
              <w:rPr/>
              <w:t xml:space="preserve"> </w:t>
            </w:r>
          </w:p>
        </w:tc>
      </w:tr>
      <w:tr>
        <w:trPr/>
        <w:tc>
          <w:tcPr>
            <w:tcW w:w="21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2016</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18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3" w:type="dxa"/>
            <w:tcBorders/>
            <w:shd w:fill="E5FFFF" w:val="clear"/>
            <w:vAlign w:val="bottom"/>
          </w:tcPr>
          <w:p>
            <w:pPr>
              <w:pStyle w:val="TableContents"/>
              <w:spacing w:before="0" w:after="283"/>
              <w:rPr/>
            </w:pPr>
            <w:r>
              <w:rPr/>
              <w:t> </w:t>
            </w:r>
          </w:p>
        </w:tc>
        <w:tc>
          <w:tcPr>
            <w:tcW w:w="82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577 </w:t>
            </w:r>
          </w:p>
        </w:tc>
        <w:tc>
          <w:tcPr>
            <w:tcW w:w="280" w:type="dxa"/>
            <w:gridSpan w:val="2"/>
            <w:tcBorders/>
            <w:shd w:fill="E5FFFF" w:val="clear"/>
            <w:vAlign w:val="bottom"/>
          </w:tcPr>
          <w:p>
            <w:pPr>
              <w:pStyle w:val="TableContents"/>
              <w:spacing w:before="0" w:after="283"/>
              <w:rPr/>
            </w:pPr>
            <w:r>
              <w:rPr/>
              <w:t> </w:t>
            </w:r>
          </w:p>
        </w:tc>
      </w:tr>
      <w:tr>
        <w:trPr/>
        <w:tc>
          <w:tcPr>
            <w:tcW w:w="21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2017</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262" w:type="dxa"/>
            <w:gridSpan w:val="2"/>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490 </w:t>
            </w:r>
          </w:p>
        </w:tc>
        <w:tc>
          <w:tcPr>
            <w:tcW w:w="280" w:type="dxa"/>
            <w:gridSpan w:val="2"/>
            <w:tcBorders/>
            <w:shd w:fill="auto" w:val="clear"/>
            <w:vAlign w:val="bottom"/>
          </w:tcPr>
          <w:p>
            <w:pPr>
              <w:pStyle w:val="TableContents"/>
              <w:spacing w:before="0" w:after="283"/>
              <w:rPr/>
            </w:pPr>
            <w:r>
              <w:rPr/>
              <w:t> </w:t>
            </w:r>
          </w:p>
        </w:tc>
      </w:tr>
      <w:tr>
        <w:trPr/>
        <w:tc>
          <w:tcPr>
            <w:tcW w:w="21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2018</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262" w:type="dxa"/>
            <w:gridSpan w:val="2"/>
            <w:tcBorders/>
            <w:shd w:fill="E5FFFF" w:val="clear"/>
            <w:vAlign w:val="bottom"/>
          </w:tcPr>
          <w:p>
            <w:pPr>
              <w:pStyle w:val="TableContents"/>
              <w:spacing w:before="0" w:after="283"/>
              <w:rPr/>
            </w:pPr>
            <w:r>
              <w:rPr/>
              <w:t> </w:t>
            </w:r>
          </w:p>
        </w:tc>
        <w:tc>
          <w:tcPr>
            <w:tcW w:w="82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910 </w:t>
            </w:r>
          </w:p>
        </w:tc>
        <w:tc>
          <w:tcPr>
            <w:tcW w:w="280" w:type="dxa"/>
            <w:gridSpan w:val="2"/>
            <w:tcBorders/>
            <w:shd w:fill="E5FFFF" w:val="clear"/>
            <w:vAlign w:val="bottom"/>
          </w:tcPr>
          <w:p>
            <w:pPr>
              <w:pStyle w:val="TableContents"/>
              <w:spacing w:before="0" w:after="283"/>
              <w:rPr/>
            </w:pPr>
            <w:r>
              <w:rPr/>
              <w:t> </w:t>
            </w:r>
          </w:p>
        </w:tc>
      </w:tr>
      <w:tr>
        <w:trPr/>
        <w:tc>
          <w:tcPr>
            <w:tcW w:w="21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2019</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262" w:type="dxa"/>
            <w:gridSpan w:val="2"/>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902 </w:t>
            </w:r>
          </w:p>
        </w:tc>
        <w:tc>
          <w:tcPr>
            <w:tcW w:w="280" w:type="dxa"/>
            <w:gridSpan w:val="2"/>
            <w:tcBorders/>
            <w:shd w:fill="auto" w:val="clear"/>
            <w:vAlign w:val="bottom"/>
          </w:tcPr>
          <w:p>
            <w:pPr>
              <w:pStyle w:val="TableContents"/>
              <w:spacing w:before="0" w:after="283"/>
              <w:rPr/>
            </w:pPr>
            <w:r>
              <w:rPr/>
              <w:t> </w:t>
            </w:r>
          </w:p>
        </w:tc>
      </w:tr>
      <w:tr>
        <w:trPr/>
        <w:tc>
          <w:tcPr>
            <w:tcW w:w="21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2020</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262" w:type="dxa"/>
            <w:gridSpan w:val="2"/>
            <w:tcBorders/>
            <w:shd w:fill="E5FFFF" w:val="clear"/>
            <w:vAlign w:val="bottom"/>
          </w:tcPr>
          <w:p>
            <w:pPr>
              <w:pStyle w:val="TableContents"/>
              <w:spacing w:before="0" w:after="283"/>
              <w:rPr/>
            </w:pPr>
            <w:r>
              <w:rPr/>
              <w:t> </w:t>
            </w:r>
          </w:p>
        </w:tc>
        <w:tc>
          <w:tcPr>
            <w:tcW w:w="82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2 </w:t>
            </w:r>
          </w:p>
        </w:tc>
        <w:tc>
          <w:tcPr>
            <w:tcW w:w="280" w:type="dxa"/>
            <w:gridSpan w:val="2"/>
            <w:tcBorders/>
            <w:shd w:fill="E5FFFF" w:val="clear"/>
            <w:vAlign w:val="bottom"/>
          </w:tcPr>
          <w:p>
            <w:pPr>
              <w:pStyle w:val="TableContents"/>
              <w:spacing w:before="0" w:after="283"/>
              <w:rPr/>
            </w:pPr>
            <w:r>
              <w:rPr/>
              <w:t> </w:t>
            </w:r>
          </w:p>
        </w:tc>
      </w:tr>
      <w:tr>
        <w:trPr/>
        <w:tc>
          <w:tcPr>
            <w:tcW w:w="21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Thereafter</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262" w:type="dxa"/>
            <w:gridSpan w:val="2"/>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3,250 </w:t>
            </w:r>
          </w:p>
        </w:tc>
        <w:tc>
          <w:tcPr>
            <w:tcW w:w="280" w:type="dxa"/>
            <w:gridSpan w:val="2"/>
            <w:tcBorders/>
            <w:shd w:fill="auto" w:val="clear"/>
            <w:vAlign w:val="bottom"/>
          </w:tcPr>
          <w:p>
            <w:pPr>
              <w:pStyle w:val="TableContents"/>
              <w:spacing w:before="0" w:after="283"/>
              <w:rPr/>
            </w:pPr>
            <w:r>
              <w:rPr/>
              <w:t> </w:t>
            </w:r>
          </w:p>
        </w:tc>
      </w:tr>
      <w:tr>
        <w:trPr/>
        <w:tc>
          <w:tcPr>
            <w:tcW w:w="21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44"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218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262" w:type="dxa"/>
            <w:gridSpan w:val="2"/>
            <w:tcBorders/>
            <w:shd w:fill="E5FFFF" w:val="clear"/>
            <w:vAlign w:val="bottom"/>
          </w:tcPr>
          <w:p>
            <w:pPr>
              <w:pStyle w:val="TableContents"/>
              <w:spacing w:before="0" w:after="283"/>
              <w:rPr/>
            </w:pPr>
            <w:r>
              <w:rPr/>
              <w:t> </w:t>
            </w:r>
          </w:p>
        </w:tc>
        <w:tc>
          <w:tcPr>
            <w:tcW w:w="82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6,131 </w:t>
            </w:r>
          </w:p>
        </w:tc>
        <w:tc>
          <w:tcPr>
            <w:tcW w:w="280" w:type="dxa"/>
            <w:gridSpan w:val="2"/>
            <w:tcBorders/>
            <w:shd w:fill="E5FFFF" w:val="clear"/>
            <w:vAlign w:val="bottom"/>
          </w:tcPr>
          <w:p>
            <w:pPr>
              <w:pStyle w:val="TableContents"/>
              <w:spacing w:before="0" w:after="283"/>
              <w:rPr/>
            </w:pPr>
            <w:r>
              <w:rPr/>
              <w:t> </w:t>
            </w:r>
          </w:p>
        </w:tc>
      </w:tr>
      <w:tr>
        <w:trPr/>
        <w:tc>
          <w:tcPr>
            <w:tcW w:w="21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Less-current portion</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262" w:type="dxa"/>
            <w:gridSpan w:val="2"/>
            <w:tcBorders/>
            <w:shd w:fill="auto" w:val="clear"/>
            <w:vAlign w:val="bottom"/>
          </w:tcPr>
          <w:p>
            <w:pPr>
              <w:pStyle w:val="TableContents"/>
              <w:spacing w:before="0" w:after="283"/>
              <w:rPr/>
            </w:pPr>
            <w:r>
              <w:rPr/>
              <w:t> </w:t>
            </w:r>
          </w:p>
        </w:tc>
        <w:tc>
          <w:tcPr>
            <w:tcW w:w="82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(577</w:t>
            </w:r>
          </w:p>
        </w:tc>
        <w:tc>
          <w:tcPr>
            <w:tcW w:w="189"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91" w:type="dxa"/>
            <w:tcBorders/>
            <w:shd w:fill="auto" w:val="clear"/>
            <w:vAlign w:val="bottom"/>
          </w:tcPr>
          <w:p>
            <w:pPr>
              <w:pStyle w:val="TableContents"/>
              <w:spacing w:before="0" w:after="283"/>
              <w:rPr/>
            </w:pPr>
            <w:r>
              <w:rPr/>
              <w:t> </w:t>
            </w:r>
          </w:p>
        </w:tc>
      </w:tr>
      <w:tr>
        <w:trPr/>
        <w:tc>
          <w:tcPr>
            <w:tcW w:w="21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44"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218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18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3" w:type="dxa"/>
            <w:tcBorders/>
            <w:shd w:fill="E5FFFF" w:val="clear"/>
            <w:vAlign w:val="bottom"/>
          </w:tcPr>
          <w:p>
            <w:pPr>
              <w:pStyle w:val="TableContents"/>
              <w:spacing w:before="0" w:after="283"/>
              <w:rPr/>
            </w:pPr>
            <w:r>
              <w:rPr/>
              <w:t> </w:t>
            </w:r>
          </w:p>
        </w:tc>
        <w:tc>
          <w:tcPr>
            <w:tcW w:w="82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5,554 </w:t>
            </w:r>
          </w:p>
        </w:tc>
        <w:tc>
          <w:tcPr>
            <w:tcW w:w="280" w:type="dxa"/>
            <w:gridSpan w:val="2"/>
            <w:tcBorders/>
            <w:shd w:fill="E5FFFF" w:val="clear"/>
            <w:vAlign w:val="bottom"/>
          </w:tcPr>
          <w:p>
            <w:pPr>
              <w:pStyle w:val="TableContents"/>
              <w:spacing w:before="0" w:after="283"/>
              <w:rPr/>
            </w:pPr>
            <w:r>
              <w:rPr/>
              <w:t> </w:t>
            </w:r>
          </w:p>
        </w:tc>
      </w:tr>
      <w:tr>
        <w:trPr/>
        <w:tc>
          <w:tcPr>
            <w:tcW w:w="21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44"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On July 10, 2015, the Company entered into a $4 billion Amended and Restated Five Year Credit Agreement (Credit Agreement) with a syndicate of banks. Commitments under the Credit Agreement can be increased pursuant to the terms of the Credit Agreement to an aggregate amount not to exceed $4.5 billion. The Credit Agreement amends and restates the previous $4 billion five year credit agreement with substantially the same material terms and conditions. A full description of the Credit Agreement can be found in the Companys Current Report on Form 8-K, dated July 10, 2015.</w:t>
      </w:r>
    </w:p>
    <w:p>
      <w:pPr>
        <w:pStyle w:val="TextBody"/>
        <w:spacing w:before="119" w:after="119"/>
        <w:ind w:left="119" w:right="119" w:firstLine="397"/>
        <w:jc w:val="both"/>
        <w:rPr>
          <w:rFonts w:ascii="sans-serif" w:hAnsi="sans-serif"/>
          <w:sz w:val="22"/>
        </w:rPr>
      </w:pPr>
      <w:r>
        <w:rPr>
          <w:rFonts w:ascii="sans-serif" w:hAnsi="sans-serif"/>
          <w:sz w:val="22"/>
        </w:rPr>
        <w:t>On September 30, 2015, the Company entered into a $3 billion 364-Day Credit Agreement (364-Day Credit Agreement) with a syndicate of banks. The 364-Day Credit Agreement is maintained for general corporate purposes including the Elster acquisition. A full description of the 364-Day Credit Agreement can be found in the Companys Current Report on Form 8-K, dated October 1, 2015.</w:t>
      </w:r>
    </w:p>
    <w:p>
      <w:pPr>
        <w:pStyle w:val="TextBody"/>
        <w:spacing w:before="119" w:after="119"/>
        <w:ind w:left="119" w:right="119" w:hanging="0"/>
        <w:jc w:val="center"/>
        <w:rPr>
          <w:rFonts w:ascii="sans-serif" w:hAnsi="sans-serif"/>
          <w:sz w:val="22"/>
        </w:rPr>
      </w:pPr>
      <w:r>
        <w:rPr>
          <w:rFonts w:ascii="sans-serif" w:hAnsi="sans-serif"/>
          <w:sz w:val="22"/>
        </w:rPr>
        <w:t>50</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13. Lease Commitments</w:t>
      </w:r>
    </w:p>
    <w:p>
      <w:pPr>
        <w:pStyle w:val="TextBody"/>
        <w:spacing w:before="119" w:after="119"/>
        <w:ind w:left="119" w:right="119" w:firstLine="397"/>
        <w:jc w:val="both"/>
        <w:rPr>
          <w:rFonts w:ascii="sans-serif" w:hAnsi="sans-serif"/>
          <w:sz w:val="22"/>
        </w:rPr>
      </w:pPr>
      <w:r>
        <w:rPr>
          <w:rFonts w:ascii="sans-serif" w:hAnsi="sans-serif"/>
          <w:sz w:val="22"/>
        </w:rPr>
        <w:t>Future minimum lease payments under operating leases having initial or remaining noncancellable lease terms in excess of one year are as follows:</w:t>
      </w:r>
    </w:p>
    <w:tbl>
      <w:tblPr>
        <w:tblW w:w="2990" w:type="dxa"/>
        <w:jc w:val="left"/>
        <w:tblInd w:w="0" w:type="dxa"/>
        <w:tblCellMar>
          <w:top w:w="0" w:type="dxa"/>
          <w:left w:w="0" w:type="dxa"/>
          <w:bottom w:w="0" w:type="dxa"/>
          <w:right w:w="0" w:type="dxa"/>
        </w:tblCellMar>
      </w:tblPr>
      <w:tblGrid>
        <w:gridCol w:w="1175"/>
        <w:gridCol w:w="60"/>
        <w:gridCol w:w="111"/>
        <w:gridCol w:w="291"/>
        <w:gridCol w:w="111"/>
        <w:gridCol w:w="1167"/>
        <w:gridCol w:w="75"/>
      </w:tblGrid>
      <w:tr>
        <w:trPr/>
        <w:tc>
          <w:tcPr>
            <w:tcW w:w="1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5" w:type="dxa"/>
            <w:gridSpan w:val="5"/>
            <w:tcBorders/>
            <w:shd w:fill="auto" w:val="clear"/>
            <w:vAlign w:val="bottom"/>
          </w:tcPr>
          <w:p>
            <w:pPr>
              <w:pStyle w:val="TableContents"/>
              <w:spacing w:before="0" w:after="283"/>
              <w:rPr>
                <w:sz w:val="4"/>
                <w:szCs w:val="4"/>
              </w:rPr>
            </w:pPr>
            <w:r>
              <w:rPr>
                <w:sz w:val="4"/>
                <w:szCs w:val="4"/>
              </w:rPr>
            </w:r>
          </w:p>
        </w:tc>
      </w:tr>
      <w:tr>
        <w:trPr/>
        <w:tc>
          <w:tcPr>
            <w:tcW w:w="117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755"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At December 31,</w:t>
              <w:br/>
              <w:t>2015</w:t>
            </w:r>
            <w:r>
              <w:rPr/>
              <w:t xml:space="preserve"> </w:t>
            </w:r>
          </w:p>
        </w:tc>
      </w:tr>
      <w:tr>
        <w:trPr/>
        <w:tc>
          <w:tcPr>
            <w:tcW w:w="117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2016</w:t>
            </w:r>
          </w:p>
        </w:tc>
        <w:tc>
          <w:tcPr>
            <w:tcW w:w="60" w:type="dxa"/>
            <w:tcBorders/>
            <w:shd w:fill="E5FFFF" w:val="clear"/>
            <w:vAlign w:val="bottom"/>
          </w:tcPr>
          <w:p>
            <w:pPr>
              <w:pStyle w:val="TableContents"/>
              <w:spacing w:before="0" w:after="283"/>
              <w:rPr/>
            </w:pPr>
            <w:r>
              <w:rPr/>
              <w:t> </w:t>
            </w:r>
          </w:p>
        </w:tc>
        <w:tc>
          <w:tcPr>
            <w:tcW w:w="111" w:type="dxa"/>
            <w:tcBorders/>
            <w:shd w:fill="E5FFFF" w:val="clear"/>
            <w:vAlign w:val="bottom"/>
          </w:tcPr>
          <w:p>
            <w:pPr>
              <w:pStyle w:val="TableContents"/>
              <w:spacing w:before="0" w:after="283"/>
              <w:rPr/>
            </w:pPr>
            <w:r>
              <w:rPr/>
              <w:t> </w:t>
            </w:r>
          </w:p>
        </w:tc>
        <w:tc>
          <w:tcPr>
            <w:tcW w:w="291"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E5FFFF" w:val="clear"/>
            <w:vAlign w:val="bottom"/>
          </w:tcPr>
          <w:p>
            <w:pPr>
              <w:pStyle w:val="TableContents"/>
              <w:spacing w:before="0" w:after="283"/>
              <w:rPr/>
            </w:pPr>
            <w:r>
              <w:rPr/>
              <w:t> </w:t>
            </w:r>
          </w:p>
        </w:tc>
        <w:tc>
          <w:tcPr>
            <w:tcW w:w="116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316 </w:t>
            </w:r>
          </w:p>
        </w:tc>
        <w:tc>
          <w:tcPr>
            <w:tcW w:w="75" w:type="dxa"/>
            <w:tcBorders/>
            <w:shd w:fill="E5FFFF"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2017</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2" w:type="dxa"/>
            <w:gridSpan w:val="2"/>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249 </w:t>
            </w:r>
          </w:p>
        </w:tc>
        <w:tc>
          <w:tcPr>
            <w:tcW w:w="75" w:type="dxa"/>
            <w:tcBorders/>
            <w:shd w:fill="auto" w:val="clear"/>
            <w:vAlign w:val="bottom"/>
          </w:tcPr>
          <w:p>
            <w:pPr>
              <w:pStyle w:val="TableContents"/>
              <w:spacing w:before="0" w:after="283"/>
              <w:rPr/>
            </w:pPr>
            <w:r>
              <w:rPr/>
              <w:t> </w:t>
            </w:r>
          </w:p>
        </w:tc>
      </w:tr>
      <w:tr>
        <w:trPr/>
        <w:tc>
          <w:tcPr>
            <w:tcW w:w="117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2018</w:t>
            </w:r>
          </w:p>
        </w:tc>
        <w:tc>
          <w:tcPr>
            <w:tcW w:w="60" w:type="dxa"/>
            <w:tcBorders/>
            <w:shd w:fill="E5FFFF" w:val="clear"/>
            <w:vAlign w:val="bottom"/>
          </w:tcPr>
          <w:p>
            <w:pPr>
              <w:pStyle w:val="TableContents"/>
              <w:spacing w:before="0" w:after="283"/>
              <w:rPr/>
            </w:pPr>
            <w:r>
              <w:rPr/>
              <w:t> </w:t>
            </w:r>
          </w:p>
        </w:tc>
        <w:tc>
          <w:tcPr>
            <w:tcW w:w="111" w:type="dxa"/>
            <w:tcBorders/>
            <w:shd w:fill="E5FFFF" w:val="clear"/>
            <w:vAlign w:val="bottom"/>
          </w:tcPr>
          <w:p>
            <w:pPr>
              <w:pStyle w:val="TableContents"/>
              <w:spacing w:before="0" w:after="283"/>
              <w:rPr/>
            </w:pPr>
            <w:r>
              <w:rPr/>
              <w:t> </w:t>
            </w:r>
          </w:p>
        </w:tc>
        <w:tc>
          <w:tcPr>
            <w:tcW w:w="402" w:type="dxa"/>
            <w:gridSpan w:val="2"/>
            <w:tcBorders/>
            <w:shd w:fill="E5FFFF" w:val="clear"/>
            <w:vAlign w:val="bottom"/>
          </w:tcPr>
          <w:p>
            <w:pPr>
              <w:pStyle w:val="TableContents"/>
              <w:spacing w:before="0" w:after="283"/>
              <w:rPr/>
            </w:pPr>
            <w:r>
              <w:rPr/>
              <w:t> </w:t>
            </w:r>
          </w:p>
        </w:tc>
        <w:tc>
          <w:tcPr>
            <w:tcW w:w="116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172 </w:t>
            </w:r>
          </w:p>
        </w:tc>
        <w:tc>
          <w:tcPr>
            <w:tcW w:w="75" w:type="dxa"/>
            <w:tcBorders/>
            <w:shd w:fill="E5FFFF"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2019</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2" w:type="dxa"/>
            <w:gridSpan w:val="2"/>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114 </w:t>
            </w:r>
          </w:p>
        </w:tc>
        <w:tc>
          <w:tcPr>
            <w:tcW w:w="75" w:type="dxa"/>
            <w:tcBorders/>
            <w:shd w:fill="auto" w:val="clear"/>
            <w:vAlign w:val="bottom"/>
          </w:tcPr>
          <w:p>
            <w:pPr>
              <w:pStyle w:val="TableContents"/>
              <w:spacing w:before="0" w:after="283"/>
              <w:rPr/>
            </w:pPr>
            <w:r>
              <w:rPr/>
              <w:t> </w:t>
            </w:r>
          </w:p>
        </w:tc>
      </w:tr>
      <w:tr>
        <w:trPr/>
        <w:tc>
          <w:tcPr>
            <w:tcW w:w="117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2020</w:t>
            </w:r>
          </w:p>
        </w:tc>
        <w:tc>
          <w:tcPr>
            <w:tcW w:w="60" w:type="dxa"/>
            <w:tcBorders/>
            <w:shd w:fill="E5FFFF" w:val="clear"/>
            <w:vAlign w:val="bottom"/>
          </w:tcPr>
          <w:p>
            <w:pPr>
              <w:pStyle w:val="TableContents"/>
              <w:spacing w:before="0" w:after="283"/>
              <w:rPr/>
            </w:pPr>
            <w:r>
              <w:rPr/>
              <w:t> </w:t>
            </w:r>
          </w:p>
        </w:tc>
        <w:tc>
          <w:tcPr>
            <w:tcW w:w="111" w:type="dxa"/>
            <w:tcBorders/>
            <w:shd w:fill="E5FFFF" w:val="clear"/>
            <w:vAlign w:val="bottom"/>
          </w:tcPr>
          <w:p>
            <w:pPr>
              <w:pStyle w:val="TableContents"/>
              <w:spacing w:before="0" w:after="283"/>
              <w:rPr/>
            </w:pPr>
            <w:r>
              <w:rPr/>
              <w:t> </w:t>
            </w:r>
          </w:p>
        </w:tc>
        <w:tc>
          <w:tcPr>
            <w:tcW w:w="402" w:type="dxa"/>
            <w:gridSpan w:val="2"/>
            <w:tcBorders/>
            <w:shd w:fill="E5FFFF" w:val="clear"/>
            <w:vAlign w:val="bottom"/>
          </w:tcPr>
          <w:p>
            <w:pPr>
              <w:pStyle w:val="TableContents"/>
              <w:spacing w:before="0" w:after="283"/>
              <w:rPr/>
            </w:pPr>
            <w:r>
              <w:rPr/>
              <w:t> </w:t>
            </w:r>
          </w:p>
        </w:tc>
        <w:tc>
          <w:tcPr>
            <w:tcW w:w="116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77 </w:t>
            </w:r>
          </w:p>
        </w:tc>
        <w:tc>
          <w:tcPr>
            <w:tcW w:w="75" w:type="dxa"/>
            <w:tcBorders/>
            <w:shd w:fill="E5FFFF"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Thereafter</w:t>
            </w:r>
          </w:p>
        </w:tc>
        <w:tc>
          <w:tcPr>
            <w:tcW w:w="60"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2" w:type="dxa"/>
            <w:gridSpan w:val="2"/>
            <w:tcBorders/>
            <w:shd w:fill="auto" w:val="clear"/>
            <w:vAlign w:val="bottom"/>
          </w:tcPr>
          <w:p>
            <w:pPr>
              <w:pStyle w:val="TableContents"/>
              <w:spacing w:before="0" w:after="283"/>
              <w:rPr/>
            </w:pPr>
            <w:r>
              <w:rPr/>
              <w:t> </w:t>
            </w:r>
          </w:p>
        </w:tc>
        <w:tc>
          <w:tcPr>
            <w:tcW w:w="116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273 </w:t>
            </w:r>
          </w:p>
        </w:tc>
        <w:tc>
          <w:tcPr>
            <w:tcW w:w="75" w:type="dxa"/>
            <w:tcBorders/>
            <w:shd w:fill="auto"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755"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117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111" w:type="dxa"/>
            <w:tcBorders/>
            <w:shd w:fill="E5FFFF" w:val="clear"/>
            <w:vAlign w:val="bottom"/>
          </w:tcPr>
          <w:p>
            <w:pPr>
              <w:pStyle w:val="TableContents"/>
              <w:spacing w:before="0" w:after="283"/>
              <w:rPr/>
            </w:pPr>
            <w:r>
              <w:rPr/>
              <w:t> </w:t>
            </w:r>
          </w:p>
        </w:tc>
        <w:tc>
          <w:tcPr>
            <w:tcW w:w="291"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11" w:type="dxa"/>
            <w:tcBorders/>
            <w:shd w:fill="E5FFFF" w:val="clear"/>
            <w:vAlign w:val="bottom"/>
          </w:tcPr>
          <w:p>
            <w:pPr>
              <w:pStyle w:val="TableContents"/>
              <w:spacing w:before="0" w:after="283"/>
              <w:rPr/>
            </w:pPr>
            <w:r>
              <w:rPr/>
              <w:t> </w:t>
            </w:r>
          </w:p>
        </w:tc>
        <w:tc>
          <w:tcPr>
            <w:tcW w:w="116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1,201 </w:t>
            </w:r>
          </w:p>
        </w:tc>
        <w:tc>
          <w:tcPr>
            <w:tcW w:w="75" w:type="dxa"/>
            <w:tcBorders/>
            <w:shd w:fill="E5FFFF" w:val="clear"/>
            <w:vAlign w:val="bottom"/>
          </w:tcPr>
          <w:p>
            <w:pPr>
              <w:pStyle w:val="TableContents"/>
              <w:spacing w:before="0" w:after="283"/>
              <w:rPr/>
            </w:pPr>
            <w:r>
              <w:rPr/>
              <w:t> </w:t>
            </w:r>
          </w:p>
        </w:tc>
      </w:tr>
      <w:tr>
        <w:trPr/>
        <w:tc>
          <w:tcPr>
            <w:tcW w:w="117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755"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Rent expense was $390 million, $420 million and $404 million in 2015, 2014 and 2013.</w:t>
      </w:r>
    </w:p>
    <w:p>
      <w:pPr>
        <w:pStyle w:val="TextBody"/>
        <w:spacing w:before="357" w:after="357"/>
        <w:ind w:left="357" w:right="357" w:hanging="0"/>
        <w:rPr>
          <w:rFonts w:ascii="sans-serif" w:hAnsi="sans-serif"/>
          <w:b/>
          <w:sz w:val="22"/>
        </w:rPr>
      </w:pPr>
      <w:r>
        <w:rPr>
          <w:rFonts w:ascii="sans-serif" w:hAnsi="sans-serif"/>
          <w:b/>
          <w:sz w:val="22"/>
        </w:rPr>
        <w:t>Note 14. Financial Instruments and Fair Value Measures</w:t>
      </w:r>
    </w:p>
    <w:p>
      <w:pPr>
        <w:pStyle w:val="TextBody"/>
        <w:spacing w:before="119" w:after="119"/>
        <w:ind w:left="119" w:right="119" w:firstLine="397"/>
        <w:jc w:val="both"/>
        <w:rPr>
          <w:rFonts w:ascii="sans-serif" w:hAnsi="sans-serif"/>
          <w:sz w:val="22"/>
        </w:rPr>
      </w:pPr>
      <w:r>
        <w:rPr>
          <w:rFonts w:ascii="sans-serif" w:hAnsi="sans-serif"/>
          <w:b/>
          <w:i/>
          <w:sz w:val="22"/>
        </w:rPr>
        <w:t>Credit and Market Risk</w:t>
      </w:r>
      <w:r>
        <w:rPr>
          <w:rFonts w:ascii="sans-serif" w:hAnsi="sans-serif"/>
          <w:sz w:val="22"/>
        </w:rPr>
        <w:t>Financial instruments, including derivatives, expose us to counterparty credit risk for nonperformance and to market risk related to changes in interest and currency exchange rates and commodity prices.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and currency exchange rates and restrict the use of derivative financial instruments to hedging activities.</w:t>
      </w:r>
    </w:p>
    <w:p>
      <w:pPr>
        <w:pStyle w:val="TextBody"/>
        <w:spacing w:before="119" w:after="119"/>
        <w:ind w:left="119" w:right="119" w:firstLine="397"/>
        <w:jc w:val="both"/>
        <w:rPr>
          <w:rFonts w:ascii="sans-serif" w:hAnsi="sans-serif"/>
          <w:sz w:val="22"/>
        </w:rPr>
      </w:pPr>
      <w:r>
        <w:rPr>
          <w:rFonts w:ascii="sans-serif" w:hAnsi="sans-serif"/>
          <w:sz w:val="22"/>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pStyle w:val="TextBody"/>
        <w:spacing w:before="119" w:after="119"/>
        <w:ind w:left="119" w:right="119" w:firstLine="397"/>
        <w:jc w:val="both"/>
        <w:rPr>
          <w:rFonts w:ascii="sans-serif" w:hAnsi="sans-serif"/>
          <w:sz w:val="22"/>
        </w:rPr>
      </w:pPr>
      <w:r>
        <w:rPr>
          <w:rFonts w:ascii="sans-serif" w:hAnsi="sans-serif"/>
          <w:b/>
          <w:i/>
          <w:sz w:val="22"/>
        </w:rPr>
        <w:t>Foreign Currency Risk Management</w:t>
      </w:r>
      <w:r>
        <w:rPr>
          <w:rFonts w:ascii="sans-serif" w:hAnsi="sans-serif"/>
          <w:sz w:val="22"/>
        </w:rPr>
        <w:t>We conduct our business on a multinational basis in a wide variety of foreign currencies. Our exposure to market risk for changes in foreign currency exchange rates arises from international financing activities between subsidiaries, foreign currency denominated monetary assets and liabilities and transactions arising from international trade. Our primary objective is to preserve the U.S. Dollar value of foreign currency denominated cash flows and earnings. We attempt to hedge currency exposures with natural offsets to the fullest extent possible and, once these opportunities have been exhausted, through foreign currency exchange forward and option contracts with third parties.</w:t>
      </w:r>
    </w:p>
    <w:p>
      <w:pPr>
        <w:pStyle w:val="TextBody"/>
        <w:spacing w:before="119" w:after="119"/>
        <w:ind w:left="119" w:right="119" w:firstLine="397"/>
        <w:jc w:val="both"/>
        <w:rPr>
          <w:rFonts w:ascii="sans-serif" w:hAnsi="sans-serif"/>
          <w:sz w:val="22"/>
        </w:rPr>
      </w:pPr>
      <w:r>
        <w:rPr>
          <w:rFonts w:ascii="sans-serif" w:hAnsi="sans-serif"/>
          <w:sz w:val="22"/>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partially hedge forecasted sales and purchases, which predominantly occur in the next twelve months and are denominated in non-functional currencies, with currency forward contracts. Changes in the forecasted non-functional currency cash flows due to movements in exchange rates are substantially offset by changes in the fair value of the currency forward contracts designated as hedges. Market value gains and losses on these contracts are recognized in earnings when the hedged transaction is recognized. Open foreign currency exchange forward contracts mature predominantly in the next twelve months. At December 31, 2015 and 2014, we had contracts with notional amounts of $10,538 million and $7,291 million to exchange foreign</w:t>
      </w:r>
    </w:p>
    <w:p>
      <w:pPr>
        <w:pStyle w:val="TextBody"/>
        <w:spacing w:before="119" w:after="119"/>
        <w:ind w:left="119" w:right="119" w:hanging="0"/>
        <w:jc w:val="center"/>
        <w:rPr>
          <w:rFonts w:ascii="sans-serif" w:hAnsi="sans-serif"/>
          <w:sz w:val="22"/>
        </w:rPr>
      </w:pPr>
      <w:r>
        <w:rPr>
          <w:rFonts w:ascii="sans-serif" w:hAnsi="sans-serif"/>
          <w:sz w:val="22"/>
        </w:rPr>
        <w:t>51</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currencies, principally the U.S. Dollar, Euro, British Pound, Chinese Renminbi, Indian Rupee, Mexican Peso, Canadian Dollar, U.A.E. Dirham and Singapore Dollar.</w:t>
      </w:r>
    </w:p>
    <w:p>
      <w:pPr>
        <w:pStyle w:val="TextBody"/>
        <w:spacing w:before="119" w:after="119"/>
        <w:ind w:left="119" w:right="119" w:firstLine="397"/>
        <w:jc w:val="both"/>
        <w:rPr>
          <w:rFonts w:ascii="sans-serif" w:hAnsi="sans-serif"/>
          <w:sz w:val="22"/>
        </w:rPr>
      </w:pPr>
      <w:r>
        <w:rPr>
          <w:rFonts w:ascii="sans-serif" w:hAnsi="sans-serif"/>
          <w:sz w:val="22"/>
        </w:rPr>
        <w:t>We have also designated foreign currency debt as hedges against portions of our net investment in foreign operations during the year ended December 31, 2015. Gains or losses on the effective portion of the foreign currency debt designated as a net investment hedge are recorded in the same manner as foreign currency translation adjustments. The Company did not have ineffectiveness related to net investment hedges during the year ended December 31, 2015.</w:t>
      </w:r>
    </w:p>
    <w:p>
      <w:pPr>
        <w:pStyle w:val="TextBody"/>
        <w:spacing w:before="119" w:after="119"/>
        <w:ind w:left="119" w:right="119" w:firstLine="397"/>
        <w:jc w:val="both"/>
        <w:rPr>
          <w:rFonts w:ascii="sans-serif" w:hAnsi="sans-serif"/>
          <w:sz w:val="22"/>
        </w:rPr>
      </w:pPr>
      <w:r>
        <w:rPr>
          <w:rFonts w:ascii="sans-serif" w:hAnsi="sans-serif"/>
          <w:b/>
          <w:i/>
          <w:sz w:val="22"/>
        </w:rPr>
        <w:t>Interest Rate Risk Management</w:t>
      </w:r>
      <w:r>
        <w:rPr>
          <w:rFonts w:ascii="sans-serif" w:hAnsi="sans-serif"/>
          <w:sz w:val="22"/>
        </w:rPr>
        <w:t>We use a combination of financial instruments, including long-term, medium-term and short-term financing, variable-rate commercial paper, and interest rate swaps to manage the interest rate mix of our total debt portfolio and related overall cost of borrowing. At December 31, 2015 and 2014, interest rate swap agreements designated as fair value hedges effectively changed $1,100 million of fixed rate debt at rate of 4.00 to LIBOR based floating rate debt. Our interest rate swaps mature at various dates through 2023.</w:t>
      </w:r>
    </w:p>
    <w:p>
      <w:pPr>
        <w:pStyle w:val="TextBody"/>
        <w:spacing w:before="119" w:after="119"/>
        <w:ind w:left="119" w:right="119" w:firstLine="397"/>
        <w:jc w:val="both"/>
        <w:rPr>
          <w:rFonts w:ascii="sans-serif" w:hAnsi="sans-serif"/>
          <w:sz w:val="22"/>
        </w:rPr>
      </w:pPr>
      <w:r>
        <w:rPr>
          <w:rFonts w:ascii="sans-serif" w:hAnsi="sans-serif"/>
          <w:b/>
          <w:i/>
          <w:sz w:val="22"/>
        </w:rPr>
        <w:t>Fair Value of Financial Instruments</w:t>
      </w:r>
      <w:r>
        <w:rPr>
          <w:rFonts w:ascii="sans-serif" w:hAnsi="sans-serif"/>
          <w:sz w:val="22"/>
        </w:rPr>
        <w:t>The FASBs accounting guidance defines fair value as the price that would be received to sell an asset or paid to transfer a liability in an orderly transaction between market participants at the measurement date (exit price).</w:t>
      </w:r>
    </w:p>
    <w:p>
      <w:pPr>
        <w:pStyle w:val="TextBody"/>
        <w:spacing w:before="119" w:after="119"/>
        <w:ind w:left="119" w:right="119" w:firstLine="397"/>
        <w:jc w:val="both"/>
        <w:rPr>
          <w:rFonts w:ascii="sans-serif" w:hAnsi="sans-serif"/>
          <w:sz w:val="22"/>
        </w:rPr>
      </w:pPr>
      <w:r>
        <w:rPr>
          <w:rFonts w:ascii="sans-serif" w:hAnsi="sans-serif"/>
          <w:sz w:val="22"/>
        </w:rPr>
        <w:t>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2015 and 2014:</w:t>
      </w:r>
    </w:p>
    <w:tbl>
      <w:tblPr>
        <w:tblW w:w="6115" w:type="dxa"/>
        <w:jc w:val="left"/>
        <w:tblInd w:w="0" w:type="dxa"/>
        <w:tblCellMar>
          <w:top w:w="0" w:type="dxa"/>
          <w:left w:w="0" w:type="dxa"/>
          <w:bottom w:w="0" w:type="dxa"/>
          <w:right w:w="0" w:type="dxa"/>
        </w:tblCellMar>
      </w:tblPr>
      <w:tblGrid>
        <w:gridCol w:w="4010"/>
        <w:gridCol w:w="60"/>
        <w:gridCol w:w="60"/>
        <w:gridCol w:w="155"/>
        <w:gridCol w:w="60"/>
        <w:gridCol w:w="620"/>
        <w:gridCol w:w="60"/>
        <w:gridCol w:w="60"/>
        <w:gridCol w:w="60"/>
        <w:gridCol w:w="155"/>
        <w:gridCol w:w="60"/>
        <w:gridCol w:w="680"/>
        <w:gridCol w:w="75"/>
      </w:tblGrid>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shd w:fill="auto" w:val="clear"/>
            <w:vAlign w:val="bottom"/>
          </w:tcPr>
          <w:p>
            <w:pPr>
              <w:pStyle w:val="TableContents"/>
              <w:spacing w:before="0" w:after="283"/>
              <w:rPr>
                <w:sz w:val="4"/>
                <w:szCs w:val="4"/>
              </w:rPr>
            </w:pPr>
            <w:r>
              <w:rPr>
                <w:sz w:val="4"/>
                <w:szCs w:val="4"/>
              </w:rPr>
            </w:r>
          </w:p>
        </w:tc>
      </w:tr>
      <w:tr>
        <w:trPr/>
        <w:tc>
          <w:tcPr>
            <w:tcW w:w="401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045" w:type="dxa"/>
            <w:gridSpan w:val="11"/>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December 31,</w:t>
            </w:r>
            <w:r>
              <w:rPr/>
              <w:t xml:space="preserve"> </w:t>
            </w:r>
          </w:p>
        </w:tc>
      </w:tr>
      <w:tr>
        <w:trPr/>
        <w:tc>
          <w:tcPr>
            <w:tcW w:w="401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30"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2014</w:t>
            </w:r>
            <w:r>
              <w:rPr/>
              <w:t xml:space="preserve"> </w:t>
            </w:r>
          </w:p>
        </w:tc>
      </w:tr>
      <w:tr>
        <w:trPr/>
        <w:tc>
          <w:tcPr>
            <w:tcW w:w="4010"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Assets: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30" w:type="dxa"/>
            <w:gridSpan w:val="5"/>
            <w:tcBorders/>
            <w:shd w:fill="E5FFFF" w:val="clear"/>
            <w:vAlign w:val="bottom"/>
          </w:tcPr>
          <w:p>
            <w:pPr>
              <w:pStyle w:val="TableContents"/>
              <w:spacing w:before="0" w:after="283"/>
              <w:rPr/>
            </w:pPr>
            <w:r>
              <w:rPr/>
              <w:t> </w:t>
            </w:r>
          </w:p>
        </w:tc>
      </w:tr>
      <w:tr>
        <w:trPr/>
        <w:tc>
          <w:tcPr>
            <w:tcW w:w="40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Foreign currency exchange contracts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20 </w:t>
            </w:r>
          </w:p>
        </w:tc>
        <w:tc>
          <w:tcPr>
            <w:tcW w:w="75" w:type="dxa"/>
            <w:tcBorders/>
            <w:shd w:fill="auto" w:val="clear"/>
            <w:vAlign w:val="bottom"/>
          </w:tcPr>
          <w:p>
            <w:pPr>
              <w:pStyle w:val="TableContents"/>
              <w:spacing w:before="0" w:after="283"/>
              <w:rPr/>
            </w:pPr>
            <w:r>
              <w:rPr/>
              <w:t> </w:t>
            </w:r>
          </w:p>
        </w:tc>
      </w:tr>
      <w:tr>
        <w:trPr/>
        <w:tc>
          <w:tcPr>
            <w:tcW w:w="401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Available for sale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1,501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1,479 </w:t>
            </w:r>
          </w:p>
        </w:tc>
        <w:tc>
          <w:tcPr>
            <w:tcW w:w="75" w:type="dxa"/>
            <w:tcBorders/>
            <w:shd w:fill="E5FFFF" w:val="clear"/>
            <w:vAlign w:val="bottom"/>
          </w:tcPr>
          <w:p>
            <w:pPr>
              <w:pStyle w:val="TableContents"/>
              <w:spacing w:before="0" w:after="283"/>
              <w:rPr/>
            </w:pPr>
            <w:r>
              <w:rPr/>
              <w:t> </w:t>
            </w:r>
          </w:p>
        </w:tc>
      </w:tr>
      <w:tr>
        <w:trPr/>
        <w:tc>
          <w:tcPr>
            <w:tcW w:w="40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Interest rate swap agreements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93 </w:t>
            </w:r>
          </w:p>
        </w:tc>
        <w:tc>
          <w:tcPr>
            <w:tcW w:w="75" w:type="dxa"/>
            <w:tcBorders/>
            <w:shd w:fill="auto" w:val="clear"/>
            <w:vAlign w:val="bottom"/>
          </w:tcPr>
          <w:p>
            <w:pPr>
              <w:pStyle w:val="TableContents"/>
              <w:spacing w:before="0" w:after="283"/>
              <w:rPr/>
            </w:pPr>
            <w:r>
              <w:rPr/>
              <w:t> </w:t>
            </w:r>
          </w:p>
        </w:tc>
      </w:tr>
      <w:tr>
        <w:trPr/>
        <w:tc>
          <w:tcPr>
            <w:tcW w:w="4010"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Liabilities: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30" w:type="dxa"/>
            <w:gridSpan w:val="5"/>
            <w:tcBorders/>
            <w:shd w:fill="E5FFFF" w:val="clear"/>
            <w:vAlign w:val="bottom"/>
          </w:tcPr>
          <w:p>
            <w:pPr>
              <w:pStyle w:val="TableContents"/>
              <w:spacing w:before="0" w:after="283"/>
              <w:rPr/>
            </w:pPr>
            <w:r>
              <w:rPr/>
              <w:t> </w:t>
            </w:r>
          </w:p>
        </w:tc>
      </w:tr>
      <w:tr>
        <w:trPr/>
        <w:tc>
          <w:tcPr>
            <w:tcW w:w="401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Foreign currency exchange contracts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10 </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foreign currency exchange contracts and interest rate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w:t>
      </w:r>
    </w:p>
    <w:p>
      <w:pPr>
        <w:pStyle w:val="TextBody"/>
        <w:spacing w:before="119" w:after="119"/>
        <w:ind w:left="119" w:right="119" w:firstLine="397"/>
        <w:jc w:val="both"/>
        <w:rPr>
          <w:rFonts w:ascii="sans-serif" w:hAnsi="sans-serif"/>
          <w:sz w:val="22"/>
        </w:rPr>
      </w:pPr>
      <w:r>
        <w:rPr>
          <w:rFonts w:ascii="sans-serif" w:hAnsi="sans-serif"/>
          <w:sz w:val="22"/>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tbl>
      <w:tblPr>
        <w:tblW w:w="9298" w:type="dxa"/>
        <w:jc w:val="left"/>
        <w:tblInd w:w="0" w:type="dxa"/>
        <w:tblCellMar>
          <w:top w:w="0" w:type="dxa"/>
          <w:left w:w="0" w:type="dxa"/>
          <w:bottom w:w="0" w:type="dxa"/>
          <w:right w:w="0" w:type="dxa"/>
        </w:tblCellMar>
      </w:tblPr>
      <w:tblGrid>
        <w:gridCol w:w="4955"/>
        <w:gridCol w:w="60"/>
        <w:gridCol w:w="64"/>
        <w:gridCol w:w="165"/>
        <w:gridCol w:w="64"/>
        <w:gridCol w:w="663"/>
        <w:gridCol w:w="60"/>
        <w:gridCol w:w="64"/>
        <w:gridCol w:w="64"/>
        <w:gridCol w:w="165"/>
        <w:gridCol w:w="64"/>
        <w:gridCol w:w="663"/>
        <w:gridCol w:w="60"/>
        <w:gridCol w:w="60"/>
        <w:gridCol w:w="62"/>
        <w:gridCol w:w="162"/>
        <w:gridCol w:w="62"/>
        <w:gridCol w:w="648"/>
        <w:gridCol w:w="60"/>
        <w:gridCol w:w="62"/>
        <w:gridCol w:w="62"/>
        <w:gridCol w:w="162"/>
        <w:gridCol w:w="62"/>
        <w:gridCol w:w="710"/>
        <w:gridCol w:w="75"/>
      </w:tblGrid>
      <w:tr>
        <w:trPr/>
        <w:tc>
          <w:tcPr>
            <w:tcW w:w="49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6" w:type="dxa"/>
            <w:gridSpan w:val="5"/>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16"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gridSpan w:val="5"/>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071" w:type="dxa"/>
            <w:gridSpan w:val="5"/>
            <w:tcBorders/>
            <w:shd w:fill="auto" w:val="clear"/>
            <w:vAlign w:val="bottom"/>
          </w:tcPr>
          <w:p>
            <w:pPr>
              <w:pStyle w:val="TableContents"/>
              <w:spacing w:before="0" w:after="283"/>
              <w:rPr>
                <w:sz w:val="4"/>
                <w:szCs w:val="4"/>
              </w:rPr>
            </w:pPr>
            <w:r>
              <w:rPr>
                <w:sz w:val="4"/>
                <w:szCs w:val="4"/>
              </w:rPr>
            </w:r>
          </w:p>
        </w:tc>
      </w:tr>
      <w:tr>
        <w:trPr/>
        <w:tc>
          <w:tcPr>
            <w:tcW w:w="495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096"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 xml:space="preserve">December 31, 2015 </w:t>
            </w:r>
          </w:p>
        </w:tc>
        <w:tc>
          <w:tcPr>
            <w:tcW w:w="60" w:type="dxa"/>
            <w:tcBorders/>
            <w:shd w:fill="auto" w:val="clear"/>
            <w:vAlign w:val="bottom"/>
          </w:tcPr>
          <w:p>
            <w:pPr>
              <w:pStyle w:val="TableContents"/>
              <w:spacing w:before="0" w:after="283"/>
              <w:rPr/>
            </w:pPr>
            <w:r>
              <w:rPr/>
              <w:t> </w:t>
            </w:r>
          </w:p>
        </w:tc>
        <w:tc>
          <w:tcPr>
            <w:tcW w:w="2127" w:type="dxa"/>
            <w:gridSpan w:val="11"/>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December 31, 2014</w:t>
            </w:r>
            <w:r>
              <w:rPr/>
              <w:t xml:space="preserve"> </w:t>
            </w:r>
          </w:p>
        </w:tc>
      </w:tr>
      <w:tr>
        <w:trPr/>
        <w:tc>
          <w:tcPr>
            <w:tcW w:w="495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16"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Carrying</w:t>
              <w:br/>
              <w:t>Value</w:t>
            </w:r>
          </w:p>
        </w:tc>
        <w:tc>
          <w:tcPr>
            <w:tcW w:w="64" w:type="dxa"/>
            <w:tcBorders/>
            <w:shd w:fill="auto" w:val="clear"/>
            <w:vAlign w:val="bottom"/>
          </w:tcPr>
          <w:p>
            <w:pPr>
              <w:pStyle w:val="TableContents"/>
              <w:spacing w:before="0" w:after="283"/>
              <w:rPr/>
            </w:pPr>
            <w:r>
              <w:rPr/>
              <w:t> </w:t>
            </w:r>
          </w:p>
        </w:tc>
        <w:tc>
          <w:tcPr>
            <w:tcW w:w="1016"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Fair</w:t>
              <w:br/>
              <w:t>Value</w:t>
            </w:r>
          </w:p>
        </w:tc>
        <w:tc>
          <w:tcPr>
            <w:tcW w:w="60" w:type="dxa"/>
            <w:tcBorders/>
            <w:shd w:fill="auto" w:val="clear"/>
            <w:vAlign w:val="bottom"/>
          </w:tcPr>
          <w:p>
            <w:pPr>
              <w:pStyle w:val="TableContents"/>
              <w:spacing w:before="0" w:after="283"/>
              <w:rPr/>
            </w:pPr>
            <w:r>
              <w:rPr/>
              <w:t> </w:t>
            </w:r>
          </w:p>
        </w:tc>
        <w:tc>
          <w:tcPr>
            <w:tcW w:w="994"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Carrying</w:t>
              <w:br/>
              <w:t>Value</w:t>
            </w:r>
          </w:p>
        </w:tc>
        <w:tc>
          <w:tcPr>
            <w:tcW w:w="62" w:type="dxa"/>
            <w:tcBorders/>
            <w:shd w:fill="auto" w:val="clear"/>
            <w:vAlign w:val="bottom"/>
          </w:tcPr>
          <w:p>
            <w:pPr>
              <w:pStyle w:val="TableContents"/>
              <w:spacing w:before="0" w:after="283"/>
              <w:rPr/>
            </w:pPr>
            <w:r>
              <w:rPr/>
              <w:t> </w:t>
            </w:r>
          </w:p>
        </w:tc>
        <w:tc>
          <w:tcPr>
            <w:tcW w:w="1071"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Fair</w:t>
              <w:br/>
              <w:t>Value</w:t>
            </w:r>
            <w:r>
              <w:rPr/>
              <w:t xml:space="preserve"> </w:t>
            </w:r>
          </w:p>
        </w:tc>
      </w:tr>
      <w:tr>
        <w:trPr/>
        <w:tc>
          <w:tcPr>
            <w:tcW w:w="4955"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Assets </w:t>
            </w:r>
          </w:p>
        </w:tc>
        <w:tc>
          <w:tcPr>
            <w:tcW w:w="60" w:type="dxa"/>
            <w:tcBorders/>
            <w:shd w:fill="E5FFFF" w:val="clear"/>
            <w:vAlign w:val="bottom"/>
          </w:tcPr>
          <w:p>
            <w:pPr>
              <w:pStyle w:val="TableContents"/>
              <w:spacing w:before="0" w:after="283"/>
              <w:rPr/>
            </w:pPr>
            <w:r>
              <w:rPr/>
              <w:t> </w:t>
            </w:r>
          </w:p>
        </w:tc>
        <w:tc>
          <w:tcPr>
            <w:tcW w:w="1016" w:type="dxa"/>
            <w:gridSpan w:val="5"/>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016"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94" w:type="dxa"/>
            <w:gridSpan w:val="5"/>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1071" w:type="dxa"/>
            <w:gridSpan w:val="5"/>
            <w:tcBorders/>
            <w:shd w:fill="E5FFFF" w:val="clear"/>
            <w:vAlign w:val="bottom"/>
          </w:tcPr>
          <w:p>
            <w:pPr>
              <w:pStyle w:val="TableContents"/>
              <w:spacing w:before="0" w:after="283"/>
              <w:rPr/>
            </w:pPr>
            <w:r>
              <w:rPr/>
              <w:t> </w:t>
            </w:r>
          </w:p>
        </w:tc>
      </w:tr>
      <w:tr>
        <w:trPr/>
        <w:tc>
          <w:tcPr>
            <w:tcW w:w="495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Long-term receivables</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292</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297</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293 </w:t>
            </w:r>
          </w:p>
        </w:tc>
        <w:tc>
          <w:tcPr>
            <w:tcW w:w="75" w:type="dxa"/>
            <w:tcBorders/>
            <w:shd w:fill="auto" w:val="clear"/>
            <w:vAlign w:val="bottom"/>
          </w:tcPr>
          <w:p>
            <w:pPr>
              <w:pStyle w:val="TableContents"/>
              <w:spacing w:before="0" w:after="283"/>
              <w:rPr/>
            </w:pPr>
            <w:r>
              <w:rPr/>
              <w:t> </w:t>
            </w:r>
          </w:p>
        </w:tc>
      </w:tr>
      <w:tr>
        <w:trPr/>
        <w:tc>
          <w:tcPr>
            <w:tcW w:w="4955"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Liabilities </w:t>
            </w:r>
          </w:p>
        </w:tc>
        <w:tc>
          <w:tcPr>
            <w:tcW w:w="60" w:type="dxa"/>
            <w:tcBorders/>
            <w:shd w:fill="E5FFFF" w:val="clear"/>
            <w:vAlign w:val="bottom"/>
          </w:tcPr>
          <w:p>
            <w:pPr>
              <w:pStyle w:val="TableContents"/>
              <w:spacing w:before="0" w:after="283"/>
              <w:rPr/>
            </w:pPr>
            <w:r>
              <w:rPr/>
              <w:t> </w:t>
            </w:r>
          </w:p>
        </w:tc>
        <w:tc>
          <w:tcPr>
            <w:tcW w:w="1016" w:type="dxa"/>
            <w:gridSpan w:val="5"/>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016"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94" w:type="dxa"/>
            <w:gridSpan w:val="5"/>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1071" w:type="dxa"/>
            <w:gridSpan w:val="5"/>
            <w:tcBorders/>
            <w:shd w:fill="E5FFFF" w:val="clear"/>
            <w:vAlign w:val="bottom"/>
          </w:tcPr>
          <w:p>
            <w:pPr>
              <w:pStyle w:val="TableContents"/>
              <w:spacing w:before="0" w:after="283"/>
              <w:rPr/>
            </w:pPr>
            <w:r>
              <w:rPr/>
              <w:t> </w:t>
            </w:r>
          </w:p>
        </w:tc>
      </w:tr>
      <w:tr>
        <w:trPr/>
        <w:tc>
          <w:tcPr>
            <w:tcW w:w="495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Long-term debt and related current maturities</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6,131</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6,721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6,985</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7,817 </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w:t>
      </w:r>
    </w:p>
    <w:p>
      <w:pPr>
        <w:pStyle w:val="TextBody"/>
        <w:spacing w:before="119" w:after="119"/>
        <w:ind w:left="119" w:right="119" w:hanging="0"/>
        <w:jc w:val="center"/>
        <w:rPr>
          <w:rFonts w:ascii="sans-serif" w:hAnsi="sans-serif"/>
          <w:sz w:val="22"/>
        </w:rPr>
      </w:pPr>
      <w:r>
        <w:rPr>
          <w:rFonts w:ascii="sans-serif" w:hAnsi="sans-serif"/>
          <w:sz w:val="22"/>
        </w:rPr>
        <w:t>52</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and related current maturities utilizing transactions in the listed markets for identical or similar liabilities. As such, the fair value of the long-term debt and related current maturities is considered level 2 as well.</w:t>
      </w:r>
    </w:p>
    <w:p>
      <w:pPr>
        <w:pStyle w:val="TextBody"/>
        <w:spacing w:before="119" w:after="119"/>
        <w:ind w:left="119" w:right="119" w:firstLine="397"/>
        <w:jc w:val="both"/>
        <w:rPr>
          <w:rFonts w:ascii="sans-serif" w:hAnsi="sans-serif"/>
          <w:sz w:val="22"/>
        </w:rPr>
      </w:pPr>
      <w:r>
        <w:rPr>
          <w:rFonts w:ascii="sans-serif" w:hAnsi="sans-serif"/>
          <w:sz w:val="22"/>
        </w:rPr>
        <w:t>Interest rate swap agreements are designated as hedge relationships with gains or losses on the derivative recognized in Interest and other financial charges offsetting the gains and losses on the underlying debt being hedged. Losses on interest rate swap agreements recognized in earnings were $2 million in the year ended December 31, 2015. Gains on interest rate swap agreements recognized in earnings were $38 million in the year ended 2014. Gains and losses are fully offset by losses and gains on the underlying debt being hedged.</w:t>
      </w:r>
    </w:p>
    <w:p>
      <w:pPr>
        <w:pStyle w:val="TextBody"/>
        <w:spacing w:before="119" w:after="119"/>
        <w:ind w:left="119" w:right="119" w:firstLine="397"/>
        <w:jc w:val="both"/>
        <w:rPr>
          <w:rFonts w:ascii="sans-serif" w:hAnsi="sans-serif"/>
          <w:sz w:val="22"/>
        </w:rPr>
      </w:pPr>
      <w:r>
        <w:rPr>
          <w:rFonts w:ascii="sans-serif" w:hAnsi="sans-serif"/>
          <w:sz w:val="22"/>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$86 million and $181 million of expense, in other (income) expense for the years ended December 31, 2015 and 2014. See Note 4 Other (Income) Expense for further details of the net impact of these economic foreign currency hedges.</w:t>
      </w:r>
    </w:p>
    <w:p>
      <w:pPr>
        <w:pStyle w:val="TextBody"/>
        <w:spacing w:before="357" w:after="357"/>
        <w:ind w:left="357" w:right="357" w:hanging="0"/>
        <w:rPr>
          <w:rFonts w:ascii="sans-serif" w:hAnsi="sans-serif"/>
          <w:b/>
          <w:sz w:val="22"/>
        </w:rPr>
      </w:pPr>
      <w:r>
        <w:rPr>
          <w:rFonts w:ascii="sans-serif" w:hAnsi="sans-serif"/>
          <w:b/>
          <w:sz w:val="22"/>
        </w:rPr>
        <w:t>Note 15. Other Liabilities</w:t>
      </w:r>
    </w:p>
    <w:tbl>
      <w:tblPr>
        <w:tblW w:w="6010" w:type="dxa"/>
        <w:jc w:val="left"/>
        <w:tblInd w:w="0" w:type="dxa"/>
        <w:tblCellMar>
          <w:top w:w="0" w:type="dxa"/>
          <w:left w:w="0" w:type="dxa"/>
          <w:bottom w:w="0" w:type="dxa"/>
          <w:right w:w="0" w:type="dxa"/>
        </w:tblCellMar>
      </w:tblPr>
      <w:tblGrid>
        <w:gridCol w:w="3905"/>
        <w:gridCol w:w="60"/>
        <w:gridCol w:w="60"/>
        <w:gridCol w:w="155"/>
        <w:gridCol w:w="60"/>
        <w:gridCol w:w="620"/>
        <w:gridCol w:w="60"/>
        <w:gridCol w:w="60"/>
        <w:gridCol w:w="60"/>
        <w:gridCol w:w="155"/>
        <w:gridCol w:w="60"/>
        <w:gridCol w:w="680"/>
        <w:gridCol w:w="75"/>
      </w:tblGrid>
      <w:tr>
        <w:trPr/>
        <w:tc>
          <w:tcPr>
            <w:tcW w:w="39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shd w:fill="auto" w:val="clear"/>
            <w:vAlign w:val="bottom"/>
          </w:tcPr>
          <w:p>
            <w:pPr>
              <w:pStyle w:val="TableContents"/>
              <w:spacing w:before="0" w:after="283"/>
              <w:rPr>
                <w:sz w:val="4"/>
                <w:szCs w:val="4"/>
              </w:rPr>
            </w:pPr>
            <w:r>
              <w:rPr>
                <w:sz w:val="4"/>
                <w:szCs w:val="4"/>
              </w:rPr>
            </w:r>
          </w:p>
        </w:tc>
      </w:tr>
      <w:tr>
        <w:trPr/>
        <w:tc>
          <w:tcPr>
            <w:tcW w:w="390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045" w:type="dxa"/>
            <w:gridSpan w:val="11"/>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Years Ended</w:t>
              <w:br/>
              <w:t>December 31,</w:t>
            </w:r>
            <w:r>
              <w:rPr/>
              <w:t xml:space="preserve"> </w:t>
            </w:r>
          </w:p>
        </w:tc>
      </w:tr>
      <w:tr>
        <w:trPr/>
        <w:tc>
          <w:tcPr>
            <w:tcW w:w="390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30"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2014</w:t>
            </w:r>
            <w:r>
              <w:rPr/>
              <w:t xml:space="preserve"> </w:t>
            </w:r>
          </w:p>
        </w:tc>
      </w:tr>
      <w:tr>
        <w:trPr/>
        <w:tc>
          <w:tcPr>
            <w:tcW w:w="39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Pension and other employee related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2,461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2,497 </w:t>
            </w:r>
          </w:p>
        </w:tc>
        <w:tc>
          <w:tcPr>
            <w:tcW w:w="75" w:type="dxa"/>
            <w:tcBorders/>
            <w:shd w:fill="E5FFFF" w:val="clear"/>
            <w:vAlign w:val="bottom"/>
          </w:tcPr>
          <w:p>
            <w:pPr>
              <w:pStyle w:val="TableContents"/>
              <w:spacing w:before="0" w:after="283"/>
              <w:rPr/>
            </w:pPr>
            <w:r>
              <w:rPr/>
              <w:t> </w:t>
            </w:r>
          </w:p>
        </w:tc>
      </w:tr>
      <w:tr>
        <w:trPr/>
        <w:tc>
          <w:tcPr>
            <w:tcW w:w="39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Income taxes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764 </w:t>
            </w:r>
          </w:p>
        </w:tc>
        <w:tc>
          <w:tcPr>
            <w:tcW w:w="75" w:type="dxa"/>
            <w:tcBorders/>
            <w:shd w:fill="auto" w:val="clear"/>
            <w:vAlign w:val="bottom"/>
          </w:tcPr>
          <w:p>
            <w:pPr>
              <w:pStyle w:val="TableContents"/>
              <w:spacing w:before="0" w:after="283"/>
              <w:rPr/>
            </w:pPr>
            <w:r>
              <w:rPr/>
              <w:t> </w:t>
            </w:r>
          </w:p>
        </w:tc>
      </w:tr>
      <w:tr>
        <w:trPr/>
        <w:tc>
          <w:tcPr>
            <w:tcW w:w="39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Environmental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313 </w:t>
            </w:r>
          </w:p>
        </w:tc>
        <w:tc>
          <w:tcPr>
            <w:tcW w:w="75" w:type="dxa"/>
            <w:tcBorders/>
            <w:shd w:fill="E5FFFF" w:val="clear"/>
            <w:vAlign w:val="bottom"/>
          </w:tcPr>
          <w:p>
            <w:pPr>
              <w:pStyle w:val="TableContents"/>
              <w:spacing w:before="0" w:after="283"/>
              <w:rPr/>
            </w:pPr>
            <w:r>
              <w:rPr/>
              <w:t> </w:t>
            </w:r>
          </w:p>
        </w:tc>
      </w:tr>
      <w:tr>
        <w:trPr/>
        <w:tc>
          <w:tcPr>
            <w:tcW w:w="39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Insurance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253 </w:t>
            </w:r>
          </w:p>
        </w:tc>
        <w:tc>
          <w:tcPr>
            <w:tcW w:w="75" w:type="dxa"/>
            <w:tcBorders/>
            <w:shd w:fill="auto" w:val="clear"/>
            <w:vAlign w:val="bottom"/>
          </w:tcPr>
          <w:p>
            <w:pPr>
              <w:pStyle w:val="TableContents"/>
              <w:spacing w:before="0" w:after="283"/>
              <w:rPr/>
            </w:pPr>
            <w:r>
              <w:rPr/>
              <w:t> </w:t>
            </w:r>
          </w:p>
        </w:tc>
      </w:tr>
      <w:tr>
        <w:trPr/>
        <w:tc>
          <w:tcPr>
            <w:tcW w:w="39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Asset retirement obligations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67 </w:t>
            </w:r>
          </w:p>
        </w:tc>
        <w:tc>
          <w:tcPr>
            <w:tcW w:w="75" w:type="dxa"/>
            <w:tcBorders/>
            <w:shd w:fill="E5FFFF" w:val="clear"/>
            <w:vAlign w:val="bottom"/>
          </w:tcPr>
          <w:p>
            <w:pPr>
              <w:pStyle w:val="TableContents"/>
              <w:spacing w:before="0" w:after="283"/>
              <w:rPr/>
            </w:pPr>
            <w:r>
              <w:rPr/>
              <w:t> </w:t>
            </w:r>
          </w:p>
        </w:tc>
      </w:tr>
      <w:tr>
        <w:trPr/>
        <w:tc>
          <w:tcPr>
            <w:tcW w:w="390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Deferred 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93 </w:t>
            </w:r>
          </w:p>
        </w:tc>
        <w:tc>
          <w:tcPr>
            <w:tcW w:w="75" w:type="dxa"/>
            <w:tcBorders/>
            <w:shd w:fill="auto" w:val="clear"/>
            <w:vAlign w:val="bottom"/>
          </w:tcPr>
          <w:p>
            <w:pPr>
              <w:pStyle w:val="TableContents"/>
              <w:spacing w:before="0" w:after="283"/>
              <w:rPr/>
            </w:pPr>
            <w:r>
              <w:rPr/>
              <w:t> </w:t>
            </w:r>
          </w:p>
        </w:tc>
      </w:tr>
      <w:tr>
        <w:trPr/>
        <w:tc>
          <w:tcPr>
            <w:tcW w:w="390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295 </w:t>
            </w:r>
          </w:p>
        </w:tc>
        <w:tc>
          <w:tcPr>
            <w:tcW w:w="75" w:type="dxa"/>
            <w:tcBorders/>
            <w:shd w:fill="E5FFFF" w:val="clear"/>
            <w:vAlign w:val="bottom"/>
          </w:tcPr>
          <w:p>
            <w:pPr>
              <w:pStyle w:val="TableContents"/>
              <w:spacing w:before="0" w:after="283"/>
              <w:rPr/>
            </w:pPr>
            <w:r>
              <w:rPr/>
              <w:t> </w:t>
            </w:r>
          </w:p>
        </w:tc>
      </w:tr>
      <w:tr>
        <w:trPr/>
        <w:tc>
          <w:tcPr>
            <w:tcW w:w="39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9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4,282 </w:t>
            </w:r>
          </w:p>
        </w:tc>
        <w:tc>
          <w:tcPr>
            <w:tcW w:w="75" w:type="dxa"/>
            <w:tcBorders/>
            <w:shd w:fill="auto" w:val="clear"/>
            <w:vAlign w:val="bottom"/>
          </w:tcPr>
          <w:p>
            <w:pPr>
              <w:pStyle w:val="TableContents"/>
              <w:spacing w:before="0" w:after="283"/>
              <w:rPr/>
            </w:pPr>
            <w:r>
              <w:rPr/>
              <w:t> </w:t>
            </w:r>
          </w:p>
        </w:tc>
      </w:tr>
      <w:tr>
        <w:trPr/>
        <w:tc>
          <w:tcPr>
            <w:tcW w:w="390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Note 16. Capital Stock</w:t>
      </w:r>
    </w:p>
    <w:p>
      <w:pPr>
        <w:pStyle w:val="TextBody"/>
        <w:spacing w:before="119" w:after="119"/>
        <w:ind w:left="119" w:right="119" w:firstLine="397"/>
        <w:jc w:val="both"/>
        <w:rPr>
          <w:rFonts w:ascii="sans-serif" w:hAnsi="sans-serif"/>
          <w:sz w:val="22"/>
        </w:rPr>
      </w:pPr>
      <w:r>
        <w:rPr>
          <w:rFonts w:ascii="sans-serif" w:hAnsi="sans-serif"/>
          <w:sz w:val="22"/>
        </w:rPr>
        <w:t>We are authorized to issue up to 2,000,000,000 shares of common stock, with a par value of $1. Common shareowners are entitled to receive such dividends as may be declared by the Board,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pStyle w:val="TextBody"/>
        <w:spacing w:before="119" w:after="119"/>
        <w:ind w:left="119" w:right="119" w:firstLine="397"/>
        <w:jc w:val="both"/>
        <w:rPr>
          <w:rFonts w:ascii="sans-serif" w:hAnsi="sans-serif"/>
          <w:sz w:val="22"/>
        </w:rPr>
      </w:pPr>
      <w:r>
        <w:rPr>
          <w:rFonts w:ascii="sans-serif" w:hAnsi="sans-serif"/>
          <w:sz w:val="22"/>
        </w:rPr>
        <w:t>In December 2013 the Board of Directors authorized the repurchase of up to $5 billion of Honeywell common stock, $2.2 billion and $4.1 billion remained available as of December 31, 2015 and December 31, 2014 for additional share repurchases.</w:t>
      </w:r>
    </w:p>
    <w:p>
      <w:pPr>
        <w:pStyle w:val="TextBody"/>
        <w:spacing w:before="119" w:after="119"/>
        <w:ind w:left="119" w:right="119" w:firstLine="397"/>
        <w:jc w:val="both"/>
        <w:rPr>
          <w:rFonts w:ascii="sans-serif" w:hAnsi="sans-serif"/>
          <w:sz w:val="22"/>
        </w:rPr>
      </w:pPr>
      <w:r>
        <w:rPr>
          <w:rFonts w:ascii="sans-serif" w:hAnsi="sans-serif"/>
          <w:sz w:val="22"/>
        </w:rPr>
        <w:t>We purchased approximately 18.8 million and 10.0 million shares of our common stock in 2015 and 2014, for $1,884 million and $924 million.</w:t>
      </w:r>
    </w:p>
    <w:p>
      <w:pPr>
        <w:pStyle w:val="TextBody"/>
        <w:spacing w:before="119" w:after="119"/>
        <w:ind w:left="119" w:right="119" w:firstLine="397"/>
        <w:jc w:val="both"/>
        <w:rPr>
          <w:rFonts w:ascii="sans-serif" w:hAnsi="sans-serif"/>
          <w:sz w:val="22"/>
        </w:rPr>
      </w:pPr>
      <w:r>
        <w:rPr>
          <w:rFonts w:ascii="sans-serif" w:hAnsi="sans-serif"/>
          <w:sz w:val="22"/>
        </w:rPr>
        <w:t>We are authorized to issue up to 40,000,000 shares of preferred stock, without par value, and can determine the number of shares of each series, and the rights, preferences and limitations of each series. At December 31, 2015, there was no preferred stock outstanding.</w:t>
      </w:r>
    </w:p>
    <w:p>
      <w:pPr>
        <w:pStyle w:val="TextBody"/>
        <w:spacing w:before="119" w:after="119"/>
        <w:ind w:left="119" w:right="119" w:hanging="0"/>
        <w:jc w:val="center"/>
        <w:rPr>
          <w:rFonts w:ascii="sans-serif" w:hAnsi="sans-serif"/>
          <w:sz w:val="22"/>
        </w:rPr>
      </w:pPr>
      <w:r>
        <w:rPr>
          <w:rFonts w:ascii="sans-serif" w:hAnsi="sans-serif"/>
          <w:sz w:val="22"/>
        </w:rPr>
        <w:t>53</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17. Accumulated Other Comprehensive Income (Loss)</w:t>
      </w:r>
    </w:p>
    <w:p>
      <w:pPr>
        <w:pStyle w:val="TextBody"/>
        <w:spacing w:before="119" w:after="119"/>
        <w:ind w:left="119" w:right="119" w:firstLine="397"/>
        <w:jc w:val="both"/>
        <w:rPr>
          <w:rFonts w:ascii="sans-serif" w:hAnsi="sans-serif"/>
          <w:sz w:val="22"/>
        </w:rPr>
      </w:pPr>
      <w:r>
        <w:rPr>
          <w:rFonts w:ascii="sans-serif" w:hAnsi="sans-serif"/>
          <w:sz w:val="22"/>
        </w:rPr>
        <w:t>The changes in accumulated other comprehensive income (loss) are provided in the tables below. Comprehensive income (loss) attributable to noncontrolling interest consisted predominantly of net income.</w:t>
      </w:r>
    </w:p>
    <w:tbl>
      <w:tblPr>
        <w:tblW w:w="9515" w:type="dxa"/>
        <w:jc w:val="left"/>
        <w:tblInd w:w="0" w:type="dxa"/>
        <w:tblCellMar>
          <w:top w:w="0" w:type="dxa"/>
          <w:left w:w="0" w:type="dxa"/>
          <w:bottom w:w="0" w:type="dxa"/>
          <w:right w:w="0" w:type="dxa"/>
        </w:tblCellMar>
      </w:tblPr>
      <w:tblGrid>
        <w:gridCol w:w="5885"/>
        <w:gridCol w:w="60"/>
        <w:gridCol w:w="60"/>
        <w:gridCol w:w="155"/>
        <w:gridCol w:w="60"/>
        <w:gridCol w:w="695"/>
        <w:gridCol w:w="95"/>
        <w:gridCol w:w="60"/>
        <w:gridCol w:w="60"/>
        <w:gridCol w:w="60"/>
        <w:gridCol w:w="155"/>
        <w:gridCol w:w="60"/>
        <w:gridCol w:w="695"/>
        <w:gridCol w:w="95"/>
        <w:gridCol w:w="60"/>
        <w:gridCol w:w="60"/>
        <w:gridCol w:w="60"/>
        <w:gridCol w:w="155"/>
        <w:gridCol w:w="60"/>
        <w:gridCol w:w="695"/>
        <w:gridCol w:w="155"/>
        <w:gridCol w:w="75"/>
      </w:tblGrid>
      <w:tr>
        <w:trPr/>
        <w:tc>
          <w:tcPr>
            <w:tcW w:w="58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sz w:val="4"/>
                <w:szCs w:val="4"/>
              </w:rPr>
            </w:pPr>
            <w:r>
              <w:rPr>
                <w:sz w:val="4"/>
                <w:szCs w:val="4"/>
              </w:rPr>
            </w:r>
          </w:p>
        </w:tc>
      </w:tr>
      <w:tr>
        <w:trPr/>
        <w:tc>
          <w:tcPr>
            <w:tcW w:w="588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Pretax</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Tax</w:t>
            </w:r>
          </w:p>
        </w:tc>
        <w:tc>
          <w:tcPr>
            <w:tcW w:w="60" w:type="dxa"/>
            <w:tcBorders/>
            <w:shd w:fill="auto" w:val="clear"/>
            <w:vAlign w:val="bottom"/>
          </w:tcPr>
          <w:p>
            <w:pPr>
              <w:pStyle w:val="TableContents"/>
              <w:spacing w:before="0" w:after="283"/>
              <w:rPr/>
            </w:pPr>
            <w:r>
              <w:rPr/>
              <w:t> </w:t>
            </w:r>
          </w:p>
        </w:tc>
        <w:tc>
          <w:tcPr>
            <w:tcW w:w="1200"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After Tax</w:t>
            </w:r>
            <w:r>
              <w:rPr/>
              <w:t xml:space="preserve"> </w:t>
            </w:r>
          </w:p>
        </w:tc>
      </w:tr>
      <w:tr>
        <w:trPr/>
        <w:tc>
          <w:tcPr>
            <w:tcW w:w="5885"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Year Ended December 31, 2015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00" w:type="dxa"/>
            <w:gridSpan w:val="6"/>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Foreign exchange translation adjustment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(1,152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(1,152</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auto" w:val="cle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Pensions and other postretirement benefit adjustments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84 </w:t>
            </w:r>
          </w:p>
        </w:tc>
        <w:tc>
          <w:tcPr>
            <w:tcW w:w="230" w:type="dxa"/>
            <w:gridSpan w:val="2"/>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Changes in fair value of effective cash flow hedges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auto"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(1,034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(1,076</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Year Ended December 31, 2014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Foreign exchange translation adjustment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(1,044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(1,044</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Pensions and other postretirement benefit adjustments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(1,707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(1,083</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auto" w:val="cle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Changes in fair value of available for sale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(170</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Changes in fair value of effective cash flow hedges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20 </w:t>
            </w:r>
          </w:p>
        </w:tc>
        <w:tc>
          <w:tcPr>
            <w:tcW w:w="230" w:type="dxa"/>
            <w:gridSpan w:val="2"/>
            <w:tcBorders/>
            <w:shd w:fill="auto"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(2,973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696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(2,277</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Year Ended December 31, 2013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Foreign exchange translation adjustment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(52</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Pensions and other postretirement benefit adjustments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3,514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(1,311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2,203 </w:t>
            </w:r>
          </w:p>
        </w:tc>
        <w:tc>
          <w:tcPr>
            <w:tcW w:w="230" w:type="dxa"/>
            <w:gridSpan w:val="2"/>
            <w:tcBorders/>
            <w:shd w:fill="auto" w:val="cle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Changes in fair value of available for sale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13 </w:t>
            </w:r>
          </w:p>
        </w:tc>
        <w:tc>
          <w:tcPr>
            <w:tcW w:w="230" w:type="dxa"/>
            <w:gridSpan w:val="2"/>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Changes in fair value of effective cash flow hedges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auto"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3,478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(1,321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2,157 </w:t>
            </w:r>
          </w:p>
        </w:tc>
        <w:tc>
          <w:tcPr>
            <w:tcW w:w="230" w:type="dxa"/>
            <w:gridSpan w:val="2"/>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Components of Accumulated Other Comprehensive Income (Loss)</w:t>
      </w:r>
    </w:p>
    <w:tbl>
      <w:tblPr>
        <w:tblW w:w="8330" w:type="dxa"/>
        <w:jc w:val="left"/>
        <w:tblInd w:w="0" w:type="dxa"/>
        <w:tblCellMar>
          <w:top w:w="0" w:type="dxa"/>
          <w:left w:w="0" w:type="dxa"/>
          <w:bottom w:w="0" w:type="dxa"/>
          <w:right w:w="0" w:type="dxa"/>
        </w:tblCellMar>
      </w:tblPr>
      <w:tblGrid>
        <w:gridCol w:w="5885"/>
        <w:gridCol w:w="60"/>
        <w:gridCol w:w="60"/>
        <w:gridCol w:w="155"/>
        <w:gridCol w:w="60"/>
        <w:gridCol w:w="695"/>
        <w:gridCol w:w="95"/>
        <w:gridCol w:w="60"/>
        <w:gridCol w:w="60"/>
        <w:gridCol w:w="60"/>
        <w:gridCol w:w="155"/>
        <w:gridCol w:w="60"/>
        <w:gridCol w:w="695"/>
        <w:gridCol w:w="155"/>
        <w:gridCol w:w="75"/>
      </w:tblGrid>
      <w:tr>
        <w:trPr/>
        <w:tc>
          <w:tcPr>
            <w:tcW w:w="58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sz w:val="4"/>
                <w:szCs w:val="4"/>
              </w:rPr>
            </w:pPr>
            <w:r>
              <w:rPr>
                <w:sz w:val="4"/>
                <w:szCs w:val="4"/>
              </w:rPr>
            </w:r>
          </w:p>
        </w:tc>
      </w:tr>
      <w:tr>
        <w:trPr/>
        <w:tc>
          <w:tcPr>
            <w:tcW w:w="588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385" w:type="dxa"/>
            <w:gridSpan w:val="13"/>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December 31,</w:t>
            </w:r>
            <w:r>
              <w:rPr/>
              <w:t xml:space="preserve"> </w:t>
            </w:r>
          </w:p>
        </w:tc>
      </w:tr>
      <w:tr>
        <w:trPr/>
        <w:tc>
          <w:tcPr>
            <w:tcW w:w="588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200"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2014</w:t>
            </w:r>
            <w:r>
              <w:rPr/>
              <w:t xml:space="preserve"> </w:t>
            </w:r>
          </w:p>
        </w:tc>
      </w:tr>
      <w:tr>
        <w:trPr/>
        <w:tc>
          <w:tcPr>
            <w:tcW w:w="58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Cumulative foreign exchange translation adjustment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(1,892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(740</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Pensions and other postretirement benefit adjustments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(644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(728</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auto" w:val="cle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Fair value of available for sale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 </w:t>
            </w:r>
          </w:p>
        </w:tc>
        <w:tc>
          <w:tcPr>
            <w:tcW w:w="230" w:type="dxa"/>
            <w:gridSpan w:val="2"/>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Fair value of effective cash flow hedges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 </w:t>
            </w:r>
          </w:p>
        </w:tc>
        <w:tc>
          <w:tcPr>
            <w:tcW w:w="230" w:type="dxa"/>
            <w:gridSpan w:val="2"/>
            <w:tcBorders/>
            <w:shd w:fill="auto"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588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(2,535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(1,459</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588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54</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Changes in Accumulated Other Comprehensive Income by Component</w:t>
      </w:r>
    </w:p>
    <w:tbl>
      <w:tblPr>
        <w:tblW w:w="10205" w:type="dxa"/>
        <w:jc w:val="left"/>
        <w:tblInd w:w="0" w:type="dxa"/>
        <w:tblCellMar>
          <w:top w:w="0" w:type="dxa"/>
          <w:left w:w="0" w:type="dxa"/>
          <w:bottom w:w="0" w:type="dxa"/>
          <w:right w:w="0" w:type="dxa"/>
        </w:tblCellMar>
      </w:tblPr>
      <w:tblGrid>
        <w:gridCol w:w="3609"/>
        <w:gridCol w:w="60"/>
        <w:gridCol w:w="65"/>
        <w:gridCol w:w="168"/>
        <w:gridCol w:w="65"/>
        <w:gridCol w:w="753"/>
        <w:gridCol w:w="103"/>
        <w:gridCol w:w="66"/>
        <w:gridCol w:w="60"/>
        <w:gridCol w:w="84"/>
        <w:gridCol w:w="217"/>
        <w:gridCol w:w="84"/>
        <w:gridCol w:w="976"/>
        <w:gridCol w:w="133"/>
        <w:gridCol w:w="86"/>
        <w:gridCol w:w="60"/>
        <w:gridCol w:w="83"/>
        <w:gridCol w:w="215"/>
        <w:gridCol w:w="83"/>
        <w:gridCol w:w="696"/>
        <w:gridCol w:w="132"/>
        <w:gridCol w:w="86"/>
        <w:gridCol w:w="60"/>
        <w:gridCol w:w="78"/>
        <w:gridCol w:w="202"/>
        <w:gridCol w:w="78"/>
        <w:gridCol w:w="476"/>
        <w:gridCol w:w="124"/>
        <w:gridCol w:w="80"/>
        <w:gridCol w:w="60"/>
        <w:gridCol w:w="60"/>
        <w:gridCol w:w="155"/>
        <w:gridCol w:w="60"/>
        <w:gridCol w:w="695"/>
        <w:gridCol w:w="115"/>
        <w:gridCol w:w="78"/>
      </w:tblGrid>
      <w:tr>
        <w:trPr/>
        <w:tc>
          <w:tcPr>
            <w:tcW w:w="36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8"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3" w:type="dxa"/>
            <w:gridSpan w:val="6"/>
            <w:tcBorders/>
            <w:shd w:fill="auto" w:val="clear"/>
            <w:vAlign w:val="bottom"/>
          </w:tcPr>
          <w:p>
            <w:pPr>
              <w:pStyle w:val="TableContents"/>
              <w:spacing w:before="0" w:after="283"/>
              <w:rPr>
                <w:sz w:val="4"/>
                <w:szCs w:val="4"/>
              </w:rPr>
            </w:pPr>
            <w:r>
              <w:rPr>
                <w:sz w:val="4"/>
                <w:szCs w:val="4"/>
              </w:rPr>
            </w:r>
          </w:p>
        </w:tc>
      </w:tr>
      <w:tr>
        <w:trPr/>
        <w:tc>
          <w:tcPr>
            <w:tcW w:w="3609"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Foreign</w:t>
              <w:br/>
              <w:t>Exchange</w:t>
              <w:br/>
              <w:t>Translation</w:t>
              <w:br/>
              <w:t>Adjustment</w:t>
            </w:r>
          </w:p>
        </w:tc>
        <w:tc>
          <w:tcPr>
            <w:tcW w:w="60" w:type="dxa"/>
            <w:tcBorders/>
            <w:shd w:fill="auto" w:val="clear"/>
            <w:vAlign w:val="bottom"/>
          </w:tcPr>
          <w:p>
            <w:pPr>
              <w:pStyle w:val="TableContents"/>
              <w:spacing w:before="0" w:after="283"/>
              <w:rPr/>
            </w:pPr>
            <w:r>
              <w:rPr/>
              <w:t> </w:t>
            </w:r>
          </w:p>
        </w:tc>
        <w:tc>
          <w:tcPr>
            <w:tcW w:w="158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Pension</w:t>
              <w:br/>
              <w:t>and Other</w:t>
              <w:br/>
              <w:t>Postretirement</w:t>
              <w:br/>
              <w:t>Adjustments</w:t>
            </w:r>
          </w:p>
        </w:tc>
        <w:tc>
          <w:tcPr>
            <w:tcW w:w="60" w:type="dxa"/>
            <w:tcBorders/>
            <w:shd w:fill="auto" w:val="clear"/>
            <w:vAlign w:val="bottom"/>
          </w:tcPr>
          <w:p>
            <w:pPr>
              <w:pStyle w:val="TableContents"/>
              <w:spacing w:before="0" w:after="283"/>
              <w:rPr/>
            </w:pPr>
            <w:r>
              <w:rPr/>
              <w:t> </w:t>
            </w:r>
          </w:p>
        </w:tc>
        <w:tc>
          <w:tcPr>
            <w:tcW w:w="129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Changes in</w:t>
              <w:br/>
              <w:t>Fair Value of</w:t>
              <w:br/>
              <w:t>Available</w:t>
              <w:br/>
              <w:t>for Sale</w:t>
              <w:br/>
              <w:t>Investments</w:t>
            </w:r>
          </w:p>
        </w:tc>
        <w:tc>
          <w:tcPr>
            <w:tcW w:w="60" w:type="dxa"/>
            <w:tcBorders/>
            <w:shd w:fill="auto" w:val="clear"/>
            <w:vAlign w:val="bottom"/>
          </w:tcPr>
          <w:p>
            <w:pPr>
              <w:pStyle w:val="TableContents"/>
              <w:spacing w:before="0" w:after="283"/>
              <w:rPr/>
            </w:pPr>
            <w:r>
              <w:rPr/>
              <w:t> </w:t>
            </w:r>
          </w:p>
        </w:tc>
        <w:tc>
          <w:tcPr>
            <w:tcW w:w="1038"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Changes in</w:t>
              <w:br/>
              <w:t>Fair Value of</w:t>
              <w:br/>
              <w:t>Effective</w:t>
              <w:br/>
              <w:t>Cash Flow</w:t>
              <w:br/>
              <w:t>Hedges</w:t>
            </w:r>
          </w:p>
        </w:tc>
        <w:tc>
          <w:tcPr>
            <w:tcW w:w="60" w:type="dxa"/>
            <w:tcBorders/>
            <w:shd w:fill="auto" w:val="clear"/>
            <w:vAlign w:val="bottom"/>
          </w:tcPr>
          <w:p>
            <w:pPr>
              <w:pStyle w:val="TableContents"/>
              <w:spacing w:before="0" w:after="283"/>
              <w:rPr/>
            </w:pPr>
            <w:r>
              <w:rPr/>
              <w:t> </w:t>
            </w:r>
          </w:p>
        </w:tc>
        <w:tc>
          <w:tcPr>
            <w:tcW w:w="1163"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Total</w:t>
            </w:r>
            <w:r>
              <w:rPr/>
              <w:t xml:space="preserve"> </w:t>
            </w:r>
          </w:p>
        </w:tc>
      </w:tr>
      <w:tr>
        <w:trPr/>
        <w:tc>
          <w:tcPr>
            <w:tcW w:w="3609"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2013</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6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E5FFFF" w:val="clear"/>
            <w:vAlign w:val="bottom"/>
          </w:tcPr>
          <w:p>
            <w:pPr>
              <w:pStyle w:val="TableContents"/>
              <w:spacing w:before="0" w:after="283"/>
              <w:rPr/>
            </w:pPr>
            <w:r>
              <w:rPr/>
              <w:t> </w:t>
            </w:r>
          </w:p>
        </w:tc>
        <w:tc>
          <w:tcPr>
            <w:tcW w:w="75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304</w:t>
            </w:r>
          </w:p>
        </w:tc>
        <w:tc>
          <w:tcPr>
            <w:tcW w:w="16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4" w:type="dxa"/>
            <w:tcBorders/>
            <w:shd w:fill="E5FFFF" w:val="clear"/>
            <w:vAlign w:val="bottom"/>
          </w:tcPr>
          <w:p>
            <w:pPr>
              <w:pStyle w:val="TableContents"/>
              <w:spacing w:before="0" w:after="283"/>
              <w:rPr/>
            </w:pPr>
            <w:r>
              <w:rPr/>
              <w:t> </w:t>
            </w:r>
          </w:p>
        </w:tc>
        <w:tc>
          <w:tcPr>
            <w:tcW w:w="217"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c>
          <w:tcPr>
            <w:tcW w:w="9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355</w:t>
            </w:r>
          </w:p>
        </w:tc>
        <w:tc>
          <w:tcPr>
            <w:tcW w:w="21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3" w:type="dxa"/>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170</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20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8" w:type="dxa"/>
            <w:tcBorders/>
            <w:shd w:fill="E5FFFF" w:val="clear"/>
            <w:vAlign w:val="bottom"/>
          </w:tcPr>
          <w:p>
            <w:pPr>
              <w:pStyle w:val="TableContents"/>
              <w:spacing w:before="0" w:after="283"/>
              <w:rPr/>
            </w:pPr>
            <w:r>
              <w:rPr/>
              <w:t> </w:t>
            </w:r>
          </w:p>
        </w:tc>
        <w:tc>
          <w:tcPr>
            <w:tcW w:w="4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w:t>
            </w:r>
          </w:p>
        </w:tc>
        <w:tc>
          <w:tcPr>
            <w:tcW w:w="12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818 </w:t>
            </w:r>
          </w:p>
        </w:tc>
        <w:tc>
          <w:tcPr>
            <w:tcW w:w="193" w:type="dxa"/>
            <w:gridSpan w:val="2"/>
            <w:tcBorders/>
            <w:shd w:fill="E5FFFF" w:val="cle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Other comprehensive income (loss) before reclassifications</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3" w:type="dxa"/>
            <w:gridSpan w:val="2"/>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(1,044</w:t>
            </w:r>
          </w:p>
        </w:tc>
        <w:tc>
          <w:tcPr>
            <w:tcW w:w="10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301" w:type="dxa"/>
            <w:gridSpan w:val="2"/>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(1,284</w:t>
            </w:r>
          </w:p>
        </w:tc>
        <w:tc>
          <w:tcPr>
            <w:tcW w:w="13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98" w:type="dxa"/>
            <w:gridSpan w:val="2"/>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w:t>
            </w:r>
          </w:p>
        </w:tc>
        <w:tc>
          <w:tcPr>
            <w:tcW w:w="21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280" w:type="dxa"/>
            <w:gridSpan w:val="2"/>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20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(2,293</w:t>
            </w:r>
          </w:p>
        </w:tc>
        <w:tc>
          <w:tcPr>
            <w:tcW w:w="11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8" w:type="dxa"/>
            <w:tcBorders/>
            <w:shd w:fill="auto" w:val="clear"/>
            <w:vAlign w:val="bottom"/>
          </w:tcPr>
          <w:p>
            <w:pPr>
              <w:pStyle w:val="TableContents"/>
              <w:spacing w:before="0" w:after="283"/>
              <w:rPr/>
            </w:pPr>
            <w:r>
              <w:rPr/>
              <w:t> </w:t>
            </w:r>
          </w:p>
        </w:tc>
      </w:tr>
      <w:tr>
        <w:trPr/>
        <w:tc>
          <w:tcPr>
            <w:tcW w:w="3609"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Amounts reclassified from accumulated other comprehensive income</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233" w:type="dxa"/>
            <w:gridSpan w:val="2"/>
            <w:tcBorders/>
            <w:shd w:fill="E5FFFF" w:val="clear"/>
            <w:vAlign w:val="bottom"/>
          </w:tcPr>
          <w:p>
            <w:pPr>
              <w:pStyle w:val="TableContents"/>
              <w:spacing w:before="0" w:after="283"/>
              <w:rPr/>
            </w:pPr>
            <w:r>
              <w:rPr/>
              <w:t> </w:t>
            </w:r>
          </w:p>
        </w:tc>
        <w:tc>
          <w:tcPr>
            <w:tcW w:w="75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6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4" w:type="dxa"/>
            <w:tcBorders/>
            <w:shd w:fill="E5FFFF" w:val="clear"/>
            <w:vAlign w:val="bottom"/>
          </w:tcPr>
          <w:p>
            <w:pPr>
              <w:pStyle w:val="TableContents"/>
              <w:spacing w:before="0" w:after="283"/>
              <w:rPr/>
            </w:pPr>
            <w:r>
              <w:rPr/>
              <w:t> </w:t>
            </w:r>
          </w:p>
        </w:tc>
        <w:tc>
          <w:tcPr>
            <w:tcW w:w="301" w:type="dxa"/>
            <w:gridSpan w:val="2"/>
            <w:tcBorders/>
            <w:shd w:fill="E5FFFF" w:val="clear"/>
            <w:vAlign w:val="bottom"/>
          </w:tcPr>
          <w:p>
            <w:pPr>
              <w:pStyle w:val="TableContents"/>
              <w:spacing w:before="0" w:after="283"/>
              <w:rPr/>
            </w:pPr>
            <w:r>
              <w:rPr/>
              <w:t> </w:t>
            </w:r>
          </w:p>
        </w:tc>
        <w:tc>
          <w:tcPr>
            <w:tcW w:w="9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201</w:t>
            </w:r>
          </w:p>
        </w:tc>
        <w:tc>
          <w:tcPr>
            <w:tcW w:w="21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98" w:type="dxa"/>
            <w:gridSpan w:val="2"/>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(185</w:t>
            </w:r>
          </w:p>
        </w:tc>
        <w:tc>
          <w:tcPr>
            <w:tcW w:w="13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280" w:type="dxa"/>
            <w:gridSpan w:val="2"/>
            <w:tcBorders/>
            <w:shd w:fill="E5FFFF" w:val="clear"/>
            <w:vAlign w:val="bottom"/>
          </w:tcPr>
          <w:p>
            <w:pPr>
              <w:pStyle w:val="TableContents"/>
              <w:spacing w:before="0" w:after="283"/>
              <w:rPr/>
            </w:pPr>
            <w:r>
              <w:rPr/>
              <w:t> </w:t>
            </w:r>
          </w:p>
        </w:tc>
        <w:tc>
          <w:tcPr>
            <w:tcW w:w="4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04"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16 </w:t>
            </w:r>
          </w:p>
        </w:tc>
        <w:tc>
          <w:tcPr>
            <w:tcW w:w="193" w:type="dxa"/>
            <w:gridSpan w:val="2"/>
            <w:tcBorders/>
            <w:shd w:fill="E5FFFF" w:val="cle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8"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Net current period other comprehensive income (loss)</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3" w:type="dxa"/>
            <w:gridSpan w:val="2"/>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(1,044</w:t>
            </w:r>
          </w:p>
        </w:tc>
        <w:tc>
          <w:tcPr>
            <w:tcW w:w="10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301" w:type="dxa"/>
            <w:gridSpan w:val="2"/>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(1,083</w:t>
            </w:r>
          </w:p>
        </w:tc>
        <w:tc>
          <w:tcPr>
            <w:tcW w:w="13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98" w:type="dxa"/>
            <w:gridSpan w:val="2"/>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(170</w:t>
            </w:r>
          </w:p>
        </w:tc>
        <w:tc>
          <w:tcPr>
            <w:tcW w:w="13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280" w:type="dxa"/>
            <w:gridSpan w:val="2"/>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20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(2,277</w:t>
            </w:r>
          </w:p>
        </w:tc>
        <w:tc>
          <w:tcPr>
            <w:tcW w:w="1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8" w:type="dxa"/>
            <w:tcBorders/>
            <w:shd w:fill="auto" w:val="cle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8"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609"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2014</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6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E5FFFF" w:val="clear"/>
            <w:vAlign w:val="bottom"/>
          </w:tcPr>
          <w:p>
            <w:pPr>
              <w:pStyle w:val="TableContents"/>
              <w:spacing w:before="0" w:after="283"/>
              <w:rPr/>
            </w:pPr>
            <w:r>
              <w:rPr/>
              <w:t> </w:t>
            </w:r>
          </w:p>
        </w:tc>
        <w:tc>
          <w:tcPr>
            <w:tcW w:w="75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(740</w:t>
            </w:r>
          </w:p>
        </w:tc>
        <w:tc>
          <w:tcPr>
            <w:tcW w:w="10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4" w:type="dxa"/>
            <w:tcBorders/>
            <w:shd w:fill="E5FFFF" w:val="clear"/>
            <w:vAlign w:val="bottom"/>
          </w:tcPr>
          <w:p>
            <w:pPr>
              <w:pStyle w:val="TableContents"/>
              <w:spacing w:before="0" w:after="283"/>
              <w:rPr/>
            </w:pPr>
            <w:r>
              <w:rPr/>
              <w:t> </w:t>
            </w:r>
          </w:p>
        </w:tc>
        <w:tc>
          <w:tcPr>
            <w:tcW w:w="217"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c>
          <w:tcPr>
            <w:tcW w:w="9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(728</w:t>
            </w:r>
          </w:p>
        </w:tc>
        <w:tc>
          <w:tcPr>
            <w:tcW w:w="13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3" w:type="dxa"/>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20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8" w:type="dxa"/>
            <w:tcBorders/>
            <w:shd w:fill="E5FFFF" w:val="clear"/>
            <w:vAlign w:val="bottom"/>
          </w:tcPr>
          <w:p>
            <w:pPr>
              <w:pStyle w:val="TableContents"/>
              <w:spacing w:before="0" w:after="283"/>
              <w:rPr/>
            </w:pPr>
            <w:r>
              <w:rPr/>
              <w:t> </w:t>
            </w:r>
          </w:p>
        </w:tc>
        <w:tc>
          <w:tcPr>
            <w:tcW w:w="4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w:t>
            </w:r>
          </w:p>
        </w:tc>
        <w:tc>
          <w:tcPr>
            <w:tcW w:w="204"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(1,459</w:t>
            </w:r>
          </w:p>
        </w:tc>
        <w:tc>
          <w:tcPr>
            <w:tcW w:w="11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8" w:type="dxa"/>
            <w:tcBorders/>
            <w:shd w:fill="E5FFFF" w:val="cle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8"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397" w:right="0" w:hanging="198"/>
              <w:rPr>
                <w:rFonts w:ascii="sans-serif" w:hAnsi="sans-serif"/>
                <w:sz w:val="22"/>
              </w:rPr>
            </w:pPr>
            <w:r>
              <w:rPr>
                <w:rFonts w:ascii="sans-serif" w:hAnsi="sans-serif"/>
                <w:sz w:val="22"/>
              </w:rPr>
              <w:t>Other comprehensive income (loss) before reclassifications</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3" w:type="dxa"/>
            <w:gridSpan w:val="2"/>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(1,152</w:t>
            </w:r>
          </w:p>
        </w:tc>
        <w:tc>
          <w:tcPr>
            <w:tcW w:w="10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301" w:type="dxa"/>
            <w:gridSpan w:val="2"/>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21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98" w:type="dxa"/>
            <w:gridSpan w:val="2"/>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21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280" w:type="dxa"/>
            <w:gridSpan w:val="2"/>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91</w:t>
            </w:r>
          </w:p>
        </w:tc>
        <w:tc>
          <w:tcPr>
            <w:tcW w:w="20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(1,038</w:t>
            </w:r>
          </w:p>
        </w:tc>
        <w:tc>
          <w:tcPr>
            <w:tcW w:w="11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8" w:type="dxa"/>
            <w:tcBorders/>
            <w:shd w:fill="auto" w:val="clear"/>
            <w:vAlign w:val="bottom"/>
          </w:tcPr>
          <w:p>
            <w:pPr>
              <w:pStyle w:val="TableContents"/>
              <w:spacing w:before="0" w:after="283"/>
              <w:rPr/>
            </w:pPr>
            <w:r>
              <w:rPr/>
              <w:t> </w:t>
            </w:r>
          </w:p>
        </w:tc>
      </w:tr>
      <w:tr>
        <w:trPr/>
        <w:tc>
          <w:tcPr>
            <w:tcW w:w="3609"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Amounts reclassified from accumulated other comprehensive income</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233" w:type="dxa"/>
            <w:gridSpan w:val="2"/>
            <w:tcBorders/>
            <w:shd w:fill="E5FFFF" w:val="clear"/>
            <w:vAlign w:val="bottom"/>
          </w:tcPr>
          <w:p>
            <w:pPr>
              <w:pStyle w:val="TableContents"/>
              <w:spacing w:before="0" w:after="283"/>
              <w:rPr/>
            </w:pPr>
            <w:r>
              <w:rPr/>
              <w:t> </w:t>
            </w:r>
          </w:p>
        </w:tc>
        <w:tc>
          <w:tcPr>
            <w:tcW w:w="75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6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4" w:type="dxa"/>
            <w:tcBorders/>
            <w:shd w:fill="E5FFFF" w:val="clear"/>
            <w:vAlign w:val="bottom"/>
          </w:tcPr>
          <w:p>
            <w:pPr>
              <w:pStyle w:val="TableContents"/>
              <w:spacing w:before="0" w:after="283"/>
              <w:rPr/>
            </w:pPr>
            <w:r>
              <w:rPr/>
              <w:t> </w:t>
            </w:r>
          </w:p>
        </w:tc>
        <w:tc>
          <w:tcPr>
            <w:tcW w:w="301" w:type="dxa"/>
            <w:gridSpan w:val="2"/>
            <w:tcBorders/>
            <w:shd w:fill="E5FFFF" w:val="clear"/>
            <w:vAlign w:val="bottom"/>
          </w:tcPr>
          <w:p>
            <w:pPr>
              <w:pStyle w:val="TableContents"/>
              <w:spacing w:before="0" w:after="283"/>
              <w:rPr/>
            </w:pPr>
            <w:r>
              <w:rPr/>
              <w:t> </w:t>
            </w:r>
          </w:p>
        </w:tc>
        <w:tc>
          <w:tcPr>
            <w:tcW w:w="9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w:t>
            </w:r>
          </w:p>
        </w:tc>
        <w:tc>
          <w:tcPr>
            <w:tcW w:w="21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98" w:type="dxa"/>
            <w:gridSpan w:val="2"/>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280" w:type="dxa"/>
            <w:gridSpan w:val="2"/>
            <w:tcBorders/>
            <w:shd w:fill="E5FFFF" w:val="clear"/>
            <w:vAlign w:val="bottom"/>
          </w:tcPr>
          <w:p>
            <w:pPr>
              <w:pStyle w:val="TableContents"/>
              <w:spacing w:before="0" w:after="283"/>
              <w:rPr/>
            </w:pPr>
            <w:r>
              <w:rPr/>
              <w:t> </w:t>
            </w:r>
          </w:p>
        </w:tc>
        <w:tc>
          <w:tcPr>
            <w:tcW w:w="4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w:t>
            </w:r>
          </w:p>
        </w:tc>
        <w:tc>
          <w:tcPr>
            <w:tcW w:w="12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w:t>
            </w:r>
          </w:p>
        </w:tc>
        <w:tc>
          <w:tcPr>
            <w:tcW w:w="11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8" w:type="dxa"/>
            <w:tcBorders/>
            <w:shd w:fill="E5FFFF" w:val="cle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8"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Net current period other comprehensive income (loss)</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3" w:type="dxa"/>
            <w:gridSpan w:val="2"/>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(1,152</w:t>
            </w:r>
          </w:p>
        </w:tc>
        <w:tc>
          <w:tcPr>
            <w:tcW w:w="10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301" w:type="dxa"/>
            <w:gridSpan w:val="2"/>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84</w:t>
            </w:r>
          </w:p>
        </w:tc>
        <w:tc>
          <w:tcPr>
            <w:tcW w:w="21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98" w:type="dxa"/>
            <w:gridSpan w:val="2"/>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21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280" w:type="dxa"/>
            <w:gridSpan w:val="2"/>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w:t>
            </w:r>
          </w:p>
        </w:tc>
        <w:tc>
          <w:tcPr>
            <w:tcW w:w="12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(1,076</w:t>
            </w:r>
          </w:p>
        </w:tc>
        <w:tc>
          <w:tcPr>
            <w:tcW w:w="11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8" w:type="dxa"/>
            <w:tcBorders/>
            <w:shd w:fill="auto" w:val="cle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8"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609"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2015</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6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E5FFFF" w:val="clear"/>
            <w:vAlign w:val="bottom"/>
          </w:tcPr>
          <w:p>
            <w:pPr>
              <w:pStyle w:val="TableContents"/>
              <w:spacing w:before="0" w:after="283"/>
              <w:rPr/>
            </w:pPr>
            <w:r>
              <w:rPr/>
              <w:t> </w:t>
            </w:r>
          </w:p>
        </w:tc>
        <w:tc>
          <w:tcPr>
            <w:tcW w:w="75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(1,892</w:t>
            </w:r>
          </w:p>
        </w:tc>
        <w:tc>
          <w:tcPr>
            <w:tcW w:w="10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4" w:type="dxa"/>
            <w:tcBorders/>
            <w:shd w:fill="E5FFFF" w:val="clear"/>
            <w:vAlign w:val="bottom"/>
          </w:tcPr>
          <w:p>
            <w:pPr>
              <w:pStyle w:val="TableContents"/>
              <w:spacing w:before="0" w:after="283"/>
              <w:rPr/>
            </w:pPr>
            <w:r>
              <w:rPr/>
              <w:t> </w:t>
            </w:r>
          </w:p>
        </w:tc>
        <w:tc>
          <w:tcPr>
            <w:tcW w:w="217"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4" w:type="dxa"/>
            <w:tcBorders/>
            <w:shd w:fill="E5FFFF" w:val="clear"/>
            <w:vAlign w:val="bottom"/>
          </w:tcPr>
          <w:p>
            <w:pPr>
              <w:pStyle w:val="TableContents"/>
              <w:spacing w:before="0" w:after="283"/>
              <w:rPr/>
            </w:pPr>
            <w:r>
              <w:rPr/>
              <w:t> </w:t>
            </w:r>
          </w:p>
        </w:tc>
        <w:tc>
          <w:tcPr>
            <w:tcW w:w="9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(644</w:t>
            </w:r>
          </w:p>
        </w:tc>
        <w:tc>
          <w:tcPr>
            <w:tcW w:w="13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3" w:type="dxa"/>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20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8" w:type="dxa"/>
            <w:tcBorders/>
            <w:shd w:fill="E5FFFF" w:val="clear"/>
            <w:vAlign w:val="bottom"/>
          </w:tcPr>
          <w:p>
            <w:pPr>
              <w:pStyle w:val="TableContents"/>
              <w:spacing w:before="0" w:after="283"/>
              <w:rPr/>
            </w:pPr>
            <w:r>
              <w:rPr/>
              <w:t> </w:t>
            </w:r>
          </w:p>
        </w:tc>
        <w:tc>
          <w:tcPr>
            <w:tcW w:w="4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204"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(2,535</w:t>
            </w:r>
          </w:p>
        </w:tc>
        <w:tc>
          <w:tcPr>
            <w:tcW w:w="11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8" w:type="dxa"/>
            <w:tcBorders/>
            <w:shd w:fill="E5FFFF" w:val="clear"/>
            <w:vAlign w:val="bottom"/>
          </w:tcPr>
          <w:p>
            <w:pPr>
              <w:pStyle w:val="TableContents"/>
              <w:spacing w:before="0" w:after="283"/>
              <w:rPr/>
            </w:pPr>
            <w:r>
              <w:rPr/>
              <w:t> </w:t>
            </w:r>
          </w:p>
        </w:tc>
      </w:tr>
      <w:tr>
        <w:trPr/>
        <w:tc>
          <w:tcPr>
            <w:tcW w:w="3609"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22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8"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3"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Reclassifications Out of Accumulated Other Comprehensive Income</w:t>
      </w:r>
    </w:p>
    <w:tbl>
      <w:tblPr>
        <w:tblW w:w="10205" w:type="dxa"/>
        <w:jc w:val="left"/>
        <w:tblInd w:w="0" w:type="dxa"/>
        <w:tblCellMar>
          <w:top w:w="0" w:type="dxa"/>
          <w:left w:w="0" w:type="dxa"/>
          <w:bottom w:w="0" w:type="dxa"/>
          <w:right w:w="0" w:type="dxa"/>
        </w:tblCellMar>
      </w:tblPr>
      <w:tblGrid>
        <w:gridCol w:w="3544"/>
        <w:gridCol w:w="60"/>
        <w:gridCol w:w="75"/>
        <w:gridCol w:w="181"/>
        <w:gridCol w:w="65"/>
        <w:gridCol w:w="398"/>
        <w:gridCol w:w="103"/>
        <w:gridCol w:w="65"/>
        <w:gridCol w:w="65"/>
        <w:gridCol w:w="75"/>
        <w:gridCol w:w="194"/>
        <w:gridCol w:w="75"/>
        <w:gridCol w:w="443"/>
        <w:gridCol w:w="103"/>
        <w:gridCol w:w="65"/>
        <w:gridCol w:w="65"/>
        <w:gridCol w:w="75"/>
        <w:gridCol w:w="194"/>
        <w:gridCol w:w="75"/>
        <w:gridCol w:w="405"/>
        <w:gridCol w:w="103"/>
        <w:gridCol w:w="65"/>
        <w:gridCol w:w="65"/>
        <w:gridCol w:w="127"/>
        <w:gridCol w:w="330"/>
        <w:gridCol w:w="127"/>
        <w:gridCol w:w="618"/>
        <w:gridCol w:w="202"/>
        <w:gridCol w:w="131"/>
        <w:gridCol w:w="65"/>
        <w:gridCol w:w="123"/>
        <w:gridCol w:w="320"/>
        <w:gridCol w:w="123"/>
        <w:gridCol w:w="289"/>
        <w:gridCol w:w="60"/>
        <w:gridCol w:w="65"/>
        <w:gridCol w:w="65"/>
        <w:gridCol w:w="169"/>
        <w:gridCol w:w="65"/>
        <w:gridCol w:w="545"/>
        <w:gridCol w:w="130"/>
        <w:gridCol w:w="93"/>
      </w:tblGrid>
      <w:tr>
        <w:trPr/>
        <w:tc>
          <w:tcPr>
            <w:tcW w:w="354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55"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7"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5"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5" w:type="dxa"/>
            <w:gridSpan w:val="5"/>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67" w:type="dxa"/>
            <w:gridSpan w:val="6"/>
            <w:tcBorders/>
            <w:shd w:fill="auto" w:val="clear"/>
            <w:vAlign w:val="bottom"/>
          </w:tcPr>
          <w:p>
            <w:pPr>
              <w:pStyle w:val="TableContents"/>
              <w:spacing w:before="0" w:after="283"/>
              <w:rPr>
                <w:sz w:val="4"/>
                <w:szCs w:val="4"/>
              </w:rPr>
            </w:pPr>
            <w:r>
              <w:rPr>
                <w:sz w:val="4"/>
                <w:szCs w:val="4"/>
              </w:rPr>
            </w:r>
          </w:p>
        </w:tc>
      </w:tr>
      <w:tr>
        <w:trPr/>
        <w:tc>
          <w:tcPr>
            <w:tcW w:w="3544"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6601" w:type="dxa"/>
            <w:gridSpan w:val="40"/>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 Ended December 31, 2015</w:t>
              <w:br/>
              <w:t>Affected Line in the Consolidated Statement of Operations</w:t>
            </w:r>
            <w:r>
              <w:rPr/>
              <w:t xml:space="preserve"> </w:t>
            </w:r>
          </w:p>
        </w:tc>
      </w:tr>
      <w:tr>
        <w:trPr/>
        <w:tc>
          <w:tcPr>
            <w:tcW w:w="3544"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87"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Product</w:t>
              <w:br/>
              <w:t>Sales</w:t>
            </w:r>
          </w:p>
        </w:tc>
        <w:tc>
          <w:tcPr>
            <w:tcW w:w="65" w:type="dxa"/>
            <w:tcBorders/>
            <w:shd w:fill="auto" w:val="clear"/>
            <w:vAlign w:val="bottom"/>
          </w:tcPr>
          <w:p>
            <w:pPr>
              <w:pStyle w:val="TableContents"/>
              <w:spacing w:before="0" w:after="283"/>
              <w:rPr/>
            </w:pPr>
            <w:r>
              <w:rPr/>
              <w:t> </w:t>
            </w:r>
          </w:p>
        </w:tc>
        <w:tc>
          <w:tcPr>
            <w:tcW w:w="9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Cost of</w:t>
              <w:br/>
              <w:t>Products</w:t>
              <w:br/>
              <w:t>Sold</w:t>
            </w:r>
          </w:p>
        </w:tc>
        <w:tc>
          <w:tcPr>
            <w:tcW w:w="65" w:type="dxa"/>
            <w:tcBorders/>
            <w:shd w:fill="auto" w:val="clear"/>
            <w:vAlign w:val="bottom"/>
          </w:tcPr>
          <w:p>
            <w:pPr>
              <w:pStyle w:val="TableContents"/>
              <w:spacing w:before="0" w:after="283"/>
              <w:rPr/>
            </w:pPr>
            <w:r>
              <w:rPr/>
              <w:t> </w:t>
            </w:r>
          </w:p>
        </w:tc>
        <w:tc>
          <w:tcPr>
            <w:tcW w:w="917"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Cost of</w:t>
              <w:br/>
              <w:t>Services</w:t>
              <w:br/>
              <w:t>Sold</w:t>
            </w:r>
          </w:p>
        </w:tc>
        <w:tc>
          <w:tcPr>
            <w:tcW w:w="65" w:type="dxa"/>
            <w:tcBorders/>
            <w:shd w:fill="auto" w:val="clear"/>
            <w:vAlign w:val="bottom"/>
          </w:tcPr>
          <w:p>
            <w:pPr>
              <w:pStyle w:val="TableContents"/>
              <w:spacing w:before="0" w:after="283"/>
              <w:rPr/>
            </w:pPr>
            <w:r>
              <w:rPr/>
              <w:t> </w:t>
            </w:r>
          </w:p>
        </w:tc>
        <w:tc>
          <w:tcPr>
            <w:tcW w:w="153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Selling,</w:t>
              <w:br/>
              <w:t>General and</w:t>
              <w:br/>
              <w:t>Administrative</w:t>
              <w:br/>
              <w:t>Expenses</w:t>
            </w:r>
          </w:p>
        </w:tc>
        <w:tc>
          <w:tcPr>
            <w:tcW w:w="65" w:type="dxa"/>
            <w:tcBorders/>
            <w:shd w:fill="auto" w:val="clear"/>
            <w:vAlign w:val="bottom"/>
          </w:tcPr>
          <w:p>
            <w:pPr>
              <w:pStyle w:val="TableContents"/>
              <w:spacing w:before="0" w:after="283"/>
              <w:rPr/>
            </w:pPr>
            <w:r>
              <w:rPr/>
              <w:t> </w:t>
            </w:r>
          </w:p>
        </w:tc>
        <w:tc>
          <w:tcPr>
            <w:tcW w:w="91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Other</w:t>
              <w:br/>
              <w:t>(Income)</w:t>
              <w:br/>
              <w:t>Expense</w:t>
            </w:r>
          </w:p>
        </w:tc>
        <w:tc>
          <w:tcPr>
            <w:tcW w:w="65" w:type="dxa"/>
            <w:tcBorders/>
            <w:shd w:fill="auto" w:val="clear"/>
            <w:vAlign w:val="bottom"/>
          </w:tcPr>
          <w:p>
            <w:pPr>
              <w:pStyle w:val="TableContents"/>
              <w:spacing w:before="0" w:after="283"/>
              <w:rPr/>
            </w:pPr>
            <w:r>
              <w:rPr/>
              <w:t> </w:t>
            </w:r>
          </w:p>
        </w:tc>
        <w:tc>
          <w:tcPr>
            <w:tcW w:w="1067"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Total</w:t>
            </w:r>
            <w:r>
              <w:rPr/>
              <w:t xml:space="preserve"> </w:t>
            </w:r>
          </w:p>
        </w:tc>
      </w:tr>
      <w:tr>
        <w:trPr/>
        <w:tc>
          <w:tcPr>
            <w:tcW w:w="3544"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Amortization of Pension and Other Postretirement Items: </w:t>
            </w:r>
          </w:p>
        </w:tc>
        <w:tc>
          <w:tcPr>
            <w:tcW w:w="60" w:type="dxa"/>
            <w:tcBorders/>
            <w:shd w:fill="E5FFFF" w:val="clear"/>
            <w:vAlign w:val="bottom"/>
          </w:tcPr>
          <w:p>
            <w:pPr>
              <w:pStyle w:val="TableContents"/>
              <w:spacing w:before="0" w:after="283"/>
              <w:rPr/>
            </w:pPr>
            <w:r>
              <w:rPr/>
              <w:t> </w:t>
            </w:r>
          </w:p>
        </w:tc>
        <w:tc>
          <w:tcPr>
            <w:tcW w:w="887" w:type="dxa"/>
            <w:gridSpan w:val="6"/>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955" w:type="dxa"/>
            <w:gridSpan w:val="6"/>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917" w:type="dxa"/>
            <w:gridSpan w:val="6"/>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535" w:type="dxa"/>
            <w:gridSpan w:val="6"/>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915" w:type="dxa"/>
            <w:gridSpan w:val="5"/>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067" w:type="dxa"/>
            <w:gridSpan w:val="6"/>
            <w:tcBorders/>
            <w:shd w:fill="E5FFFF" w:val="clear"/>
            <w:vAlign w:val="bottom"/>
          </w:tcPr>
          <w:p>
            <w:pPr>
              <w:pStyle w:val="TableContents"/>
              <w:spacing w:before="0" w:after="283"/>
              <w:rPr/>
            </w:pPr>
            <w:r>
              <w:rPr/>
              <w:t> </w:t>
            </w:r>
          </w:p>
        </w:tc>
      </w:tr>
      <w:tr>
        <w:trPr/>
        <w:tc>
          <w:tcPr>
            <w:tcW w:w="3544"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Actuarial losses recognized</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68"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78</w:t>
            </w:r>
          </w:p>
        </w:tc>
        <w:tc>
          <w:tcPr>
            <w:tcW w:w="168"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w:t>
            </w:r>
          </w:p>
        </w:tc>
        <w:tc>
          <w:tcPr>
            <w:tcW w:w="168"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27"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w:t>
            </w:r>
          </w:p>
        </w:tc>
        <w:tc>
          <w:tcPr>
            <w:tcW w:w="333"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23"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111 </w:t>
            </w:r>
          </w:p>
        </w:tc>
        <w:tc>
          <w:tcPr>
            <w:tcW w:w="223" w:type="dxa"/>
            <w:gridSpan w:val="2"/>
            <w:tcBorders/>
            <w:shd w:fill="auto" w:val="clear"/>
            <w:vAlign w:val="bottom"/>
          </w:tcPr>
          <w:p>
            <w:pPr>
              <w:pStyle w:val="TableContents"/>
              <w:spacing w:before="0" w:after="283"/>
              <w:rPr/>
            </w:pPr>
            <w:r>
              <w:rPr/>
              <w:t> </w:t>
            </w:r>
          </w:p>
        </w:tc>
      </w:tr>
      <w:tr>
        <w:trPr/>
        <w:tc>
          <w:tcPr>
            <w:tcW w:w="3544"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Prior service (credit) recognized</w:t>
            </w:r>
          </w:p>
        </w:tc>
        <w:tc>
          <w:tcPr>
            <w:tcW w:w="60"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246" w:type="dxa"/>
            <w:gridSpan w:val="2"/>
            <w:tcBorders/>
            <w:shd w:fill="E5FFFF" w:val="clear"/>
            <w:vAlign w:val="bottom"/>
          </w:tcPr>
          <w:p>
            <w:pPr>
              <w:pStyle w:val="TableContents"/>
              <w:spacing w:before="0" w:after="283"/>
              <w:rPr/>
            </w:pPr>
            <w:r>
              <w:rPr/>
              <w:t> </w:t>
            </w:r>
          </w:p>
        </w:tc>
        <w:tc>
          <w:tcPr>
            <w:tcW w:w="3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68" w:type="dxa"/>
            <w:gridSpan w:val="2"/>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269"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w:t>
            </w:r>
          </w:p>
        </w:tc>
        <w:tc>
          <w:tcPr>
            <w:tcW w:w="10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269" w:type="dxa"/>
            <w:gridSpan w:val="2"/>
            <w:tcBorders/>
            <w:shd w:fill="E5FFFF" w:val="clear"/>
            <w:vAlign w:val="bottom"/>
          </w:tcPr>
          <w:p>
            <w:pPr>
              <w:pStyle w:val="TableContents"/>
              <w:spacing w:before="0" w:after="283"/>
              <w:rPr/>
            </w:pPr>
            <w:r>
              <w:rPr/>
              <w:t> </w:t>
            </w:r>
          </w:p>
        </w:tc>
        <w:tc>
          <w:tcPr>
            <w:tcW w:w="40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10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27" w:type="dxa"/>
            <w:tcBorders/>
            <w:shd w:fill="E5FFFF" w:val="clear"/>
            <w:vAlign w:val="bottom"/>
          </w:tcPr>
          <w:p>
            <w:pPr>
              <w:pStyle w:val="TableContents"/>
              <w:spacing w:before="0" w:after="283"/>
              <w:rPr/>
            </w:pPr>
            <w:r>
              <w:rPr/>
              <w:t> </w:t>
            </w:r>
          </w:p>
        </w:tc>
        <w:tc>
          <w:tcPr>
            <w:tcW w:w="457" w:type="dxa"/>
            <w:gridSpan w:val="2"/>
            <w:tcBorders/>
            <w:shd w:fill="E5FFFF" w:val="clear"/>
            <w:vAlign w:val="bottom"/>
          </w:tcPr>
          <w:p>
            <w:pPr>
              <w:pStyle w:val="TableContents"/>
              <w:spacing w:before="0" w:after="283"/>
              <w:rPr/>
            </w:pPr>
            <w:r>
              <w:rPr/>
              <w:t> </w:t>
            </w:r>
          </w:p>
        </w:tc>
        <w:tc>
          <w:tcPr>
            <w:tcW w:w="61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20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31"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23" w:type="dxa"/>
            <w:tcBorders/>
            <w:shd w:fill="E5FFFF" w:val="clear"/>
            <w:vAlign w:val="bottom"/>
          </w:tcPr>
          <w:p>
            <w:pPr>
              <w:pStyle w:val="TableContents"/>
              <w:spacing w:before="0" w:after="283"/>
              <w:rPr/>
            </w:pPr>
            <w:r>
              <w:rPr/>
              <w:t> </w:t>
            </w:r>
          </w:p>
        </w:tc>
        <w:tc>
          <w:tcPr>
            <w:tcW w:w="443" w:type="dxa"/>
            <w:gridSpan w:val="2"/>
            <w:tcBorders/>
            <w:shd w:fill="E5FFFF" w:val="clear"/>
            <w:vAlign w:val="bottom"/>
          </w:tcPr>
          <w:p>
            <w:pPr>
              <w:pStyle w:val="TableContents"/>
              <w:spacing w:before="0" w:after="283"/>
              <w:rPr/>
            </w:pPr>
            <w:r>
              <w:rPr/>
              <w:t> </w:t>
            </w:r>
          </w:p>
        </w:tc>
        <w:tc>
          <w:tcPr>
            <w:tcW w:w="28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234" w:type="dxa"/>
            <w:gridSpan w:val="2"/>
            <w:tcBorders/>
            <w:shd w:fill="E5FFFF" w:val="clear"/>
            <w:vAlign w:val="bottom"/>
          </w:tcPr>
          <w:p>
            <w:pPr>
              <w:pStyle w:val="TableContents"/>
              <w:spacing w:before="0" w:after="283"/>
              <w:rPr/>
            </w:pPr>
            <w:r>
              <w:rPr/>
              <w:t> </w:t>
            </w:r>
          </w:p>
        </w:tc>
        <w:tc>
          <w:tcPr>
            <w:tcW w:w="54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130"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93" w:type="dxa"/>
            <w:tcBorders/>
            <w:shd w:fill="E5FFFF" w:val="clear"/>
            <w:vAlign w:val="bottom"/>
          </w:tcPr>
          <w:p>
            <w:pPr>
              <w:pStyle w:val="TableContents"/>
              <w:spacing w:before="0" w:after="283"/>
              <w:rPr/>
            </w:pPr>
            <w:r>
              <w:rPr/>
              <w:t> </w:t>
            </w:r>
          </w:p>
        </w:tc>
      </w:tr>
      <w:tr>
        <w:trPr/>
        <w:tc>
          <w:tcPr>
            <w:tcW w:w="3544"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Settlements and curtailments</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46" w:type="dxa"/>
            <w:gridSpan w:val="2"/>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68"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69" w:type="dxa"/>
            <w:gridSpan w:val="2"/>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68"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69" w:type="dxa"/>
            <w:gridSpan w:val="2"/>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68"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57" w:type="dxa"/>
            <w:gridSpan w:val="2"/>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333"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43" w:type="dxa"/>
            <w:gridSpan w:val="2"/>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234" w:type="dxa"/>
            <w:gridSpan w:val="2"/>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 </w:t>
            </w:r>
          </w:p>
        </w:tc>
        <w:tc>
          <w:tcPr>
            <w:tcW w:w="223" w:type="dxa"/>
            <w:gridSpan w:val="2"/>
            <w:tcBorders/>
            <w:shd w:fill="auto" w:val="clear"/>
            <w:vAlign w:val="bottom"/>
          </w:tcPr>
          <w:p>
            <w:pPr>
              <w:pStyle w:val="TableContents"/>
              <w:spacing w:before="0" w:after="283"/>
              <w:rPr/>
            </w:pPr>
            <w:r>
              <w:rPr/>
              <w:t> </w:t>
            </w:r>
          </w:p>
        </w:tc>
      </w:tr>
      <w:tr>
        <w:trPr/>
        <w:tc>
          <w:tcPr>
            <w:tcW w:w="3544"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Losses (gains) on cash flow hedges</w:t>
            </w:r>
          </w:p>
        </w:tc>
        <w:tc>
          <w:tcPr>
            <w:tcW w:w="60"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246" w:type="dxa"/>
            <w:gridSpan w:val="2"/>
            <w:tcBorders/>
            <w:shd w:fill="E5FFFF" w:val="clear"/>
            <w:vAlign w:val="bottom"/>
          </w:tcPr>
          <w:p>
            <w:pPr>
              <w:pStyle w:val="TableContents"/>
              <w:spacing w:before="0" w:after="283"/>
              <w:rPr/>
            </w:pPr>
            <w:r>
              <w:rPr/>
              <w:t> </w:t>
            </w:r>
          </w:p>
        </w:tc>
        <w:tc>
          <w:tcPr>
            <w:tcW w:w="39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w:t>
            </w:r>
          </w:p>
        </w:tc>
        <w:tc>
          <w:tcPr>
            <w:tcW w:w="10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269"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(73</w:t>
            </w:r>
          </w:p>
        </w:tc>
        <w:tc>
          <w:tcPr>
            <w:tcW w:w="10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269" w:type="dxa"/>
            <w:gridSpan w:val="2"/>
            <w:tcBorders/>
            <w:shd w:fill="E5FFFF" w:val="clear"/>
            <w:vAlign w:val="bottom"/>
          </w:tcPr>
          <w:p>
            <w:pPr>
              <w:pStyle w:val="TableContents"/>
              <w:spacing w:before="0" w:after="283"/>
              <w:rPr/>
            </w:pPr>
            <w:r>
              <w:rPr/>
              <w:t> </w:t>
            </w:r>
          </w:p>
        </w:tc>
        <w:tc>
          <w:tcPr>
            <w:tcW w:w="40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w:t>
            </w:r>
          </w:p>
        </w:tc>
        <w:tc>
          <w:tcPr>
            <w:tcW w:w="10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27" w:type="dxa"/>
            <w:tcBorders/>
            <w:shd w:fill="E5FFFF" w:val="clear"/>
            <w:vAlign w:val="bottom"/>
          </w:tcPr>
          <w:p>
            <w:pPr>
              <w:pStyle w:val="TableContents"/>
              <w:spacing w:before="0" w:after="283"/>
              <w:rPr/>
            </w:pPr>
            <w:r>
              <w:rPr/>
              <w:t> </w:t>
            </w:r>
          </w:p>
        </w:tc>
        <w:tc>
          <w:tcPr>
            <w:tcW w:w="457" w:type="dxa"/>
            <w:gridSpan w:val="2"/>
            <w:tcBorders/>
            <w:shd w:fill="E5FFFF" w:val="clear"/>
            <w:vAlign w:val="bottom"/>
          </w:tcPr>
          <w:p>
            <w:pPr>
              <w:pStyle w:val="TableContents"/>
              <w:spacing w:before="0" w:after="283"/>
              <w:rPr/>
            </w:pPr>
            <w:r>
              <w:rPr/>
              <w:t> </w:t>
            </w:r>
          </w:p>
        </w:tc>
        <w:tc>
          <w:tcPr>
            <w:tcW w:w="618"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20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31"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123" w:type="dxa"/>
            <w:tcBorders/>
            <w:shd w:fill="E5FFFF" w:val="clear"/>
            <w:vAlign w:val="bottom"/>
          </w:tcPr>
          <w:p>
            <w:pPr>
              <w:pStyle w:val="TableContents"/>
              <w:spacing w:before="0" w:after="283"/>
              <w:rPr/>
            </w:pPr>
            <w:r>
              <w:rPr/>
              <w:t> </w:t>
            </w:r>
          </w:p>
        </w:tc>
        <w:tc>
          <w:tcPr>
            <w:tcW w:w="443" w:type="dxa"/>
            <w:gridSpan w:val="2"/>
            <w:tcBorders/>
            <w:shd w:fill="E5FFFF" w:val="clear"/>
            <w:vAlign w:val="bottom"/>
          </w:tcPr>
          <w:p>
            <w:pPr>
              <w:pStyle w:val="TableContents"/>
              <w:spacing w:before="0" w:after="283"/>
              <w:rPr/>
            </w:pPr>
            <w:r>
              <w:rPr/>
              <w:t> </w:t>
            </w:r>
          </w:p>
        </w:tc>
        <w:tc>
          <w:tcPr>
            <w:tcW w:w="28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234" w:type="dxa"/>
            <w:gridSpan w:val="2"/>
            <w:tcBorders/>
            <w:shd w:fill="E5FFFF" w:val="clear"/>
            <w:vAlign w:val="bottom"/>
          </w:tcPr>
          <w:p>
            <w:pPr>
              <w:pStyle w:val="TableContents"/>
              <w:spacing w:before="0" w:after="283"/>
              <w:rPr/>
            </w:pPr>
            <w:r>
              <w:rPr/>
              <w:t> </w:t>
            </w:r>
          </w:p>
        </w:tc>
        <w:tc>
          <w:tcPr>
            <w:tcW w:w="54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(109</w:t>
            </w:r>
          </w:p>
        </w:tc>
        <w:tc>
          <w:tcPr>
            <w:tcW w:w="130"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93" w:type="dxa"/>
            <w:tcBorders/>
            <w:shd w:fill="E5FFFF" w:val="clear"/>
            <w:vAlign w:val="bottom"/>
          </w:tcPr>
          <w:p>
            <w:pPr>
              <w:pStyle w:val="TableContents"/>
              <w:spacing w:before="0" w:after="283"/>
              <w:rPr/>
            </w:pPr>
            <w:r>
              <w:rPr/>
              <w:t> </w:t>
            </w:r>
          </w:p>
        </w:tc>
      </w:tr>
      <w:tr>
        <w:trPr/>
        <w:tc>
          <w:tcPr>
            <w:tcW w:w="3544"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87"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7"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67"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544"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Total before tax</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w:t>
            </w:r>
          </w:p>
        </w:tc>
        <w:tc>
          <w:tcPr>
            <w:tcW w:w="10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w:t>
            </w:r>
          </w:p>
        </w:tc>
        <w:tc>
          <w:tcPr>
            <w:tcW w:w="10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103"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27" w:type="dxa"/>
            <w:tcBorders/>
            <w:shd w:fill="auto" w:val="clear"/>
            <w:vAlign w:val="bottom"/>
          </w:tcPr>
          <w:p>
            <w:pPr>
              <w:pStyle w:val="TableContents"/>
              <w:spacing w:before="0" w:after="283"/>
              <w:rPr/>
            </w:pPr>
            <w:r>
              <w:rPr/>
              <w:t> </w:t>
            </w:r>
          </w:p>
        </w:tc>
        <w:tc>
          <w:tcPr>
            <w:tcW w:w="618"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333" w:type="dxa"/>
            <w:gridSpan w:val="2"/>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23"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w:t>
            </w:r>
          </w:p>
        </w:tc>
        <w:tc>
          <w:tcPr>
            <w:tcW w:w="130"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93" w:type="dxa"/>
            <w:tcBorders/>
            <w:shd w:fill="auto" w:val="clear"/>
            <w:vAlign w:val="bottom"/>
          </w:tcPr>
          <w:p>
            <w:pPr>
              <w:pStyle w:val="TableContents"/>
              <w:spacing w:before="0" w:after="283"/>
              <w:rPr/>
            </w:pPr>
            <w:r>
              <w:rPr/>
              <w:t> </w:t>
            </w:r>
          </w:p>
        </w:tc>
      </w:tr>
      <w:tr>
        <w:trPr/>
        <w:tc>
          <w:tcPr>
            <w:tcW w:w="3544"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87"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7"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67"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9073" w:type="dxa"/>
            <w:gridSpan w:val="35"/>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Tax expense (benefit)</w:t>
            </w:r>
          </w:p>
        </w:tc>
        <w:tc>
          <w:tcPr>
            <w:tcW w:w="65"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234" w:type="dxa"/>
            <w:gridSpan w:val="2"/>
            <w:tcBorders/>
            <w:shd w:fill="E5FFFF" w:val="clear"/>
            <w:vAlign w:val="bottom"/>
          </w:tcPr>
          <w:p>
            <w:pPr>
              <w:pStyle w:val="TableContents"/>
              <w:spacing w:before="0" w:after="283"/>
              <w:rPr/>
            </w:pPr>
            <w:r>
              <w:rPr/>
              <w:t> </w:t>
            </w:r>
          </w:p>
        </w:tc>
        <w:tc>
          <w:tcPr>
            <w:tcW w:w="54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w:t>
            </w:r>
          </w:p>
        </w:tc>
        <w:tc>
          <w:tcPr>
            <w:tcW w:w="130"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93" w:type="dxa"/>
            <w:tcBorders/>
            <w:shd w:fill="E5FFFF" w:val="clear"/>
            <w:vAlign w:val="bottom"/>
          </w:tcPr>
          <w:p>
            <w:pPr>
              <w:pStyle w:val="TableContents"/>
              <w:spacing w:before="0" w:after="283"/>
              <w:rPr/>
            </w:pPr>
            <w:r>
              <w:rPr/>
              <w:t> </w:t>
            </w:r>
          </w:p>
        </w:tc>
      </w:tr>
      <w:tr>
        <w:trPr/>
        <w:tc>
          <w:tcPr>
            <w:tcW w:w="3544"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87"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55"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7"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5"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5" w:type="dxa"/>
            <w:gridSpan w:val="5"/>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67"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9073" w:type="dxa"/>
            <w:gridSpan w:val="35"/>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Total reclassifications for the period, net of tax</w:t>
            </w:r>
          </w:p>
        </w:tc>
        <w:tc>
          <w:tcPr>
            <w:tcW w:w="65"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5" w:type="dxa"/>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w:t>
            </w:r>
          </w:p>
        </w:tc>
        <w:tc>
          <w:tcPr>
            <w:tcW w:w="130"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93" w:type="dxa"/>
            <w:tcBorders/>
            <w:shd w:fill="auto" w:val="clear"/>
            <w:vAlign w:val="bottom"/>
          </w:tcPr>
          <w:p>
            <w:pPr>
              <w:pStyle w:val="TableContents"/>
              <w:spacing w:before="0" w:after="283"/>
              <w:rPr/>
            </w:pPr>
            <w:r>
              <w:rPr/>
              <w:t> </w:t>
            </w:r>
          </w:p>
        </w:tc>
      </w:tr>
      <w:tr>
        <w:trPr/>
        <w:tc>
          <w:tcPr>
            <w:tcW w:w="3544"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87"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55"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7"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535" w:type="dxa"/>
            <w:gridSpan w:val="6"/>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915" w:type="dxa"/>
            <w:gridSpan w:val="5"/>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1067"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55</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tbl>
      <w:tblPr>
        <w:tblW w:w="10205" w:type="dxa"/>
        <w:jc w:val="left"/>
        <w:tblInd w:w="0" w:type="dxa"/>
        <w:tblCellMar>
          <w:top w:w="0" w:type="dxa"/>
          <w:left w:w="0" w:type="dxa"/>
          <w:bottom w:w="0" w:type="dxa"/>
          <w:right w:w="0" w:type="dxa"/>
        </w:tblCellMar>
      </w:tblPr>
      <w:tblGrid>
        <w:gridCol w:w="3521"/>
        <w:gridCol w:w="60"/>
        <w:gridCol w:w="75"/>
        <w:gridCol w:w="194"/>
        <w:gridCol w:w="75"/>
        <w:gridCol w:w="289"/>
        <w:gridCol w:w="119"/>
        <w:gridCol w:w="78"/>
        <w:gridCol w:w="64"/>
        <w:gridCol w:w="74"/>
        <w:gridCol w:w="191"/>
        <w:gridCol w:w="74"/>
        <w:gridCol w:w="470"/>
        <w:gridCol w:w="102"/>
        <w:gridCol w:w="64"/>
        <w:gridCol w:w="64"/>
        <w:gridCol w:w="89"/>
        <w:gridCol w:w="230"/>
        <w:gridCol w:w="89"/>
        <w:gridCol w:w="431"/>
        <w:gridCol w:w="60"/>
        <w:gridCol w:w="64"/>
        <w:gridCol w:w="156"/>
        <w:gridCol w:w="404"/>
        <w:gridCol w:w="156"/>
        <w:gridCol w:w="757"/>
        <w:gridCol w:w="62"/>
        <w:gridCol w:w="64"/>
        <w:gridCol w:w="64"/>
        <w:gridCol w:w="167"/>
        <w:gridCol w:w="64"/>
        <w:gridCol w:w="541"/>
        <w:gridCol w:w="102"/>
        <w:gridCol w:w="64"/>
        <w:gridCol w:w="64"/>
        <w:gridCol w:w="64"/>
        <w:gridCol w:w="167"/>
        <w:gridCol w:w="64"/>
        <w:gridCol w:w="541"/>
        <w:gridCol w:w="129"/>
        <w:gridCol w:w="98"/>
      </w:tblGrid>
      <w:tr>
        <w:trPr/>
        <w:tc>
          <w:tcPr>
            <w:tcW w:w="352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975"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9" w:type="dxa"/>
            <w:gridSpan w:val="5"/>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5" w:type="dxa"/>
            <w:gridSpan w:val="5"/>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02"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63" w:type="dxa"/>
            <w:gridSpan w:val="6"/>
            <w:tcBorders/>
            <w:shd w:fill="auto" w:val="clear"/>
            <w:vAlign w:val="bottom"/>
          </w:tcPr>
          <w:p>
            <w:pPr>
              <w:pStyle w:val="TableContents"/>
              <w:spacing w:before="0" w:after="283"/>
              <w:rPr>
                <w:sz w:val="4"/>
                <w:szCs w:val="4"/>
              </w:rPr>
            </w:pPr>
            <w:r>
              <w:rPr>
                <w:sz w:val="4"/>
                <w:szCs w:val="4"/>
              </w:rPr>
            </w:r>
          </w:p>
        </w:tc>
      </w:tr>
      <w:tr>
        <w:trPr/>
        <w:tc>
          <w:tcPr>
            <w:tcW w:w="3521"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6624" w:type="dxa"/>
            <w:gridSpan w:val="39"/>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 Ended December 31, 2014</w:t>
              <w:br/>
              <w:t>Affected Line in the Consolidated Statement of Operations</w:t>
            </w:r>
            <w:r>
              <w:rPr/>
              <w:t xml:space="preserve"> </w:t>
            </w:r>
          </w:p>
        </w:tc>
      </w:tr>
      <w:tr>
        <w:trPr/>
        <w:tc>
          <w:tcPr>
            <w:tcW w:w="3521"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Product</w:t>
              <w:br/>
              <w:t>Sales</w:t>
            </w:r>
          </w:p>
        </w:tc>
        <w:tc>
          <w:tcPr>
            <w:tcW w:w="64" w:type="dxa"/>
            <w:tcBorders/>
            <w:shd w:fill="auto" w:val="clear"/>
            <w:vAlign w:val="bottom"/>
          </w:tcPr>
          <w:p>
            <w:pPr>
              <w:pStyle w:val="TableContents"/>
              <w:spacing w:before="0" w:after="283"/>
              <w:rPr/>
            </w:pPr>
            <w:r>
              <w:rPr/>
              <w:t> </w:t>
            </w:r>
          </w:p>
        </w:tc>
        <w:tc>
          <w:tcPr>
            <w:tcW w:w="97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Cost of</w:t>
              <w:br/>
              <w:t>Products</w:t>
              <w:br/>
              <w:t>Sold</w:t>
            </w:r>
          </w:p>
        </w:tc>
        <w:tc>
          <w:tcPr>
            <w:tcW w:w="64" w:type="dxa"/>
            <w:tcBorders/>
            <w:shd w:fill="auto" w:val="clear"/>
            <w:vAlign w:val="bottom"/>
          </w:tcPr>
          <w:p>
            <w:pPr>
              <w:pStyle w:val="TableContents"/>
              <w:spacing w:before="0" w:after="283"/>
              <w:rPr/>
            </w:pPr>
            <w:r>
              <w:rPr/>
              <w:t> </w:t>
            </w:r>
          </w:p>
        </w:tc>
        <w:tc>
          <w:tcPr>
            <w:tcW w:w="899"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Cost of</w:t>
              <w:br/>
              <w:t>Services</w:t>
              <w:br/>
              <w:t>Sold</w:t>
            </w:r>
          </w:p>
        </w:tc>
        <w:tc>
          <w:tcPr>
            <w:tcW w:w="64" w:type="dxa"/>
            <w:tcBorders/>
            <w:shd w:fill="auto" w:val="clear"/>
            <w:vAlign w:val="bottom"/>
          </w:tcPr>
          <w:p>
            <w:pPr>
              <w:pStyle w:val="TableContents"/>
              <w:spacing w:before="0" w:after="283"/>
              <w:rPr/>
            </w:pPr>
            <w:r>
              <w:rPr/>
              <w:t> </w:t>
            </w:r>
          </w:p>
        </w:tc>
        <w:tc>
          <w:tcPr>
            <w:tcW w:w="153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Selling,</w:t>
              <w:br/>
              <w:t>General and</w:t>
              <w:br/>
              <w:t>Administrative</w:t>
              <w:br/>
              <w:t>Expenses</w:t>
            </w:r>
          </w:p>
        </w:tc>
        <w:tc>
          <w:tcPr>
            <w:tcW w:w="64" w:type="dxa"/>
            <w:tcBorders/>
            <w:shd w:fill="auto" w:val="clear"/>
            <w:vAlign w:val="bottom"/>
          </w:tcPr>
          <w:p>
            <w:pPr>
              <w:pStyle w:val="TableContents"/>
              <w:spacing w:before="0" w:after="283"/>
              <w:rPr/>
            </w:pPr>
            <w:r>
              <w:rPr/>
              <w:t> </w:t>
            </w:r>
          </w:p>
        </w:tc>
        <w:tc>
          <w:tcPr>
            <w:tcW w:w="1002"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Other</w:t>
              <w:br/>
              <w:t>(Income)</w:t>
              <w:br/>
              <w:t>Expense</w:t>
            </w:r>
          </w:p>
        </w:tc>
        <w:tc>
          <w:tcPr>
            <w:tcW w:w="64" w:type="dxa"/>
            <w:tcBorders/>
            <w:shd w:fill="auto" w:val="clear"/>
            <w:vAlign w:val="bottom"/>
          </w:tcPr>
          <w:p>
            <w:pPr>
              <w:pStyle w:val="TableContents"/>
              <w:spacing w:before="0" w:after="283"/>
              <w:rPr/>
            </w:pPr>
            <w:r>
              <w:rPr/>
              <w:t> </w:t>
            </w:r>
          </w:p>
        </w:tc>
        <w:tc>
          <w:tcPr>
            <w:tcW w:w="1063"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Total</w:t>
            </w:r>
            <w:r>
              <w:rPr/>
              <w:t xml:space="preserve"> </w:t>
            </w:r>
          </w:p>
        </w:tc>
      </w:tr>
      <w:tr>
        <w:trPr/>
        <w:tc>
          <w:tcPr>
            <w:tcW w:w="3521"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 xml:space="preserve">Amortization of Pension and Other Postretirement Items: </w:t>
            </w:r>
          </w:p>
        </w:tc>
        <w:tc>
          <w:tcPr>
            <w:tcW w:w="60" w:type="dxa"/>
            <w:tcBorders/>
            <w:shd w:fill="E5FFFF" w:val="clear"/>
            <w:vAlign w:val="bottom"/>
          </w:tcPr>
          <w:p>
            <w:pPr>
              <w:pStyle w:val="TableContents"/>
              <w:spacing w:before="0" w:after="283"/>
              <w:rPr/>
            </w:pPr>
            <w:r>
              <w:rPr/>
              <w:t> </w:t>
            </w:r>
          </w:p>
        </w:tc>
        <w:tc>
          <w:tcPr>
            <w:tcW w:w="830" w:type="dxa"/>
            <w:gridSpan w:val="6"/>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975" w:type="dxa"/>
            <w:gridSpan w:val="6"/>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899" w:type="dxa"/>
            <w:gridSpan w:val="5"/>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535" w:type="dxa"/>
            <w:gridSpan w:val="5"/>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002" w:type="dxa"/>
            <w:gridSpan w:val="6"/>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063" w:type="dxa"/>
            <w:gridSpan w:val="6"/>
            <w:tcBorders/>
            <w:shd w:fill="E5FFFF" w:val="clear"/>
            <w:vAlign w:val="bottom"/>
          </w:tcPr>
          <w:p>
            <w:pPr>
              <w:pStyle w:val="TableContents"/>
              <w:spacing w:before="0" w:after="283"/>
              <w:rPr/>
            </w:pPr>
            <w:r>
              <w:rPr/>
              <w:t> </w:t>
            </w:r>
          </w:p>
        </w:tc>
      </w:tr>
      <w:tr>
        <w:trPr/>
        <w:tc>
          <w:tcPr>
            <w:tcW w:w="3521"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Actuarial losses recognized</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97"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199</w:t>
            </w:r>
          </w:p>
        </w:tc>
        <w:tc>
          <w:tcPr>
            <w:tcW w:w="166"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9"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56" w:type="dxa"/>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w:t>
            </w:r>
          </w:p>
        </w:tc>
        <w:tc>
          <w:tcPr>
            <w:tcW w:w="62"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66"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279 </w:t>
            </w:r>
          </w:p>
        </w:tc>
        <w:tc>
          <w:tcPr>
            <w:tcW w:w="227" w:type="dxa"/>
            <w:gridSpan w:val="2"/>
            <w:tcBorders/>
            <w:shd w:fill="auto" w:val="clear"/>
            <w:vAlign w:val="bottom"/>
          </w:tcPr>
          <w:p>
            <w:pPr>
              <w:pStyle w:val="TableContents"/>
              <w:spacing w:before="0" w:after="283"/>
              <w:rPr/>
            </w:pPr>
            <w:r>
              <w:rPr/>
              <w:t> </w:t>
            </w:r>
          </w:p>
        </w:tc>
      </w:tr>
      <w:tr>
        <w:trPr/>
        <w:tc>
          <w:tcPr>
            <w:tcW w:w="3521"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Prior service (credit) recognized</w:t>
            </w:r>
          </w:p>
        </w:tc>
        <w:tc>
          <w:tcPr>
            <w:tcW w:w="60"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269" w:type="dxa"/>
            <w:gridSpan w:val="2"/>
            <w:tcBorders/>
            <w:shd w:fill="E5FFFF" w:val="clear"/>
            <w:vAlign w:val="bottom"/>
          </w:tcPr>
          <w:p>
            <w:pPr>
              <w:pStyle w:val="TableContents"/>
              <w:spacing w:before="0" w:after="283"/>
              <w:rPr/>
            </w:pPr>
            <w:r>
              <w:rPr/>
              <w:t> </w:t>
            </w:r>
          </w:p>
        </w:tc>
        <w:tc>
          <w:tcPr>
            <w:tcW w:w="28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97" w:type="dxa"/>
            <w:gridSpan w:val="2"/>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74" w:type="dxa"/>
            <w:tcBorders/>
            <w:shd w:fill="E5FFFF" w:val="clear"/>
            <w:vAlign w:val="bottom"/>
          </w:tcPr>
          <w:p>
            <w:pPr>
              <w:pStyle w:val="TableContents"/>
              <w:spacing w:before="0" w:after="283"/>
              <w:rPr/>
            </w:pPr>
            <w:r>
              <w:rPr/>
              <w:t> </w:t>
            </w:r>
          </w:p>
        </w:tc>
        <w:tc>
          <w:tcPr>
            <w:tcW w:w="265" w:type="dxa"/>
            <w:gridSpan w:val="2"/>
            <w:tcBorders/>
            <w:shd w:fill="E5FFFF" w:val="clear"/>
            <w:vAlign w:val="bottom"/>
          </w:tcPr>
          <w:p>
            <w:pPr>
              <w:pStyle w:val="TableContents"/>
              <w:spacing w:before="0" w:after="283"/>
              <w:rPr/>
            </w:pPr>
            <w:r>
              <w:rPr/>
              <w:t> </w:t>
            </w:r>
          </w:p>
        </w:tc>
        <w:tc>
          <w:tcPr>
            <w:tcW w:w="47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10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89" w:type="dxa"/>
            <w:tcBorders/>
            <w:shd w:fill="E5FFFF" w:val="clear"/>
            <w:vAlign w:val="bottom"/>
          </w:tcPr>
          <w:p>
            <w:pPr>
              <w:pStyle w:val="TableContents"/>
              <w:spacing w:before="0" w:after="283"/>
              <w:rPr/>
            </w:pPr>
            <w:r>
              <w:rPr/>
              <w:t> </w:t>
            </w:r>
          </w:p>
        </w:tc>
        <w:tc>
          <w:tcPr>
            <w:tcW w:w="319" w:type="dxa"/>
            <w:gridSpan w:val="2"/>
            <w:tcBorders/>
            <w:shd w:fill="E5FFFF" w:val="clear"/>
            <w:vAlign w:val="bottom"/>
          </w:tcPr>
          <w:p>
            <w:pPr>
              <w:pStyle w:val="TableContents"/>
              <w:spacing w:before="0" w:after="283"/>
              <w:rPr/>
            </w:pPr>
            <w:r>
              <w:rPr/>
              <w:t> </w:t>
            </w:r>
          </w:p>
        </w:tc>
        <w:tc>
          <w:tcPr>
            <w:tcW w:w="43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56" w:type="dxa"/>
            <w:tcBorders/>
            <w:shd w:fill="E5FFFF" w:val="clear"/>
            <w:vAlign w:val="bottom"/>
          </w:tcPr>
          <w:p>
            <w:pPr>
              <w:pStyle w:val="TableContents"/>
              <w:spacing w:before="0" w:after="283"/>
              <w:rPr/>
            </w:pPr>
            <w:r>
              <w:rPr/>
              <w:t> </w:t>
            </w:r>
          </w:p>
        </w:tc>
        <w:tc>
          <w:tcPr>
            <w:tcW w:w="560" w:type="dxa"/>
            <w:gridSpan w:val="2"/>
            <w:tcBorders/>
            <w:shd w:fill="E5FFFF" w:val="clear"/>
            <w:vAlign w:val="bottom"/>
          </w:tcPr>
          <w:p>
            <w:pPr>
              <w:pStyle w:val="TableContents"/>
              <w:spacing w:before="0" w:after="283"/>
              <w:rPr/>
            </w:pPr>
            <w:r>
              <w:rPr/>
              <w:t> </w:t>
            </w:r>
          </w:p>
        </w:tc>
        <w:tc>
          <w:tcPr>
            <w:tcW w:w="7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2"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231" w:type="dxa"/>
            <w:gridSpan w:val="2"/>
            <w:tcBorders/>
            <w:shd w:fill="E5FFFF" w:val="clear"/>
            <w:vAlign w:val="bottom"/>
          </w:tcPr>
          <w:p>
            <w:pPr>
              <w:pStyle w:val="TableContents"/>
              <w:spacing w:before="0" w:after="283"/>
              <w:rPr/>
            </w:pPr>
            <w:r>
              <w:rPr/>
              <w:t> </w:t>
            </w:r>
          </w:p>
        </w:tc>
        <w:tc>
          <w:tcPr>
            <w:tcW w:w="54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66" w:type="dxa"/>
            <w:gridSpan w:val="2"/>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231" w:type="dxa"/>
            <w:gridSpan w:val="2"/>
            <w:tcBorders/>
            <w:shd w:fill="E5FFFF" w:val="clear"/>
            <w:vAlign w:val="bottom"/>
          </w:tcPr>
          <w:p>
            <w:pPr>
              <w:pStyle w:val="TableContents"/>
              <w:spacing w:before="0" w:after="283"/>
              <w:rPr/>
            </w:pPr>
            <w:r>
              <w:rPr/>
              <w:t> </w:t>
            </w:r>
          </w:p>
        </w:tc>
        <w:tc>
          <w:tcPr>
            <w:tcW w:w="54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129"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98" w:type="dxa"/>
            <w:tcBorders/>
            <w:shd w:fill="E5FFFF" w:val="clear"/>
            <w:vAlign w:val="bottom"/>
          </w:tcPr>
          <w:p>
            <w:pPr>
              <w:pStyle w:val="TableContents"/>
              <w:spacing w:before="0" w:after="283"/>
              <w:rPr/>
            </w:pPr>
            <w:r>
              <w:rPr/>
              <w:t> </w:t>
            </w:r>
          </w:p>
        </w:tc>
      </w:tr>
      <w:tr>
        <w:trPr/>
        <w:tc>
          <w:tcPr>
            <w:tcW w:w="3521"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Transition obligation recognized</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69" w:type="dxa"/>
            <w:gridSpan w:val="2"/>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97"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65" w:type="dxa"/>
            <w:gridSpan w:val="2"/>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66"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9" w:type="dxa"/>
            <w:gridSpan w:val="2"/>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60" w:type="dxa"/>
            <w:gridSpan w:val="2"/>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231" w:type="dxa"/>
            <w:gridSpan w:val="2"/>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66"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231" w:type="dxa"/>
            <w:gridSpan w:val="2"/>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 </w:t>
            </w:r>
          </w:p>
        </w:tc>
        <w:tc>
          <w:tcPr>
            <w:tcW w:w="227" w:type="dxa"/>
            <w:gridSpan w:val="2"/>
            <w:tcBorders/>
            <w:shd w:fill="auto" w:val="clear"/>
            <w:vAlign w:val="bottom"/>
          </w:tcPr>
          <w:p>
            <w:pPr>
              <w:pStyle w:val="TableContents"/>
              <w:spacing w:before="0" w:after="283"/>
              <w:rPr/>
            </w:pPr>
            <w:r>
              <w:rPr/>
              <w:t> </w:t>
            </w:r>
          </w:p>
        </w:tc>
      </w:tr>
      <w:tr>
        <w:trPr/>
        <w:tc>
          <w:tcPr>
            <w:tcW w:w="3521"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Losses (gains) on cash flow hedges</w:t>
            </w:r>
          </w:p>
        </w:tc>
        <w:tc>
          <w:tcPr>
            <w:tcW w:w="60"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269" w:type="dxa"/>
            <w:gridSpan w:val="2"/>
            <w:tcBorders/>
            <w:shd w:fill="E5FFFF" w:val="clear"/>
            <w:vAlign w:val="bottom"/>
          </w:tcPr>
          <w:p>
            <w:pPr>
              <w:pStyle w:val="TableContents"/>
              <w:spacing w:before="0" w:after="283"/>
              <w:rPr/>
            </w:pPr>
            <w:r>
              <w:rPr/>
              <w:t> </w:t>
            </w:r>
          </w:p>
        </w:tc>
        <w:tc>
          <w:tcPr>
            <w:tcW w:w="28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11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8"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74" w:type="dxa"/>
            <w:tcBorders/>
            <w:shd w:fill="E5FFFF" w:val="clear"/>
            <w:vAlign w:val="bottom"/>
          </w:tcPr>
          <w:p>
            <w:pPr>
              <w:pStyle w:val="TableContents"/>
              <w:spacing w:before="0" w:after="283"/>
              <w:rPr/>
            </w:pPr>
            <w:r>
              <w:rPr/>
              <w:t> </w:t>
            </w:r>
          </w:p>
        </w:tc>
        <w:tc>
          <w:tcPr>
            <w:tcW w:w="265" w:type="dxa"/>
            <w:gridSpan w:val="2"/>
            <w:tcBorders/>
            <w:shd w:fill="E5FFFF" w:val="clear"/>
            <w:vAlign w:val="bottom"/>
          </w:tcPr>
          <w:p>
            <w:pPr>
              <w:pStyle w:val="TableContents"/>
              <w:spacing w:before="0" w:after="283"/>
              <w:rPr/>
            </w:pPr>
            <w:r>
              <w:rPr/>
              <w:t> </w:t>
            </w:r>
          </w:p>
        </w:tc>
        <w:tc>
          <w:tcPr>
            <w:tcW w:w="47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66" w:type="dxa"/>
            <w:gridSpan w:val="2"/>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89" w:type="dxa"/>
            <w:tcBorders/>
            <w:shd w:fill="E5FFFF" w:val="clear"/>
            <w:vAlign w:val="bottom"/>
          </w:tcPr>
          <w:p>
            <w:pPr>
              <w:pStyle w:val="TableContents"/>
              <w:spacing w:before="0" w:after="283"/>
              <w:rPr/>
            </w:pPr>
            <w:r>
              <w:rPr/>
              <w:t> </w:t>
            </w:r>
          </w:p>
        </w:tc>
        <w:tc>
          <w:tcPr>
            <w:tcW w:w="319" w:type="dxa"/>
            <w:gridSpan w:val="2"/>
            <w:tcBorders/>
            <w:shd w:fill="E5FFFF" w:val="clear"/>
            <w:vAlign w:val="bottom"/>
          </w:tcPr>
          <w:p>
            <w:pPr>
              <w:pStyle w:val="TableContents"/>
              <w:spacing w:before="0" w:after="283"/>
              <w:rPr/>
            </w:pPr>
            <w:r>
              <w:rPr/>
              <w:t> </w:t>
            </w:r>
          </w:p>
        </w:tc>
        <w:tc>
          <w:tcPr>
            <w:tcW w:w="43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56" w:type="dxa"/>
            <w:tcBorders/>
            <w:shd w:fill="E5FFFF" w:val="clear"/>
            <w:vAlign w:val="bottom"/>
          </w:tcPr>
          <w:p>
            <w:pPr>
              <w:pStyle w:val="TableContents"/>
              <w:spacing w:before="0" w:after="283"/>
              <w:rPr/>
            </w:pPr>
            <w:r>
              <w:rPr/>
              <w:t> </w:t>
            </w:r>
          </w:p>
        </w:tc>
        <w:tc>
          <w:tcPr>
            <w:tcW w:w="560" w:type="dxa"/>
            <w:gridSpan w:val="2"/>
            <w:tcBorders/>
            <w:shd w:fill="E5FFFF" w:val="clear"/>
            <w:vAlign w:val="bottom"/>
          </w:tcPr>
          <w:p>
            <w:pPr>
              <w:pStyle w:val="TableContents"/>
              <w:spacing w:before="0" w:after="283"/>
              <w:rPr/>
            </w:pPr>
            <w:r>
              <w:rPr/>
              <w:t> </w:t>
            </w:r>
          </w:p>
        </w:tc>
        <w:tc>
          <w:tcPr>
            <w:tcW w:w="7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62"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231" w:type="dxa"/>
            <w:gridSpan w:val="2"/>
            <w:tcBorders/>
            <w:shd w:fill="E5FFFF" w:val="clear"/>
            <w:vAlign w:val="bottom"/>
          </w:tcPr>
          <w:p>
            <w:pPr>
              <w:pStyle w:val="TableContents"/>
              <w:spacing w:before="0" w:after="283"/>
              <w:rPr/>
            </w:pPr>
            <w:r>
              <w:rPr/>
              <w:t> </w:t>
            </w:r>
          </w:p>
        </w:tc>
        <w:tc>
          <w:tcPr>
            <w:tcW w:w="54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66" w:type="dxa"/>
            <w:gridSpan w:val="2"/>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231" w:type="dxa"/>
            <w:gridSpan w:val="2"/>
            <w:tcBorders/>
            <w:shd w:fill="E5FFFF" w:val="clear"/>
            <w:vAlign w:val="bottom"/>
          </w:tcPr>
          <w:p>
            <w:pPr>
              <w:pStyle w:val="TableContents"/>
              <w:spacing w:before="0" w:after="283"/>
              <w:rPr/>
            </w:pPr>
            <w:r>
              <w:rPr/>
              <w:t> </w:t>
            </w:r>
          </w:p>
        </w:tc>
        <w:tc>
          <w:tcPr>
            <w:tcW w:w="54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 </w:t>
            </w:r>
          </w:p>
        </w:tc>
        <w:tc>
          <w:tcPr>
            <w:tcW w:w="227" w:type="dxa"/>
            <w:gridSpan w:val="2"/>
            <w:tcBorders/>
            <w:shd w:fill="E5FFFF" w:val="clear"/>
            <w:vAlign w:val="bottom"/>
          </w:tcPr>
          <w:p>
            <w:pPr>
              <w:pStyle w:val="TableContents"/>
              <w:spacing w:before="0" w:after="283"/>
              <w:rPr/>
            </w:pPr>
            <w:r>
              <w:rPr/>
              <w:t> </w:t>
            </w:r>
          </w:p>
        </w:tc>
      </w:tr>
      <w:tr>
        <w:trPr/>
        <w:tc>
          <w:tcPr>
            <w:tcW w:w="3521"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Unrealized gains on available for sale investments</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269" w:type="dxa"/>
            <w:gridSpan w:val="2"/>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97"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65" w:type="dxa"/>
            <w:gridSpan w:val="2"/>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66" w:type="dxa"/>
            <w:gridSpan w:val="2"/>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319" w:type="dxa"/>
            <w:gridSpan w:val="2"/>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560" w:type="dxa"/>
            <w:gridSpan w:val="2"/>
            <w:tcBorders/>
            <w:shd w:fill="auto" w:val="clear"/>
            <w:vAlign w:val="bottom"/>
          </w:tcPr>
          <w:p>
            <w:pPr>
              <w:pStyle w:val="TableContents"/>
              <w:spacing w:before="0" w:after="283"/>
              <w:rPr/>
            </w:pPr>
            <w:r>
              <w:rPr/>
              <w:t> </w:t>
            </w:r>
          </w:p>
        </w:tc>
        <w:tc>
          <w:tcPr>
            <w:tcW w:w="757"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231" w:type="dxa"/>
            <w:gridSpan w:val="2"/>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(221</w:t>
            </w:r>
          </w:p>
        </w:tc>
        <w:tc>
          <w:tcPr>
            <w:tcW w:w="10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231" w:type="dxa"/>
            <w:gridSpan w:val="2"/>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(221</w:t>
            </w:r>
          </w:p>
        </w:tc>
        <w:tc>
          <w:tcPr>
            <w:tcW w:w="129"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98" w:type="dxa"/>
            <w:tcBorders/>
            <w:shd w:fill="auto" w:val="clear"/>
            <w:vAlign w:val="bottom"/>
          </w:tcPr>
          <w:p>
            <w:pPr>
              <w:pStyle w:val="TableContents"/>
              <w:spacing w:before="0" w:after="283"/>
              <w:rPr/>
            </w:pPr>
            <w:r>
              <w:rPr/>
              <w:t> </w:t>
            </w:r>
          </w:p>
        </w:tc>
      </w:tr>
      <w:tr>
        <w:trPr/>
        <w:tc>
          <w:tcPr>
            <w:tcW w:w="3521"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97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9"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02"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6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521"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Total before tax</w:t>
            </w:r>
          </w:p>
        </w:tc>
        <w:tc>
          <w:tcPr>
            <w:tcW w:w="60"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19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c>
          <w:tcPr>
            <w:tcW w:w="28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11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8"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74" w:type="dxa"/>
            <w:tcBorders/>
            <w:shd w:fill="E5FFFF" w:val="clear"/>
            <w:vAlign w:val="bottom"/>
          </w:tcPr>
          <w:p>
            <w:pPr>
              <w:pStyle w:val="TableContents"/>
              <w:spacing w:before="0" w:after="283"/>
              <w:rPr/>
            </w:pPr>
            <w:r>
              <w:rPr/>
              <w:t> </w:t>
            </w:r>
          </w:p>
        </w:tc>
        <w:tc>
          <w:tcPr>
            <w:tcW w:w="191"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4" w:type="dxa"/>
            <w:tcBorders/>
            <w:shd w:fill="E5FFFF" w:val="clear"/>
            <w:vAlign w:val="bottom"/>
          </w:tcPr>
          <w:p>
            <w:pPr>
              <w:pStyle w:val="TableContents"/>
              <w:spacing w:before="0" w:after="283"/>
              <w:rPr/>
            </w:pPr>
            <w:r>
              <w:rPr/>
              <w:t> </w:t>
            </w:r>
          </w:p>
        </w:tc>
        <w:tc>
          <w:tcPr>
            <w:tcW w:w="47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200</w:t>
            </w:r>
          </w:p>
        </w:tc>
        <w:tc>
          <w:tcPr>
            <w:tcW w:w="166" w:type="dxa"/>
            <w:gridSpan w:val="2"/>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89" w:type="dxa"/>
            <w:tcBorders/>
            <w:shd w:fill="E5FFFF" w:val="clear"/>
            <w:vAlign w:val="bottom"/>
          </w:tcPr>
          <w:p>
            <w:pPr>
              <w:pStyle w:val="TableContents"/>
              <w:spacing w:before="0" w:after="283"/>
              <w:rPr/>
            </w:pPr>
            <w:r>
              <w:rPr/>
              <w:t> </w:t>
            </w:r>
          </w:p>
        </w:tc>
        <w:tc>
          <w:tcPr>
            <w:tcW w:w="23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9" w:type="dxa"/>
            <w:tcBorders/>
            <w:shd w:fill="E5FFFF" w:val="clear"/>
            <w:vAlign w:val="bottom"/>
          </w:tcPr>
          <w:p>
            <w:pPr>
              <w:pStyle w:val="TableContents"/>
              <w:spacing w:before="0" w:after="283"/>
              <w:rPr/>
            </w:pPr>
            <w:r>
              <w:rPr/>
              <w:t> </w:t>
            </w:r>
          </w:p>
        </w:tc>
        <w:tc>
          <w:tcPr>
            <w:tcW w:w="43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w:t>
            </w:r>
          </w:p>
        </w:tc>
        <w:tc>
          <w:tcPr>
            <w:tcW w:w="60"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56" w:type="dxa"/>
            <w:tcBorders/>
            <w:shd w:fill="E5FFFF" w:val="clear"/>
            <w:vAlign w:val="bottom"/>
          </w:tcPr>
          <w:p>
            <w:pPr>
              <w:pStyle w:val="TableContents"/>
              <w:spacing w:before="0" w:after="283"/>
              <w:rPr/>
            </w:pPr>
            <w:r>
              <w:rPr/>
              <w:t> </w:t>
            </w:r>
          </w:p>
        </w:tc>
        <w:tc>
          <w:tcPr>
            <w:tcW w:w="40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56" w:type="dxa"/>
            <w:tcBorders/>
            <w:shd w:fill="E5FFFF" w:val="clear"/>
            <w:vAlign w:val="bottom"/>
          </w:tcPr>
          <w:p>
            <w:pPr>
              <w:pStyle w:val="TableContents"/>
              <w:spacing w:before="0" w:after="283"/>
              <w:rPr/>
            </w:pPr>
            <w:r>
              <w:rPr/>
              <w:t> </w:t>
            </w:r>
          </w:p>
        </w:tc>
        <w:tc>
          <w:tcPr>
            <w:tcW w:w="757"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w:t>
            </w:r>
          </w:p>
        </w:tc>
        <w:tc>
          <w:tcPr>
            <w:tcW w:w="62"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67"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E5FFFF" w:val="clear"/>
            <w:vAlign w:val="bottom"/>
          </w:tcPr>
          <w:p>
            <w:pPr>
              <w:pStyle w:val="TableContents"/>
              <w:spacing w:before="0" w:after="283"/>
              <w:rPr/>
            </w:pPr>
            <w:r>
              <w:rPr/>
              <w:t> </w:t>
            </w:r>
          </w:p>
        </w:tc>
        <w:tc>
          <w:tcPr>
            <w:tcW w:w="54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(221</w:t>
            </w:r>
          </w:p>
        </w:tc>
        <w:tc>
          <w:tcPr>
            <w:tcW w:w="10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67"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E5FFFF" w:val="clear"/>
            <w:vAlign w:val="bottom"/>
          </w:tcPr>
          <w:p>
            <w:pPr>
              <w:pStyle w:val="TableContents"/>
              <w:spacing w:before="0" w:after="283"/>
              <w:rPr/>
            </w:pPr>
            <w:r>
              <w:rPr/>
              <w:t> </w:t>
            </w:r>
          </w:p>
        </w:tc>
        <w:tc>
          <w:tcPr>
            <w:tcW w:w="54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59 </w:t>
            </w:r>
          </w:p>
        </w:tc>
        <w:tc>
          <w:tcPr>
            <w:tcW w:w="227" w:type="dxa"/>
            <w:gridSpan w:val="2"/>
            <w:tcBorders/>
            <w:shd w:fill="E5FFFF" w:val="clear"/>
            <w:vAlign w:val="bottom"/>
          </w:tcPr>
          <w:p>
            <w:pPr>
              <w:pStyle w:val="TableContents"/>
              <w:spacing w:before="0" w:after="283"/>
              <w:rPr/>
            </w:pPr>
            <w:r>
              <w:rPr/>
              <w:t> </w:t>
            </w:r>
          </w:p>
        </w:tc>
      </w:tr>
      <w:tr>
        <w:trPr/>
        <w:tc>
          <w:tcPr>
            <w:tcW w:w="3521"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97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9"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02"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63"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9078" w:type="dxa"/>
            <w:gridSpan w:val="34"/>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Tax expense (benefit)</w:t>
            </w:r>
          </w:p>
        </w:tc>
        <w:tc>
          <w:tcPr>
            <w:tcW w:w="64" w:type="dxa"/>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231" w:type="dxa"/>
            <w:gridSpan w:val="2"/>
            <w:tcBorders/>
            <w:shd w:fill="auto" w:val="clear"/>
            <w:vAlign w:val="bottom"/>
          </w:tcPr>
          <w:p>
            <w:pPr>
              <w:pStyle w:val="TableContents"/>
              <w:spacing w:before="0" w:after="283"/>
              <w:rPr/>
            </w:pPr>
            <w:r>
              <w:rPr/>
              <w:t> </w:t>
            </w:r>
          </w:p>
        </w:tc>
        <w:tc>
          <w:tcPr>
            <w:tcW w:w="54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w:t>
            </w:r>
          </w:p>
        </w:tc>
        <w:tc>
          <w:tcPr>
            <w:tcW w:w="129"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98" w:type="dxa"/>
            <w:tcBorders/>
            <w:shd w:fill="auto" w:val="clear"/>
            <w:vAlign w:val="bottom"/>
          </w:tcPr>
          <w:p>
            <w:pPr>
              <w:pStyle w:val="TableContents"/>
              <w:spacing w:before="0" w:after="283"/>
              <w:rPr/>
            </w:pPr>
            <w:r>
              <w:rPr/>
              <w:t> </w:t>
            </w:r>
          </w:p>
        </w:tc>
      </w:tr>
      <w:tr>
        <w:trPr/>
        <w:tc>
          <w:tcPr>
            <w:tcW w:w="3521"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30"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975"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9" w:type="dxa"/>
            <w:gridSpan w:val="5"/>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5" w:type="dxa"/>
            <w:gridSpan w:val="5"/>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02"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6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9078" w:type="dxa"/>
            <w:gridSpan w:val="34"/>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Total reclassifications for the period, net of tax</w:t>
            </w:r>
          </w:p>
        </w:tc>
        <w:tc>
          <w:tcPr>
            <w:tcW w:w="64" w:type="dxa"/>
            <w:tcBorders/>
            <w:shd w:fill="E5FFFF" w:val="clear"/>
            <w:vAlign w:val="bottom"/>
          </w:tcPr>
          <w:p>
            <w:pPr>
              <w:pStyle w:val="TableContents"/>
              <w:spacing w:before="0" w:after="283"/>
              <w:rPr/>
            </w:pPr>
            <w:r>
              <w:rPr/>
              <w:t> </w:t>
            </w:r>
          </w:p>
        </w:tc>
        <w:tc>
          <w:tcPr>
            <w:tcW w:w="64" w:type="dxa"/>
            <w:tcBorders/>
            <w:shd w:fill="E5FFFF" w:val="clear"/>
            <w:vAlign w:val="bottom"/>
          </w:tcPr>
          <w:p>
            <w:pPr>
              <w:pStyle w:val="TableContents"/>
              <w:spacing w:before="0" w:after="283"/>
              <w:rPr/>
            </w:pPr>
            <w:r>
              <w:rPr/>
              <w:t> </w:t>
            </w:r>
          </w:p>
        </w:tc>
        <w:tc>
          <w:tcPr>
            <w:tcW w:w="167"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4" w:type="dxa"/>
            <w:tcBorders/>
            <w:shd w:fill="E5FFFF" w:val="clear"/>
            <w:vAlign w:val="bottom"/>
          </w:tcPr>
          <w:p>
            <w:pPr>
              <w:pStyle w:val="TableContents"/>
              <w:spacing w:before="0" w:after="283"/>
              <w:rPr/>
            </w:pPr>
            <w:r>
              <w:rPr/>
              <w:t> </w:t>
            </w:r>
          </w:p>
        </w:tc>
        <w:tc>
          <w:tcPr>
            <w:tcW w:w="54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16 </w:t>
            </w:r>
          </w:p>
        </w:tc>
        <w:tc>
          <w:tcPr>
            <w:tcW w:w="227" w:type="dxa"/>
            <w:gridSpan w:val="2"/>
            <w:tcBorders/>
            <w:shd w:fill="E5FFFF" w:val="clear"/>
            <w:vAlign w:val="bottom"/>
          </w:tcPr>
          <w:p>
            <w:pPr>
              <w:pStyle w:val="TableContents"/>
              <w:spacing w:before="0" w:after="283"/>
              <w:rPr/>
            </w:pPr>
            <w:r>
              <w:rPr/>
              <w:t> </w:t>
            </w:r>
          </w:p>
        </w:tc>
      </w:tr>
      <w:tr>
        <w:trPr/>
        <w:tc>
          <w:tcPr>
            <w:tcW w:w="3521"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30"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975"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899" w:type="dxa"/>
            <w:gridSpan w:val="5"/>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535" w:type="dxa"/>
            <w:gridSpan w:val="5"/>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02" w:type="dxa"/>
            <w:gridSpan w:val="6"/>
            <w:tcBorders/>
            <w:shd w:fill="auto" w:val="clear"/>
            <w:vAlign w:val="bottom"/>
          </w:tcPr>
          <w:p>
            <w:pPr>
              <w:pStyle w:val="TableContents"/>
              <w:spacing w:before="0" w:after="283"/>
              <w:rPr/>
            </w:pPr>
            <w:r>
              <w:rPr/>
              <w:t> </w:t>
            </w:r>
          </w:p>
        </w:tc>
        <w:tc>
          <w:tcPr>
            <w:tcW w:w="64" w:type="dxa"/>
            <w:tcBorders/>
            <w:shd w:fill="auto" w:val="clear"/>
            <w:vAlign w:val="bottom"/>
          </w:tcPr>
          <w:p>
            <w:pPr>
              <w:pStyle w:val="TableContents"/>
              <w:spacing w:before="0" w:after="283"/>
              <w:rPr/>
            </w:pPr>
            <w:r>
              <w:rPr/>
              <w:t> </w:t>
            </w:r>
          </w:p>
        </w:tc>
        <w:tc>
          <w:tcPr>
            <w:tcW w:w="1063"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Note 18. Stock-Based Compensation Plans</w:t>
      </w:r>
    </w:p>
    <w:p>
      <w:pPr>
        <w:pStyle w:val="TextBody"/>
        <w:spacing w:before="119" w:after="119"/>
        <w:ind w:left="119" w:right="119" w:firstLine="397"/>
        <w:jc w:val="both"/>
        <w:rPr>
          <w:rFonts w:ascii="sans-serif" w:hAnsi="sans-serif"/>
          <w:sz w:val="22"/>
        </w:rPr>
      </w:pPr>
      <w:r>
        <w:rPr>
          <w:rFonts w:ascii="sans-serif" w:hAnsi="sans-serif"/>
          <w:sz w:val="22"/>
        </w:rPr>
        <w:t>Under the terms of the 2011 Stock Incentive Plan of Honeywell International Inc. and its Affiliates (2011 Plan) there were 14,050,760 shares of Honeywell common stock available for future grants at December 31, 2015. Additionally, the 2006 Stock Plan for Non-Employee Directors of Honeywell International Inc. (2006 Directors Plan) expires on April 24, 2016 and it is expected that no future grants will be made under the 2006 Directors Plan prior to expiration. In 2016, the Company is seeking shareowner approval of a new employee stock plan and non-employee director plan and, upon approval, no additional grants will be permitted under the 2011 Plan or the 2006 Directors Plan.</w:t>
      </w:r>
    </w:p>
    <w:p>
      <w:pPr>
        <w:pStyle w:val="TextBody"/>
        <w:spacing w:before="119" w:after="119"/>
        <w:ind w:left="119" w:right="119" w:firstLine="397"/>
        <w:jc w:val="both"/>
        <w:rPr>
          <w:rFonts w:ascii="sans-serif" w:hAnsi="sans-serif"/>
          <w:sz w:val="22"/>
        </w:rPr>
      </w:pPr>
      <w:r>
        <w:rPr>
          <w:rFonts w:ascii="sans-serif" w:hAnsi="sans-serif"/>
          <w:b/>
          <w:i/>
          <w:sz w:val="22"/>
        </w:rPr>
        <w:t>Stock Options</w:t>
      </w:r>
      <w:r>
        <w:rPr>
          <w:rFonts w:ascii="sans-serif" w:hAnsi="sans-serif"/>
          <w:sz w:val="22"/>
        </w:rPr>
        <w:t>The exercise price, term and other conditions applicable to each option granted under our stock plans are generally determined by the Management Development and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pStyle w:val="TextBody"/>
        <w:spacing w:before="119" w:after="119"/>
        <w:ind w:left="119" w:right="119" w:firstLine="397"/>
        <w:jc w:val="both"/>
        <w:rPr>
          <w:rFonts w:ascii="sans-serif" w:hAnsi="sans-serif"/>
          <w:sz w:val="22"/>
        </w:rPr>
      </w:pPr>
      <w:r>
        <w:rPr>
          <w:rFonts w:ascii="sans-serif" w:hAnsi="sans-serif"/>
          <w:sz w:val="22"/>
        </w:rPr>
        <w:t>The fair value of each option award is estimated on the date of grant using the Black-Scholes option-pricing model. Expected volatility is based on implied volatilities from traded options on our common stock and historical volatility of our common stock. We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pStyle w:val="TextBody"/>
        <w:spacing w:before="119" w:after="119"/>
        <w:ind w:left="119" w:right="119" w:firstLine="397"/>
        <w:jc w:val="both"/>
        <w:rPr>
          <w:rFonts w:ascii="sans-serif" w:hAnsi="sans-serif"/>
          <w:sz w:val="22"/>
        </w:rPr>
      </w:pPr>
      <w:r>
        <w:rPr>
          <w:rFonts w:ascii="sans-serif" w:hAnsi="sans-serif"/>
          <w:sz w:val="22"/>
        </w:rPr>
        <w:t>Compensation cost on a pre-tax basis related to stock options recognized in selling, general and administrative expenses in 2015, 2014 and 2013 was $78 million, $85 million and $70 million. The associated future income tax benefit recognized in 2015, 2014 and 2013 was $26 million, $31 million and $24 million.</w:t>
      </w:r>
    </w:p>
    <w:p>
      <w:pPr>
        <w:pStyle w:val="TextBody"/>
        <w:spacing w:before="119" w:after="119"/>
        <w:ind w:left="119" w:right="119" w:hanging="0"/>
        <w:jc w:val="center"/>
        <w:rPr>
          <w:rFonts w:ascii="sans-serif" w:hAnsi="sans-serif"/>
          <w:sz w:val="22"/>
        </w:rPr>
      </w:pPr>
      <w:r>
        <w:rPr>
          <w:rFonts w:ascii="sans-serif" w:hAnsi="sans-serif"/>
          <w:sz w:val="22"/>
        </w:rPr>
        <w:t>56</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The following table sets forth fair value per share information, including related weighted-average assumptions, used to determine compensation cost:</w:t>
      </w:r>
    </w:p>
    <w:tbl>
      <w:tblPr>
        <w:tblW w:w="10205" w:type="dxa"/>
        <w:jc w:val="left"/>
        <w:tblInd w:w="0" w:type="dxa"/>
        <w:tblCellMar>
          <w:top w:w="0" w:type="dxa"/>
          <w:left w:w="0" w:type="dxa"/>
          <w:bottom w:w="0" w:type="dxa"/>
          <w:right w:w="0" w:type="dxa"/>
        </w:tblCellMar>
      </w:tblPr>
      <w:tblGrid>
        <w:gridCol w:w="6409"/>
        <w:gridCol w:w="60"/>
        <w:gridCol w:w="60"/>
        <w:gridCol w:w="155"/>
        <w:gridCol w:w="60"/>
        <w:gridCol w:w="620"/>
        <w:gridCol w:w="215"/>
        <w:gridCol w:w="60"/>
        <w:gridCol w:w="60"/>
        <w:gridCol w:w="60"/>
        <w:gridCol w:w="155"/>
        <w:gridCol w:w="60"/>
        <w:gridCol w:w="620"/>
        <w:gridCol w:w="215"/>
        <w:gridCol w:w="60"/>
        <w:gridCol w:w="60"/>
        <w:gridCol w:w="60"/>
        <w:gridCol w:w="155"/>
        <w:gridCol w:w="60"/>
        <w:gridCol w:w="665"/>
        <w:gridCol w:w="260"/>
        <w:gridCol w:w="76"/>
      </w:tblGrid>
      <w:tr>
        <w:trPr/>
        <w:tc>
          <w:tcPr>
            <w:tcW w:w="640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6" w:type="dxa"/>
            <w:gridSpan w:val="6"/>
            <w:tcBorders/>
            <w:shd w:fill="auto" w:val="clear"/>
            <w:vAlign w:val="bottom"/>
          </w:tcPr>
          <w:p>
            <w:pPr>
              <w:pStyle w:val="TableContents"/>
              <w:spacing w:before="0" w:after="283"/>
              <w:rPr>
                <w:sz w:val="4"/>
                <w:szCs w:val="4"/>
              </w:rPr>
            </w:pPr>
            <w:r>
              <w:rPr>
                <w:sz w:val="4"/>
                <w:szCs w:val="4"/>
              </w:rPr>
            </w:r>
          </w:p>
        </w:tc>
      </w:tr>
      <w:tr>
        <w:trPr/>
        <w:tc>
          <w:tcPr>
            <w:tcW w:w="6409"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736" w:type="dxa"/>
            <w:gridSpan w:val="20"/>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Years Ended December 31,</w:t>
            </w:r>
            <w:r>
              <w:rPr/>
              <w:t xml:space="preserve"> </w:t>
            </w:r>
          </w:p>
        </w:tc>
      </w:tr>
      <w:tr>
        <w:trPr/>
        <w:tc>
          <w:tcPr>
            <w:tcW w:w="6409"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7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7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276"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2013</w:t>
            </w:r>
            <w:r>
              <w:rPr/>
              <w:t xml:space="preserve"> </w:t>
            </w:r>
          </w:p>
        </w:tc>
      </w:tr>
      <w:tr>
        <w:trPr/>
        <w:tc>
          <w:tcPr>
            <w:tcW w:w="6409"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Weighted average fair value per share of options granted during the year(1)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17.21</w:t>
            </w:r>
          </w:p>
        </w:tc>
        <w:tc>
          <w:tcPr>
            <w:tcW w:w="27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16.35</w:t>
            </w:r>
          </w:p>
        </w:tc>
        <w:tc>
          <w:tcPr>
            <w:tcW w:w="27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11.85 </w:t>
            </w:r>
          </w:p>
        </w:tc>
        <w:tc>
          <w:tcPr>
            <w:tcW w:w="336" w:type="dxa"/>
            <w:gridSpan w:val="2"/>
            <w:tcBorders/>
            <w:shd w:fill="E5FFFF" w:val="clear"/>
            <w:vAlign w:val="bottom"/>
          </w:tcPr>
          <w:p>
            <w:pPr>
              <w:pStyle w:val="TableContents"/>
              <w:spacing w:before="0" w:after="283"/>
              <w:rPr/>
            </w:pPr>
            <w:r>
              <w:rPr/>
              <w:t> </w:t>
            </w:r>
          </w:p>
        </w:tc>
      </w:tr>
      <w:tr>
        <w:trPr/>
        <w:tc>
          <w:tcPr>
            <w:tcW w:w="6409"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 xml:space="preserve">Assumptions: </w:t>
            </w:r>
          </w:p>
        </w:tc>
        <w:tc>
          <w:tcPr>
            <w:tcW w:w="60" w:type="dxa"/>
            <w:tcBorders/>
            <w:shd w:fill="auto" w:val="clear"/>
            <w:vAlign w:val="bottom"/>
          </w:tcPr>
          <w:p>
            <w:pPr>
              <w:pStyle w:val="TableContents"/>
              <w:spacing w:before="0" w:after="283"/>
              <w:rPr/>
            </w:pPr>
            <w:r>
              <w:rPr/>
              <w:t> </w:t>
            </w:r>
          </w:p>
        </w:tc>
        <w:tc>
          <w:tcPr>
            <w:tcW w:w="117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76" w:type="dxa"/>
            <w:gridSpan w:val="6"/>
            <w:tcBorders/>
            <w:shd w:fill="auto" w:val="clear"/>
            <w:vAlign w:val="bottom"/>
          </w:tcPr>
          <w:p>
            <w:pPr>
              <w:pStyle w:val="TableContents"/>
              <w:spacing w:before="0" w:after="283"/>
              <w:rPr/>
            </w:pPr>
            <w:r>
              <w:rPr/>
              <w:t> </w:t>
            </w:r>
          </w:p>
        </w:tc>
      </w:tr>
      <w:tr>
        <w:trPr/>
        <w:tc>
          <w:tcPr>
            <w:tcW w:w="6409"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Expected annual dividend yield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1.98</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2.05</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2.55</w:t>
            </w:r>
          </w:p>
        </w:tc>
        <w:tc>
          <w:tcPr>
            <w:tcW w:w="260"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6" w:type="dxa"/>
            <w:tcBorders/>
            <w:shd w:fill="E5FFFF" w:val="clear"/>
            <w:vAlign w:val="bottom"/>
          </w:tcPr>
          <w:p>
            <w:pPr>
              <w:pStyle w:val="TableContents"/>
              <w:spacing w:before="0" w:after="283"/>
              <w:rPr/>
            </w:pPr>
            <w:r>
              <w:rPr/>
              <w:t> </w:t>
            </w:r>
          </w:p>
        </w:tc>
      </w:tr>
      <w:tr>
        <w:trPr/>
        <w:tc>
          <w:tcPr>
            <w:tcW w:w="6409"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Expected volatility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21.55</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23.06</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24.73</w:t>
            </w:r>
          </w:p>
        </w:tc>
        <w:tc>
          <w:tcPr>
            <w:tcW w:w="260"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6" w:type="dxa"/>
            <w:tcBorders/>
            <w:shd w:fill="auto" w:val="clear"/>
            <w:vAlign w:val="bottom"/>
          </w:tcPr>
          <w:p>
            <w:pPr>
              <w:pStyle w:val="TableContents"/>
              <w:spacing w:before="0" w:after="283"/>
              <w:rPr/>
            </w:pPr>
            <w:r>
              <w:rPr/>
              <w:t> </w:t>
            </w:r>
          </w:p>
        </w:tc>
      </w:tr>
      <w:tr>
        <w:trPr/>
        <w:tc>
          <w:tcPr>
            <w:tcW w:w="6409"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Risk-free rate of return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1.61</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1.48</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0.91</w:t>
            </w:r>
          </w:p>
        </w:tc>
        <w:tc>
          <w:tcPr>
            <w:tcW w:w="260"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6" w:type="dxa"/>
            <w:tcBorders/>
            <w:shd w:fill="E5FFFF" w:val="clear"/>
            <w:vAlign w:val="bottom"/>
          </w:tcPr>
          <w:p>
            <w:pPr>
              <w:pStyle w:val="TableContents"/>
              <w:spacing w:before="0" w:after="283"/>
              <w:rPr/>
            </w:pPr>
            <w:r>
              <w:rPr/>
              <w:t> </w:t>
            </w:r>
          </w:p>
        </w:tc>
      </w:tr>
      <w:tr>
        <w:trPr/>
        <w:tc>
          <w:tcPr>
            <w:tcW w:w="6409"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Expected option term (years)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5.5 </w:t>
            </w:r>
          </w:p>
        </w:tc>
        <w:tc>
          <w:tcPr>
            <w:tcW w:w="336" w:type="dxa"/>
            <w:gridSpan w:val="2"/>
            <w:tcBorders/>
            <w:shd w:fill="auto" w:val="cle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7893" w:type="dxa"/>
        <w:jc w:val="left"/>
        <w:tblInd w:w="0" w:type="dxa"/>
        <w:tblCellMar>
          <w:top w:w="0" w:type="dxa"/>
          <w:left w:w="0" w:type="dxa"/>
          <w:bottom w:w="0" w:type="dxa"/>
          <w:right w:w="0" w:type="dxa"/>
        </w:tblCellMar>
      </w:tblPr>
      <w:tblGrid>
        <w:gridCol w:w="75"/>
        <w:gridCol w:w="305"/>
        <w:gridCol w:w="105"/>
        <w:gridCol w:w="7370"/>
        <w:gridCol w:w="38"/>
      </w:tblGrid>
      <w:tr>
        <w:trPr/>
        <w:tc>
          <w:tcPr>
            <w:tcW w:w="7893"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105" w:type="dxa"/>
            <w:tcBorders/>
            <w:shd w:fill="auto" w:val="clear"/>
          </w:tcPr>
          <w:p>
            <w:pPr>
              <w:pStyle w:val="TableContents"/>
              <w:spacing w:before="0" w:after="283"/>
              <w:rPr/>
            </w:pPr>
            <w:r>
              <w:rPr/>
              <w:t> </w:t>
            </w:r>
          </w:p>
        </w:tc>
        <w:tc>
          <w:tcPr>
            <w:tcW w:w="7370" w:type="dxa"/>
            <w:tcBorders/>
            <w:shd w:fill="auto" w:val="clear"/>
          </w:tcPr>
          <w:p>
            <w:pPr>
              <w:pStyle w:val="TableContents"/>
              <w:spacing w:before="0" w:after="283"/>
              <w:jc w:val="both"/>
              <w:rPr>
                <w:rFonts w:ascii="sans-serif" w:hAnsi="sans-serif"/>
                <w:sz w:val="22"/>
              </w:rPr>
            </w:pPr>
            <w:r>
              <w:rPr>
                <w:rFonts w:ascii="sans-serif" w:hAnsi="sans-serif"/>
                <w:sz w:val="22"/>
              </w:rPr>
              <w:t>Estimated on date of grant using Black-Scholes option-pricing model.</w:t>
            </w:r>
          </w:p>
        </w:tc>
        <w:tc>
          <w:tcPr>
            <w:tcW w:w="38"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The following table summarizes information about stock option activity for the three years ended December 31, 2015:</w:t>
      </w:r>
    </w:p>
    <w:tbl>
      <w:tblPr>
        <w:tblW w:w="8635" w:type="dxa"/>
        <w:jc w:val="left"/>
        <w:tblInd w:w="0" w:type="dxa"/>
        <w:tblCellMar>
          <w:top w:w="0" w:type="dxa"/>
          <w:left w:w="0" w:type="dxa"/>
          <w:bottom w:w="0" w:type="dxa"/>
          <w:right w:w="0" w:type="dxa"/>
        </w:tblCellMar>
      </w:tblPr>
      <w:tblGrid>
        <w:gridCol w:w="5780"/>
        <w:gridCol w:w="60"/>
        <w:gridCol w:w="60"/>
        <w:gridCol w:w="60"/>
        <w:gridCol w:w="1295"/>
        <w:gridCol w:w="95"/>
        <w:gridCol w:w="60"/>
        <w:gridCol w:w="60"/>
        <w:gridCol w:w="60"/>
        <w:gridCol w:w="155"/>
        <w:gridCol w:w="60"/>
        <w:gridCol w:w="815"/>
        <w:gridCol w:w="75"/>
      </w:tblGrid>
      <w:tr>
        <w:trPr/>
        <w:tc>
          <w:tcPr>
            <w:tcW w:w="57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5" w:type="dxa"/>
            <w:gridSpan w:val="5"/>
            <w:tcBorders/>
            <w:shd w:fill="auto" w:val="clear"/>
            <w:vAlign w:val="bottom"/>
          </w:tcPr>
          <w:p>
            <w:pPr>
              <w:pStyle w:val="TableContents"/>
              <w:spacing w:before="0" w:after="283"/>
              <w:rPr>
                <w:sz w:val="4"/>
                <w:szCs w:val="4"/>
              </w:rPr>
            </w:pPr>
            <w:r>
              <w:rPr>
                <w:sz w:val="4"/>
                <w:szCs w:val="4"/>
              </w:rPr>
            </w:r>
          </w:p>
        </w:tc>
      </w:tr>
      <w:tr>
        <w:trPr/>
        <w:tc>
          <w:tcPr>
            <w:tcW w:w="578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5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Number of</w:t>
              <w:br/>
              <w:t>Options</w:t>
            </w:r>
          </w:p>
        </w:tc>
        <w:tc>
          <w:tcPr>
            <w:tcW w:w="60" w:type="dxa"/>
            <w:tcBorders/>
            <w:shd w:fill="auto" w:val="clear"/>
            <w:vAlign w:val="bottom"/>
          </w:tcPr>
          <w:p>
            <w:pPr>
              <w:pStyle w:val="TableContents"/>
              <w:spacing w:before="0" w:after="283"/>
              <w:rPr/>
            </w:pPr>
            <w:r>
              <w:rPr/>
              <w:t> </w:t>
            </w:r>
          </w:p>
        </w:tc>
        <w:tc>
          <w:tcPr>
            <w:tcW w:w="1165"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Weighted</w:t>
              <w:br/>
              <w:t>Average</w:t>
              <w:br/>
              <w:t>Exercise</w:t>
              <w:br/>
              <w:t>Price</w:t>
            </w:r>
            <w:r>
              <w:rPr/>
              <w:t xml:space="preserve"> </w:t>
            </w:r>
          </w:p>
        </w:tc>
      </w:tr>
      <w:tr>
        <w:trPr/>
        <w:tc>
          <w:tcPr>
            <w:tcW w:w="57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Outstanding at December 31, 2012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35,569,021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47.13 </w:t>
            </w:r>
          </w:p>
        </w:tc>
        <w:tc>
          <w:tcPr>
            <w:tcW w:w="75" w:type="dxa"/>
            <w:tcBorders/>
            <w:shd w:fill="E5FF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Granted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6,041,422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69.89 </w:t>
            </w:r>
          </w:p>
        </w:tc>
        <w:tc>
          <w:tcPr>
            <w:tcW w:w="75" w:type="dxa"/>
            <w:tcBorders/>
            <w:shd w:fill="auto" w:val="clear"/>
            <w:vAlign w:val="bottom"/>
          </w:tcPr>
          <w:p>
            <w:pPr>
              <w:pStyle w:val="TableContents"/>
              <w:spacing w:before="0" w:after="283"/>
              <w:rPr/>
            </w:pPr>
            <w:r>
              <w:rPr/>
              <w:t> </w:t>
            </w:r>
          </w:p>
        </w:tc>
      </w:tr>
      <w:tr>
        <w:trPr/>
        <w:tc>
          <w:tcPr>
            <w:tcW w:w="57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Exercised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(10,329,611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41.91 </w:t>
            </w:r>
          </w:p>
        </w:tc>
        <w:tc>
          <w:tcPr>
            <w:tcW w:w="75" w:type="dxa"/>
            <w:tcBorders/>
            <w:shd w:fill="E5FF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Lapsed or canceled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(616,995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53.84 </w:t>
            </w:r>
          </w:p>
        </w:tc>
        <w:tc>
          <w:tcPr>
            <w:tcW w:w="75" w:type="dxa"/>
            <w:tcBorders/>
            <w:shd w:fill="auto"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57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225" w:type="dxa"/>
            <w:gridSpan w:val="6"/>
            <w:tcBorders/>
            <w:shd w:fill="auto" w:val="clear"/>
          </w:tcPr>
          <w:p>
            <w:pPr>
              <w:pStyle w:val="TableContents"/>
              <w:spacing w:before="0" w:after="283"/>
              <w:rPr>
                <w:sz w:val="4"/>
                <w:szCs w:val="4"/>
              </w:rPr>
            </w:pPr>
            <w:r>
              <w:rPr>
                <w:sz w:val="4"/>
                <w:szCs w:val="4"/>
              </w:rPr>
            </w:r>
          </w:p>
        </w:tc>
      </w:tr>
      <w:tr>
        <w:trPr/>
        <w:tc>
          <w:tcPr>
            <w:tcW w:w="57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Outstanding at December 31, 2013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30,663,837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53.27 </w:t>
            </w:r>
          </w:p>
        </w:tc>
        <w:tc>
          <w:tcPr>
            <w:tcW w:w="75" w:type="dxa"/>
            <w:tcBorders/>
            <w:shd w:fill="E5FF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Granted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5,823,706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93.95 </w:t>
            </w:r>
          </w:p>
        </w:tc>
        <w:tc>
          <w:tcPr>
            <w:tcW w:w="75" w:type="dxa"/>
            <w:tcBorders/>
            <w:shd w:fill="auto" w:val="clear"/>
            <w:vAlign w:val="bottom"/>
          </w:tcPr>
          <w:p>
            <w:pPr>
              <w:pStyle w:val="TableContents"/>
              <w:spacing w:before="0" w:after="283"/>
              <w:rPr/>
            </w:pPr>
            <w:r>
              <w:rPr/>
              <w:t> </w:t>
            </w:r>
          </w:p>
        </w:tc>
      </w:tr>
      <w:tr>
        <w:trPr/>
        <w:tc>
          <w:tcPr>
            <w:tcW w:w="57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Exercised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(5,697,263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47.47 </w:t>
            </w:r>
          </w:p>
        </w:tc>
        <w:tc>
          <w:tcPr>
            <w:tcW w:w="75" w:type="dxa"/>
            <w:tcBorders/>
            <w:shd w:fill="E5FF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Lapsed or canceled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(1,294,668</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67.70 </w:t>
            </w:r>
          </w:p>
        </w:tc>
        <w:tc>
          <w:tcPr>
            <w:tcW w:w="75" w:type="dxa"/>
            <w:tcBorders/>
            <w:shd w:fill="auto"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57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225" w:type="dxa"/>
            <w:gridSpan w:val="6"/>
            <w:tcBorders/>
            <w:shd w:fill="auto" w:val="clear"/>
          </w:tcPr>
          <w:p>
            <w:pPr>
              <w:pStyle w:val="TableContents"/>
              <w:spacing w:before="0" w:after="283"/>
              <w:rPr>
                <w:sz w:val="4"/>
                <w:szCs w:val="4"/>
              </w:rPr>
            </w:pPr>
            <w:r>
              <w:rPr>
                <w:sz w:val="4"/>
                <w:szCs w:val="4"/>
              </w:rPr>
            </w:r>
          </w:p>
        </w:tc>
      </w:tr>
      <w:tr>
        <w:trPr/>
        <w:tc>
          <w:tcPr>
            <w:tcW w:w="57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Outstanding at December 31, 2014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29,495,612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61.80 </w:t>
            </w:r>
          </w:p>
        </w:tc>
        <w:tc>
          <w:tcPr>
            <w:tcW w:w="75" w:type="dxa"/>
            <w:tcBorders/>
            <w:shd w:fill="E5FF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Granted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5,967,256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103.87 </w:t>
            </w:r>
          </w:p>
        </w:tc>
        <w:tc>
          <w:tcPr>
            <w:tcW w:w="75" w:type="dxa"/>
            <w:tcBorders/>
            <w:shd w:fill="auto" w:val="clear"/>
            <w:vAlign w:val="bottom"/>
          </w:tcPr>
          <w:p>
            <w:pPr>
              <w:pStyle w:val="TableContents"/>
              <w:spacing w:before="0" w:after="283"/>
              <w:rPr/>
            </w:pPr>
            <w:r>
              <w:rPr/>
              <w:t> </w:t>
            </w:r>
          </w:p>
        </w:tc>
      </w:tr>
      <w:tr>
        <w:trPr/>
        <w:tc>
          <w:tcPr>
            <w:tcW w:w="57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Exercised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(4,190,298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53.40 </w:t>
            </w:r>
          </w:p>
        </w:tc>
        <w:tc>
          <w:tcPr>
            <w:tcW w:w="75" w:type="dxa"/>
            <w:tcBorders/>
            <w:shd w:fill="E5FF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Lapsed or canceled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(703,132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84.31 </w:t>
            </w:r>
          </w:p>
        </w:tc>
        <w:tc>
          <w:tcPr>
            <w:tcW w:w="75" w:type="dxa"/>
            <w:tcBorders/>
            <w:shd w:fill="auto"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57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225" w:type="dxa"/>
            <w:gridSpan w:val="6"/>
            <w:tcBorders/>
            <w:shd w:fill="auto" w:val="clear"/>
          </w:tcPr>
          <w:p>
            <w:pPr>
              <w:pStyle w:val="TableContents"/>
              <w:spacing w:before="0" w:after="283"/>
              <w:rPr>
                <w:sz w:val="4"/>
                <w:szCs w:val="4"/>
              </w:rPr>
            </w:pPr>
            <w:r>
              <w:rPr>
                <w:sz w:val="4"/>
                <w:szCs w:val="4"/>
              </w:rPr>
            </w:r>
          </w:p>
        </w:tc>
      </w:tr>
      <w:tr>
        <w:trPr/>
        <w:tc>
          <w:tcPr>
            <w:tcW w:w="57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Outstanding at December 31, 2015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30,569,438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70.76 </w:t>
            </w:r>
          </w:p>
        </w:tc>
        <w:tc>
          <w:tcPr>
            <w:tcW w:w="75" w:type="dxa"/>
            <w:tcBorders/>
            <w:shd w:fill="E5FF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57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1225" w:type="dxa"/>
            <w:gridSpan w:val="6"/>
            <w:tcBorders/>
            <w:shd w:fill="auto" w:val="clear"/>
          </w:tcPr>
          <w:p>
            <w:pPr>
              <w:pStyle w:val="TableContents"/>
              <w:spacing w:before="0" w:after="283"/>
              <w:rPr>
                <w:sz w:val="4"/>
                <w:szCs w:val="4"/>
              </w:rPr>
            </w:pPr>
            <w:r>
              <w:rPr>
                <w:sz w:val="4"/>
                <w:szCs w:val="4"/>
              </w:rPr>
            </w:r>
          </w:p>
        </w:tc>
      </w:tr>
      <w:tr>
        <w:trPr/>
        <w:tc>
          <w:tcPr>
            <w:tcW w:w="57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Vested and expected to vest at December 31, 2015(1)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28,852,696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68.96 </w:t>
            </w:r>
          </w:p>
        </w:tc>
        <w:tc>
          <w:tcPr>
            <w:tcW w:w="75" w:type="dxa"/>
            <w:tcBorders/>
            <w:shd w:fill="auto"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57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1225" w:type="dxa"/>
            <w:gridSpan w:val="6"/>
            <w:tcBorders/>
            <w:shd w:fill="auto" w:val="clear"/>
          </w:tcPr>
          <w:p>
            <w:pPr>
              <w:pStyle w:val="TableContents"/>
              <w:spacing w:before="0" w:after="283"/>
              <w:rPr>
                <w:sz w:val="4"/>
                <w:szCs w:val="4"/>
              </w:rPr>
            </w:pPr>
            <w:r>
              <w:rPr>
                <w:sz w:val="4"/>
                <w:szCs w:val="4"/>
              </w:rPr>
            </w:r>
          </w:p>
        </w:tc>
      </w:tr>
      <w:tr>
        <w:trPr/>
        <w:tc>
          <w:tcPr>
            <w:tcW w:w="57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Exercisable at December 31, 2015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17,202,377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55.11 </w:t>
            </w:r>
          </w:p>
        </w:tc>
        <w:tc>
          <w:tcPr>
            <w:tcW w:w="75" w:type="dxa"/>
            <w:tcBorders/>
            <w:shd w:fill="E5FFFF" w:val="clear"/>
            <w:vAlign w:val="bottom"/>
          </w:tcPr>
          <w:p>
            <w:pPr>
              <w:pStyle w:val="TableContents"/>
              <w:spacing w:before="0" w:after="283"/>
              <w:rPr/>
            </w:pPr>
            <w:r>
              <w:rPr/>
              <w:t> </w:t>
            </w:r>
          </w:p>
        </w:tc>
      </w:tr>
      <w:tr>
        <w:trPr/>
        <w:tc>
          <w:tcPr>
            <w:tcW w:w="57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57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1225" w:type="dxa"/>
            <w:gridSpan w:val="6"/>
            <w:tcBorders/>
            <w:shd w:fill="auto" w:val="clear"/>
          </w:tcPr>
          <w:p>
            <w:pPr>
              <w:pStyle w:val="TableContents"/>
              <w:spacing w:before="0" w:after="283"/>
              <w:rPr>
                <w:sz w:val="4"/>
                <w:szCs w:val="4"/>
              </w:rPr>
            </w:pPr>
            <w:r>
              <w:rPr>
                <w:sz w:val="4"/>
                <w:szCs w:val="4"/>
              </w:rPr>
            </w:r>
          </w:p>
        </w:tc>
      </w:tr>
    </w:tbl>
    <w:p>
      <w:pPr>
        <w:pStyle w:val="TextBody"/>
        <w:pBdr>
          <w:top w:val="single" w:sz="4" w:space="1" w:color="000000"/>
        </w:pBdr>
        <w:spacing w:before="176" w:after="176"/>
        <w:rPr/>
      </w:pPr>
      <w:r>
        <w:rPr/>
        <w:t> </w:t>
      </w:r>
    </w:p>
    <w:tbl>
      <w:tblPr>
        <w:tblW w:w="10205" w:type="dxa"/>
        <w:jc w:val="left"/>
        <w:tblInd w:w="0" w:type="dxa"/>
        <w:tblCellMar>
          <w:top w:w="0" w:type="dxa"/>
          <w:left w:w="0" w:type="dxa"/>
          <w:bottom w:w="0" w:type="dxa"/>
          <w:right w:w="0" w:type="dxa"/>
        </w:tblCellMar>
      </w:tblPr>
      <w:tblGrid>
        <w:gridCol w:w="75"/>
        <w:gridCol w:w="256"/>
        <w:gridCol w:w="75"/>
        <w:gridCol w:w="9760"/>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56"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75" w:type="dxa"/>
            <w:tcBorders/>
            <w:shd w:fill="auto" w:val="clear"/>
          </w:tcPr>
          <w:p>
            <w:pPr>
              <w:pStyle w:val="TableContents"/>
              <w:spacing w:before="0" w:after="283"/>
              <w:rPr/>
            </w:pPr>
            <w:r>
              <w:rPr/>
              <w:t> </w:t>
            </w:r>
          </w:p>
        </w:tc>
        <w:tc>
          <w:tcPr>
            <w:tcW w:w="9760" w:type="dxa"/>
            <w:tcBorders/>
            <w:shd w:fill="auto" w:val="clear"/>
          </w:tcPr>
          <w:p>
            <w:pPr>
              <w:pStyle w:val="TableContents"/>
              <w:spacing w:before="0" w:after="283"/>
              <w:jc w:val="both"/>
              <w:rPr>
                <w:rFonts w:ascii="sans-serif" w:hAnsi="sans-serif"/>
                <w:sz w:val="22"/>
              </w:rPr>
            </w:pPr>
            <w:r>
              <w:rPr>
                <w:rFonts w:ascii="sans-serif" w:hAnsi="sans-serif"/>
                <w:sz w:val="22"/>
              </w:rPr>
              <w:t>Represents the sum of vested options of 17.2 million and expected to vest options of 11.7 million. Expected to vest options are derived by applying the pre-vesting forfeiture rate assumption to total outstanding unvested options of 13.6 million.</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57</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The following table summarizes information about stock options outstanding and exercisable at December 31, 2015:</w:t>
      </w:r>
    </w:p>
    <w:tbl>
      <w:tblPr>
        <w:tblW w:w="10205" w:type="dxa"/>
        <w:jc w:val="left"/>
        <w:tblInd w:w="0" w:type="dxa"/>
        <w:tblCellMar>
          <w:top w:w="0" w:type="dxa"/>
          <w:left w:w="0" w:type="dxa"/>
          <w:bottom w:w="0" w:type="dxa"/>
          <w:right w:w="0" w:type="dxa"/>
        </w:tblCellMar>
      </w:tblPr>
      <w:tblGrid>
        <w:gridCol w:w="1728"/>
        <w:gridCol w:w="60"/>
        <w:gridCol w:w="65"/>
        <w:gridCol w:w="60"/>
        <w:gridCol w:w="1194"/>
        <w:gridCol w:w="60"/>
        <w:gridCol w:w="60"/>
        <w:gridCol w:w="110"/>
        <w:gridCol w:w="60"/>
        <w:gridCol w:w="813"/>
        <w:gridCol w:w="60"/>
        <w:gridCol w:w="60"/>
        <w:gridCol w:w="71"/>
        <w:gridCol w:w="167"/>
        <w:gridCol w:w="71"/>
        <w:gridCol w:w="670"/>
        <w:gridCol w:w="60"/>
        <w:gridCol w:w="60"/>
        <w:gridCol w:w="78"/>
        <w:gridCol w:w="182"/>
        <w:gridCol w:w="78"/>
        <w:gridCol w:w="730"/>
        <w:gridCol w:w="60"/>
        <w:gridCol w:w="60"/>
        <w:gridCol w:w="60"/>
        <w:gridCol w:w="60"/>
        <w:gridCol w:w="1100"/>
        <w:gridCol w:w="60"/>
        <w:gridCol w:w="60"/>
        <w:gridCol w:w="71"/>
        <w:gridCol w:w="167"/>
        <w:gridCol w:w="71"/>
        <w:gridCol w:w="670"/>
        <w:gridCol w:w="60"/>
        <w:gridCol w:w="60"/>
        <w:gridCol w:w="100"/>
        <w:gridCol w:w="235"/>
        <w:gridCol w:w="100"/>
        <w:gridCol w:w="639"/>
        <w:gridCol w:w="75"/>
      </w:tblGrid>
      <w:tr>
        <w:trPr/>
        <w:tc>
          <w:tcPr>
            <w:tcW w:w="172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9"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3"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8"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9" w:type="dxa"/>
            <w:gridSpan w:val="5"/>
            <w:tcBorders/>
            <w:shd w:fill="auto" w:val="clear"/>
            <w:vAlign w:val="bottom"/>
          </w:tcPr>
          <w:p>
            <w:pPr>
              <w:pStyle w:val="TableContents"/>
              <w:spacing w:before="0" w:after="283"/>
              <w:rPr>
                <w:sz w:val="4"/>
                <w:szCs w:val="4"/>
              </w:rPr>
            </w:pPr>
            <w:r>
              <w:rPr>
                <w:sz w:val="4"/>
                <w:szCs w:val="4"/>
              </w:rPr>
            </w:r>
          </w:p>
        </w:tc>
      </w:tr>
      <w:tr>
        <w:trPr/>
        <w:tc>
          <w:tcPr>
            <w:tcW w:w="1728"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Range of Exercise prices</w:t>
            </w:r>
          </w:p>
        </w:tc>
        <w:tc>
          <w:tcPr>
            <w:tcW w:w="60" w:type="dxa"/>
            <w:tcBorders/>
            <w:shd w:fill="auto" w:val="clear"/>
            <w:vAlign w:val="bottom"/>
          </w:tcPr>
          <w:p>
            <w:pPr>
              <w:pStyle w:val="TableContents"/>
              <w:spacing w:before="0" w:after="283"/>
              <w:rPr/>
            </w:pPr>
            <w:r>
              <w:rPr/>
              <w:t> </w:t>
            </w:r>
          </w:p>
        </w:tc>
        <w:tc>
          <w:tcPr>
            <w:tcW w:w="4769" w:type="dxa"/>
            <w:gridSpan w:val="2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 xml:space="preserve">Options Outstanding </w:t>
            </w:r>
          </w:p>
        </w:tc>
        <w:tc>
          <w:tcPr>
            <w:tcW w:w="60" w:type="dxa"/>
            <w:tcBorders/>
            <w:shd w:fill="auto" w:val="clear"/>
            <w:vAlign w:val="bottom"/>
          </w:tcPr>
          <w:p>
            <w:pPr>
              <w:pStyle w:val="TableContents"/>
              <w:spacing w:before="0" w:after="283"/>
              <w:rPr/>
            </w:pPr>
            <w:r>
              <w:rPr/>
              <w:t> </w:t>
            </w:r>
          </w:p>
        </w:tc>
        <w:tc>
          <w:tcPr>
            <w:tcW w:w="3588" w:type="dxa"/>
            <w:gridSpan w:val="1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Options Exercisable</w:t>
            </w:r>
            <w:r>
              <w:rPr/>
              <w:t xml:space="preserve"> </w:t>
            </w:r>
          </w:p>
        </w:tc>
      </w:tr>
      <w:tr>
        <w:trPr/>
        <w:tc>
          <w:tcPr>
            <w:tcW w:w="1728"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379"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Number</w:t>
              <w:br/>
              <w:t>Outstanding</w:t>
            </w:r>
          </w:p>
        </w:tc>
        <w:tc>
          <w:tcPr>
            <w:tcW w:w="60" w:type="dxa"/>
            <w:tcBorders/>
            <w:shd w:fill="auto" w:val="clear"/>
            <w:vAlign w:val="bottom"/>
          </w:tcPr>
          <w:p>
            <w:pPr>
              <w:pStyle w:val="TableContents"/>
              <w:spacing w:before="0" w:after="283"/>
              <w:rPr/>
            </w:pPr>
            <w:r>
              <w:rPr/>
              <w:t> </w:t>
            </w:r>
          </w:p>
        </w:tc>
        <w:tc>
          <w:tcPr>
            <w:tcW w:w="1043"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Weighted</w:t>
              <w:br/>
              <w:t>Average</w:t>
              <w:br/>
              <w:t>Life(1)</w:t>
            </w:r>
          </w:p>
        </w:tc>
        <w:tc>
          <w:tcPr>
            <w:tcW w:w="60" w:type="dxa"/>
            <w:tcBorders/>
            <w:shd w:fill="auto" w:val="clear"/>
            <w:vAlign w:val="bottom"/>
          </w:tcPr>
          <w:p>
            <w:pPr>
              <w:pStyle w:val="TableContents"/>
              <w:spacing w:before="0" w:after="283"/>
              <w:rPr/>
            </w:pPr>
            <w:r>
              <w:rPr/>
              <w:t> </w:t>
            </w:r>
          </w:p>
        </w:tc>
        <w:tc>
          <w:tcPr>
            <w:tcW w:w="1039"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Weighted</w:t>
              <w:br/>
              <w:t>Average</w:t>
              <w:br/>
              <w:t>Exercise</w:t>
              <w:br/>
              <w:t>Price</w:t>
            </w:r>
          </w:p>
        </w:tc>
        <w:tc>
          <w:tcPr>
            <w:tcW w:w="60" w:type="dxa"/>
            <w:tcBorders/>
            <w:shd w:fill="auto" w:val="clear"/>
            <w:vAlign w:val="bottom"/>
          </w:tcPr>
          <w:p>
            <w:pPr>
              <w:pStyle w:val="TableContents"/>
              <w:spacing w:before="0" w:after="283"/>
              <w:rPr/>
            </w:pPr>
            <w:r>
              <w:rPr/>
              <w:t> </w:t>
            </w:r>
          </w:p>
        </w:tc>
        <w:tc>
          <w:tcPr>
            <w:tcW w:w="1128"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Aggregate</w:t>
              <w:br/>
              <w:t>Intrinsic</w:t>
              <w:br/>
              <w:t>Value</w:t>
            </w:r>
          </w:p>
        </w:tc>
        <w:tc>
          <w:tcPr>
            <w:tcW w:w="60" w:type="dxa"/>
            <w:tcBorders/>
            <w:shd w:fill="auto" w:val="clear"/>
            <w:vAlign w:val="bottom"/>
          </w:tcPr>
          <w:p>
            <w:pPr>
              <w:pStyle w:val="TableContents"/>
              <w:spacing w:before="0" w:after="283"/>
              <w:rPr/>
            </w:pPr>
            <w:r>
              <w:rPr/>
              <w:t> </w:t>
            </w:r>
          </w:p>
        </w:tc>
        <w:tc>
          <w:tcPr>
            <w:tcW w:w="1280"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Number</w:t>
              <w:br/>
              <w:t>Exercisable</w:t>
            </w:r>
          </w:p>
        </w:tc>
        <w:tc>
          <w:tcPr>
            <w:tcW w:w="60" w:type="dxa"/>
            <w:tcBorders/>
            <w:shd w:fill="auto" w:val="clear"/>
            <w:vAlign w:val="bottom"/>
          </w:tcPr>
          <w:p>
            <w:pPr>
              <w:pStyle w:val="TableContents"/>
              <w:spacing w:before="0" w:after="283"/>
              <w:rPr/>
            </w:pPr>
            <w:r>
              <w:rPr/>
              <w:t> </w:t>
            </w:r>
          </w:p>
        </w:tc>
        <w:tc>
          <w:tcPr>
            <w:tcW w:w="1039"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Weighted</w:t>
              <w:br/>
              <w:t>Average</w:t>
              <w:br/>
              <w:t>Exercise</w:t>
              <w:br/>
              <w:t>Price</w:t>
            </w:r>
          </w:p>
        </w:tc>
        <w:tc>
          <w:tcPr>
            <w:tcW w:w="60" w:type="dxa"/>
            <w:tcBorders/>
            <w:shd w:fill="auto" w:val="clear"/>
            <w:vAlign w:val="bottom"/>
          </w:tcPr>
          <w:p>
            <w:pPr>
              <w:pStyle w:val="TableContents"/>
              <w:spacing w:before="0" w:after="283"/>
              <w:rPr/>
            </w:pPr>
            <w:r>
              <w:rPr/>
              <w:t> </w:t>
            </w:r>
          </w:p>
        </w:tc>
        <w:tc>
          <w:tcPr>
            <w:tcW w:w="1149"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Aggregate</w:t>
              <w:br/>
              <w:t>Intrinsic</w:t>
              <w:br/>
              <w:t>Value</w:t>
            </w:r>
            <w:r>
              <w:rPr/>
              <w:t xml:space="preserve"> </w:t>
            </w:r>
          </w:p>
        </w:tc>
      </w:tr>
      <w:tr>
        <w:trPr/>
        <w:tc>
          <w:tcPr>
            <w:tcW w:w="1728"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$28.35$49.99</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94"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6,176,777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3"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3.31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167"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1" w:type="dxa"/>
            <w:tcBorders/>
            <w:shd w:fill="E5FFFF" w:val="clear"/>
            <w:vAlign w:val="bottom"/>
          </w:tcPr>
          <w:p>
            <w:pPr>
              <w:pStyle w:val="TableContents"/>
              <w:spacing w:before="0" w:after="283"/>
              <w:rPr/>
            </w:pPr>
            <w:r>
              <w:rPr/>
              <w:t> </w:t>
            </w:r>
          </w:p>
        </w:tc>
        <w:tc>
          <w:tcPr>
            <w:tcW w:w="67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38.45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182"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8" w:type="dxa"/>
            <w:tcBorders/>
            <w:shd w:fill="E5FFFF" w:val="clear"/>
            <w:vAlign w:val="bottom"/>
          </w:tcPr>
          <w:p>
            <w:pPr>
              <w:pStyle w:val="TableContents"/>
              <w:spacing w:before="0" w:after="283"/>
              <w:rPr/>
            </w:pPr>
            <w:r>
              <w:rPr/>
              <w:t> </w:t>
            </w:r>
          </w:p>
        </w:tc>
        <w:tc>
          <w:tcPr>
            <w:tcW w:w="73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402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6,176,777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167"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1" w:type="dxa"/>
            <w:tcBorders/>
            <w:shd w:fill="E5FFFF" w:val="clear"/>
            <w:vAlign w:val="bottom"/>
          </w:tcPr>
          <w:p>
            <w:pPr>
              <w:pStyle w:val="TableContents"/>
              <w:spacing w:before="0" w:after="283"/>
              <w:rPr/>
            </w:pPr>
            <w:r>
              <w:rPr/>
              <w:t> </w:t>
            </w:r>
          </w:p>
        </w:tc>
        <w:tc>
          <w:tcPr>
            <w:tcW w:w="67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38.45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23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100" w:type="dxa"/>
            <w:tcBorders/>
            <w:shd w:fill="E5FFFF" w:val="clear"/>
            <w:vAlign w:val="bottom"/>
          </w:tcPr>
          <w:p>
            <w:pPr>
              <w:pStyle w:val="TableContents"/>
              <w:spacing w:before="0" w:after="283"/>
              <w:rPr/>
            </w:pPr>
            <w:r>
              <w:rPr/>
              <w:t> </w:t>
            </w:r>
          </w:p>
        </w:tc>
        <w:tc>
          <w:tcPr>
            <w:tcW w:w="639"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 xml:space="preserve">402 </w:t>
            </w:r>
          </w:p>
        </w:tc>
        <w:tc>
          <w:tcPr>
            <w:tcW w:w="75" w:type="dxa"/>
            <w:tcBorders/>
            <w:shd w:fill="E5FFFF" w:val="clear"/>
            <w:vAlign w:val="bottom"/>
          </w:tcPr>
          <w:p>
            <w:pPr>
              <w:pStyle w:val="TableContents"/>
              <w:spacing w:before="0" w:after="283"/>
              <w:rPr/>
            </w:pPr>
            <w:r>
              <w:rPr/>
              <w:t> </w:t>
            </w:r>
          </w:p>
        </w:tc>
      </w:tr>
      <w:tr>
        <w:trPr/>
        <w:tc>
          <w:tcPr>
            <w:tcW w:w="1728" w:type="dxa"/>
            <w:tcBorders/>
            <w:shd w:fill="auto" w:val="clear"/>
            <w:vAlign w:val="bottom"/>
          </w:tcPr>
          <w:p>
            <w:pPr>
              <w:pStyle w:val="TableContents"/>
              <w:spacing w:before="0" w:after="283"/>
              <w:ind w:left="181" w:right="0" w:hanging="181"/>
              <w:rPr>
                <w:rFonts w:ascii="sans-serif" w:hAnsi="sans-serif"/>
                <w:sz w:val="20"/>
              </w:rPr>
            </w:pPr>
            <w:r>
              <w:rPr>
                <w:rFonts w:ascii="sans-serif" w:hAnsi="sans-serif"/>
                <w:sz w:val="20"/>
              </w:rPr>
              <w:t>$50.00$64.99</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rFonts w:ascii="sans-serif" w:hAnsi="sans-serif"/>
                <w:sz w:val="20"/>
              </w:rPr>
            </w:pPr>
            <w:r>
              <w:rPr>
                <w:rFonts w:ascii="sans-serif" w:hAnsi="sans-serif"/>
                <w:sz w:val="20"/>
              </w:rPr>
              <w:t>8,884,587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38" w:type="dxa"/>
            <w:gridSpan w:val="2"/>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58.43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7,731,362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38" w:type="dxa"/>
            <w:gridSpan w:val="2"/>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58.21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5" w:type="dxa"/>
            <w:gridSpan w:val="2"/>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rFonts w:ascii="sans-serif" w:hAnsi="sans-serif"/>
                <w:sz w:val="20"/>
              </w:rPr>
            </w:pPr>
            <w:r>
              <w:rPr>
                <w:rFonts w:ascii="sans-serif" w:hAnsi="sans-serif"/>
                <w:sz w:val="20"/>
              </w:rPr>
              <w:t xml:space="preserve">351 </w:t>
            </w:r>
          </w:p>
        </w:tc>
        <w:tc>
          <w:tcPr>
            <w:tcW w:w="75" w:type="dxa"/>
            <w:tcBorders/>
            <w:shd w:fill="auto" w:val="clear"/>
            <w:vAlign w:val="bottom"/>
          </w:tcPr>
          <w:p>
            <w:pPr>
              <w:pStyle w:val="TableContents"/>
              <w:spacing w:before="0" w:after="283"/>
              <w:rPr/>
            </w:pPr>
            <w:r>
              <w:rPr/>
              <w:t> </w:t>
            </w:r>
          </w:p>
        </w:tc>
      </w:tr>
      <w:tr>
        <w:trPr/>
        <w:tc>
          <w:tcPr>
            <w:tcW w:w="1728" w:type="dxa"/>
            <w:tcBorders/>
            <w:shd w:fill="E5FFFF" w:val="clear"/>
            <w:vAlign w:val="bottom"/>
          </w:tcPr>
          <w:p>
            <w:pPr>
              <w:pStyle w:val="TableContents"/>
              <w:spacing w:before="0" w:after="283"/>
              <w:ind w:left="181" w:right="0" w:hanging="181"/>
              <w:rPr>
                <w:rFonts w:ascii="sans-serif" w:hAnsi="sans-serif"/>
                <w:sz w:val="20"/>
              </w:rPr>
            </w:pPr>
            <w:r>
              <w:rPr>
                <w:rFonts w:ascii="sans-serif" w:hAnsi="sans-serif"/>
                <w:sz w:val="20"/>
              </w:rPr>
              <w:t>$65.00$75.00</w:t>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94"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4,490,514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3"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7.16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38" w:type="dxa"/>
            <w:gridSpan w:val="2"/>
            <w:tcBorders/>
            <w:shd w:fill="E5FFFF" w:val="clear"/>
            <w:vAlign w:val="bottom"/>
          </w:tcPr>
          <w:p>
            <w:pPr>
              <w:pStyle w:val="TableContents"/>
              <w:spacing w:before="0" w:after="283"/>
              <w:rPr/>
            </w:pPr>
            <w:r>
              <w:rPr/>
              <w:t> </w:t>
            </w:r>
          </w:p>
        </w:tc>
        <w:tc>
          <w:tcPr>
            <w:tcW w:w="67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69.92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260" w:type="dxa"/>
            <w:gridSpan w:val="2"/>
            <w:tcBorders/>
            <w:shd w:fill="E5FFFF" w:val="clear"/>
            <w:vAlign w:val="bottom"/>
          </w:tcPr>
          <w:p>
            <w:pPr>
              <w:pStyle w:val="TableContents"/>
              <w:spacing w:before="0" w:after="283"/>
              <w:rPr/>
            </w:pPr>
            <w:r>
              <w:rPr/>
              <w:t> </w:t>
            </w:r>
          </w:p>
        </w:tc>
        <w:tc>
          <w:tcPr>
            <w:tcW w:w="73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151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2,048,042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38" w:type="dxa"/>
            <w:gridSpan w:val="2"/>
            <w:tcBorders/>
            <w:shd w:fill="E5FFFF" w:val="clear"/>
            <w:vAlign w:val="bottom"/>
          </w:tcPr>
          <w:p>
            <w:pPr>
              <w:pStyle w:val="TableContents"/>
              <w:spacing w:before="0" w:after="283"/>
              <w:rPr/>
            </w:pPr>
            <w:r>
              <w:rPr/>
              <w:t> </w:t>
            </w:r>
          </w:p>
        </w:tc>
        <w:tc>
          <w:tcPr>
            <w:tcW w:w="67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69.92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335" w:type="dxa"/>
            <w:gridSpan w:val="2"/>
            <w:tcBorders/>
            <w:shd w:fill="E5FFFF" w:val="clear"/>
            <w:vAlign w:val="bottom"/>
          </w:tcPr>
          <w:p>
            <w:pPr>
              <w:pStyle w:val="TableContents"/>
              <w:spacing w:before="0" w:after="283"/>
              <w:rPr/>
            </w:pPr>
            <w:r>
              <w:rPr/>
              <w:t> </w:t>
            </w:r>
          </w:p>
        </w:tc>
        <w:tc>
          <w:tcPr>
            <w:tcW w:w="639"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 xml:space="preserve">69 </w:t>
            </w:r>
          </w:p>
        </w:tc>
        <w:tc>
          <w:tcPr>
            <w:tcW w:w="75" w:type="dxa"/>
            <w:tcBorders/>
            <w:shd w:fill="E5FFFF" w:val="clear"/>
            <w:vAlign w:val="bottom"/>
          </w:tcPr>
          <w:p>
            <w:pPr>
              <w:pStyle w:val="TableContents"/>
              <w:spacing w:before="0" w:after="283"/>
              <w:rPr/>
            </w:pPr>
            <w:r>
              <w:rPr/>
              <w:t> </w:t>
            </w:r>
          </w:p>
        </w:tc>
      </w:tr>
      <w:tr>
        <w:trPr/>
        <w:tc>
          <w:tcPr>
            <w:tcW w:w="1728" w:type="dxa"/>
            <w:tcBorders/>
            <w:shd w:fill="auto" w:val="clear"/>
            <w:vAlign w:val="bottom"/>
          </w:tcPr>
          <w:p>
            <w:pPr>
              <w:pStyle w:val="TableContents"/>
              <w:spacing w:before="0" w:after="283"/>
              <w:ind w:left="181" w:right="0" w:hanging="181"/>
              <w:rPr>
                <w:rFonts w:ascii="sans-serif" w:hAnsi="sans-serif"/>
                <w:sz w:val="20"/>
              </w:rPr>
            </w:pPr>
            <w:r>
              <w:rPr>
                <w:rFonts w:ascii="sans-serif" w:hAnsi="sans-serif"/>
                <w:sz w:val="20"/>
              </w:rPr>
              <w:t>$90.00$103.90</w:t>
            </w:r>
          </w:p>
        </w:tc>
        <w:tc>
          <w:tcPr>
            <w:tcW w:w="60" w:type="dxa"/>
            <w:tcBorders/>
            <w:shd w:fill="auto" w:val="clear"/>
            <w:vAlign w:val="bottom"/>
          </w:tcPr>
          <w:p>
            <w:pPr>
              <w:pStyle w:val="TableContents"/>
              <w:spacing w:before="0" w:after="283"/>
              <w:rPr/>
            </w:pPr>
            <w:r>
              <w:rPr/>
              <w:t> </w:t>
            </w:r>
          </w:p>
        </w:tc>
        <w:tc>
          <w:tcPr>
            <w:tcW w:w="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11,017,560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3" w:type="dxa"/>
            <w:tcBorders/>
            <w:shd w:fill="auto" w:val="clear"/>
            <w:vAlign w:val="bottom"/>
          </w:tcPr>
          <w:p>
            <w:pPr>
              <w:pStyle w:val="TableContents"/>
              <w:spacing w:before="0" w:after="283"/>
              <w:jc w:val="right"/>
              <w:rPr>
                <w:rFonts w:ascii="sans-serif" w:hAnsi="sans-serif"/>
                <w:sz w:val="20"/>
              </w:rPr>
            </w:pPr>
            <w:r>
              <w:rPr>
                <w:rFonts w:ascii="sans-serif" w:hAnsi="sans-serif"/>
                <w:sz w:val="20"/>
              </w:rPr>
              <w:t>8.70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38" w:type="dxa"/>
            <w:gridSpan w:val="2"/>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99.17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1,246,196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38" w:type="dxa"/>
            <w:gridSpan w:val="2"/>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94.07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35" w:type="dxa"/>
            <w:gridSpan w:val="2"/>
            <w:tcBorders/>
            <w:shd w:fill="auto" w:val="clear"/>
            <w:vAlign w:val="bottom"/>
          </w:tcPr>
          <w:p>
            <w:pPr>
              <w:pStyle w:val="TableContents"/>
              <w:spacing w:before="0" w:after="283"/>
              <w:rPr/>
            </w:pPr>
            <w:r>
              <w:rPr/>
              <w:t> </w:t>
            </w:r>
          </w:p>
        </w:tc>
        <w:tc>
          <w:tcPr>
            <w:tcW w:w="639" w:type="dxa"/>
            <w:tcBorders/>
            <w:shd w:fill="auto" w:val="clear"/>
            <w:vAlign w:val="bottom"/>
          </w:tcPr>
          <w:p>
            <w:pPr>
              <w:pStyle w:val="TableContents"/>
              <w:spacing w:before="0" w:after="283"/>
              <w:jc w:val="right"/>
              <w:rPr>
                <w:rFonts w:ascii="sans-serif" w:hAnsi="sans-serif"/>
                <w:sz w:val="20"/>
              </w:rPr>
            </w:pPr>
            <w:r>
              <w:rPr>
                <w:rFonts w:ascii="sans-serif" w:hAnsi="sans-serif"/>
                <w:sz w:val="20"/>
              </w:rPr>
              <w:t xml:space="preserve">12 </w:t>
            </w:r>
          </w:p>
        </w:tc>
        <w:tc>
          <w:tcPr>
            <w:tcW w:w="75" w:type="dxa"/>
            <w:tcBorders/>
            <w:shd w:fill="auto" w:val="clear"/>
            <w:vAlign w:val="bottom"/>
          </w:tcPr>
          <w:p>
            <w:pPr>
              <w:pStyle w:val="TableContents"/>
              <w:spacing w:before="0" w:after="283"/>
              <w:rPr/>
            </w:pPr>
            <w:r>
              <w:rPr/>
              <w:t> </w:t>
            </w:r>
          </w:p>
        </w:tc>
      </w:tr>
      <w:tr>
        <w:trPr/>
        <w:tc>
          <w:tcPr>
            <w:tcW w:w="1728"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379" w:type="dxa"/>
            <w:gridSpan w:val="4"/>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3"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8"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4"/>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9"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1728" w:type="dxa"/>
            <w:tcBorders/>
            <w:shd w:fill="E5FFFF" w:val="clear"/>
            <w:vAlign w:val="bottom"/>
          </w:tcPr>
          <w:p>
            <w:pPr>
              <w:pStyle w:val="TableContents"/>
              <w:spacing w:before="0" w:after="283"/>
              <w:ind w:left="181" w:right="0" w:hanging="181"/>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5"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94"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30,569,438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3"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6.34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38" w:type="dxa"/>
            <w:gridSpan w:val="2"/>
            <w:tcBorders/>
            <w:shd w:fill="E5FFFF" w:val="clear"/>
            <w:vAlign w:val="bottom"/>
          </w:tcPr>
          <w:p>
            <w:pPr>
              <w:pStyle w:val="TableContents"/>
              <w:spacing w:before="0" w:after="283"/>
              <w:rPr/>
            </w:pPr>
            <w:r>
              <w:rPr/>
              <w:t> </w:t>
            </w:r>
          </w:p>
        </w:tc>
        <w:tc>
          <w:tcPr>
            <w:tcW w:w="67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70.76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8" w:type="dxa"/>
            <w:tcBorders/>
            <w:shd w:fill="E5FFFF" w:val="clear"/>
            <w:vAlign w:val="bottom"/>
          </w:tcPr>
          <w:p>
            <w:pPr>
              <w:pStyle w:val="TableContents"/>
              <w:spacing w:before="0" w:after="283"/>
              <w:rPr/>
            </w:pPr>
            <w:r>
              <w:rPr/>
              <w:t> </w:t>
            </w:r>
          </w:p>
        </w:tc>
        <w:tc>
          <w:tcPr>
            <w:tcW w:w="182"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78" w:type="dxa"/>
            <w:tcBorders/>
            <w:shd w:fill="E5FFFF" w:val="clear"/>
            <w:vAlign w:val="bottom"/>
          </w:tcPr>
          <w:p>
            <w:pPr>
              <w:pStyle w:val="TableContents"/>
              <w:spacing w:before="0" w:after="283"/>
              <w:rPr/>
            </w:pPr>
            <w:r>
              <w:rPr/>
              <w:t> </w:t>
            </w:r>
          </w:p>
        </w:tc>
        <w:tc>
          <w:tcPr>
            <w:tcW w:w="73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1,004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17,202,377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38" w:type="dxa"/>
            <w:gridSpan w:val="2"/>
            <w:tcBorders/>
            <w:shd w:fill="E5FFFF" w:val="clear"/>
            <w:vAlign w:val="bottom"/>
          </w:tcPr>
          <w:p>
            <w:pPr>
              <w:pStyle w:val="TableContents"/>
              <w:spacing w:before="0" w:after="283"/>
              <w:rPr/>
            </w:pPr>
            <w:r>
              <w:rPr/>
              <w:t> </w:t>
            </w:r>
          </w:p>
        </w:tc>
        <w:tc>
          <w:tcPr>
            <w:tcW w:w="67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55.11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0" w:type="dxa"/>
            <w:tcBorders/>
            <w:shd w:fill="E5FFFF" w:val="clear"/>
            <w:vAlign w:val="bottom"/>
          </w:tcPr>
          <w:p>
            <w:pPr>
              <w:pStyle w:val="TableContents"/>
              <w:spacing w:before="0" w:after="283"/>
              <w:rPr/>
            </w:pPr>
            <w:r>
              <w:rPr/>
              <w:t> </w:t>
            </w:r>
          </w:p>
        </w:tc>
        <w:tc>
          <w:tcPr>
            <w:tcW w:w="23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100" w:type="dxa"/>
            <w:tcBorders/>
            <w:shd w:fill="E5FFFF" w:val="clear"/>
            <w:vAlign w:val="bottom"/>
          </w:tcPr>
          <w:p>
            <w:pPr>
              <w:pStyle w:val="TableContents"/>
              <w:spacing w:before="0" w:after="283"/>
              <w:rPr/>
            </w:pPr>
            <w:r>
              <w:rPr/>
              <w:t> </w:t>
            </w:r>
          </w:p>
        </w:tc>
        <w:tc>
          <w:tcPr>
            <w:tcW w:w="639"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 xml:space="preserve">834 </w:t>
            </w:r>
          </w:p>
        </w:tc>
        <w:tc>
          <w:tcPr>
            <w:tcW w:w="75" w:type="dxa"/>
            <w:tcBorders/>
            <w:shd w:fill="E5FFFF" w:val="clear"/>
            <w:vAlign w:val="bottom"/>
          </w:tcPr>
          <w:p>
            <w:pPr>
              <w:pStyle w:val="TableContents"/>
              <w:spacing w:before="0" w:after="283"/>
              <w:rPr/>
            </w:pPr>
            <w:r>
              <w:rPr/>
              <w:t> </w:t>
            </w:r>
          </w:p>
        </w:tc>
      </w:tr>
      <w:tr>
        <w:trPr/>
        <w:tc>
          <w:tcPr>
            <w:tcW w:w="1728" w:type="dxa"/>
            <w:tcBorders/>
            <w:shd w:fill="auto" w:val="clear"/>
            <w:vAlign w:val="bottom"/>
          </w:tcPr>
          <w:p>
            <w:pPr>
              <w:pStyle w:val="TableContents"/>
              <w:spacing w:before="0" w:after="283"/>
              <w:ind w:left="181" w:right="0" w:hanging="181"/>
              <w:rPr/>
            </w:pPr>
            <w:r>
              <w:rPr/>
              <w:t> </w:t>
            </w:r>
          </w:p>
        </w:tc>
        <w:tc>
          <w:tcPr>
            <w:tcW w:w="60" w:type="dxa"/>
            <w:tcBorders/>
            <w:shd w:fill="auto" w:val="clear"/>
            <w:vAlign w:val="bottom"/>
          </w:tcPr>
          <w:p>
            <w:pPr>
              <w:pStyle w:val="TableContents"/>
              <w:spacing w:before="0" w:after="283"/>
              <w:rPr/>
            </w:pPr>
            <w:r>
              <w:rPr/>
              <w:t> </w:t>
            </w:r>
          </w:p>
        </w:tc>
        <w:tc>
          <w:tcPr>
            <w:tcW w:w="1379" w:type="dxa"/>
            <w:gridSpan w:val="4"/>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3"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8"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4"/>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9"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9"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5223" w:type="dxa"/>
        <w:jc w:val="left"/>
        <w:tblInd w:w="0" w:type="dxa"/>
        <w:tblCellMar>
          <w:top w:w="0" w:type="dxa"/>
          <w:left w:w="0" w:type="dxa"/>
          <w:bottom w:w="0" w:type="dxa"/>
          <w:right w:w="0" w:type="dxa"/>
        </w:tblCellMar>
      </w:tblPr>
      <w:tblGrid>
        <w:gridCol w:w="75"/>
        <w:gridCol w:w="305"/>
        <w:gridCol w:w="105"/>
        <w:gridCol w:w="4700"/>
        <w:gridCol w:w="38"/>
      </w:tblGrid>
      <w:tr>
        <w:trPr/>
        <w:tc>
          <w:tcPr>
            <w:tcW w:w="5223"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105" w:type="dxa"/>
            <w:tcBorders/>
            <w:shd w:fill="auto" w:val="clear"/>
          </w:tcPr>
          <w:p>
            <w:pPr>
              <w:pStyle w:val="TableContents"/>
              <w:spacing w:before="0" w:after="283"/>
              <w:rPr/>
            </w:pPr>
            <w:r>
              <w:rPr/>
              <w:t> </w:t>
            </w:r>
          </w:p>
        </w:tc>
        <w:tc>
          <w:tcPr>
            <w:tcW w:w="4700" w:type="dxa"/>
            <w:tcBorders/>
            <w:shd w:fill="auto" w:val="clear"/>
          </w:tcPr>
          <w:p>
            <w:pPr>
              <w:pStyle w:val="TableContents"/>
              <w:spacing w:before="0" w:after="283"/>
              <w:jc w:val="both"/>
              <w:rPr>
                <w:rFonts w:ascii="sans-serif" w:hAnsi="sans-serif"/>
                <w:sz w:val="22"/>
              </w:rPr>
            </w:pPr>
            <w:r>
              <w:rPr>
                <w:rFonts w:ascii="sans-serif" w:hAnsi="sans-serif"/>
                <w:sz w:val="22"/>
              </w:rPr>
              <w:t>Average remaining contractual life in years.</w:t>
            </w:r>
          </w:p>
        </w:tc>
        <w:tc>
          <w:tcPr>
            <w:tcW w:w="38"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There were 16,019,742 and 15,594,410 options exercisable at weighted average exercise prices of $49.40 and $45.76 at December 31, 2014 and 2013.</w:t>
      </w:r>
    </w:p>
    <w:p>
      <w:pPr>
        <w:pStyle w:val="TextBody"/>
        <w:spacing w:before="119" w:after="119"/>
        <w:ind w:left="119" w:right="119" w:firstLine="397"/>
        <w:jc w:val="both"/>
        <w:rPr>
          <w:rFonts w:ascii="sans-serif" w:hAnsi="sans-serif"/>
          <w:sz w:val="22"/>
        </w:rPr>
      </w:pPr>
      <w:r>
        <w:rPr>
          <w:rFonts w:ascii="sans-serif" w:hAnsi="sans-serif"/>
          <w:sz w:val="22"/>
        </w:rPr>
        <w:t>The following table summarizes the financial statement impact from stock options exercised:</w:t>
      </w:r>
    </w:p>
    <w:tbl>
      <w:tblPr>
        <w:tblW w:w="5294" w:type="dxa"/>
        <w:jc w:val="left"/>
        <w:tblInd w:w="0" w:type="dxa"/>
        <w:tblCellMar>
          <w:top w:w="0" w:type="dxa"/>
          <w:left w:w="0" w:type="dxa"/>
          <w:bottom w:w="0" w:type="dxa"/>
          <w:right w:w="0" w:type="dxa"/>
        </w:tblCellMar>
      </w:tblPr>
      <w:tblGrid>
        <w:gridCol w:w="2345"/>
        <w:gridCol w:w="60"/>
        <w:gridCol w:w="71"/>
        <w:gridCol w:w="183"/>
        <w:gridCol w:w="71"/>
        <w:gridCol w:w="502"/>
        <w:gridCol w:w="60"/>
        <w:gridCol w:w="71"/>
        <w:gridCol w:w="71"/>
        <w:gridCol w:w="183"/>
        <w:gridCol w:w="71"/>
        <w:gridCol w:w="502"/>
        <w:gridCol w:w="60"/>
        <w:gridCol w:w="71"/>
        <w:gridCol w:w="71"/>
        <w:gridCol w:w="183"/>
        <w:gridCol w:w="71"/>
        <w:gridCol w:w="573"/>
        <w:gridCol w:w="75"/>
      </w:tblGrid>
      <w:tr>
        <w:trPr/>
        <w:tc>
          <w:tcPr>
            <w:tcW w:w="23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7" w:type="dxa"/>
            <w:gridSpan w:val="5"/>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87" w:type="dxa"/>
            <w:gridSpan w:val="5"/>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73" w:type="dxa"/>
            <w:gridSpan w:val="5"/>
            <w:tcBorders/>
            <w:shd w:fill="auto" w:val="clear"/>
            <w:vAlign w:val="bottom"/>
          </w:tcPr>
          <w:p>
            <w:pPr>
              <w:pStyle w:val="TableContents"/>
              <w:spacing w:before="0" w:after="283"/>
              <w:rPr>
                <w:sz w:val="4"/>
                <w:szCs w:val="4"/>
              </w:rPr>
            </w:pPr>
            <w:r>
              <w:rPr>
                <w:sz w:val="4"/>
                <w:szCs w:val="4"/>
              </w:rPr>
            </w:r>
          </w:p>
        </w:tc>
      </w:tr>
      <w:tr>
        <w:trPr/>
        <w:tc>
          <w:tcPr>
            <w:tcW w:w="2345"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Options Exercised</w:t>
            </w:r>
          </w:p>
        </w:tc>
        <w:tc>
          <w:tcPr>
            <w:tcW w:w="60" w:type="dxa"/>
            <w:tcBorders/>
            <w:shd w:fill="auto" w:val="clear"/>
            <w:vAlign w:val="bottom"/>
          </w:tcPr>
          <w:p>
            <w:pPr>
              <w:pStyle w:val="TableContents"/>
              <w:spacing w:before="0" w:after="283"/>
              <w:rPr/>
            </w:pPr>
            <w:r>
              <w:rPr/>
              <w:t> </w:t>
            </w:r>
          </w:p>
        </w:tc>
        <w:tc>
          <w:tcPr>
            <w:tcW w:w="2889"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2345"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8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71" w:type="dxa"/>
            <w:tcBorders/>
            <w:shd w:fill="auto" w:val="clear"/>
            <w:vAlign w:val="bottom"/>
          </w:tcPr>
          <w:p>
            <w:pPr>
              <w:pStyle w:val="TableContents"/>
              <w:spacing w:before="0" w:after="283"/>
              <w:rPr/>
            </w:pPr>
            <w:r>
              <w:rPr/>
              <w:t> </w:t>
            </w:r>
          </w:p>
        </w:tc>
        <w:tc>
          <w:tcPr>
            <w:tcW w:w="88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71" w:type="dxa"/>
            <w:tcBorders/>
            <w:shd w:fill="auto" w:val="clear"/>
            <w:vAlign w:val="bottom"/>
          </w:tcPr>
          <w:p>
            <w:pPr>
              <w:pStyle w:val="TableContents"/>
              <w:spacing w:before="0" w:after="283"/>
              <w:rPr/>
            </w:pPr>
            <w:r>
              <w:rPr/>
              <w:t> </w:t>
            </w:r>
          </w:p>
        </w:tc>
        <w:tc>
          <w:tcPr>
            <w:tcW w:w="973"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2013</w:t>
            </w:r>
            <w:r>
              <w:rPr/>
              <w:t xml:space="preserve"> </w:t>
            </w:r>
          </w:p>
        </w:tc>
      </w:tr>
      <w:tr>
        <w:trPr/>
        <w:tc>
          <w:tcPr>
            <w:tcW w:w="23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Intrinsic value(1)</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18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1" w:type="dxa"/>
            <w:tcBorders/>
            <w:shd w:fill="E5FFFF" w:val="clear"/>
            <w:vAlign w:val="bottom"/>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210</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18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1" w:type="dxa"/>
            <w:tcBorders/>
            <w:shd w:fill="E5FFFF" w:val="clear"/>
            <w:vAlign w:val="bottom"/>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272</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18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1" w:type="dxa"/>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367 </w:t>
            </w:r>
          </w:p>
        </w:tc>
        <w:tc>
          <w:tcPr>
            <w:tcW w:w="75" w:type="dxa"/>
            <w:tcBorders/>
            <w:shd w:fill="E5FFFF" w:val="clear"/>
            <w:vAlign w:val="bottom"/>
          </w:tcPr>
          <w:p>
            <w:pPr>
              <w:pStyle w:val="TableContents"/>
              <w:spacing w:before="0" w:after="283"/>
              <w:rPr/>
            </w:pPr>
            <w:r>
              <w:rPr/>
              <w:t> </w:t>
            </w:r>
          </w:p>
        </w:tc>
      </w:tr>
      <w:tr>
        <w:trPr/>
        <w:tc>
          <w:tcPr>
            <w:tcW w:w="23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Tax benefit realized</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54" w:type="dxa"/>
            <w:gridSpan w:val="2"/>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73</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54" w:type="dxa"/>
            <w:gridSpan w:val="2"/>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96</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54" w:type="dxa"/>
            <w:gridSpan w:val="2"/>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129 </w:t>
            </w:r>
          </w:p>
        </w:tc>
        <w:tc>
          <w:tcPr>
            <w:tcW w:w="75" w:type="dxa"/>
            <w:tcBorders/>
            <w:shd w:fill="auto" w:val="clear"/>
            <w:vAlign w:val="bottom"/>
          </w:tcPr>
          <w:p>
            <w:pPr>
              <w:pStyle w:val="TableContents"/>
              <w:spacing w:before="0" w:after="283"/>
              <w:rPr/>
            </w:pPr>
            <w:r>
              <w:rPr/>
              <w:t> </w:t>
            </w:r>
          </w:p>
        </w:tc>
      </w:tr>
      <w:tr>
        <w:trPr/>
        <w:tc>
          <w:tcPr>
            <w:tcW w:w="23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Operating cash inflow</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54" w:type="dxa"/>
            <w:gridSpan w:val="2"/>
            <w:tcBorders/>
            <w:shd w:fill="E5FFFF" w:val="clear"/>
            <w:vAlign w:val="bottom"/>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137</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54" w:type="dxa"/>
            <w:gridSpan w:val="2"/>
            <w:tcBorders/>
            <w:shd w:fill="E5FFFF" w:val="clear"/>
            <w:vAlign w:val="bottom"/>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172</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54" w:type="dxa"/>
            <w:gridSpan w:val="2"/>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333 </w:t>
            </w:r>
          </w:p>
        </w:tc>
        <w:tc>
          <w:tcPr>
            <w:tcW w:w="75" w:type="dxa"/>
            <w:tcBorders/>
            <w:shd w:fill="E5FFFF" w:val="clear"/>
            <w:vAlign w:val="bottom"/>
          </w:tcPr>
          <w:p>
            <w:pPr>
              <w:pStyle w:val="TableContents"/>
              <w:spacing w:before="0" w:after="283"/>
              <w:rPr/>
            </w:pPr>
            <w:r>
              <w:rPr/>
              <w:t> </w:t>
            </w:r>
          </w:p>
        </w:tc>
      </w:tr>
      <w:tr>
        <w:trPr/>
        <w:tc>
          <w:tcPr>
            <w:tcW w:w="23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Financing cash inflow</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54" w:type="dxa"/>
            <w:gridSpan w:val="2"/>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54" w:type="dxa"/>
            <w:gridSpan w:val="2"/>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w:t>
            </w:r>
          </w:p>
        </w:tc>
        <w:tc>
          <w:tcPr>
            <w:tcW w:w="6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254" w:type="dxa"/>
            <w:gridSpan w:val="2"/>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99 </w:t>
            </w:r>
          </w:p>
        </w:tc>
        <w:tc>
          <w:tcPr>
            <w:tcW w:w="75" w:type="dxa"/>
            <w:tcBorders/>
            <w:shd w:fill="auto" w:val="clear"/>
            <w:vAlign w:val="bottom"/>
          </w:tcPr>
          <w:p>
            <w:pPr>
              <w:pStyle w:val="TableContents"/>
              <w:spacing w:before="0" w:after="283"/>
              <w:rPr/>
            </w:pPr>
            <w:r>
              <w:rPr/>
              <w:t> </w:t>
            </w:r>
          </w:p>
        </w:tc>
      </w:tr>
      <w:tr>
        <w:trPr/>
        <w:tc>
          <w:tcPr>
            <w:tcW w:w="23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Total cash received</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54" w:type="dxa"/>
            <w:gridSpan w:val="2"/>
            <w:tcBorders/>
            <w:shd w:fill="E5FFFF" w:val="clear"/>
            <w:vAlign w:val="bottom"/>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194</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54" w:type="dxa"/>
            <w:gridSpan w:val="2"/>
            <w:tcBorders/>
            <w:shd w:fill="E5FFFF" w:val="clear"/>
            <w:vAlign w:val="bottom"/>
          </w:tcPr>
          <w:p>
            <w:pPr>
              <w:pStyle w:val="TableContents"/>
              <w:spacing w:before="0" w:after="283"/>
              <w:rPr/>
            </w:pPr>
            <w:r>
              <w:rPr/>
              <w:t> </w:t>
            </w:r>
          </w:p>
        </w:tc>
        <w:tc>
          <w:tcPr>
            <w:tcW w:w="50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249</w:t>
            </w:r>
          </w:p>
        </w:tc>
        <w:tc>
          <w:tcPr>
            <w:tcW w:w="60"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71" w:type="dxa"/>
            <w:tcBorders/>
            <w:shd w:fill="E5FFFF" w:val="clear"/>
            <w:vAlign w:val="bottom"/>
          </w:tcPr>
          <w:p>
            <w:pPr>
              <w:pStyle w:val="TableContents"/>
              <w:spacing w:before="0" w:after="283"/>
              <w:rPr/>
            </w:pPr>
            <w:r>
              <w:rPr/>
              <w:t> </w:t>
            </w:r>
          </w:p>
        </w:tc>
        <w:tc>
          <w:tcPr>
            <w:tcW w:w="254" w:type="dxa"/>
            <w:gridSpan w:val="2"/>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432 </w:t>
            </w:r>
          </w:p>
        </w:tc>
        <w:tc>
          <w:tcPr>
            <w:tcW w:w="75" w:type="dxa"/>
            <w:tcBorders/>
            <w:shd w:fill="E5FFFF" w:val="cle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10205" w:type="dxa"/>
        <w:jc w:val="left"/>
        <w:tblInd w:w="0" w:type="dxa"/>
        <w:tblCellMar>
          <w:top w:w="0" w:type="dxa"/>
          <w:left w:w="0" w:type="dxa"/>
          <w:bottom w:w="0" w:type="dxa"/>
          <w:right w:w="0" w:type="dxa"/>
        </w:tblCellMar>
      </w:tblPr>
      <w:tblGrid>
        <w:gridCol w:w="75"/>
        <w:gridCol w:w="287"/>
        <w:gridCol w:w="94"/>
        <w:gridCol w:w="9709"/>
        <w:gridCol w:w="40"/>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94" w:type="dxa"/>
            <w:tcBorders/>
            <w:shd w:fill="auto" w:val="clear"/>
          </w:tcPr>
          <w:p>
            <w:pPr>
              <w:pStyle w:val="TableContents"/>
              <w:spacing w:before="0" w:after="283"/>
              <w:rPr/>
            </w:pPr>
            <w:r>
              <w:rPr/>
              <w:t> </w:t>
            </w:r>
          </w:p>
        </w:tc>
        <w:tc>
          <w:tcPr>
            <w:tcW w:w="9709" w:type="dxa"/>
            <w:tcBorders/>
            <w:shd w:fill="auto" w:val="clear"/>
          </w:tcPr>
          <w:p>
            <w:pPr>
              <w:pStyle w:val="TableContents"/>
              <w:spacing w:before="0" w:after="283"/>
              <w:jc w:val="both"/>
              <w:rPr>
                <w:rFonts w:ascii="sans-serif" w:hAnsi="sans-serif"/>
                <w:sz w:val="22"/>
              </w:rPr>
            </w:pPr>
            <w:r>
              <w:rPr>
                <w:rFonts w:ascii="sans-serif" w:hAnsi="sans-serif"/>
                <w:sz w:val="22"/>
              </w:rPr>
              <w:t>Represents the amount by which the stock price exceeded the exercise price of the options on the date of exercise.</w:t>
            </w:r>
          </w:p>
        </w:tc>
        <w:tc>
          <w:tcPr>
            <w:tcW w:w="40"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At December 31, 2015 there was $140 million of total unrecognized compensation cost related to non-vested stock option awards which is expected to be recognized over a weighted-average period of 2.36 years. The total fair value of options vested during 2015, 2014 and 2013 was $73 million, $72 million and $67 million.</w:t>
      </w:r>
    </w:p>
    <w:p>
      <w:pPr>
        <w:pStyle w:val="TextBody"/>
        <w:spacing w:before="119" w:after="119"/>
        <w:ind w:left="119" w:right="119" w:firstLine="397"/>
        <w:jc w:val="both"/>
        <w:rPr>
          <w:rFonts w:ascii="sans-serif" w:hAnsi="sans-serif"/>
          <w:sz w:val="22"/>
        </w:rPr>
      </w:pPr>
      <w:r>
        <w:rPr>
          <w:rFonts w:ascii="sans-serif" w:hAnsi="sans-serif"/>
          <w:b/>
          <w:i/>
          <w:sz w:val="22"/>
        </w:rPr>
        <w:t>Restricted Stock Units</w:t>
      </w:r>
      <w:r>
        <w:rPr>
          <w:rFonts w:ascii="sans-serif" w:hAnsi="sans-serif"/>
          <w:sz w:val="22"/>
        </w:rPr>
        <w:t>Restricted stock unit (RSU) awards entitle the holder to receive one share of common stock for each unit when the units vest. RSUs are issued to certain key employees and directors at fair market value at the date of grant as compensation. RSUs typically become fully vested over periods ranging from three to seven years and are payable in Honeywell common stock upon vesting.</w:t>
      </w:r>
    </w:p>
    <w:p>
      <w:pPr>
        <w:pStyle w:val="TextBody"/>
        <w:spacing w:before="119" w:after="119"/>
        <w:ind w:left="119" w:right="119" w:hanging="0"/>
        <w:jc w:val="center"/>
        <w:rPr>
          <w:rFonts w:ascii="sans-serif" w:hAnsi="sans-serif"/>
          <w:sz w:val="22"/>
        </w:rPr>
      </w:pPr>
      <w:r>
        <w:rPr>
          <w:rFonts w:ascii="sans-serif" w:hAnsi="sans-serif"/>
          <w:sz w:val="22"/>
        </w:rPr>
        <w:t>58</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The following table summarizes information about RSU activity for the three years ended December 31, 2015:</w:t>
      </w:r>
    </w:p>
    <w:tbl>
      <w:tblPr>
        <w:tblW w:w="6444" w:type="dxa"/>
        <w:jc w:val="left"/>
        <w:tblInd w:w="0" w:type="dxa"/>
        <w:tblCellMar>
          <w:top w:w="0" w:type="dxa"/>
          <w:left w:w="0" w:type="dxa"/>
          <w:bottom w:w="0" w:type="dxa"/>
          <w:right w:w="0" w:type="dxa"/>
        </w:tblCellMar>
      </w:tblPr>
      <w:tblGrid>
        <w:gridCol w:w="3680"/>
        <w:gridCol w:w="60"/>
        <w:gridCol w:w="60"/>
        <w:gridCol w:w="60"/>
        <w:gridCol w:w="1160"/>
        <w:gridCol w:w="95"/>
        <w:gridCol w:w="60"/>
        <w:gridCol w:w="60"/>
        <w:gridCol w:w="62"/>
        <w:gridCol w:w="161"/>
        <w:gridCol w:w="62"/>
        <w:gridCol w:w="849"/>
        <w:gridCol w:w="75"/>
      </w:tblGrid>
      <w:tr>
        <w:trPr/>
        <w:tc>
          <w:tcPr>
            <w:tcW w:w="3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9" w:type="dxa"/>
            <w:gridSpan w:val="5"/>
            <w:tcBorders/>
            <w:shd w:fill="auto" w:val="clear"/>
            <w:vAlign w:val="bottom"/>
          </w:tcPr>
          <w:p>
            <w:pPr>
              <w:pStyle w:val="TableContents"/>
              <w:spacing w:before="0" w:after="283"/>
              <w:rPr>
                <w:sz w:val="4"/>
                <w:szCs w:val="4"/>
              </w:rPr>
            </w:pPr>
            <w:r>
              <w:rPr>
                <w:sz w:val="4"/>
                <w:szCs w:val="4"/>
              </w:rPr>
            </w:r>
          </w:p>
        </w:tc>
      </w:tr>
      <w:tr>
        <w:trPr/>
        <w:tc>
          <w:tcPr>
            <w:tcW w:w="368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43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Number of</w:t>
              <w:br/>
              <w:t>Restricted</w:t>
              <w:br/>
              <w:t>Stock Units</w:t>
            </w:r>
          </w:p>
        </w:tc>
        <w:tc>
          <w:tcPr>
            <w:tcW w:w="60" w:type="dxa"/>
            <w:tcBorders/>
            <w:shd w:fill="auto" w:val="clear"/>
            <w:vAlign w:val="bottom"/>
          </w:tcPr>
          <w:p>
            <w:pPr>
              <w:pStyle w:val="TableContents"/>
              <w:spacing w:before="0" w:after="283"/>
              <w:rPr/>
            </w:pPr>
            <w:r>
              <w:rPr/>
              <w:t> </w:t>
            </w:r>
          </w:p>
        </w:tc>
        <w:tc>
          <w:tcPr>
            <w:tcW w:w="1209"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Weighted</w:t>
              <w:br/>
              <w:t>Average</w:t>
              <w:br/>
              <w:t>Grant Date</w:t>
              <w:br/>
              <w:t>Fair Value</w:t>
              <w:br/>
              <w:t>Per Share</w:t>
            </w:r>
            <w:r>
              <w:rPr/>
              <w:t xml:space="preserve"> </w:t>
            </w:r>
          </w:p>
        </w:tc>
      </w:tr>
      <w:tr>
        <w:trPr/>
        <w:tc>
          <w:tcPr>
            <w:tcW w:w="36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Non-vested at December 31, 2012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8,095,739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161"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E5FFFF" w:val="clear"/>
            <w:vAlign w:val="bottom"/>
          </w:tcPr>
          <w:p>
            <w:pPr>
              <w:pStyle w:val="TableContents"/>
              <w:spacing w:before="0" w:after="283"/>
              <w:rPr/>
            </w:pPr>
            <w:r>
              <w:rPr/>
              <w:t> </w:t>
            </w:r>
          </w:p>
        </w:tc>
        <w:tc>
          <w:tcPr>
            <w:tcW w:w="8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49.91 </w:t>
            </w:r>
          </w:p>
        </w:tc>
        <w:tc>
          <w:tcPr>
            <w:tcW w:w="75" w:type="dxa"/>
            <w:tcBorders/>
            <w:shd w:fill="E5FF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Granted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1,904,504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75.73 </w:t>
            </w:r>
          </w:p>
        </w:tc>
        <w:tc>
          <w:tcPr>
            <w:tcW w:w="75" w:type="dxa"/>
            <w:tcBorders/>
            <w:shd w:fill="auto" w:val="clear"/>
            <w:vAlign w:val="bottom"/>
          </w:tcPr>
          <w:p>
            <w:pPr>
              <w:pStyle w:val="TableContents"/>
              <w:spacing w:before="0" w:after="283"/>
              <w:rPr/>
            </w:pPr>
            <w:r>
              <w:rPr/>
              <w:t> </w:t>
            </w:r>
          </w:p>
        </w:tc>
      </w:tr>
      <w:tr>
        <w:trPr/>
        <w:tc>
          <w:tcPr>
            <w:tcW w:w="3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Vested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(2,995,553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8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42.17 </w:t>
            </w:r>
          </w:p>
        </w:tc>
        <w:tc>
          <w:tcPr>
            <w:tcW w:w="75" w:type="dxa"/>
            <w:tcBorders/>
            <w:shd w:fill="E5FF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Forfeited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(312,470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56.58 </w:t>
            </w:r>
          </w:p>
        </w:tc>
        <w:tc>
          <w:tcPr>
            <w:tcW w:w="75" w:type="dxa"/>
            <w:tcBorders/>
            <w:shd w:fill="auto"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3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269" w:type="dxa"/>
            <w:gridSpan w:val="6"/>
            <w:tcBorders/>
            <w:shd w:fill="auto" w:val="clear"/>
          </w:tcPr>
          <w:p>
            <w:pPr>
              <w:pStyle w:val="TableContents"/>
              <w:spacing w:before="0" w:after="283"/>
              <w:rPr>
                <w:sz w:val="4"/>
                <w:szCs w:val="4"/>
              </w:rPr>
            </w:pPr>
            <w:r>
              <w:rPr>
                <w:sz w:val="4"/>
                <w:szCs w:val="4"/>
              </w:rPr>
            </w:r>
          </w:p>
        </w:tc>
      </w:tr>
      <w:tr>
        <w:trPr/>
        <w:tc>
          <w:tcPr>
            <w:tcW w:w="36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Non-vested at December 31, 2013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6,692,220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8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60.04 </w:t>
            </w:r>
          </w:p>
        </w:tc>
        <w:tc>
          <w:tcPr>
            <w:tcW w:w="75" w:type="dxa"/>
            <w:tcBorders/>
            <w:shd w:fill="E5FF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Granted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1,455,209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94.88 </w:t>
            </w:r>
          </w:p>
        </w:tc>
        <w:tc>
          <w:tcPr>
            <w:tcW w:w="75" w:type="dxa"/>
            <w:tcBorders/>
            <w:shd w:fill="auto" w:val="clear"/>
            <w:vAlign w:val="bottom"/>
          </w:tcPr>
          <w:p>
            <w:pPr>
              <w:pStyle w:val="TableContents"/>
              <w:spacing w:before="0" w:after="283"/>
              <w:rPr/>
            </w:pPr>
            <w:r>
              <w:rPr/>
              <w:t> </w:t>
            </w:r>
          </w:p>
        </w:tc>
      </w:tr>
      <w:tr>
        <w:trPr/>
        <w:tc>
          <w:tcPr>
            <w:tcW w:w="3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Vested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(1,787,894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8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53.63 </w:t>
            </w:r>
          </w:p>
        </w:tc>
        <w:tc>
          <w:tcPr>
            <w:tcW w:w="75" w:type="dxa"/>
            <w:tcBorders/>
            <w:shd w:fill="E5FF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Forfeited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(460,341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63.54 </w:t>
            </w:r>
          </w:p>
        </w:tc>
        <w:tc>
          <w:tcPr>
            <w:tcW w:w="75" w:type="dxa"/>
            <w:tcBorders/>
            <w:shd w:fill="auto"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3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269" w:type="dxa"/>
            <w:gridSpan w:val="6"/>
            <w:tcBorders/>
            <w:shd w:fill="auto" w:val="clear"/>
          </w:tcPr>
          <w:p>
            <w:pPr>
              <w:pStyle w:val="TableContents"/>
              <w:spacing w:before="0" w:after="283"/>
              <w:rPr>
                <w:sz w:val="4"/>
                <w:szCs w:val="4"/>
              </w:rPr>
            </w:pPr>
            <w:r>
              <w:rPr>
                <w:sz w:val="4"/>
                <w:szCs w:val="4"/>
              </w:rPr>
            </w:r>
          </w:p>
        </w:tc>
      </w:tr>
      <w:tr>
        <w:trPr/>
        <w:tc>
          <w:tcPr>
            <w:tcW w:w="36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Non-vested at December 31, 2014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5,899,194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8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70.32 </w:t>
            </w:r>
          </w:p>
        </w:tc>
        <w:tc>
          <w:tcPr>
            <w:tcW w:w="75" w:type="dxa"/>
            <w:tcBorders/>
            <w:shd w:fill="E5FF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Granted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1,190,406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103.04 </w:t>
            </w:r>
          </w:p>
        </w:tc>
        <w:tc>
          <w:tcPr>
            <w:tcW w:w="75" w:type="dxa"/>
            <w:tcBorders/>
            <w:shd w:fill="auto" w:val="clear"/>
            <w:vAlign w:val="bottom"/>
          </w:tcPr>
          <w:p>
            <w:pPr>
              <w:pStyle w:val="TableContents"/>
              <w:spacing w:before="0" w:after="283"/>
              <w:rPr/>
            </w:pPr>
            <w:r>
              <w:rPr/>
              <w:t> </w:t>
            </w:r>
          </w:p>
        </w:tc>
      </w:tr>
      <w:tr>
        <w:trPr/>
        <w:tc>
          <w:tcPr>
            <w:tcW w:w="3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Vested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(1,681,342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8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56.38 </w:t>
            </w:r>
          </w:p>
        </w:tc>
        <w:tc>
          <w:tcPr>
            <w:tcW w:w="75" w:type="dxa"/>
            <w:tcBorders/>
            <w:shd w:fill="E5FF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Forfeited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(426,670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849"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77.73 </w:t>
            </w:r>
          </w:p>
        </w:tc>
        <w:tc>
          <w:tcPr>
            <w:tcW w:w="75" w:type="dxa"/>
            <w:tcBorders/>
            <w:shd w:fill="auto"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3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269" w:type="dxa"/>
            <w:gridSpan w:val="6"/>
            <w:tcBorders/>
            <w:shd w:fill="auto" w:val="clear"/>
          </w:tcPr>
          <w:p>
            <w:pPr>
              <w:pStyle w:val="TableContents"/>
              <w:spacing w:before="0" w:after="283"/>
              <w:rPr>
                <w:sz w:val="4"/>
                <w:szCs w:val="4"/>
              </w:rPr>
            </w:pPr>
            <w:r>
              <w:rPr>
                <w:sz w:val="4"/>
                <w:szCs w:val="4"/>
              </w:rPr>
            </w:r>
          </w:p>
        </w:tc>
      </w:tr>
      <w:tr>
        <w:trPr/>
        <w:tc>
          <w:tcPr>
            <w:tcW w:w="36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Non-vested at December 31, 2015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4,981,588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161"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E5FFFF" w:val="clear"/>
            <w:vAlign w:val="bottom"/>
          </w:tcPr>
          <w:p>
            <w:pPr>
              <w:pStyle w:val="TableContents"/>
              <w:spacing w:before="0" w:after="283"/>
              <w:rPr/>
            </w:pPr>
            <w:r>
              <w:rPr/>
              <w:t> </w:t>
            </w:r>
          </w:p>
        </w:tc>
        <w:tc>
          <w:tcPr>
            <w:tcW w:w="849"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82.18 </w:t>
            </w:r>
          </w:p>
        </w:tc>
        <w:tc>
          <w:tcPr>
            <w:tcW w:w="75" w:type="dxa"/>
            <w:tcBorders/>
            <w:shd w:fill="E5FF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43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1269" w:type="dxa"/>
            <w:gridSpan w:val="6"/>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As of December 31, 2015, there was approximately $185 million of total unrecognized compensation cost related to non-vested RSUs granted under our stock plans which is expected to be recognized over a weighted-average period of 3.37 years.</w:t>
      </w:r>
    </w:p>
    <w:p>
      <w:pPr>
        <w:pStyle w:val="TextBody"/>
        <w:spacing w:before="119" w:after="119"/>
        <w:ind w:left="119" w:right="119" w:firstLine="397"/>
        <w:jc w:val="both"/>
        <w:rPr>
          <w:rFonts w:ascii="sans-serif" w:hAnsi="sans-serif"/>
          <w:sz w:val="22"/>
        </w:rPr>
      </w:pPr>
      <w:r>
        <w:rPr>
          <w:rFonts w:ascii="sans-serif" w:hAnsi="sans-serif"/>
          <w:sz w:val="22"/>
        </w:rPr>
        <w:t>The following table summarizes information about income statement impact from RSUs for the three years ended December 31, 2015:</w:t>
      </w:r>
    </w:p>
    <w:tbl>
      <w:tblPr>
        <w:tblW w:w="7020" w:type="dxa"/>
        <w:jc w:val="left"/>
        <w:tblInd w:w="0" w:type="dxa"/>
        <w:tblCellMar>
          <w:top w:w="0" w:type="dxa"/>
          <w:left w:w="0" w:type="dxa"/>
          <w:bottom w:w="0" w:type="dxa"/>
          <w:right w:w="0" w:type="dxa"/>
        </w:tblCellMar>
      </w:tblPr>
      <w:tblGrid>
        <w:gridCol w:w="4025"/>
        <w:gridCol w:w="60"/>
        <w:gridCol w:w="76"/>
        <w:gridCol w:w="198"/>
        <w:gridCol w:w="76"/>
        <w:gridCol w:w="371"/>
        <w:gridCol w:w="60"/>
        <w:gridCol w:w="76"/>
        <w:gridCol w:w="76"/>
        <w:gridCol w:w="198"/>
        <w:gridCol w:w="76"/>
        <w:gridCol w:w="545"/>
        <w:gridCol w:w="60"/>
        <w:gridCol w:w="76"/>
        <w:gridCol w:w="76"/>
        <w:gridCol w:w="198"/>
        <w:gridCol w:w="76"/>
        <w:gridCol w:w="622"/>
        <w:gridCol w:w="75"/>
      </w:tblGrid>
      <w:tr>
        <w:trPr/>
        <w:tc>
          <w:tcPr>
            <w:tcW w:w="40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1" w:type="dxa"/>
            <w:gridSpan w:val="5"/>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47" w:type="dxa"/>
            <w:gridSpan w:val="5"/>
            <w:tcBorders/>
            <w:shd w:fill="auto" w:val="clear"/>
            <w:vAlign w:val="bottom"/>
          </w:tcPr>
          <w:p>
            <w:pPr>
              <w:pStyle w:val="TableContents"/>
              <w:spacing w:before="0" w:after="283"/>
              <w:rPr>
                <w:sz w:val="4"/>
                <w:szCs w:val="4"/>
              </w:rPr>
            </w:pPr>
            <w:r>
              <w:rPr>
                <w:sz w:val="4"/>
                <w:szCs w:val="4"/>
              </w:rPr>
            </w:r>
          </w:p>
        </w:tc>
      </w:tr>
      <w:tr>
        <w:trPr/>
        <w:tc>
          <w:tcPr>
            <w:tcW w:w="402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935" w:type="dxa"/>
            <w:gridSpan w:val="17"/>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Years Ended December 31,</w:t>
            </w:r>
            <w:r>
              <w:rPr/>
              <w:t xml:space="preserve"> </w:t>
            </w:r>
          </w:p>
        </w:tc>
      </w:tr>
      <w:tr>
        <w:trPr/>
        <w:tc>
          <w:tcPr>
            <w:tcW w:w="402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781"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76"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76" w:type="dxa"/>
            <w:tcBorders/>
            <w:shd w:fill="auto" w:val="clear"/>
            <w:vAlign w:val="bottom"/>
          </w:tcPr>
          <w:p>
            <w:pPr>
              <w:pStyle w:val="TableContents"/>
              <w:spacing w:before="0" w:after="283"/>
              <w:rPr/>
            </w:pPr>
            <w:r>
              <w:rPr/>
              <w:t> </w:t>
            </w:r>
          </w:p>
        </w:tc>
        <w:tc>
          <w:tcPr>
            <w:tcW w:w="1047"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2013</w:t>
            </w:r>
            <w:r>
              <w:rPr/>
              <w:t xml:space="preserve"> </w:t>
            </w:r>
          </w:p>
        </w:tc>
      </w:tr>
      <w:tr>
        <w:trPr/>
        <w:tc>
          <w:tcPr>
            <w:tcW w:w="40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Compensation expense</w:t>
            </w:r>
          </w:p>
        </w:tc>
        <w:tc>
          <w:tcPr>
            <w:tcW w:w="60" w:type="dxa"/>
            <w:tcBorders/>
            <w:shd w:fill="E5FFFF" w:val="clear"/>
            <w:vAlign w:val="bottom"/>
          </w:tcPr>
          <w:p>
            <w:pPr>
              <w:pStyle w:val="TableContents"/>
              <w:spacing w:before="0" w:after="283"/>
              <w:rPr/>
            </w:pPr>
            <w:r>
              <w:rPr/>
              <w:t> </w:t>
            </w:r>
          </w:p>
        </w:tc>
        <w:tc>
          <w:tcPr>
            <w:tcW w:w="76" w:type="dxa"/>
            <w:tcBorders/>
            <w:shd w:fill="E5FFFF" w:val="clear"/>
            <w:vAlign w:val="bottom"/>
          </w:tcPr>
          <w:p>
            <w:pPr>
              <w:pStyle w:val="TableContents"/>
              <w:spacing w:before="0" w:after="283"/>
              <w:rPr/>
            </w:pPr>
            <w:r>
              <w:rPr/>
              <w:t> </w:t>
            </w:r>
          </w:p>
        </w:tc>
        <w:tc>
          <w:tcPr>
            <w:tcW w:w="19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E5FFFF" w:val="clear"/>
            <w:vAlign w:val="bottom"/>
          </w:tcPr>
          <w:p>
            <w:pPr>
              <w:pStyle w:val="TableContents"/>
              <w:spacing w:before="0" w:after="283"/>
              <w:rPr/>
            </w:pPr>
            <w:r>
              <w:rPr/>
              <w:t> </w:t>
            </w:r>
          </w:p>
        </w:tc>
        <w:tc>
          <w:tcPr>
            <w:tcW w:w="37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97</w:t>
            </w:r>
          </w:p>
        </w:tc>
        <w:tc>
          <w:tcPr>
            <w:tcW w:w="60" w:type="dxa"/>
            <w:tcBorders/>
            <w:shd w:fill="E5FFFF" w:val="clear"/>
            <w:vAlign w:val="bottom"/>
          </w:tcPr>
          <w:p>
            <w:pPr>
              <w:pStyle w:val="TableContents"/>
              <w:spacing w:before="0" w:after="283"/>
              <w:rPr/>
            </w:pPr>
            <w:r>
              <w:rPr/>
              <w:t> </w:t>
            </w:r>
          </w:p>
        </w:tc>
        <w:tc>
          <w:tcPr>
            <w:tcW w:w="76" w:type="dxa"/>
            <w:tcBorders/>
            <w:shd w:fill="E5FFFF" w:val="clear"/>
            <w:vAlign w:val="bottom"/>
          </w:tcPr>
          <w:p>
            <w:pPr>
              <w:pStyle w:val="TableContents"/>
              <w:spacing w:before="0" w:after="283"/>
              <w:rPr/>
            </w:pPr>
            <w:r>
              <w:rPr/>
              <w:t> </w:t>
            </w:r>
          </w:p>
        </w:tc>
        <w:tc>
          <w:tcPr>
            <w:tcW w:w="76" w:type="dxa"/>
            <w:tcBorders/>
            <w:shd w:fill="E5FFFF" w:val="clear"/>
            <w:vAlign w:val="bottom"/>
          </w:tcPr>
          <w:p>
            <w:pPr>
              <w:pStyle w:val="TableContents"/>
              <w:spacing w:before="0" w:after="283"/>
              <w:rPr/>
            </w:pPr>
            <w:r>
              <w:rPr/>
              <w:t> </w:t>
            </w:r>
          </w:p>
        </w:tc>
        <w:tc>
          <w:tcPr>
            <w:tcW w:w="19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E5FFFF" w:val="clear"/>
            <w:vAlign w:val="bottom"/>
          </w:tcPr>
          <w:p>
            <w:pPr>
              <w:pStyle w:val="TableContents"/>
              <w:spacing w:before="0" w:after="283"/>
              <w:rPr/>
            </w:pPr>
            <w:r>
              <w:rPr/>
              <w:t> </w:t>
            </w:r>
          </w:p>
        </w:tc>
        <w:tc>
          <w:tcPr>
            <w:tcW w:w="54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w:t>
            </w:r>
          </w:p>
        </w:tc>
        <w:tc>
          <w:tcPr>
            <w:tcW w:w="60" w:type="dxa"/>
            <w:tcBorders/>
            <w:shd w:fill="E5FFFF" w:val="clear"/>
            <w:vAlign w:val="bottom"/>
          </w:tcPr>
          <w:p>
            <w:pPr>
              <w:pStyle w:val="TableContents"/>
              <w:spacing w:before="0" w:after="283"/>
              <w:rPr/>
            </w:pPr>
            <w:r>
              <w:rPr/>
              <w:t> </w:t>
            </w:r>
          </w:p>
        </w:tc>
        <w:tc>
          <w:tcPr>
            <w:tcW w:w="76" w:type="dxa"/>
            <w:tcBorders/>
            <w:shd w:fill="E5FFFF" w:val="clear"/>
            <w:vAlign w:val="bottom"/>
          </w:tcPr>
          <w:p>
            <w:pPr>
              <w:pStyle w:val="TableContents"/>
              <w:spacing w:before="0" w:after="283"/>
              <w:rPr/>
            </w:pPr>
            <w:r>
              <w:rPr/>
              <w:t> </w:t>
            </w:r>
          </w:p>
        </w:tc>
        <w:tc>
          <w:tcPr>
            <w:tcW w:w="76" w:type="dxa"/>
            <w:tcBorders/>
            <w:shd w:fill="E5FFFF" w:val="clear"/>
            <w:vAlign w:val="bottom"/>
          </w:tcPr>
          <w:p>
            <w:pPr>
              <w:pStyle w:val="TableContents"/>
              <w:spacing w:before="0" w:after="283"/>
              <w:rPr/>
            </w:pPr>
            <w:r>
              <w:rPr/>
              <w:t> </w:t>
            </w:r>
          </w:p>
        </w:tc>
        <w:tc>
          <w:tcPr>
            <w:tcW w:w="19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6" w:type="dxa"/>
            <w:tcBorders/>
            <w:shd w:fill="E5FFFF" w:val="clear"/>
            <w:vAlign w:val="bottom"/>
          </w:tcPr>
          <w:p>
            <w:pPr>
              <w:pStyle w:val="TableContents"/>
              <w:spacing w:before="0" w:after="283"/>
              <w:rPr/>
            </w:pPr>
            <w:r>
              <w:rPr/>
              <w:t> </w:t>
            </w:r>
          </w:p>
        </w:tc>
        <w:tc>
          <w:tcPr>
            <w:tcW w:w="62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100 </w:t>
            </w:r>
          </w:p>
        </w:tc>
        <w:tc>
          <w:tcPr>
            <w:tcW w:w="75" w:type="dxa"/>
            <w:tcBorders/>
            <w:shd w:fill="E5FFFF" w:val="clear"/>
            <w:vAlign w:val="bottom"/>
          </w:tcPr>
          <w:p>
            <w:pPr>
              <w:pStyle w:val="TableContents"/>
              <w:spacing w:before="0" w:after="283"/>
              <w:rPr/>
            </w:pPr>
            <w:r>
              <w:rPr/>
              <w:t> </w:t>
            </w:r>
          </w:p>
        </w:tc>
      </w:tr>
      <w:tr>
        <w:trPr/>
        <w:tc>
          <w:tcPr>
            <w:tcW w:w="40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Future income tax benefit recognized</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74" w:type="dxa"/>
            <w:gridSpan w:val="2"/>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74" w:type="dxa"/>
            <w:gridSpan w:val="2"/>
            <w:tcBorders/>
            <w:shd w:fill="auto" w:val="clear"/>
            <w:vAlign w:val="bottom"/>
          </w:tcPr>
          <w:p>
            <w:pPr>
              <w:pStyle w:val="TableContents"/>
              <w:spacing w:before="0" w:after="283"/>
              <w:rPr/>
            </w:pPr>
            <w:r>
              <w:rPr/>
              <w:t> </w:t>
            </w:r>
          </w:p>
        </w:tc>
        <w:tc>
          <w:tcPr>
            <w:tcW w:w="54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37</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274" w:type="dxa"/>
            <w:gridSpan w:val="2"/>
            <w:tcBorders/>
            <w:shd w:fill="auto" w:val="clear"/>
            <w:vAlign w:val="bottom"/>
          </w:tcPr>
          <w:p>
            <w:pPr>
              <w:pStyle w:val="TableContents"/>
              <w:spacing w:before="0" w:after="283"/>
              <w:rPr/>
            </w:pPr>
            <w:r>
              <w:rPr/>
              <w:t> </w:t>
            </w:r>
          </w:p>
        </w:tc>
        <w:tc>
          <w:tcPr>
            <w:tcW w:w="62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35 </w:t>
            </w:r>
          </w:p>
        </w:tc>
        <w:tc>
          <w:tcPr>
            <w:tcW w:w="75" w:type="dxa"/>
            <w:tcBorders/>
            <w:shd w:fill="auto" w:val="cle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Note 19. Commitments and Contingencies</w:t>
      </w:r>
    </w:p>
    <w:p>
      <w:pPr>
        <w:pStyle w:val="TextBody"/>
        <w:spacing w:before="198" w:after="198"/>
        <w:ind w:left="198" w:right="198" w:hanging="0"/>
        <w:rPr>
          <w:rFonts w:ascii="sans-serif" w:hAnsi="sans-serif"/>
          <w:b/>
          <w:sz w:val="22"/>
        </w:rPr>
      </w:pPr>
      <w:r>
        <w:rPr>
          <w:rFonts w:ascii="sans-serif" w:hAnsi="sans-serif"/>
          <w:b/>
          <w:sz w:val="22"/>
        </w:rPr>
        <w:t>Environmental Matters</w:t>
      </w:r>
    </w:p>
    <w:p>
      <w:pPr>
        <w:pStyle w:val="TextBody"/>
        <w:spacing w:before="119" w:after="119"/>
        <w:ind w:left="119" w:right="119" w:firstLine="397"/>
        <w:jc w:val="both"/>
        <w:rPr>
          <w:rFonts w:ascii="sans-serif" w:hAnsi="sans-serif"/>
          <w:sz w:val="22"/>
        </w:rPr>
      </w:pPr>
      <w:r>
        <w:rPr>
          <w:rFonts w:ascii="sans-serif" w:hAnsi="sans-serif"/>
          <w:sz w:val="22"/>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pStyle w:val="TextBody"/>
        <w:spacing w:before="119" w:after="119"/>
        <w:ind w:left="119" w:right="119" w:firstLine="397"/>
        <w:jc w:val="both"/>
        <w:rPr>
          <w:rFonts w:ascii="sans-serif" w:hAnsi="sans-serif"/>
          <w:sz w:val="22"/>
        </w:rPr>
      </w:pPr>
      <w:r>
        <w:rPr>
          <w:rFonts w:ascii="sans-serif" w:hAnsi="sans-serif"/>
          <w:sz w:val="22"/>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w:t>
      </w:r>
    </w:p>
    <w:p>
      <w:pPr>
        <w:pStyle w:val="TextBody"/>
        <w:spacing w:before="119" w:after="119"/>
        <w:ind w:left="119" w:right="119" w:hanging="0"/>
        <w:jc w:val="center"/>
        <w:rPr>
          <w:rFonts w:ascii="sans-serif" w:hAnsi="sans-serif"/>
          <w:sz w:val="22"/>
        </w:rPr>
      </w:pPr>
      <w:r>
        <w:rPr>
          <w:rFonts w:ascii="sans-serif" w:hAnsi="sans-serif"/>
          <w:sz w:val="22"/>
        </w:rPr>
        <w:t>59</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pStyle w:val="TextBody"/>
        <w:spacing w:before="119" w:after="119"/>
        <w:ind w:left="119" w:right="119" w:firstLine="397"/>
        <w:jc w:val="both"/>
        <w:rPr>
          <w:rFonts w:ascii="sans-serif" w:hAnsi="sans-serif"/>
          <w:sz w:val="22"/>
        </w:rPr>
      </w:pPr>
      <w:r>
        <w:rPr>
          <w:rFonts w:ascii="sans-serif" w:hAnsi="sans-serif"/>
          <w:sz w:val="22"/>
        </w:rPr>
        <w:t>The following table summarizes information concerning our recorded liabilities for environmental costs:</w:t>
      </w:r>
    </w:p>
    <w:tbl>
      <w:tblPr>
        <w:tblW w:w="10205" w:type="dxa"/>
        <w:jc w:val="left"/>
        <w:tblInd w:w="0" w:type="dxa"/>
        <w:tblCellMar>
          <w:top w:w="0" w:type="dxa"/>
          <w:left w:w="0" w:type="dxa"/>
          <w:bottom w:w="0" w:type="dxa"/>
          <w:right w:w="0" w:type="dxa"/>
        </w:tblCellMar>
      </w:tblPr>
      <w:tblGrid>
        <w:gridCol w:w="7171"/>
        <w:gridCol w:w="60"/>
        <w:gridCol w:w="60"/>
        <w:gridCol w:w="155"/>
        <w:gridCol w:w="60"/>
        <w:gridCol w:w="500"/>
        <w:gridCol w:w="95"/>
        <w:gridCol w:w="60"/>
        <w:gridCol w:w="60"/>
        <w:gridCol w:w="60"/>
        <w:gridCol w:w="155"/>
        <w:gridCol w:w="60"/>
        <w:gridCol w:w="500"/>
        <w:gridCol w:w="95"/>
        <w:gridCol w:w="60"/>
        <w:gridCol w:w="60"/>
        <w:gridCol w:w="60"/>
        <w:gridCol w:w="155"/>
        <w:gridCol w:w="60"/>
        <w:gridCol w:w="500"/>
        <w:gridCol w:w="143"/>
        <w:gridCol w:w="76"/>
      </w:tblGrid>
      <w:tr>
        <w:trPr/>
        <w:tc>
          <w:tcPr>
            <w:tcW w:w="717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gridSpan w:val="6"/>
            <w:tcBorders/>
            <w:shd w:fill="auto" w:val="clear"/>
            <w:vAlign w:val="bottom"/>
          </w:tcPr>
          <w:p>
            <w:pPr>
              <w:pStyle w:val="TableContents"/>
              <w:spacing w:before="0" w:after="283"/>
              <w:rPr>
                <w:sz w:val="4"/>
                <w:szCs w:val="4"/>
              </w:rPr>
            </w:pPr>
            <w:r>
              <w:rPr>
                <w:sz w:val="4"/>
                <w:szCs w:val="4"/>
              </w:rPr>
            </w:r>
          </w:p>
        </w:tc>
      </w:tr>
      <w:tr>
        <w:trPr/>
        <w:tc>
          <w:tcPr>
            <w:tcW w:w="7171"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974" w:type="dxa"/>
            <w:gridSpan w:val="20"/>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Years Ended December 31,</w:t>
            </w:r>
            <w:r>
              <w:rPr/>
              <w:t xml:space="preserve"> </w:t>
            </w:r>
          </w:p>
        </w:tc>
      </w:tr>
      <w:tr>
        <w:trPr/>
        <w:tc>
          <w:tcPr>
            <w:tcW w:w="7171"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94"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2013</w:t>
            </w:r>
            <w:r>
              <w:rPr/>
              <w:t xml:space="preserve"> </w:t>
            </w:r>
          </w:p>
        </w:tc>
      </w:tr>
      <w:tr>
        <w:trPr/>
        <w:tc>
          <w:tcPr>
            <w:tcW w:w="7171"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Beginning of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591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643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654 </w:t>
            </w:r>
          </w:p>
        </w:tc>
        <w:tc>
          <w:tcPr>
            <w:tcW w:w="219" w:type="dxa"/>
            <w:gridSpan w:val="2"/>
            <w:tcBorders/>
            <w:shd w:fill="E5FF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Accruals for environmental matters deemed probable and reasonably estimable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272 </w:t>
            </w:r>
          </w:p>
        </w:tc>
        <w:tc>
          <w:tcPr>
            <w:tcW w:w="219" w:type="dxa"/>
            <w:gridSpan w:val="2"/>
            <w:tcBorders/>
            <w:shd w:fill="auto" w:val="clear"/>
            <w:vAlign w:val="bottom"/>
          </w:tcPr>
          <w:p>
            <w:pPr>
              <w:pStyle w:val="TableContents"/>
              <w:spacing w:before="0" w:after="283"/>
              <w:rPr/>
            </w:pPr>
            <w:r>
              <w:rPr/>
              <w:t> </w:t>
            </w:r>
          </w:p>
        </w:tc>
      </w:tr>
      <w:tr>
        <w:trPr/>
        <w:tc>
          <w:tcPr>
            <w:tcW w:w="7171"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Environmental liability payments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(304</w:t>
            </w:r>
          </w:p>
        </w:tc>
        <w:tc>
          <w:tcPr>
            <w:tcW w:w="143"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6" w:type="dxa"/>
            <w:tcBorders/>
            <w:shd w:fill="E5FF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21 </w:t>
            </w:r>
          </w:p>
        </w:tc>
        <w:tc>
          <w:tcPr>
            <w:tcW w:w="219" w:type="dxa"/>
            <w:gridSpan w:val="2"/>
            <w:tcBorders/>
            <w:shd w:fill="auto"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171"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End of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591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643 </w:t>
            </w:r>
          </w:p>
        </w:tc>
        <w:tc>
          <w:tcPr>
            <w:tcW w:w="219" w:type="dxa"/>
            <w:gridSpan w:val="2"/>
            <w:tcBorders/>
            <w:shd w:fill="E5FFFF" w:val="clear"/>
            <w:vAlign w:val="bottom"/>
          </w:tcPr>
          <w:p>
            <w:pPr>
              <w:pStyle w:val="TableContents"/>
              <w:spacing w:before="0" w:after="283"/>
              <w:rPr/>
            </w:pPr>
            <w:r>
              <w:rPr/>
              <w:t> </w:t>
            </w:r>
          </w:p>
        </w:tc>
      </w:tr>
      <w:tr>
        <w:trPr/>
        <w:tc>
          <w:tcPr>
            <w:tcW w:w="7171"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Environmental liabilities are included in the following balance sheet accounts:</w:t>
      </w:r>
    </w:p>
    <w:tbl>
      <w:tblPr>
        <w:tblW w:w="3760" w:type="dxa"/>
        <w:jc w:val="left"/>
        <w:tblInd w:w="0" w:type="dxa"/>
        <w:tblCellMar>
          <w:top w:w="0" w:type="dxa"/>
          <w:left w:w="0" w:type="dxa"/>
          <w:bottom w:w="0" w:type="dxa"/>
          <w:right w:w="0" w:type="dxa"/>
        </w:tblCellMar>
      </w:tblPr>
      <w:tblGrid>
        <w:gridCol w:w="1925"/>
        <w:gridCol w:w="60"/>
        <w:gridCol w:w="60"/>
        <w:gridCol w:w="155"/>
        <w:gridCol w:w="60"/>
        <w:gridCol w:w="425"/>
        <w:gridCol w:w="60"/>
        <w:gridCol w:w="60"/>
        <w:gridCol w:w="60"/>
        <w:gridCol w:w="155"/>
        <w:gridCol w:w="60"/>
        <w:gridCol w:w="485"/>
        <w:gridCol w:w="60"/>
        <w:gridCol w:w="60"/>
        <w:gridCol w:w="75"/>
      </w:tblGrid>
      <w:tr>
        <w:trPr/>
        <w:tc>
          <w:tcPr>
            <w:tcW w:w="1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192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640"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 xml:space="preserve">December 31, </w:t>
            </w:r>
          </w:p>
        </w:tc>
        <w:tc>
          <w:tcPr>
            <w:tcW w:w="60" w:type="dxa"/>
            <w:vMerge w:val="restart"/>
            <w:tcBorders/>
            <w:shd w:fill="auto" w:val="clear"/>
            <w:vAlign w:val="bottom"/>
          </w:tcPr>
          <w:p>
            <w:pPr>
              <w:pStyle w:val="TableContents"/>
              <w:spacing w:before="0" w:after="283"/>
              <w:rPr/>
            </w:pPr>
            <w:r>
              <w:rPr/>
              <w:t> </w:t>
            </w:r>
          </w:p>
        </w:tc>
        <w:tc>
          <w:tcPr>
            <w:tcW w:w="75" w:type="dxa"/>
            <w:vMerge w:val="restart"/>
            <w:tcBorders/>
            <w:shd w:fill="auto" w:val="clear"/>
            <w:vAlign w:val="bottom"/>
          </w:tcPr>
          <w:p>
            <w:pPr>
              <w:pStyle w:val="TableContents"/>
              <w:spacing w:before="0" w:after="283"/>
              <w:rPr/>
            </w:pPr>
            <w:r>
              <w:rPr/>
              <w:t> </w:t>
            </w:r>
          </w:p>
        </w:tc>
      </w:tr>
      <w:tr>
        <w:trPr/>
        <w:tc>
          <w:tcPr>
            <w:tcW w:w="192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76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82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 xml:space="preserve">2014 </w:t>
            </w:r>
          </w:p>
        </w:tc>
        <w:tc>
          <w:tcPr>
            <w:tcW w:w="60" w:type="dxa"/>
            <w:vMerge w:val="continue"/>
            <w:tcBorders/>
            <w:shd w:fill="auto" w:val="clear"/>
            <w:vAlign w:val="bottom"/>
          </w:tcPr>
          <w:p>
            <w:pPr>
              <w:pStyle w:val="Normal"/>
              <w:rPr/>
            </w:pPr>
            <w:r>
              <w:rPr/>
            </w:r>
          </w:p>
        </w:tc>
        <w:tc>
          <w:tcPr>
            <w:tcW w:w="75" w:type="dxa"/>
            <w:vMerge w:val="continue"/>
            <w:tcBorders/>
            <w:shd w:fill="auto" w:val="clear"/>
            <w:vAlign w:val="bottom"/>
          </w:tcPr>
          <w:p>
            <w:pPr>
              <w:pStyle w:val="Normal"/>
              <w:rPr/>
            </w:pPr>
            <w:r>
              <w:rPr/>
            </w:r>
          </w:p>
        </w:tc>
      </w:tr>
      <w:tr>
        <w:trPr/>
        <w:tc>
          <w:tcPr>
            <w:tcW w:w="19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Accrued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278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r>
      <w:tr>
        <w:trPr/>
        <w:tc>
          <w:tcPr>
            <w:tcW w:w="19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313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r>
      <w:tr>
        <w:trPr/>
        <w:tc>
          <w:tcPr>
            <w:tcW w:w="19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135" w:type="dxa"/>
            <w:gridSpan w:val="2"/>
            <w:tcBorders/>
            <w:shd w:fill="auto" w:val="clear"/>
          </w:tcPr>
          <w:p>
            <w:pPr>
              <w:pStyle w:val="TableContents"/>
              <w:spacing w:before="0" w:after="283"/>
              <w:rPr>
                <w:sz w:val="4"/>
                <w:szCs w:val="4"/>
              </w:rPr>
            </w:pPr>
            <w:r>
              <w:rPr>
                <w:sz w:val="4"/>
                <w:szCs w:val="4"/>
              </w:rPr>
            </w:r>
          </w:p>
        </w:tc>
      </w:tr>
      <w:tr>
        <w:trPr/>
        <w:tc>
          <w:tcPr>
            <w:tcW w:w="192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591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r>
      <w:tr>
        <w:trPr/>
        <w:tc>
          <w:tcPr>
            <w:tcW w:w="19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135" w:type="dxa"/>
            <w:gridSpan w:val="2"/>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pStyle w:val="TextBody"/>
        <w:spacing w:before="119" w:after="119"/>
        <w:ind w:left="119" w:right="119" w:firstLine="397"/>
        <w:jc w:val="both"/>
        <w:rPr>
          <w:rFonts w:ascii="sans-serif" w:hAnsi="sans-serif"/>
          <w:sz w:val="22"/>
        </w:rPr>
      </w:pPr>
      <w:r>
        <w:rPr>
          <w:rFonts w:ascii="sans-serif" w:hAnsi="sans-serif"/>
          <w:b/>
          <w:i/>
          <w:sz w:val="22"/>
        </w:rPr>
        <w:t>Onondaga Lake, Syracuse, NY</w:t>
      </w:r>
      <w:r>
        <w:rPr>
          <w:rFonts w:ascii="sans-serif" w:hAnsi="sans-serif"/>
          <w:sz w:val="22"/>
        </w:rPr>
        <w:t>We are implementing a combined dredging/capping remedy of Onondaga Lake pursuant to a 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the accounting policy described above.</w:t>
      </w:r>
    </w:p>
    <w:p>
      <w:pPr>
        <w:pStyle w:val="TextBody"/>
        <w:spacing w:before="119" w:after="119"/>
        <w:ind w:left="119" w:right="119" w:firstLine="397"/>
        <w:jc w:val="both"/>
        <w:rPr>
          <w:rFonts w:ascii="sans-serif" w:hAnsi="sans-serif"/>
          <w:sz w:val="22"/>
        </w:rPr>
      </w:pPr>
      <w:r>
        <w:rPr>
          <w:rFonts w:ascii="sans-serif" w:hAnsi="sans-serif"/>
          <w:sz w:val="22"/>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pStyle w:val="TextBody"/>
        <w:spacing w:before="119" w:after="119"/>
        <w:ind w:left="119" w:right="119" w:hanging="0"/>
        <w:jc w:val="center"/>
        <w:rPr>
          <w:rFonts w:ascii="sans-serif" w:hAnsi="sans-serif"/>
          <w:sz w:val="22"/>
        </w:rPr>
      </w:pPr>
      <w:r>
        <w:rPr>
          <w:rFonts w:ascii="sans-serif" w:hAnsi="sans-serif"/>
          <w:sz w:val="22"/>
        </w:rPr>
        <w:t>60</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Asbestos Matters</w:t>
      </w:r>
    </w:p>
    <w:p>
      <w:pPr>
        <w:pStyle w:val="TextBody"/>
        <w:spacing w:before="119" w:after="119"/>
        <w:ind w:left="119" w:right="119" w:firstLine="397"/>
        <w:jc w:val="both"/>
        <w:rPr>
          <w:rFonts w:ascii="sans-serif" w:hAnsi="sans-serif"/>
          <w:sz w:val="22"/>
        </w:rPr>
      </w:pPr>
      <w:r>
        <w:rPr>
          <w:rFonts w:ascii="sans-serif" w:hAnsi="sans-serif"/>
          <w:sz w:val="22"/>
        </w:rPr>
        <w:t>Honeywell is a defendant in asbestos related personal injury actions related to two predecessor companies:</w:t>
      </w:r>
    </w:p>
    <w:tbl>
      <w:tblPr>
        <w:tblW w:w="10205" w:type="dxa"/>
        <w:jc w:val="left"/>
        <w:tblInd w:w="0" w:type="dxa"/>
        <w:tblCellMar>
          <w:top w:w="0" w:type="dxa"/>
          <w:left w:w="0" w:type="dxa"/>
          <w:bottom w:w="0" w:type="dxa"/>
          <w:right w:w="0" w:type="dxa"/>
        </w:tblCellMar>
      </w:tblPr>
      <w:tblGrid>
        <w:gridCol w:w="75"/>
        <w:gridCol w:w="287"/>
        <w:gridCol w:w="69"/>
        <w:gridCol w:w="9735"/>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0" w:after="283"/>
              <w:jc w:val="right"/>
              <w:rPr>
                <w:sz w:val="22"/>
              </w:rPr>
            </w:pPr>
            <w:r>
              <w:rPr>
                <w:sz w:val="22"/>
              </w:rPr>
              <w:t></w:t>
            </w:r>
          </w:p>
        </w:tc>
        <w:tc>
          <w:tcPr>
            <w:tcW w:w="69" w:type="dxa"/>
            <w:tcBorders/>
            <w:shd w:fill="auto" w:val="clear"/>
          </w:tcPr>
          <w:p>
            <w:pPr>
              <w:pStyle w:val="TableContents"/>
              <w:spacing w:before="0" w:after="283"/>
              <w:rPr/>
            </w:pPr>
            <w:r>
              <w:rPr/>
              <w:t> </w:t>
            </w:r>
          </w:p>
        </w:tc>
        <w:tc>
          <w:tcPr>
            <w:tcW w:w="9735" w:type="dxa"/>
            <w:tcBorders/>
            <w:shd w:fill="auto" w:val="clear"/>
          </w:tcPr>
          <w:p>
            <w:pPr>
              <w:pStyle w:val="TableContents"/>
              <w:spacing w:before="0" w:after="283"/>
              <w:jc w:val="both"/>
              <w:rPr>
                <w:rFonts w:ascii="sans-serif" w:hAnsi="sans-serif"/>
                <w:sz w:val="22"/>
              </w:rPr>
            </w:pPr>
            <w:r>
              <w:rPr>
                <w:rFonts w:ascii="sans-serif" w:hAnsi="sans-serif"/>
                <w:sz w:val="22"/>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7" w:type="dxa"/>
            <w:tcBorders/>
            <w:shd w:fill="auto" w:val="clear"/>
          </w:tcPr>
          <w:p>
            <w:pPr>
              <w:pStyle w:val="TableContents"/>
              <w:spacing w:before="102" w:after="102"/>
              <w:ind w:left="102" w:right="102" w:hanging="0"/>
              <w:jc w:val="right"/>
              <w:rPr>
                <w:sz w:val="22"/>
              </w:rPr>
            </w:pPr>
            <w:r>
              <w:rPr>
                <w:sz w:val="22"/>
              </w:rPr>
              <w:t></w:t>
            </w:r>
          </w:p>
        </w:tc>
        <w:tc>
          <w:tcPr>
            <w:tcW w:w="69" w:type="dxa"/>
            <w:tcBorders/>
            <w:shd w:fill="auto" w:val="clear"/>
          </w:tcPr>
          <w:p>
            <w:pPr>
              <w:pStyle w:val="TableContents"/>
              <w:spacing w:before="0" w:after="283"/>
              <w:rPr/>
            </w:pPr>
            <w:r>
              <w:rPr/>
              <w:t> </w:t>
            </w:r>
          </w:p>
        </w:tc>
        <w:tc>
          <w:tcPr>
            <w:tcW w:w="9735"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The following tables summarize information concerning NARCO and Bendix asbestos related balances:</w:t>
      </w:r>
    </w:p>
    <w:p>
      <w:pPr>
        <w:pStyle w:val="TextBody"/>
        <w:spacing w:before="357" w:after="357"/>
        <w:ind w:left="357" w:right="357" w:hanging="0"/>
        <w:rPr>
          <w:rFonts w:ascii="sans-serif" w:hAnsi="sans-serif"/>
          <w:b/>
          <w:sz w:val="22"/>
        </w:rPr>
      </w:pPr>
      <w:r>
        <w:rPr>
          <w:rFonts w:ascii="sans-serif" w:hAnsi="sans-serif"/>
          <w:b/>
          <w:sz w:val="22"/>
        </w:rPr>
        <w:t>Asbestos Related Liabilities</w:t>
      </w:r>
    </w:p>
    <w:tbl>
      <w:tblPr>
        <w:tblW w:w="10205" w:type="dxa"/>
        <w:jc w:val="left"/>
        <w:tblInd w:w="0" w:type="dxa"/>
        <w:tblCellMar>
          <w:top w:w="0" w:type="dxa"/>
          <w:left w:w="0" w:type="dxa"/>
          <w:bottom w:w="0" w:type="dxa"/>
          <w:right w:w="0" w:type="dxa"/>
        </w:tblCellMar>
      </w:tblPr>
      <w:tblGrid>
        <w:gridCol w:w="949"/>
        <w:gridCol w:w="60"/>
        <w:gridCol w:w="60"/>
        <w:gridCol w:w="155"/>
        <w:gridCol w:w="60"/>
        <w:gridCol w:w="500"/>
        <w:gridCol w:w="95"/>
        <w:gridCol w:w="60"/>
        <w:gridCol w:w="60"/>
        <w:gridCol w:w="60"/>
        <w:gridCol w:w="155"/>
        <w:gridCol w:w="60"/>
        <w:gridCol w:w="425"/>
        <w:gridCol w:w="95"/>
        <w:gridCol w:w="60"/>
        <w:gridCol w:w="60"/>
        <w:gridCol w:w="60"/>
        <w:gridCol w:w="155"/>
        <w:gridCol w:w="60"/>
        <w:gridCol w:w="620"/>
        <w:gridCol w:w="95"/>
        <w:gridCol w:w="60"/>
        <w:gridCol w:w="60"/>
        <w:gridCol w:w="60"/>
        <w:gridCol w:w="155"/>
        <w:gridCol w:w="60"/>
        <w:gridCol w:w="500"/>
        <w:gridCol w:w="95"/>
        <w:gridCol w:w="60"/>
        <w:gridCol w:w="60"/>
        <w:gridCol w:w="60"/>
        <w:gridCol w:w="155"/>
        <w:gridCol w:w="60"/>
        <w:gridCol w:w="425"/>
        <w:gridCol w:w="95"/>
        <w:gridCol w:w="60"/>
        <w:gridCol w:w="60"/>
        <w:gridCol w:w="60"/>
        <w:gridCol w:w="155"/>
        <w:gridCol w:w="60"/>
        <w:gridCol w:w="620"/>
        <w:gridCol w:w="95"/>
        <w:gridCol w:w="60"/>
        <w:gridCol w:w="60"/>
        <w:gridCol w:w="60"/>
        <w:gridCol w:w="155"/>
        <w:gridCol w:w="60"/>
        <w:gridCol w:w="500"/>
        <w:gridCol w:w="95"/>
        <w:gridCol w:w="60"/>
        <w:gridCol w:w="60"/>
        <w:gridCol w:w="60"/>
        <w:gridCol w:w="155"/>
        <w:gridCol w:w="60"/>
        <w:gridCol w:w="620"/>
        <w:gridCol w:w="95"/>
        <w:gridCol w:w="60"/>
        <w:gridCol w:w="60"/>
        <w:gridCol w:w="60"/>
        <w:gridCol w:w="155"/>
        <w:gridCol w:w="60"/>
        <w:gridCol w:w="620"/>
        <w:gridCol w:w="95"/>
        <w:gridCol w:w="76"/>
      </w:tblGrid>
      <w:tr>
        <w:trPr/>
        <w:tc>
          <w:tcPr>
            <w:tcW w:w="9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6" w:type="dxa"/>
            <w:gridSpan w:val="6"/>
            <w:tcBorders/>
            <w:shd w:fill="auto" w:val="clear"/>
            <w:vAlign w:val="bottom"/>
          </w:tcPr>
          <w:p>
            <w:pPr>
              <w:pStyle w:val="TableContents"/>
              <w:spacing w:before="0" w:after="283"/>
              <w:rPr>
                <w:sz w:val="4"/>
                <w:szCs w:val="4"/>
              </w:rPr>
            </w:pPr>
            <w:r>
              <w:rPr>
                <w:sz w:val="4"/>
                <w:szCs w:val="4"/>
              </w:rPr>
            </w:r>
          </w:p>
        </w:tc>
      </w:tr>
      <w:tr>
        <w:trPr/>
        <w:tc>
          <w:tcPr>
            <w:tcW w:w="949" w:type="dxa"/>
            <w:vMerge w:val="restart"/>
            <w:tcBorders/>
            <w:shd w:fill="auto" w:val="clear"/>
            <w:vAlign w:val="bottom"/>
          </w:tcPr>
          <w:p>
            <w:pPr>
              <w:pStyle w:val="TableContents"/>
              <w:spacing w:before="0" w:after="283"/>
              <w:ind w:left="187" w:right="0" w:hanging="187"/>
              <w:jc w:val="center"/>
              <w:rPr/>
            </w:pPr>
            <w:r>
              <w:rPr/>
              <w:t> </w:t>
            </w:r>
          </w:p>
        </w:tc>
        <w:tc>
          <w:tcPr>
            <w:tcW w:w="60" w:type="dxa"/>
            <w:tcBorders/>
            <w:shd w:fill="auto" w:val="clear"/>
            <w:vAlign w:val="bottom"/>
          </w:tcPr>
          <w:p>
            <w:pPr>
              <w:pStyle w:val="TableContents"/>
              <w:spacing w:before="0" w:after="283"/>
              <w:rPr/>
            </w:pPr>
            <w:r>
              <w:rPr/>
              <w:t> </w:t>
            </w:r>
          </w:p>
        </w:tc>
        <w:tc>
          <w:tcPr>
            <w:tcW w:w="2955" w:type="dxa"/>
            <w:gridSpan w:val="20"/>
            <w:tcBorders/>
            <w:shd w:fill="auto" w:val="clear"/>
            <w:vAlign w:val="bottom"/>
          </w:tcPr>
          <w:p>
            <w:pPr>
              <w:pStyle w:val="TableContents"/>
              <w:spacing w:before="0" w:after="283"/>
              <w:jc w:val="center"/>
              <w:rPr>
                <w:rFonts w:ascii="sans-serif" w:hAnsi="sans-serif"/>
                <w:b/>
                <w:sz w:val="16"/>
              </w:rPr>
            </w:pPr>
            <w:r>
              <w:rPr>
                <w:rFonts w:ascii="sans-serif" w:hAnsi="sans-serif"/>
                <w:b/>
                <w:sz w:val="16"/>
              </w:rPr>
              <w:t xml:space="preserve">Year Ended December 31, </w:t>
            </w:r>
          </w:p>
        </w:tc>
        <w:tc>
          <w:tcPr>
            <w:tcW w:w="60" w:type="dxa"/>
            <w:tcBorders/>
            <w:shd w:fill="auto" w:val="clear"/>
            <w:vAlign w:val="bottom"/>
          </w:tcPr>
          <w:p>
            <w:pPr>
              <w:pStyle w:val="TableContents"/>
              <w:spacing w:before="0" w:after="283"/>
              <w:rPr/>
            </w:pPr>
            <w:r>
              <w:rPr/>
              <w:t> </w:t>
            </w:r>
          </w:p>
        </w:tc>
        <w:tc>
          <w:tcPr>
            <w:tcW w:w="2955" w:type="dxa"/>
            <w:gridSpan w:val="20"/>
            <w:tcBorders/>
            <w:shd w:fill="auto" w:val="clear"/>
            <w:vAlign w:val="bottom"/>
          </w:tcPr>
          <w:p>
            <w:pPr>
              <w:pStyle w:val="TableContents"/>
              <w:spacing w:before="0" w:after="283"/>
              <w:jc w:val="center"/>
              <w:rPr>
                <w:rFonts w:ascii="sans-serif" w:hAnsi="sans-serif"/>
                <w:b/>
                <w:sz w:val="16"/>
              </w:rPr>
            </w:pPr>
            <w:r>
              <w:rPr>
                <w:rFonts w:ascii="sans-serif" w:hAnsi="sans-serif"/>
                <w:b/>
                <w:sz w:val="16"/>
              </w:rPr>
              <w:t xml:space="preserve">Year Ended December 31, </w:t>
            </w:r>
          </w:p>
        </w:tc>
        <w:tc>
          <w:tcPr>
            <w:tcW w:w="60" w:type="dxa"/>
            <w:tcBorders/>
            <w:shd w:fill="auto" w:val="clear"/>
            <w:vAlign w:val="bottom"/>
          </w:tcPr>
          <w:p>
            <w:pPr>
              <w:pStyle w:val="TableContents"/>
              <w:spacing w:before="0" w:after="283"/>
              <w:rPr/>
            </w:pPr>
            <w:r>
              <w:rPr/>
              <w:t> </w:t>
            </w:r>
          </w:p>
        </w:tc>
        <w:tc>
          <w:tcPr>
            <w:tcW w:w="3166" w:type="dxa"/>
            <w:gridSpan w:val="20"/>
            <w:tcBorders/>
            <w:shd w:fill="auto" w:val="clear"/>
            <w:vAlign w:val="bottom"/>
          </w:tcPr>
          <w:p>
            <w:pPr>
              <w:pStyle w:val="TableContents"/>
              <w:spacing w:before="0" w:after="283"/>
              <w:jc w:val="center"/>
              <w:rPr>
                <w:rFonts w:ascii="sans-serif" w:hAnsi="sans-serif"/>
                <w:b/>
                <w:sz w:val="16"/>
              </w:rPr>
            </w:pPr>
            <w:r>
              <w:rPr>
                <w:rFonts w:ascii="sans-serif" w:hAnsi="sans-serif"/>
                <w:b/>
                <w:sz w:val="16"/>
              </w:rPr>
              <w:t xml:space="preserve">Year Ended December 31, </w:t>
            </w:r>
          </w:p>
        </w:tc>
      </w:tr>
      <w:tr>
        <w:trPr/>
        <w:tc>
          <w:tcPr>
            <w:tcW w:w="949"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295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 xml:space="preserve">2015 </w:t>
            </w:r>
          </w:p>
        </w:tc>
        <w:tc>
          <w:tcPr>
            <w:tcW w:w="60" w:type="dxa"/>
            <w:tcBorders/>
            <w:shd w:fill="auto" w:val="clear"/>
            <w:vAlign w:val="bottom"/>
          </w:tcPr>
          <w:p>
            <w:pPr>
              <w:pStyle w:val="TableContents"/>
              <w:spacing w:before="0" w:after="283"/>
              <w:rPr/>
            </w:pPr>
            <w:r>
              <w:rPr/>
              <w:t> </w:t>
            </w:r>
          </w:p>
        </w:tc>
        <w:tc>
          <w:tcPr>
            <w:tcW w:w="295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 xml:space="preserve">2014 </w:t>
            </w:r>
          </w:p>
        </w:tc>
        <w:tc>
          <w:tcPr>
            <w:tcW w:w="60" w:type="dxa"/>
            <w:tcBorders/>
            <w:shd w:fill="auto" w:val="clear"/>
            <w:vAlign w:val="bottom"/>
          </w:tcPr>
          <w:p>
            <w:pPr>
              <w:pStyle w:val="TableContents"/>
              <w:spacing w:before="0" w:after="283"/>
              <w:rPr/>
            </w:pPr>
            <w:r>
              <w:rPr/>
              <w:t> </w:t>
            </w:r>
          </w:p>
        </w:tc>
        <w:tc>
          <w:tcPr>
            <w:tcW w:w="3166" w:type="dxa"/>
            <w:gridSpan w:val="20"/>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6"/>
              </w:rPr>
              <w:t>2013</w:t>
            </w:r>
            <w:r>
              <w:rPr/>
              <w:t xml:space="preserve"> </w:t>
            </w:r>
          </w:p>
        </w:tc>
      </w:tr>
      <w:tr>
        <w:trPr/>
        <w:tc>
          <w:tcPr>
            <w:tcW w:w="949"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Bendix</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NARCO</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Total</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Bendix</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NARCO</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Total</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Bendix</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NARCO</w:t>
            </w:r>
          </w:p>
        </w:tc>
        <w:tc>
          <w:tcPr>
            <w:tcW w:w="60" w:type="dxa"/>
            <w:tcBorders/>
            <w:shd w:fill="auto" w:val="clear"/>
            <w:vAlign w:val="bottom"/>
          </w:tcPr>
          <w:p>
            <w:pPr>
              <w:pStyle w:val="TableContents"/>
              <w:spacing w:before="0" w:after="283"/>
              <w:rPr/>
            </w:pPr>
            <w:r>
              <w:rPr/>
              <w:t> </w:t>
            </w:r>
          </w:p>
        </w:tc>
        <w:tc>
          <w:tcPr>
            <w:tcW w:w="1066"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6"/>
              </w:rPr>
              <w:t>Total</w:t>
            </w:r>
            <w:r>
              <w:rPr/>
              <w:t xml:space="preserve"> </w:t>
            </w:r>
          </w:p>
        </w:tc>
      </w:tr>
      <w:tr>
        <w:trPr/>
        <w:tc>
          <w:tcPr>
            <w:tcW w:w="949" w:type="dxa"/>
            <w:tcBorders/>
            <w:shd w:fill="E5FFFF" w:val="clear"/>
            <w:vAlign w:val="bottom"/>
          </w:tcPr>
          <w:p>
            <w:pPr>
              <w:pStyle w:val="TableContents"/>
              <w:spacing w:before="0" w:after="283"/>
              <w:ind w:left="187" w:right="0" w:hanging="187"/>
              <w:rPr>
                <w:rFonts w:ascii="sans-serif" w:hAnsi="sans-serif"/>
                <w:sz w:val="20"/>
              </w:rPr>
            </w:pPr>
            <w:r>
              <w:rPr>
                <w:rFonts w:ascii="sans-serif" w:hAnsi="sans-serif"/>
                <w:sz w:val="20"/>
              </w:rPr>
              <w:t>Beginning of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623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929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1,552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656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955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1,611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653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1,119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 xml:space="preserve">1,772 </w:t>
            </w:r>
          </w:p>
        </w:tc>
        <w:tc>
          <w:tcPr>
            <w:tcW w:w="171" w:type="dxa"/>
            <w:gridSpan w:val="2"/>
            <w:tcBorders/>
            <w:shd w:fill="E5FFFF" w:val="clear"/>
            <w:vAlign w:val="bottom"/>
          </w:tcPr>
          <w:p>
            <w:pPr>
              <w:pStyle w:val="TableContents"/>
              <w:spacing w:before="0" w:after="283"/>
              <w:rPr/>
            </w:pPr>
            <w:r>
              <w:rPr/>
              <w:t> </w:t>
            </w:r>
          </w:p>
        </w:tc>
      </w:tr>
      <w:tr>
        <w:trPr/>
        <w:tc>
          <w:tcPr>
            <w:tcW w:w="949" w:type="dxa"/>
            <w:tcBorders/>
            <w:shd w:fill="auto" w:val="clear"/>
            <w:vAlign w:val="bottom"/>
          </w:tcPr>
          <w:p>
            <w:pPr>
              <w:pStyle w:val="TableContents"/>
              <w:spacing w:before="0" w:after="283"/>
              <w:ind w:left="187" w:right="0" w:hanging="187"/>
              <w:rPr>
                <w:rFonts w:ascii="sans-serif" w:hAnsi="sans-serif"/>
                <w:sz w:val="20"/>
              </w:rPr>
            </w:pPr>
            <w:r>
              <w:rPr>
                <w:rFonts w:ascii="sans-serif" w:hAnsi="sans-serif"/>
                <w:sz w:val="20"/>
              </w:rPr>
              <w:t>Accrual for update to estimated liability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180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188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195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199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180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 xml:space="preserve">185 </w:t>
            </w:r>
          </w:p>
        </w:tc>
        <w:tc>
          <w:tcPr>
            <w:tcW w:w="171" w:type="dxa"/>
            <w:gridSpan w:val="2"/>
            <w:tcBorders/>
            <w:shd w:fill="auto" w:val="clear"/>
            <w:vAlign w:val="bottom"/>
          </w:tcPr>
          <w:p>
            <w:pPr>
              <w:pStyle w:val="TableContents"/>
              <w:spacing w:before="0" w:after="283"/>
              <w:rPr/>
            </w:pPr>
            <w:r>
              <w:rPr/>
              <w:t> </w:t>
            </w:r>
          </w:p>
        </w:tc>
      </w:tr>
      <w:tr>
        <w:trPr/>
        <w:tc>
          <w:tcPr>
            <w:tcW w:w="949" w:type="dxa"/>
            <w:tcBorders/>
            <w:shd w:fill="E5FFFF" w:val="clear"/>
            <w:vAlign w:val="bottom"/>
          </w:tcPr>
          <w:p>
            <w:pPr>
              <w:pStyle w:val="TableContents"/>
              <w:spacing w:before="0" w:after="283"/>
              <w:ind w:left="187" w:right="0" w:hanging="187"/>
              <w:rPr>
                <w:rFonts w:ascii="sans-serif" w:hAnsi="sans-serif"/>
                <w:sz w:val="20"/>
              </w:rPr>
            </w:pPr>
            <w:r>
              <w:rPr>
                <w:rFonts w:ascii="sans-serif" w:hAnsi="sans-serif"/>
                <w:sz w:val="20"/>
              </w:rPr>
              <w:t>Change in estimated cost of future claims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 xml:space="preserve">16 </w:t>
            </w:r>
          </w:p>
        </w:tc>
        <w:tc>
          <w:tcPr>
            <w:tcW w:w="171" w:type="dxa"/>
            <w:gridSpan w:val="2"/>
            <w:tcBorders/>
            <w:shd w:fill="E5FFFF" w:val="clear"/>
            <w:vAlign w:val="bottom"/>
          </w:tcPr>
          <w:p>
            <w:pPr>
              <w:pStyle w:val="TableContents"/>
              <w:spacing w:before="0" w:after="283"/>
              <w:rPr/>
            </w:pPr>
            <w:r>
              <w:rPr/>
              <w:t> </w:t>
            </w:r>
          </w:p>
        </w:tc>
      </w:tr>
      <w:tr>
        <w:trPr/>
        <w:tc>
          <w:tcPr>
            <w:tcW w:w="949" w:type="dxa"/>
            <w:tcBorders/>
            <w:shd w:fill="auto" w:val="clear"/>
            <w:vAlign w:val="bottom"/>
          </w:tcPr>
          <w:p>
            <w:pPr>
              <w:pStyle w:val="TableContents"/>
              <w:spacing w:before="0" w:after="283"/>
              <w:ind w:left="187" w:right="0" w:hanging="187"/>
              <w:rPr>
                <w:rFonts w:ascii="sans-serif" w:hAnsi="sans-serif"/>
                <w:sz w:val="20"/>
              </w:rPr>
            </w:pPr>
            <w:r>
              <w:rPr>
                <w:rFonts w:ascii="sans-serif" w:hAnsi="sans-serif"/>
                <w:sz w:val="20"/>
              </w:rPr>
              <w:t>Update of expected resolution values for pending claims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 xml:space="preserve">) </w:t>
            </w:r>
          </w:p>
        </w:tc>
        <w:tc>
          <w:tcPr>
            <w:tcW w:w="76" w:type="dxa"/>
            <w:tcBorders/>
            <w:shd w:fill="auto" w:val="clear"/>
            <w:vAlign w:val="bottom"/>
          </w:tcPr>
          <w:p>
            <w:pPr>
              <w:pStyle w:val="TableContents"/>
              <w:spacing w:before="0" w:after="283"/>
              <w:rPr/>
            </w:pPr>
            <w:r>
              <w:rPr/>
              <w:t> </w:t>
            </w:r>
          </w:p>
        </w:tc>
      </w:tr>
      <w:tr>
        <w:trPr/>
        <w:tc>
          <w:tcPr>
            <w:tcW w:w="949" w:type="dxa"/>
            <w:tcBorders/>
            <w:shd w:fill="E5FFFF" w:val="clear"/>
            <w:vAlign w:val="bottom"/>
          </w:tcPr>
          <w:p>
            <w:pPr>
              <w:pStyle w:val="TableContents"/>
              <w:spacing w:before="0" w:after="283"/>
              <w:ind w:left="187" w:right="0" w:hanging="187"/>
              <w:rPr>
                <w:rFonts w:ascii="sans-serif" w:hAnsi="sans-serif"/>
                <w:sz w:val="20"/>
              </w:rPr>
            </w:pPr>
            <w:r>
              <w:rPr>
                <w:rFonts w:ascii="sans-serif" w:hAnsi="sans-serif"/>
                <w:sz w:val="20"/>
              </w:rPr>
              <w:t>Asbestos related liability payments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(193</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(16</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(209</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(229</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(30</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(259</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(188</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(169</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(357</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 xml:space="preserve">) </w:t>
            </w:r>
          </w:p>
        </w:tc>
        <w:tc>
          <w:tcPr>
            <w:tcW w:w="76" w:type="dxa"/>
            <w:tcBorders/>
            <w:shd w:fill="E5FFFF" w:val="clear"/>
            <w:vAlign w:val="bottom"/>
          </w:tcPr>
          <w:p>
            <w:pPr>
              <w:pStyle w:val="TableContents"/>
              <w:spacing w:before="0" w:after="283"/>
              <w:rPr/>
            </w:pPr>
            <w:r>
              <w:rPr/>
              <w:t> </w:t>
            </w:r>
          </w:p>
        </w:tc>
      </w:tr>
      <w:tr>
        <w:trPr/>
        <w:tc>
          <w:tcPr>
            <w:tcW w:w="949" w:type="dxa"/>
            <w:tcBorders/>
            <w:shd w:fill="auto" w:val="clear"/>
            <w:vAlign w:val="bottom"/>
          </w:tcPr>
          <w:p>
            <w:pPr>
              <w:pStyle w:val="TableContents"/>
              <w:spacing w:before="0" w:after="283"/>
              <w:ind w:left="187" w:right="0" w:hanging="187"/>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6"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949" w:type="dxa"/>
            <w:tcBorders/>
            <w:shd w:fill="auto" w:val="clear"/>
            <w:vAlign w:val="bottom"/>
          </w:tcPr>
          <w:p>
            <w:pPr>
              <w:pStyle w:val="TableContents"/>
              <w:spacing w:before="0" w:after="283"/>
              <w:ind w:left="187" w:right="0" w:hanging="187"/>
              <w:rPr>
                <w:rFonts w:ascii="sans-serif" w:hAnsi="sans-serif"/>
                <w:sz w:val="20"/>
              </w:rPr>
            </w:pPr>
            <w:r>
              <w:rPr>
                <w:rFonts w:ascii="sans-serif" w:hAnsi="sans-serif"/>
                <w:sz w:val="20"/>
              </w:rPr>
              <w:t>End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622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921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1,543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623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929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1,552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656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955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 xml:space="preserve">1,611 </w:t>
            </w:r>
          </w:p>
        </w:tc>
        <w:tc>
          <w:tcPr>
            <w:tcW w:w="171" w:type="dxa"/>
            <w:gridSpan w:val="2"/>
            <w:tcBorders/>
            <w:shd w:fill="auto" w:val="clear"/>
            <w:vAlign w:val="bottom"/>
          </w:tcPr>
          <w:p>
            <w:pPr>
              <w:pStyle w:val="TableContents"/>
              <w:spacing w:before="0" w:after="283"/>
              <w:rPr/>
            </w:pPr>
            <w:r>
              <w:rPr/>
              <w:t> </w:t>
            </w:r>
          </w:p>
        </w:tc>
      </w:tr>
      <w:tr>
        <w:trPr/>
        <w:tc>
          <w:tcPr>
            <w:tcW w:w="949" w:type="dxa"/>
            <w:tcBorders/>
            <w:shd w:fill="auto" w:val="clear"/>
            <w:vAlign w:val="bottom"/>
          </w:tcPr>
          <w:p>
            <w:pPr>
              <w:pStyle w:val="TableContents"/>
              <w:spacing w:before="0" w:after="283"/>
              <w:ind w:left="187" w:right="0" w:hanging="187"/>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6"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Insurance Recoveries for Asbestos Related Liabilities</w:t>
      </w:r>
    </w:p>
    <w:tbl>
      <w:tblPr>
        <w:tblW w:w="10205" w:type="dxa"/>
        <w:jc w:val="left"/>
        <w:tblInd w:w="0" w:type="dxa"/>
        <w:tblCellMar>
          <w:top w:w="0" w:type="dxa"/>
          <w:left w:w="0" w:type="dxa"/>
          <w:bottom w:w="0" w:type="dxa"/>
          <w:right w:w="0" w:type="dxa"/>
        </w:tblCellMar>
      </w:tblPr>
      <w:tblGrid>
        <w:gridCol w:w="1789"/>
        <w:gridCol w:w="60"/>
        <w:gridCol w:w="60"/>
        <w:gridCol w:w="155"/>
        <w:gridCol w:w="60"/>
        <w:gridCol w:w="425"/>
        <w:gridCol w:w="95"/>
        <w:gridCol w:w="60"/>
        <w:gridCol w:w="60"/>
        <w:gridCol w:w="60"/>
        <w:gridCol w:w="155"/>
        <w:gridCol w:w="60"/>
        <w:gridCol w:w="425"/>
        <w:gridCol w:w="95"/>
        <w:gridCol w:w="60"/>
        <w:gridCol w:w="60"/>
        <w:gridCol w:w="60"/>
        <w:gridCol w:w="155"/>
        <w:gridCol w:w="60"/>
        <w:gridCol w:w="425"/>
        <w:gridCol w:w="95"/>
        <w:gridCol w:w="60"/>
        <w:gridCol w:w="60"/>
        <w:gridCol w:w="60"/>
        <w:gridCol w:w="155"/>
        <w:gridCol w:w="60"/>
        <w:gridCol w:w="425"/>
        <w:gridCol w:w="95"/>
        <w:gridCol w:w="60"/>
        <w:gridCol w:w="60"/>
        <w:gridCol w:w="60"/>
        <w:gridCol w:w="155"/>
        <w:gridCol w:w="60"/>
        <w:gridCol w:w="500"/>
        <w:gridCol w:w="95"/>
        <w:gridCol w:w="60"/>
        <w:gridCol w:w="60"/>
        <w:gridCol w:w="60"/>
        <w:gridCol w:w="155"/>
        <w:gridCol w:w="60"/>
        <w:gridCol w:w="500"/>
        <w:gridCol w:w="95"/>
        <w:gridCol w:w="60"/>
        <w:gridCol w:w="60"/>
        <w:gridCol w:w="60"/>
        <w:gridCol w:w="155"/>
        <w:gridCol w:w="60"/>
        <w:gridCol w:w="425"/>
        <w:gridCol w:w="95"/>
        <w:gridCol w:w="60"/>
        <w:gridCol w:w="60"/>
        <w:gridCol w:w="60"/>
        <w:gridCol w:w="155"/>
        <w:gridCol w:w="60"/>
        <w:gridCol w:w="425"/>
        <w:gridCol w:w="95"/>
        <w:gridCol w:w="60"/>
        <w:gridCol w:w="60"/>
        <w:gridCol w:w="60"/>
        <w:gridCol w:w="155"/>
        <w:gridCol w:w="60"/>
        <w:gridCol w:w="432"/>
        <w:gridCol w:w="102"/>
        <w:gridCol w:w="77"/>
      </w:tblGrid>
      <w:tr>
        <w:trPr/>
        <w:tc>
          <w:tcPr>
            <w:tcW w:w="178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6" w:type="dxa"/>
            <w:gridSpan w:val="6"/>
            <w:tcBorders/>
            <w:shd w:fill="auto" w:val="clear"/>
            <w:vAlign w:val="bottom"/>
          </w:tcPr>
          <w:p>
            <w:pPr>
              <w:pStyle w:val="TableContents"/>
              <w:spacing w:before="0" w:after="283"/>
              <w:rPr>
                <w:sz w:val="4"/>
                <w:szCs w:val="4"/>
              </w:rPr>
            </w:pPr>
            <w:r>
              <w:rPr>
                <w:sz w:val="4"/>
                <w:szCs w:val="4"/>
              </w:rPr>
            </w:r>
          </w:p>
        </w:tc>
      </w:tr>
      <w:tr>
        <w:trPr/>
        <w:tc>
          <w:tcPr>
            <w:tcW w:w="1789" w:type="dxa"/>
            <w:vMerge w:val="restart"/>
            <w:tcBorders/>
            <w:shd w:fill="auto" w:val="clear"/>
            <w:vAlign w:val="bottom"/>
          </w:tcPr>
          <w:p>
            <w:pPr>
              <w:pStyle w:val="TableContents"/>
              <w:spacing w:before="0" w:after="283"/>
              <w:ind w:left="187" w:right="0" w:hanging="187"/>
              <w:jc w:val="center"/>
              <w:rPr/>
            </w:pPr>
            <w:r>
              <w:rPr/>
              <w:t> </w:t>
            </w:r>
          </w:p>
        </w:tc>
        <w:tc>
          <w:tcPr>
            <w:tcW w:w="60" w:type="dxa"/>
            <w:tcBorders/>
            <w:shd w:fill="auto" w:val="clear"/>
            <w:vAlign w:val="bottom"/>
          </w:tcPr>
          <w:p>
            <w:pPr>
              <w:pStyle w:val="TableContents"/>
              <w:spacing w:before="0" w:after="283"/>
              <w:rPr/>
            </w:pPr>
            <w:r>
              <w:rPr/>
              <w:t> </w:t>
            </w:r>
          </w:p>
        </w:tc>
        <w:tc>
          <w:tcPr>
            <w:tcW w:w="2685" w:type="dxa"/>
            <w:gridSpan w:val="20"/>
            <w:tcBorders/>
            <w:shd w:fill="auto" w:val="clear"/>
            <w:vAlign w:val="bottom"/>
          </w:tcPr>
          <w:p>
            <w:pPr>
              <w:pStyle w:val="TableContents"/>
              <w:spacing w:before="0" w:after="283"/>
              <w:jc w:val="center"/>
              <w:rPr>
                <w:rFonts w:ascii="sans-serif" w:hAnsi="sans-serif"/>
                <w:b/>
                <w:sz w:val="16"/>
              </w:rPr>
            </w:pPr>
            <w:r>
              <w:rPr>
                <w:rFonts w:ascii="sans-serif" w:hAnsi="sans-serif"/>
                <w:b/>
                <w:sz w:val="16"/>
              </w:rPr>
              <w:t xml:space="preserve">Year Ended December 31, </w:t>
            </w:r>
          </w:p>
        </w:tc>
        <w:tc>
          <w:tcPr>
            <w:tcW w:w="60" w:type="dxa"/>
            <w:tcBorders/>
            <w:shd w:fill="auto" w:val="clear"/>
            <w:vAlign w:val="bottom"/>
          </w:tcPr>
          <w:p>
            <w:pPr>
              <w:pStyle w:val="TableContents"/>
              <w:spacing w:before="0" w:after="283"/>
              <w:rPr/>
            </w:pPr>
            <w:r>
              <w:rPr/>
              <w:t> </w:t>
            </w:r>
          </w:p>
        </w:tc>
        <w:tc>
          <w:tcPr>
            <w:tcW w:w="2835" w:type="dxa"/>
            <w:gridSpan w:val="20"/>
            <w:tcBorders/>
            <w:shd w:fill="auto" w:val="clear"/>
            <w:vAlign w:val="bottom"/>
          </w:tcPr>
          <w:p>
            <w:pPr>
              <w:pStyle w:val="TableContents"/>
              <w:spacing w:before="0" w:after="283"/>
              <w:jc w:val="center"/>
              <w:rPr>
                <w:rFonts w:ascii="sans-serif" w:hAnsi="sans-serif"/>
                <w:b/>
                <w:sz w:val="16"/>
              </w:rPr>
            </w:pPr>
            <w:r>
              <w:rPr>
                <w:rFonts w:ascii="sans-serif" w:hAnsi="sans-serif"/>
                <w:b/>
                <w:sz w:val="16"/>
              </w:rPr>
              <w:t xml:space="preserve">Year Ended December 31, </w:t>
            </w:r>
          </w:p>
        </w:tc>
        <w:tc>
          <w:tcPr>
            <w:tcW w:w="60" w:type="dxa"/>
            <w:tcBorders/>
            <w:shd w:fill="auto" w:val="clear"/>
            <w:vAlign w:val="bottom"/>
          </w:tcPr>
          <w:p>
            <w:pPr>
              <w:pStyle w:val="TableContents"/>
              <w:spacing w:before="0" w:after="283"/>
              <w:rPr/>
            </w:pPr>
            <w:r>
              <w:rPr/>
              <w:t> </w:t>
            </w:r>
          </w:p>
        </w:tc>
        <w:tc>
          <w:tcPr>
            <w:tcW w:w="2716" w:type="dxa"/>
            <w:gridSpan w:val="20"/>
            <w:tcBorders/>
            <w:shd w:fill="auto" w:val="clear"/>
            <w:vAlign w:val="bottom"/>
          </w:tcPr>
          <w:p>
            <w:pPr>
              <w:pStyle w:val="TableContents"/>
              <w:spacing w:before="0" w:after="283"/>
              <w:jc w:val="center"/>
              <w:rPr>
                <w:rFonts w:ascii="sans-serif" w:hAnsi="sans-serif"/>
                <w:b/>
                <w:sz w:val="16"/>
              </w:rPr>
            </w:pPr>
            <w:r>
              <w:rPr>
                <w:rFonts w:ascii="sans-serif" w:hAnsi="sans-serif"/>
                <w:b/>
                <w:sz w:val="16"/>
              </w:rPr>
              <w:t xml:space="preserve">Year Ended December 31, </w:t>
            </w:r>
          </w:p>
        </w:tc>
      </w:tr>
      <w:tr>
        <w:trPr/>
        <w:tc>
          <w:tcPr>
            <w:tcW w:w="1789"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268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 xml:space="preserve">2015 </w:t>
            </w:r>
          </w:p>
        </w:tc>
        <w:tc>
          <w:tcPr>
            <w:tcW w:w="60" w:type="dxa"/>
            <w:tcBorders/>
            <w:shd w:fill="auto" w:val="clear"/>
            <w:vAlign w:val="bottom"/>
          </w:tcPr>
          <w:p>
            <w:pPr>
              <w:pStyle w:val="TableContents"/>
              <w:spacing w:before="0" w:after="283"/>
              <w:rPr/>
            </w:pPr>
            <w:r>
              <w:rPr/>
              <w:t> </w:t>
            </w:r>
          </w:p>
        </w:tc>
        <w:tc>
          <w:tcPr>
            <w:tcW w:w="283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 xml:space="preserve">2014 </w:t>
            </w:r>
          </w:p>
        </w:tc>
        <w:tc>
          <w:tcPr>
            <w:tcW w:w="60" w:type="dxa"/>
            <w:tcBorders/>
            <w:shd w:fill="auto" w:val="clear"/>
            <w:vAlign w:val="bottom"/>
          </w:tcPr>
          <w:p>
            <w:pPr>
              <w:pStyle w:val="TableContents"/>
              <w:spacing w:before="0" w:after="283"/>
              <w:rPr/>
            </w:pPr>
            <w:r>
              <w:rPr/>
              <w:t> </w:t>
            </w:r>
          </w:p>
        </w:tc>
        <w:tc>
          <w:tcPr>
            <w:tcW w:w="2716" w:type="dxa"/>
            <w:gridSpan w:val="20"/>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6"/>
              </w:rPr>
              <w:t>2013</w:t>
            </w:r>
            <w:r>
              <w:rPr/>
              <w:t xml:space="preserve"> </w:t>
            </w:r>
          </w:p>
        </w:tc>
      </w:tr>
      <w:tr>
        <w:trPr/>
        <w:tc>
          <w:tcPr>
            <w:tcW w:w="1789"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Bendix</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NARCO</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Total</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Bendix</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NARCO</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Total</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Bendix</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6"/>
              </w:rPr>
            </w:pPr>
            <w:r>
              <w:rPr>
                <w:rFonts w:ascii="sans-serif" w:hAnsi="sans-serif"/>
                <w:b/>
                <w:sz w:val="16"/>
              </w:rPr>
              <w:t>NARCO</w:t>
            </w:r>
          </w:p>
        </w:tc>
        <w:tc>
          <w:tcPr>
            <w:tcW w:w="60" w:type="dxa"/>
            <w:tcBorders/>
            <w:shd w:fill="auto" w:val="clear"/>
            <w:vAlign w:val="bottom"/>
          </w:tcPr>
          <w:p>
            <w:pPr>
              <w:pStyle w:val="TableContents"/>
              <w:spacing w:before="0" w:after="283"/>
              <w:rPr/>
            </w:pPr>
            <w:r>
              <w:rPr/>
              <w:t> </w:t>
            </w:r>
          </w:p>
        </w:tc>
        <w:tc>
          <w:tcPr>
            <w:tcW w:w="886"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6"/>
              </w:rPr>
              <w:t>Total</w:t>
            </w:r>
            <w:r>
              <w:rPr/>
              <w:t xml:space="preserve"> </w:t>
            </w:r>
          </w:p>
        </w:tc>
      </w:tr>
      <w:tr>
        <w:trPr/>
        <w:tc>
          <w:tcPr>
            <w:tcW w:w="1789" w:type="dxa"/>
            <w:tcBorders/>
            <w:shd w:fill="E5FFFF" w:val="clear"/>
            <w:vAlign w:val="bottom"/>
          </w:tcPr>
          <w:p>
            <w:pPr>
              <w:pStyle w:val="TableContents"/>
              <w:spacing w:before="0" w:after="283"/>
              <w:ind w:left="187" w:right="0" w:hanging="187"/>
              <w:rPr>
                <w:rFonts w:ascii="sans-serif" w:hAnsi="sans-serif"/>
                <w:sz w:val="20"/>
              </w:rPr>
            </w:pPr>
            <w:r>
              <w:rPr>
                <w:rFonts w:ascii="sans-serif" w:hAnsi="sans-serif"/>
                <w:sz w:val="20"/>
              </w:rPr>
              <w:t>Beginning of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135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350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485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141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531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672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138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569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432"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 xml:space="preserve">707 </w:t>
            </w:r>
          </w:p>
        </w:tc>
        <w:tc>
          <w:tcPr>
            <w:tcW w:w="179" w:type="dxa"/>
            <w:gridSpan w:val="2"/>
            <w:tcBorders/>
            <w:shd w:fill="E5FFFF" w:val="clear"/>
            <w:vAlign w:val="bottom"/>
          </w:tcPr>
          <w:p>
            <w:pPr>
              <w:pStyle w:val="TableContents"/>
              <w:spacing w:before="0" w:after="283"/>
              <w:rPr/>
            </w:pPr>
            <w:r>
              <w:rPr/>
              <w:t> </w:t>
            </w:r>
          </w:p>
        </w:tc>
      </w:tr>
      <w:tr>
        <w:trPr/>
        <w:tc>
          <w:tcPr>
            <w:tcW w:w="1789" w:type="dxa"/>
            <w:tcBorders/>
            <w:shd w:fill="auto" w:val="clear"/>
            <w:vAlign w:val="bottom"/>
          </w:tcPr>
          <w:p>
            <w:pPr>
              <w:pStyle w:val="TableContents"/>
              <w:spacing w:before="0" w:after="283"/>
              <w:ind w:left="187" w:right="0" w:hanging="187"/>
              <w:rPr>
                <w:rFonts w:ascii="sans-serif" w:hAnsi="sans-serif"/>
                <w:sz w:val="20"/>
              </w:rPr>
            </w:pPr>
            <w:r>
              <w:rPr>
                <w:rFonts w:ascii="sans-serif" w:hAnsi="sans-serif"/>
                <w:sz w:val="20"/>
              </w:rPr>
              <w:t>Probable insurance recoveries related to estimated liability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27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sans-serif" w:hAnsi="sans-serif"/>
                <w:sz w:val="20"/>
              </w:rPr>
            </w:pPr>
            <w:r>
              <w:rPr>
                <w:rFonts w:ascii="sans-serif" w:hAnsi="sans-serif"/>
                <w:sz w:val="20"/>
              </w:rPr>
              <w:t xml:space="preserve">27 </w:t>
            </w:r>
          </w:p>
        </w:tc>
        <w:tc>
          <w:tcPr>
            <w:tcW w:w="179" w:type="dxa"/>
            <w:gridSpan w:val="2"/>
            <w:tcBorders/>
            <w:shd w:fill="auto" w:val="clear"/>
            <w:vAlign w:val="bottom"/>
          </w:tcPr>
          <w:p>
            <w:pPr>
              <w:pStyle w:val="TableContents"/>
              <w:spacing w:before="0" w:after="283"/>
              <w:rPr/>
            </w:pPr>
            <w:r>
              <w:rPr/>
              <w:t> </w:t>
            </w:r>
          </w:p>
        </w:tc>
      </w:tr>
      <w:tr>
        <w:trPr/>
        <w:tc>
          <w:tcPr>
            <w:tcW w:w="1789" w:type="dxa"/>
            <w:tcBorders/>
            <w:shd w:fill="E5FFFF" w:val="clear"/>
            <w:vAlign w:val="bottom"/>
          </w:tcPr>
          <w:p>
            <w:pPr>
              <w:pStyle w:val="TableContents"/>
              <w:spacing w:before="0" w:after="283"/>
              <w:ind w:left="187" w:right="0" w:hanging="187"/>
              <w:rPr>
                <w:rFonts w:ascii="sans-serif" w:hAnsi="sans-serif"/>
                <w:sz w:val="20"/>
              </w:rPr>
            </w:pPr>
            <w:r>
              <w:rPr>
                <w:rFonts w:ascii="sans-serif" w:hAnsi="sans-serif"/>
                <w:sz w:val="20"/>
              </w:rPr>
              <w:t>Insurance receipts for asbestos related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(33</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(30</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(63</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(187</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(211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(34</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32"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(58</w:t>
            </w:r>
          </w:p>
        </w:tc>
        <w:tc>
          <w:tcPr>
            <w:tcW w:w="102" w:type="dxa"/>
            <w:tcBorders/>
            <w:shd w:fill="E5FFFF" w:val="clear"/>
            <w:vAlign w:val="bottom"/>
          </w:tcPr>
          <w:p>
            <w:pPr>
              <w:pStyle w:val="TableContents"/>
              <w:spacing w:before="0" w:after="283"/>
              <w:rPr>
                <w:rFonts w:ascii="sans-serif" w:hAnsi="sans-serif"/>
                <w:sz w:val="20"/>
              </w:rPr>
            </w:pPr>
            <w:r>
              <w:rPr>
                <w:rFonts w:ascii="sans-serif" w:hAnsi="sans-serif"/>
                <w:sz w:val="20"/>
              </w:rPr>
              <w:t xml:space="preserve">) </w:t>
            </w:r>
          </w:p>
        </w:tc>
        <w:tc>
          <w:tcPr>
            <w:tcW w:w="77" w:type="dxa"/>
            <w:tcBorders/>
            <w:shd w:fill="E5FFFF" w:val="clear"/>
            <w:vAlign w:val="bottom"/>
          </w:tcPr>
          <w:p>
            <w:pPr>
              <w:pStyle w:val="TableContents"/>
              <w:spacing w:before="0" w:after="283"/>
              <w:rPr/>
            </w:pPr>
            <w:r>
              <w:rPr/>
              <w:t> </w:t>
            </w:r>
          </w:p>
        </w:tc>
      </w:tr>
      <w:tr>
        <w:trPr/>
        <w:tc>
          <w:tcPr>
            <w:tcW w:w="1789" w:type="dxa"/>
            <w:tcBorders/>
            <w:shd w:fill="auto" w:val="clear"/>
            <w:vAlign w:val="bottom"/>
          </w:tcPr>
          <w:p>
            <w:pPr>
              <w:pStyle w:val="TableContents"/>
              <w:spacing w:before="0" w:after="283"/>
              <w:ind w:left="187" w:right="0" w:hanging="187"/>
              <w:rPr>
                <w:rFonts w:ascii="sans-serif" w:hAnsi="sans-serif"/>
                <w:sz w:val="20"/>
              </w:rPr>
            </w:pPr>
            <w:r>
              <w:rPr>
                <w:rFonts w:ascii="sans-serif" w:hAnsi="sans-serif"/>
                <w:sz w:val="20"/>
              </w:rPr>
              <w:t>Insurance receivables settlements and write offs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w:t>
            </w:r>
          </w:p>
        </w:tc>
        <w:tc>
          <w:tcPr>
            <w:tcW w:w="9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sans-serif" w:hAnsi="sans-serif"/>
                <w:sz w:val="20"/>
              </w:rPr>
            </w:pPr>
            <w:r>
              <w:rPr>
                <w:rFonts w:ascii="sans-serif" w:hAnsi="sans-serif"/>
                <w:sz w:val="20"/>
              </w:rPr>
              <w:t>(6</w:t>
            </w:r>
          </w:p>
        </w:tc>
        <w:tc>
          <w:tcPr>
            <w:tcW w:w="102"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77" w:type="dxa"/>
            <w:tcBorders/>
            <w:shd w:fill="auto" w:val="clear"/>
            <w:vAlign w:val="bottom"/>
          </w:tcPr>
          <w:p>
            <w:pPr>
              <w:pStyle w:val="TableContents"/>
              <w:spacing w:before="0" w:after="283"/>
              <w:rPr/>
            </w:pPr>
            <w:r>
              <w:rPr/>
              <w:t> </w:t>
            </w:r>
          </w:p>
        </w:tc>
      </w:tr>
      <w:tr>
        <w:trPr/>
        <w:tc>
          <w:tcPr>
            <w:tcW w:w="1789" w:type="dxa"/>
            <w:tcBorders/>
            <w:shd w:fill="E5FFFF" w:val="clear"/>
            <w:vAlign w:val="bottom"/>
          </w:tcPr>
          <w:p>
            <w:pPr>
              <w:pStyle w:val="TableContents"/>
              <w:spacing w:before="0" w:after="283"/>
              <w:ind w:left="187" w:right="0" w:hanging="187"/>
              <w:rPr>
                <w:rFonts w:ascii="sans-serif" w:hAnsi="sans-serif"/>
                <w:sz w:val="20"/>
              </w:rPr>
            </w:pPr>
            <w:r>
              <w:rPr>
                <w:rFonts w:ascii="sans-serif" w:hAnsi="sans-serif"/>
                <w:sz w:val="20"/>
              </w:rPr>
              <w:t>Other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(1</w:t>
            </w:r>
          </w:p>
        </w:tc>
        <w:tc>
          <w:tcPr>
            <w:tcW w:w="95" w:type="dxa"/>
            <w:tcBorders/>
            <w:shd w:fill="E5FFFF"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32" w:type="dxa"/>
            <w:tcBorders/>
            <w:shd w:fill="E5FFFF" w:val="clear"/>
            <w:vAlign w:val="bottom"/>
          </w:tcPr>
          <w:p>
            <w:pPr>
              <w:pStyle w:val="TableContents"/>
              <w:spacing w:before="0" w:after="283"/>
              <w:jc w:val="right"/>
              <w:rPr>
                <w:rFonts w:ascii="sans-serif" w:hAnsi="sans-serif"/>
                <w:sz w:val="20"/>
              </w:rPr>
            </w:pPr>
            <w:r>
              <w:rPr>
                <w:rFonts w:ascii="sans-serif" w:hAnsi="sans-serif"/>
                <w:sz w:val="20"/>
              </w:rPr>
              <w:t xml:space="preserve">2 </w:t>
            </w:r>
          </w:p>
        </w:tc>
        <w:tc>
          <w:tcPr>
            <w:tcW w:w="179" w:type="dxa"/>
            <w:gridSpan w:val="2"/>
            <w:tcBorders/>
            <w:shd w:fill="E5FFFF" w:val="clear"/>
            <w:vAlign w:val="bottom"/>
          </w:tcPr>
          <w:p>
            <w:pPr>
              <w:pStyle w:val="TableContents"/>
              <w:spacing w:before="0" w:after="283"/>
              <w:rPr/>
            </w:pPr>
            <w:r>
              <w:rPr/>
              <w:t> </w:t>
            </w:r>
          </w:p>
        </w:tc>
      </w:tr>
      <w:tr>
        <w:trPr/>
        <w:tc>
          <w:tcPr>
            <w:tcW w:w="1789" w:type="dxa"/>
            <w:tcBorders/>
            <w:shd w:fill="auto" w:val="clear"/>
            <w:vAlign w:val="bottom"/>
          </w:tcPr>
          <w:p>
            <w:pPr>
              <w:pStyle w:val="TableContents"/>
              <w:spacing w:before="0" w:after="283"/>
              <w:ind w:left="187" w:right="0" w:hanging="187"/>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6"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1789" w:type="dxa"/>
            <w:tcBorders/>
            <w:shd w:fill="auto" w:val="clear"/>
            <w:vAlign w:val="bottom"/>
          </w:tcPr>
          <w:p>
            <w:pPr>
              <w:pStyle w:val="TableContents"/>
              <w:spacing w:before="0" w:after="283"/>
              <w:ind w:left="187" w:right="0" w:hanging="187"/>
              <w:rPr>
                <w:rFonts w:ascii="sans-serif" w:hAnsi="sans-serif"/>
                <w:sz w:val="20"/>
              </w:rPr>
            </w:pPr>
            <w:r>
              <w:rPr>
                <w:rFonts w:ascii="sans-serif" w:hAnsi="sans-serif"/>
                <w:sz w:val="20"/>
              </w:rPr>
              <w:t>End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325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449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135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350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0"/>
              </w:rPr>
            </w:pPr>
            <w:r>
              <w:rPr>
                <w:rFonts w:ascii="sans-serif" w:hAnsi="sans-serif"/>
                <w:sz w:val="20"/>
              </w:rPr>
              <w:t>485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141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0"/>
              </w:rPr>
            </w:pPr>
            <w:r>
              <w:rPr>
                <w:rFonts w:ascii="sans-serif" w:hAnsi="sans-serif"/>
                <w:sz w:val="20"/>
              </w:rPr>
              <w:t>531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0"/>
              </w:rPr>
            </w:pPr>
            <w:r>
              <w:rPr>
                <w:rFonts w:ascii="sans-serif" w:hAnsi="sans-serif"/>
                <w:sz w:val="20"/>
              </w:rPr>
              <w:t>$</w:t>
            </w:r>
          </w:p>
        </w:tc>
        <w:tc>
          <w:tcPr>
            <w:tcW w:w="60"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rFonts w:ascii="sans-serif" w:hAnsi="sans-serif"/>
                <w:sz w:val="20"/>
              </w:rPr>
            </w:pPr>
            <w:r>
              <w:rPr>
                <w:rFonts w:ascii="sans-serif" w:hAnsi="sans-serif"/>
                <w:sz w:val="20"/>
              </w:rPr>
              <w:t xml:space="preserve">672 </w:t>
            </w:r>
          </w:p>
        </w:tc>
        <w:tc>
          <w:tcPr>
            <w:tcW w:w="179" w:type="dxa"/>
            <w:gridSpan w:val="2"/>
            <w:tcBorders/>
            <w:shd w:fill="auto" w:val="clear"/>
            <w:vAlign w:val="bottom"/>
          </w:tcPr>
          <w:p>
            <w:pPr>
              <w:pStyle w:val="TableContents"/>
              <w:spacing w:before="0" w:after="283"/>
              <w:rPr/>
            </w:pPr>
            <w:r>
              <w:rPr/>
              <w:t> </w:t>
            </w:r>
          </w:p>
        </w:tc>
      </w:tr>
      <w:tr>
        <w:trPr/>
        <w:tc>
          <w:tcPr>
            <w:tcW w:w="1789" w:type="dxa"/>
            <w:tcBorders/>
            <w:shd w:fill="auto" w:val="clear"/>
            <w:vAlign w:val="bottom"/>
          </w:tcPr>
          <w:p>
            <w:pPr>
              <w:pStyle w:val="TableContents"/>
              <w:spacing w:before="0" w:after="283"/>
              <w:ind w:left="187" w:right="0" w:hanging="187"/>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6"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61</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NARCO and Bendix asbestos related balances are included in the following balance sheet accounts:</w:t>
      </w:r>
    </w:p>
    <w:tbl>
      <w:tblPr>
        <w:tblW w:w="7555" w:type="dxa"/>
        <w:jc w:val="left"/>
        <w:tblInd w:w="0" w:type="dxa"/>
        <w:tblCellMar>
          <w:top w:w="0" w:type="dxa"/>
          <w:left w:w="0" w:type="dxa"/>
          <w:bottom w:w="0" w:type="dxa"/>
          <w:right w:w="0" w:type="dxa"/>
        </w:tblCellMar>
      </w:tblPr>
      <w:tblGrid>
        <w:gridCol w:w="5450"/>
        <w:gridCol w:w="60"/>
        <w:gridCol w:w="60"/>
        <w:gridCol w:w="155"/>
        <w:gridCol w:w="60"/>
        <w:gridCol w:w="620"/>
        <w:gridCol w:w="60"/>
        <w:gridCol w:w="60"/>
        <w:gridCol w:w="60"/>
        <w:gridCol w:w="155"/>
        <w:gridCol w:w="60"/>
        <w:gridCol w:w="680"/>
        <w:gridCol w:w="75"/>
      </w:tblGrid>
      <w:tr>
        <w:trPr/>
        <w:tc>
          <w:tcPr>
            <w:tcW w:w="54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shd w:fill="auto" w:val="clear"/>
            <w:vAlign w:val="bottom"/>
          </w:tcPr>
          <w:p>
            <w:pPr>
              <w:pStyle w:val="TableContents"/>
              <w:spacing w:before="0" w:after="283"/>
              <w:rPr>
                <w:sz w:val="4"/>
                <w:szCs w:val="4"/>
              </w:rPr>
            </w:pPr>
            <w:r>
              <w:rPr>
                <w:sz w:val="4"/>
                <w:szCs w:val="4"/>
              </w:rPr>
            </w:r>
          </w:p>
        </w:tc>
      </w:tr>
      <w:tr>
        <w:trPr/>
        <w:tc>
          <w:tcPr>
            <w:tcW w:w="545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045" w:type="dxa"/>
            <w:gridSpan w:val="11"/>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December 31,</w:t>
            </w:r>
            <w:r>
              <w:rPr/>
              <w:t xml:space="preserve"> </w:t>
            </w:r>
          </w:p>
        </w:tc>
      </w:tr>
      <w:tr>
        <w:trPr/>
        <w:tc>
          <w:tcPr>
            <w:tcW w:w="545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30"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2014</w:t>
            </w:r>
            <w:r>
              <w:rPr/>
              <w:t xml:space="preserve"> </w:t>
            </w:r>
          </w:p>
        </w:tc>
      </w:tr>
      <w:tr>
        <w:trPr/>
        <w:tc>
          <w:tcPr>
            <w:tcW w:w="54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 current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31 </w:t>
            </w:r>
          </w:p>
        </w:tc>
        <w:tc>
          <w:tcPr>
            <w:tcW w:w="75" w:type="dxa"/>
            <w:tcBorders/>
            <w:shd w:fill="E5FFFF" w:val="clear"/>
            <w:vAlign w:val="bottom"/>
          </w:tcPr>
          <w:p>
            <w:pPr>
              <w:pStyle w:val="TableContents"/>
              <w:spacing w:before="0" w:after="283"/>
              <w:rPr/>
            </w:pPr>
            <w:r>
              <w:rPr/>
              <w:t> </w:t>
            </w:r>
          </w:p>
        </w:tc>
      </w:tr>
      <w:tr>
        <w:trPr/>
        <w:tc>
          <w:tcPr>
            <w:tcW w:w="545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Insurance recoveries for asbestos related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454 </w:t>
            </w:r>
          </w:p>
        </w:tc>
        <w:tc>
          <w:tcPr>
            <w:tcW w:w="75" w:type="dxa"/>
            <w:tcBorders/>
            <w:shd w:fill="auto" w:val="clear"/>
            <w:vAlign w:val="bottom"/>
          </w:tcPr>
          <w:p>
            <w:pPr>
              <w:pStyle w:val="TableContents"/>
              <w:spacing w:before="0" w:after="283"/>
              <w:rPr/>
            </w:pPr>
            <w:r>
              <w:rPr/>
              <w:t> </w:t>
            </w:r>
          </w:p>
        </w:tc>
      </w:tr>
      <w:tr>
        <w:trPr/>
        <w:tc>
          <w:tcPr>
            <w:tcW w:w="54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545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485 </w:t>
            </w:r>
          </w:p>
        </w:tc>
        <w:tc>
          <w:tcPr>
            <w:tcW w:w="75" w:type="dxa"/>
            <w:tcBorders/>
            <w:shd w:fill="E5FFFF" w:val="clear"/>
            <w:vAlign w:val="bottom"/>
          </w:tcPr>
          <w:p>
            <w:pPr>
              <w:pStyle w:val="TableContents"/>
              <w:spacing w:before="0" w:after="283"/>
              <w:rPr/>
            </w:pPr>
            <w:r>
              <w:rPr/>
              <w:t> </w:t>
            </w:r>
          </w:p>
        </w:tc>
      </w:tr>
      <w:tr>
        <w:trPr/>
        <w:tc>
          <w:tcPr>
            <w:tcW w:w="54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double" w:sz="2" w:space="0" w:color="000000"/>
            </w:tcBorders>
            <w:shd w:fill="auto" w:val="clear"/>
            <w:tcMar>
              <w:top w:w="28" w:type="dxa"/>
            </w:tcMar>
            <w:vAlign w:val="bottom"/>
          </w:tcPr>
          <w:p>
            <w:pPr>
              <w:pStyle w:val="TableContents"/>
              <w:spacing w:before="0" w:after="283"/>
              <w:rPr/>
            </w:pPr>
            <w:r>
              <w:rPr/>
              <w:t> </w:t>
            </w:r>
          </w:p>
        </w:tc>
      </w:tr>
      <w:tr>
        <w:trPr/>
        <w:tc>
          <w:tcPr>
            <w:tcW w:w="545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Accrued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352 </w:t>
            </w:r>
          </w:p>
        </w:tc>
        <w:tc>
          <w:tcPr>
            <w:tcW w:w="75" w:type="dxa"/>
            <w:tcBorders/>
            <w:shd w:fill="auto" w:val="clear"/>
            <w:vAlign w:val="bottom"/>
          </w:tcPr>
          <w:p>
            <w:pPr>
              <w:pStyle w:val="TableContents"/>
              <w:spacing w:before="0" w:after="283"/>
              <w:rPr/>
            </w:pPr>
            <w:r>
              <w:rPr/>
              <w:t> </w:t>
            </w:r>
          </w:p>
        </w:tc>
      </w:tr>
      <w:tr>
        <w:trPr/>
        <w:tc>
          <w:tcPr>
            <w:tcW w:w="54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Asbestos related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1,251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1,200 </w:t>
            </w:r>
          </w:p>
        </w:tc>
        <w:tc>
          <w:tcPr>
            <w:tcW w:w="75" w:type="dxa"/>
            <w:tcBorders/>
            <w:shd w:fill="E5FFFF" w:val="clear"/>
            <w:vAlign w:val="bottom"/>
          </w:tcPr>
          <w:p>
            <w:pPr>
              <w:pStyle w:val="TableContents"/>
              <w:spacing w:before="0" w:after="283"/>
              <w:rPr/>
            </w:pPr>
            <w:r>
              <w:rPr/>
              <w:t> </w:t>
            </w:r>
          </w:p>
        </w:tc>
      </w:tr>
      <w:tr>
        <w:trPr/>
        <w:tc>
          <w:tcPr>
            <w:tcW w:w="54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54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1,552 </w:t>
            </w:r>
          </w:p>
        </w:tc>
        <w:tc>
          <w:tcPr>
            <w:tcW w:w="75" w:type="dxa"/>
            <w:tcBorders/>
            <w:shd w:fill="auto" w:val="clear"/>
            <w:vAlign w:val="bottom"/>
          </w:tcPr>
          <w:p>
            <w:pPr>
              <w:pStyle w:val="TableContents"/>
              <w:spacing w:before="0" w:after="283"/>
              <w:rPr/>
            </w:pPr>
            <w:r>
              <w:rPr/>
              <w:t> </w:t>
            </w:r>
          </w:p>
        </w:tc>
      </w:tr>
      <w:tr>
        <w:trPr/>
        <w:tc>
          <w:tcPr>
            <w:tcW w:w="54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b/>
          <w:i/>
          <w:sz w:val="22"/>
        </w:rPr>
        <w:t>NARCO Products</w:t>
      </w:r>
      <w:r>
        <w:rPr>
          <w:rFonts w:ascii="sans-serif" w:hAnsi="sans-serif"/>
          <w:sz w:val="22"/>
        </w:rPr>
        <w:t>In connection with NARCOs emergence from bankruptcy on April 30, 2013, a federally authorized 524(g) trust (NARCO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pStyle w:val="TextBody"/>
        <w:spacing w:before="119" w:after="119"/>
        <w:ind w:left="119" w:right="119" w:firstLine="397"/>
        <w:jc w:val="both"/>
        <w:rPr>
          <w:rFonts w:ascii="sans-serif" w:hAnsi="sans-serif"/>
          <w:sz w:val="22"/>
        </w:rPr>
      </w:pPr>
      <w:r>
        <w:rPr>
          <w:rFonts w:ascii="sans-serif" w:hAnsi="sans-serif"/>
          <w:sz w:val="22"/>
        </w:rPr>
        <w:t>Honeywell is obligated to fund NARCO asbestos claims submitted to the NARCO Trust which qualify for payment under the Trust Distribution Procedures (Annual Contribution Claims), subject to annual caps of $140 million in the years 2016 through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proceeding is ongoing. As of December 31, 2015, Honeywell has not made any payments to the NARCO Trust for Annual Contribution Claims.</w:t>
      </w:r>
    </w:p>
    <w:p>
      <w:pPr>
        <w:pStyle w:val="TextBody"/>
        <w:spacing w:before="119" w:after="119"/>
        <w:ind w:left="119" w:right="119" w:firstLine="397"/>
        <w:jc w:val="both"/>
        <w:rPr>
          <w:rFonts w:ascii="sans-serif" w:hAnsi="sans-serif"/>
          <w:sz w:val="22"/>
        </w:rPr>
      </w:pPr>
      <w:r>
        <w:rPr>
          <w:rFonts w:ascii="sans-serif" w:hAnsi="sans-serif"/>
          <w:sz w:val="22"/>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$150 million and are expected to be paid during the initial years of trust operations ($5 million of which has been paid since the effective date of the NARCO Trust). Such payments are not subject to the annual cap described above.</w:t>
      </w:r>
    </w:p>
    <w:p>
      <w:pPr>
        <w:pStyle w:val="TextBody"/>
        <w:spacing w:before="119" w:after="119"/>
        <w:ind w:left="119" w:right="119" w:firstLine="397"/>
        <w:jc w:val="both"/>
        <w:rPr>
          <w:rFonts w:ascii="sans-serif" w:hAnsi="sans-serif"/>
          <w:sz w:val="22"/>
        </w:rPr>
      </w:pPr>
      <w:r>
        <w:rPr>
          <w:rFonts w:ascii="sans-serif" w:hAnsi="sans-serif"/>
          <w:sz w:val="22"/>
        </w:rPr>
        <w:t>Our consolidated financial statements reflect an estimated liability for pre-established unliquidated claims ($145 million), unsettled claims pending as of the time NARCO filed for bankruptcy protection ($33 million) and for the estimated value of future NARCO asbestos claims expected to be asserted against the NARCO Trust through 2018 ($743 million). In the absence of actual trust experience on which to base the estimate, Honeywell projected the probable value of asbestos related future liabilities, including trust claim handling costs, based on a commonly accepted methodology used by numerous bankruptcy courts addressing 524(g) trusts. Some critical assumptions underlying this methodology include claims filing rates, disease criteria and payment values contained in the Trust Distribution Procedures, estimated approval rates of claims submitted to the NARCO Trust and epidemiological studies estimating disease instances. This projection resulted in a range of estimated</w:t>
      </w:r>
    </w:p>
    <w:p>
      <w:pPr>
        <w:pStyle w:val="TextBody"/>
        <w:spacing w:before="119" w:after="119"/>
        <w:ind w:left="119" w:right="119" w:hanging="0"/>
        <w:jc w:val="center"/>
        <w:rPr>
          <w:rFonts w:ascii="sans-serif" w:hAnsi="sans-serif"/>
          <w:sz w:val="22"/>
        </w:rPr>
      </w:pPr>
      <w:r>
        <w:rPr>
          <w:rFonts w:ascii="sans-serif" w:hAnsi="sans-serif"/>
          <w:sz w:val="22"/>
        </w:rPr>
        <w:t>62</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liability of $743 million to $961 million. We believe that no amount within this range is a better estimate than any other amount and accordingly, we have recorded the minimum amount in the range. In light of the uncertainties inherent in making long-term projections and in connection with the recent implementation of the Trust Distribution Procedures by the NARCO Trust, as well as the stay of all NARCO asbestos claims which remained in place throughout NARCOs Chapter 11 case, we do not believe that we have a reasonable basis for estimating NARCO asbestos claims beyond 2018.</w:t>
      </w:r>
    </w:p>
    <w:p>
      <w:pPr>
        <w:pStyle w:val="TextBody"/>
        <w:spacing w:before="119" w:after="119"/>
        <w:ind w:left="119" w:right="119" w:firstLine="397"/>
        <w:jc w:val="both"/>
        <w:rPr>
          <w:rFonts w:ascii="sans-serif" w:hAnsi="sans-serif"/>
          <w:sz w:val="22"/>
        </w:rPr>
      </w:pPr>
      <w:r>
        <w:rPr>
          <w:rFonts w:ascii="sans-serif" w:hAnsi="sans-serif"/>
          <w:sz w:val="22"/>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pStyle w:val="TextBody"/>
        <w:spacing w:before="119" w:after="119"/>
        <w:ind w:left="119" w:right="119" w:firstLine="397"/>
        <w:jc w:val="both"/>
        <w:rPr>
          <w:rFonts w:ascii="sans-serif" w:hAnsi="sans-serif"/>
          <w:sz w:val="22"/>
        </w:rPr>
      </w:pPr>
      <w:r>
        <w:rPr>
          <w:rFonts w:ascii="sans-serif" w:hAnsi="sans-serif"/>
          <w:sz w:val="22"/>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pStyle w:val="TextBody"/>
        <w:spacing w:before="119" w:after="119"/>
        <w:ind w:left="119" w:right="119" w:firstLine="397"/>
        <w:jc w:val="both"/>
        <w:rPr>
          <w:rFonts w:ascii="sans-serif" w:hAnsi="sans-serif"/>
          <w:sz w:val="22"/>
        </w:rPr>
      </w:pPr>
      <w:r>
        <w:rPr>
          <w:rFonts w:ascii="sans-serif" w:hAnsi="sans-serif"/>
          <w:b/>
          <w:i/>
          <w:sz w:val="22"/>
        </w:rPr>
        <w:t>Friction Products</w:t>
      </w:r>
      <w:r>
        <w:rPr>
          <w:rFonts w:ascii="sans-serif" w:hAnsi="sans-serif"/>
          <w:sz w:val="22"/>
        </w:rPr>
        <w:t>The following tables present information regarding Bendix related asbestos claims activity:</w:t>
      </w:r>
    </w:p>
    <w:tbl>
      <w:tblPr>
        <w:tblW w:w="6880" w:type="dxa"/>
        <w:jc w:val="left"/>
        <w:tblInd w:w="0" w:type="dxa"/>
        <w:tblCellMar>
          <w:top w:w="0" w:type="dxa"/>
          <w:left w:w="0" w:type="dxa"/>
          <w:bottom w:w="0" w:type="dxa"/>
          <w:right w:w="0" w:type="dxa"/>
        </w:tblCellMar>
      </w:tblPr>
      <w:tblGrid>
        <w:gridCol w:w="4625"/>
        <w:gridCol w:w="60"/>
        <w:gridCol w:w="60"/>
        <w:gridCol w:w="60"/>
        <w:gridCol w:w="695"/>
        <w:gridCol w:w="95"/>
        <w:gridCol w:w="60"/>
        <w:gridCol w:w="60"/>
        <w:gridCol w:w="60"/>
        <w:gridCol w:w="60"/>
        <w:gridCol w:w="815"/>
        <w:gridCol w:w="155"/>
        <w:gridCol w:w="75"/>
      </w:tblGrid>
      <w:tr>
        <w:trPr/>
        <w:tc>
          <w:tcPr>
            <w:tcW w:w="46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5" w:type="dxa"/>
            <w:gridSpan w:val="5"/>
            <w:tcBorders/>
            <w:shd w:fill="auto" w:val="clear"/>
            <w:vAlign w:val="bottom"/>
          </w:tcPr>
          <w:p>
            <w:pPr>
              <w:pStyle w:val="TableContents"/>
              <w:spacing w:before="0" w:after="283"/>
              <w:rPr>
                <w:sz w:val="4"/>
                <w:szCs w:val="4"/>
              </w:rPr>
            </w:pPr>
            <w:r>
              <w:rPr>
                <w:sz w:val="4"/>
                <w:szCs w:val="4"/>
              </w:rPr>
            </w:r>
          </w:p>
        </w:tc>
      </w:tr>
      <w:tr>
        <w:trPr/>
        <w:tc>
          <w:tcPr>
            <w:tcW w:w="4625"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Claims Activity</w:t>
            </w:r>
          </w:p>
        </w:tc>
        <w:tc>
          <w:tcPr>
            <w:tcW w:w="60" w:type="dxa"/>
            <w:tcBorders/>
            <w:shd w:fill="auto" w:val="clear"/>
            <w:vAlign w:val="bottom"/>
          </w:tcPr>
          <w:p>
            <w:pPr>
              <w:pStyle w:val="TableContents"/>
              <w:spacing w:before="0" w:after="283"/>
              <w:rPr/>
            </w:pPr>
            <w:r>
              <w:rPr/>
              <w:t> </w:t>
            </w:r>
          </w:p>
        </w:tc>
        <w:tc>
          <w:tcPr>
            <w:tcW w:w="2195" w:type="dxa"/>
            <w:gridSpan w:val="11"/>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Years Ended</w:t>
              <w:br/>
              <w:t>December 31,</w:t>
            </w:r>
            <w:r>
              <w:rPr/>
              <w:t xml:space="preserve"> </w:t>
            </w:r>
          </w:p>
        </w:tc>
      </w:tr>
      <w:tr>
        <w:trPr/>
        <w:tc>
          <w:tcPr>
            <w:tcW w:w="4625"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65"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2014</w:t>
            </w:r>
            <w:r>
              <w:rPr/>
              <w:t xml:space="preserve"> </w:t>
            </w:r>
          </w:p>
        </w:tc>
      </w:tr>
      <w:tr>
        <w:trPr/>
        <w:tc>
          <w:tcPr>
            <w:tcW w:w="4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Claims Unresolved at the beginning of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9,267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12,302 </w:t>
            </w:r>
          </w:p>
        </w:tc>
        <w:tc>
          <w:tcPr>
            <w:tcW w:w="230" w:type="dxa"/>
            <w:gridSpan w:val="2"/>
            <w:tcBorders/>
            <w:shd w:fill="E5FFFF" w:val="clear"/>
            <w:vAlign w:val="bottom"/>
          </w:tcPr>
          <w:p>
            <w:pPr>
              <w:pStyle w:val="TableContents"/>
              <w:spacing w:before="0" w:after="283"/>
              <w:rPr/>
            </w:pPr>
            <w:r>
              <w:rPr/>
              <w:t> </w:t>
            </w:r>
          </w:p>
        </w:tc>
      </w:tr>
      <w:tr>
        <w:trPr/>
        <w:tc>
          <w:tcPr>
            <w:tcW w:w="4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Claims Filed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2,862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3,694 </w:t>
            </w:r>
          </w:p>
        </w:tc>
        <w:tc>
          <w:tcPr>
            <w:tcW w:w="230" w:type="dxa"/>
            <w:gridSpan w:val="2"/>
            <w:tcBorders/>
            <w:shd w:fill="auto" w:val="clear"/>
            <w:vAlign w:val="bottom"/>
          </w:tcPr>
          <w:p>
            <w:pPr>
              <w:pStyle w:val="TableContents"/>
              <w:spacing w:before="0" w:after="283"/>
              <w:rPr/>
            </w:pPr>
            <w:r>
              <w:rPr/>
              <w:t> </w:t>
            </w:r>
          </w:p>
        </w:tc>
      </w:tr>
      <w:tr>
        <w:trPr/>
        <w:tc>
          <w:tcPr>
            <w:tcW w:w="46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Claims Resolved(1)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(4,350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(6,729</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4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5"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6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Claims Unresolved at the end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7,779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9,267 </w:t>
            </w:r>
          </w:p>
        </w:tc>
        <w:tc>
          <w:tcPr>
            <w:tcW w:w="230" w:type="dxa"/>
            <w:gridSpan w:val="2"/>
            <w:tcBorders/>
            <w:shd w:fill="auto" w:val="clear"/>
            <w:vAlign w:val="bottom"/>
          </w:tcPr>
          <w:p>
            <w:pPr>
              <w:pStyle w:val="TableContents"/>
              <w:spacing w:before="0" w:after="283"/>
              <w:rPr/>
            </w:pPr>
            <w:r>
              <w:rPr/>
              <w:t> </w:t>
            </w:r>
          </w:p>
        </w:tc>
      </w:tr>
      <w:tr>
        <w:trPr/>
        <w:tc>
          <w:tcPr>
            <w:tcW w:w="46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5"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ind w:left="227" w:right="227" w:hanging="0"/>
        <w:rPr/>
      </w:pPr>
      <w:r>
        <w:rPr/>
        <w:t> </w:t>
      </w:r>
    </w:p>
    <w:tbl>
      <w:tblPr>
        <w:tblW w:w="10205" w:type="dxa"/>
        <w:jc w:val="left"/>
        <w:tblInd w:w="0" w:type="dxa"/>
        <w:tblCellMar>
          <w:top w:w="0" w:type="dxa"/>
          <w:left w:w="0" w:type="dxa"/>
          <w:bottom w:w="0" w:type="dxa"/>
          <w:right w:w="0" w:type="dxa"/>
        </w:tblCellMar>
      </w:tblPr>
      <w:tblGrid>
        <w:gridCol w:w="75"/>
        <w:gridCol w:w="257"/>
        <w:gridCol w:w="76"/>
        <w:gridCol w:w="9757"/>
        <w:gridCol w:w="40"/>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57"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76" w:type="dxa"/>
            <w:tcBorders/>
            <w:shd w:fill="auto" w:val="clear"/>
          </w:tcPr>
          <w:p>
            <w:pPr>
              <w:pStyle w:val="TableContents"/>
              <w:spacing w:before="0" w:after="283"/>
              <w:rPr/>
            </w:pPr>
            <w:r>
              <w:rPr/>
              <w:t> </w:t>
            </w:r>
          </w:p>
        </w:tc>
        <w:tc>
          <w:tcPr>
            <w:tcW w:w="9757" w:type="dxa"/>
            <w:tcBorders/>
            <w:shd w:fill="auto" w:val="clear"/>
          </w:tcPr>
          <w:p>
            <w:pPr>
              <w:pStyle w:val="TableContents"/>
              <w:spacing w:before="0" w:after="283"/>
              <w:jc w:val="both"/>
              <w:rPr>
                <w:rFonts w:ascii="sans-serif" w:hAnsi="sans-serif"/>
                <w:sz w:val="22"/>
              </w:rPr>
            </w:pPr>
            <w:r>
              <w:rPr>
                <w:rFonts w:ascii="sans-serif" w:hAnsi="sans-serif"/>
                <w:sz w:val="22"/>
              </w:rPr>
              <w:t>Claims resolved in 2014 include 2,110 cancer claims which were determined to have no value. Also, claims resolved in 2015 and 2014 include significantly aged (i.e., pending for more than six years) claims totaling 153 and 1,266.</w:t>
            </w:r>
          </w:p>
        </w:tc>
        <w:tc>
          <w:tcPr>
            <w:tcW w:w="40" w:type="dxa"/>
            <w:tcBorders/>
            <w:shd w:fill="auto" w:val="clear"/>
          </w:tcPr>
          <w:p>
            <w:pPr>
              <w:pStyle w:val="TableContents"/>
              <w:spacing w:before="0" w:after="283"/>
              <w:rPr>
                <w:sz w:val="4"/>
                <w:szCs w:val="4"/>
              </w:rPr>
            </w:pPr>
            <w:r>
              <w:rPr>
                <w:sz w:val="4"/>
                <w:szCs w:val="4"/>
              </w:rPr>
            </w:r>
          </w:p>
        </w:tc>
      </w:tr>
    </w:tbl>
    <w:tbl>
      <w:tblPr>
        <w:tblW w:w="6105" w:type="dxa"/>
        <w:jc w:val="left"/>
        <w:tblInd w:w="0" w:type="dxa"/>
        <w:tblCellMar>
          <w:top w:w="0" w:type="dxa"/>
          <w:left w:w="0" w:type="dxa"/>
          <w:bottom w:w="0" w:type="dxa"/>
          <w:right w:w="0" w:type="dxa"/>
        </w:tblCellMar>
      </w:tblPr>
      <w:tblGrid>
        <w:gridCol w:w="4310"/>
        <w:gridCol w:w="60"/>
        <w:gridCol w:w="60"/>
        <w:gridCol w:w="60"/>
        <w:gridCol w:w="620"/>
        <w:gridCol w:w="60"/>
        <w:gridCol w:w="60"/>
        <w:gridCol w:w="60"/>
        <w:gridCol w:w="60"/>
        <w:gridCol w:w="680"/>
        <w:gridCol w:w="75"/>
      </w:tblGrid>
      <w:tr>
        <w:trPr/>
        <w:tc>
          <w:tcPr>
            <w:tcW w:w="43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4"/>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4"/>
            <w:tcBorders/>
            <w:shd w:fill="auto" w:val="clear"/>
            <w:vAlign w:val="bottom"/>
          </w:tcPr>
          <w:p>
            <w:pPr>
              <w:pStyle w:val="TableContents"/>
              <w:spacing w:before="0" w:after="283"/>
              <w:rPr>
                <w:sz w:val="4"/>
                <w:szCs w:val="4"/>
              </w:rPr>
            </w:pPr>
            <w:r>
              <w:rPr>
                <w:sz w:val="4"/>
                <w:szCs w:val="4"/>
              </w:rPr>
            </w:r>
          </w:p>
        </w:tc>
      </w:tr>
      <w:tr>
        <w:trPr/>
        <w:tc>
          <w:tcPr>
            <w:tcW w:w="4310"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Disease Distribution of Unresolved Claims</w:t>
            </w:r>
          </w:p>
        </w:tc>
        <w:tc>
          <w:tcPr>
            <w:tcW w:w="60" w:type="dxa"/>
            <w:tcBorders/>
            <w:shd w:fill="auto" w:val="clear"/>
            <w:vAlign w:val="bottom"/>
          </w:tcPr>
          <w:p>
            <w:pPr>
              <w:pStyle w:val="TableContents"/>
              <w:spacing w:before="0" w:after="283"/>
              <w:rPr/>
            </w:pPr>
            <w:r>
              <w:rPr/>
              <w:t> </w:t>
            </w:r>
          </w:p>
        </w:tc>
        <w:tc>
          <w:tcPr>
            <w:tcW w:w="1735" w:type="dxa"/>
            <w:gridSpan w:val="9"/>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December 31,</w:t>
            </w:r>
            <w:r>
              <w:rPr/>
              <w:t xml:space="preserve"> </w:t>
            </w:r>
          </w:p>
        </w:tc>
      </w:tr>
      <w:tr>
        <w:trPr/>
        <w:tc>
          <w:tcPr>
            <w:tcW w:w="4310"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00"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875" w:type="dxa"/>
            <w:gridSpan w:val="4"/>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2014</w:t>
            </w:r>
            <w:r>
              <w:rPr/>
              <w:t xml:space="preserve"> </w:t>
            </w:r>
          </w:p>
        </w:tc>
      </w:tr>
      <w:tr>
        <w:trPr/>
        <w:tc>
          <w:tcPr>
            <w:tcW w:w="43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Mesothelioma and Other Cancer Claims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3,772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3,933 </w:t>
            </w:r>
          </w:p>
        </w:tc>
        <w:tc>
          <w:tcPr>
            <w:tcW w:w="75" w:type="dxa"/>
            <w:tcBorders/>
            <w:shd w:fill="E5FFFF"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Nonmalignant Claims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4,007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5,334 </w:t>
            </w:r>
          </w:p>
        </w:tc>
        <w:tc>
          <w:tcPr>
            <w:tcW w:w="75" w:type="dxa"/>
            <w:tcBorders/>
            <w:shd w:fill="auto"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00" w:type="dxa"/>
            <w:gridSpan w:val="4"/>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4"/>
            <w:tcBorders>
              <w:top w:val="single" w:sz="4" w:space="0" w:color="000000"/>
            </w:tcBorders>
            <w:shd w:fill="auto" w:val="clear"/>
            <w:tcMar>
              <w:top w:w="28" w:type="dxa"/>
            </w:tcMar>
            <w:vAlign w:val="bottom"/>
          </w:tcPr>
          <w:p>
            <w:pPr>
              <w:pStyle w:val="TableContents"/>
              <w:spacing w:before="0" w:after="283"/>
              <w:rPr/>
            </w:pPr>
            <w:r>
              <w:rPr/>
              <w:t> </w:t>
            </w:r>
          </w:p>
        </w:tc>
      </w:tr>
      <w:tr>
        <w:trPr/>
        <w:tc>
          <w:tcPr>
            <w:tcW w:w="431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Total Claims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7,779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8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9,267 </w:t>
            </w:r>
          </w:p>
        </w:tc>
        <w:tc>
          <w:tcPr>
            <w:tcW w:w="75" w:type="dxa"/>
            <w:tcBorders/>
            <w:shd w:fill="E5FFFF" w:val="clear"/>
            <w:vAlign w:val="bottom"/>
          </w:tcPr>
          <w:p>
            <w:pPr>
              <w:pStyle w:val="TableContents"/>
              <w:spacing w:before="0" w:after="283"/>
              <w:rPr/>
            </w:pPr>
            <w:r>
              <w:rPr/>
              <w:t> </w:t>
            </w:r>
          </w:p>
        </w:tc>
      </w:tr>
      <w:tr>
        <w:trPr/>
        <w:tc>
          <w:tcPr>
            <w:tcW w:w="431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800" w:type="dxa"/>
            <w:gridSpan w:val="4"/>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5" w:type="dxa"/>
            <w:gridSpan w:val="4"/>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Honeywell has experienced average resolution values per claim excluding legal costs as follows:</w:t>
      </w:r>
    </w:p>
    <w:tbl>
      <w:tblPr>
        <w:tblW w:w="8110" w:type="dxa"/>
        <w:jc w:val="left"/>
        <w:tblInd w:w="0" w:type="dxa"/>
        <w:tblCellMar>
          <w:top w:w="0" w:type="dxa"/>
          <w:left w:w="0" w:type="dxa"/>
          <w:bottom w:w="0" w:type="dxa"/>
          <w:right w:w="0" w:type="dxa"/>
        </w:tblCellMar>
      </w:tblPr>
      <w:tblGrid>
        <w:gridCol w:w="2285"/>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815"/>
        <w:gridCol w:w="75"/>
      </w:tblGrid>
      <w:tr>
        <w:trPr/>
        <w:tc>
          <w:tcPr>
            <w:tcW w:w="22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5" w:type="dxa"/>
            <w:gridSpan w:val="5"/>
            <w:tcBorders/>
            <w:shd w:fill="auto" w:val="clear"/>
            <w:vAlign w:val="bottom"/>
          </w:tcPr>
          <w:p>
            <w:pPr>
              <w:pStyle w:val="TableContents"/>
              <w:spacing w:before="0" w:after="283"/>
              <w:rPr>
                <w:sz w:val="4"/>
                <w:szCs w:val="4"/>
              </w:rPr>
            </w:pPr>
            <w:r>
              <w:rPr>
                <w:sz w:val="4"/>
                <w:szCs w:val="4"/>
              </w:rPr>
            </w:r>
          </w:p>
        </w:tc>
      </w:tr>
      <w:tr>
        <w:trPr/>
        <w:tc>
          <w:tcPr>
            <w:tcW w:w="228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65" w:type="dxa"/>
            <w:gridSpan w:val="29"/>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Years Ended December 31,</w:t>
            </w:r>
            <w:r>
              <w:rPr/>
              <w:t xml:space="preserve"> </w:t>
            </w:r>
          </w:p>
        </w:tc>
      </w:tr>
      <w:tr>
        <w:trPr/>
        <w:tc>
          <w:tcPr>
            <w:tcW w:w="228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2012</w:t>
            </w:r>
          </w:p>
        </w:tc>
        <w:tc>
          <w:tcPr>
            <w:tcW w:w="60" w:type="dxa"/>
            <w:tcBorders/>
            <w:shd w:fill="auto" w:val="clear"/>
            <w:vAlign w:val="bottom"/>
          </w:tcPr>
          <w:p>
            <w:pPr>
              <w:pStyle w:val="TableContents"/>
              <w:spacing w:before="0" w:after="283"/>
              <w:rPr/>
            </w:pPr>
            <w:r>
              <w:rPr/>
              <w:t> </w:t>
            </w:r>
          </w:p>
        </w:tc>
        <w:tc>
          <w:tcPr>
            <w:tcW w:w="1165"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2011</w:t>
            </w:r>
            <w:r>
              <w:rPr/>
              <w:t xml:space="preserve"> </w:t>
            </w:r>
          </w:p>
        </w:tc>
      </w:tr>
      <w:tr>
        <w:trPr/>
        <w:tc>
          <w:tcPr>
            <w:tcW w:w="2285"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5765" w:type="dxa"/>
            <w:gridSpan w:val="29"/>
            <w:tcBorders/>
            <w:shd w:fill="auto" w:val="clear"/>
            <w:vAlign w:val="bottom"/>
          </w:tcPr>
          <w:p>
            <w:pPr>
              <w:pStyle w:val="TableContents"/>
              <w:spacing w:before="0" w:after="283"/>
              <w:jc w:val="center"/>
              <w:rPr>
                <w:rFonts w:ascii="sans-serif" w:hAnsi="sans-serif"/>
                <w:b/>
                <w:sz w:val="18"/>
              </w:rPr>
            </w:pPr>
            <w:r>
              <w:rPr>
                <w:rFonts w:ascii="sans-serif" w:hAnsi="sans-serif"/>
                <w:b/>
                <w:sz w:val="18"/>
              </w:rPr>
              <w:t xml:space="preserve">(in whole dollars) </w:t>
            </w:r>
          </w:p>
        </w:tc>
      </w:tr>
      <w:tr>
        <w:trPr/>
        <w:tc>
          <w:tcPr>
            <w:tcW w:w="228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Malignant claims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44,000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53,500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51,000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49,000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81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48,000 </w:t>
            </w:r>
          </w:p>
        </w:tc>
        <w:tc>
          <w:tcPr>
            <w:tcW w:w="75" w:type="dxa"/>
            <w:tcBorders/>
            <w:shd w:fill="E5FFFF" w:val="clear"/>
            <w:vAlign w:val="bottom"/>
          </w:tcPr>
          <w:p>
            <w:pPr>
              <w:pStyle w:val="TableContents"/>
              <w:spacing w:before="0" w:after="283"/>
              <w:rPr/>
            </w:pPr>
            <w:r>
              <w:rPr/>
              <w:t> </w:t>
            </w:r>
          </w:p>
        </w:tc>
      </w:tr>
      <w:tr>
        <w:trPr/>
        <w:tc>
          <w:tcPr>
            <w:tcW w:w="228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Nonmalignant claims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1,000 </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It is not possible to predict whether resolution values for Bendix-related asbestos claims will increase, decrease or stabilize in the future.</w:t>
      </w:r>
    </w:p>
    <w:p>
      <w:pPr>
        <w:pStyle w:val="TextBody"/>
        <w:spacing w:before="119" w:after="119"/>
        <w:ind w:left="119" w:right="119" w:hanging="0"/>
        <w:jc w:val="center"/>
        <w:rPr>
          <w:rFonts w:ascii="sans-serif" w:hAnsi="sans-serif"/>
          <w:sz w:val="22"/>
        </w:rPr>
      </w:pPr>
      <w:r>
        <w:rPr>
          <w:rFonts w:ascii="sans-serif" w:hAnsi="sans-serif"/>
          <w:sz w:val="22"/>
        </w:rPr>
        <w:t>63</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jc w:val="both"/>
        <w:rPr>
          <w:rFonts w:ascii="sans-serif" w:hAnsi="sans-serif"/>
          <w:sz w:val="22"/>
        </w:rPr>
      </w:pPr>
      <w:r>
        <w:rPr>
          <w:rFonts w:ascii="sans-serif" w:hAnsi="sans-serif"/>
          <w:sz w:val="22"/>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pStyle w:val="TextBody"/>
        <w:spacing w:before="119" w:after="119"/>
        <w:ind w:left="119" w:right="119" w:firstLine="397"/>
        <w:jc w:val="both"/>
        <w:rPr>
          <w:rFonts w:ascii="sans-serif" w:hAnsi="sans-serif"/>
          <w:sz w:val="22"/>
        </w:rPr>
      </w:pPr>
      <w:r>
        <w:rPr>
          <w:rFonts w:ascii="sans-serif" w:hAnsi="sans-serif"/>
          <w:sz w:val="22"/>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pStyle w:val="TextBody"/>
        <w:spacing w:before="119" w:after="119"/>
        <w:ind w:left="119" w:right="119" w:firstLine="397"/>
        <w:jc w:val="both"/>
        <w:rPr>
          <w:rFonts w:ascii="sans-serif" w:hAnsi="sans-serif"/>
          <w:sz w:val="22"/>
        </w:rPr>
      </w:pPr>
      <w:r>
        <w:rPr>
          <w:rFonts w:ascii="sans-serif" w:hAnsi="sans-serif"/>
          <w:sz w:val="22"/>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pStyle w:val="TextBody"/>
        <w:spacing w:before="119" w:after="119"/>
        <w:ind w:left="119" w:right="119" w:firstLine="397"/>
        <w:jc w:val="both"/>
        <w:rPr>
          <w:rFonts w:ascii="sans-serif" w:hAnsi="sans-serif"/>
          <w:sz w:val="22"/>
        </w:rPr>
      </w:pPr>
      <w:r>
        <w:rPr>
          <w:rFonts w:ascii="sans-serif" w:hAnsi="sans-serif"/>
          <w:sz w:val="22"/>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pStyle w:val="TextBody"/>
        <w:spacing w:before="357" w:after="357"/>
        <w:ind w:left="357" w:right="357" w:hanging="0"/>
        <w:rPr>
          <w:rFonts w:ascii="sans-serif" w:hAnsi="sans-serif"/>
          <w:b/>
          <w:sz w:val="22"/>
        </w:rPr>
      </w:pPr>
      <w:r>
        <w:rPr>
          <w:rFonts w:ascii="sans-serif" w:hAnsi="sans-serif"/>
          <w:b/>
          <w:sz w:val="22"/>
        </w:rPr>
        <w:t>Other Matters</w:t>
      </w:r>
    </w:p>
    <w:p>
      <w:pPr>
        <w:pStyle w:val="TextBody"/>
        <w:spacing w:before="119" w:after="119"/>
        <w:ind w:left="119" w:right="119" w:firstLine="397"/>
        <w:jc w:val="both"/>
        <w:rPr>
          <w:rFonts w:ascii="sans-serif" w:hAnsi="sans-serif"/>
          <w:sz w:val="22"/>
        </w:rPr>
      </w:pPr>
      <w:r>
        <w:rPr>
          <w:rFonts w:ascii="sans-serif" w:hAnsi="sans-serif"/>
          <w:sz w:val="22"/>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pStyle w:val="TextBody"/>
        <w:spacing w:before="119" w:after="119"/>
        <w:ind w:left="119" w:right="119" w:firstLine="397"/>
        <w:jc w:val="both"/>
        <w:rPr>
          <w:rFonts w:ascii="sans-serif" w:hAnsi="sans-serif"/>
          <w:sz w:val="22"/>
        </w:rPr>
      </w:pPr>
      <w:r>
        <w:rPr>
          <w:rFonts w:ascii="sans-serif" w:hAnsi="sans-serif"/>
          <w:b/>
          <w:i/>
          <w:sz w:val="22"/>
        </w:rPr>
        <w:t>Honeywell v. United Auto Workers (UAW) et. al</w:t>
      </w:r>
      <w:r>
        <w:rPr>
          <w:rFonts w:ascii="sans-serif" w:hAnsi="sans-serif"/>
          <w:sz w:val="22"/>
        </w:rPr>
        <w:t>In July 2011, Honeywell filed an action in federal court (District of New Jersey) 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w:t>
      </w:r>
    </w:p>
    <w:p>
      <w:pPr>
        <w:pStyle w:val="TextBody"/>
        <w:spacing w:before="119" w:after="119"/>
        <w:ind w:left="119" w:right="119" w:hanging="0"/>
        <w:jc w:val="center"/>
        <w:rPr>
          <w:rFonts w:ascii="sans-serif" w:hAnsi="sans-serif"/>
          <w:sz w:val="22"/>
        </w:rPr>
      </w:pPr>
      <w:r>
        <w:rPr>
          <w:rFonts w:ascii="sans-serif" w:hAnsi="sans-serif"/>
          <w:sz w:val="22"/>
        </w:rPr>
        <w:t>64</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jc w:val="both"/>
        <w:rPr>
          <w:rFonts w:ascii="sans-serif" w:hAnsi="sans-serif"/>
          <w:sz w:val="22"/>
        </w:rPr>
      </w:pPr>
      <w:r>
        <w:rPr>
          <w:rFonts w:ascii="sans-serif" w:hAnsi="sans-serif"/>
          <w:sz w:val="22"/>
        </w:rPr>
        <w:t xml:space="preserve">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sans-serif" w:hAnsi="sans-serif"/>
          <w:i/>
          <w:sz w:val="22"/>
        </w:rPr>
        <w:t xml:space="preserve">M&amp;G Polymers USA, LLC v. Tackett </w:t>
      </w:r>
      <w:r>
        <w:rPr>
          <w:rFonts w:ascii="sans-serif" w:hAnsi="sans-serif"/>
          <w:sz w:val="22"/>
        </w:rPr>
        <w:t>case. In a ruling on January 26, 2015, the Supreme Court held that retiree health insurance benefits provided in collective bargaining agreements do not carry an inference that they are vested or guaranteed to continue for life and that the vesting issue must be decided pursuant to ordinary principles of contract law. The stay of the proceedings has been lifted and the case is again proceeding in the normal course. Based on the Supreme Courts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$176 million, reflecting the estimated value of these CAPS.</w:t>
      </w:r>
    </w:p>
    <w:p>
      <w:pPr>
        <w:pStyle w:val="TextBody"/>
        <w:spacing w:before="119" w:after="119"/>
        <w:ind w:left="119" w:right="119" w:firstLine="397"/>
        <w:jc w:val="both"/>
        <w:rPr>
          <w:rFonts w:ascii="sans-serif" w:hAnsi="sans-serif"/>
          <w:sz w:val="22"/>
        </w:rPr>
      </w:pPr>
      <w:r>
        <w:rPr>
          <w:rFonts w:ascii="sans-serif" w:hAnsi="sans-serif"/>
          <w:sz w:val="22"/>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post- 2003 retirees would increase by approximately $110 million, reflecting the estimated value of these CAPS.</w:t>
      </w:r>
    </w:p>
    <w:p>
      <w:pPr>
        <w:pStyle w:val="TextBody"/>
        <w:spacing w:before="119" w:after="119"/>
        <w:ind w:left="119" w:right="119" w:firstLine="397"/>
        <w:jc w:val="both"/>
        <w:rPr>
          <w:rFonts w:ascii="sans-serif" w:hAnsi="sans-serif"/>
          <w:sz w:val="22"/>
        </w:rPr>
      </w:pPr>
      <w:r>
        <w:rPr>
          <w:rFonts w:ascii="sans-serif" w:hAnsi="sans-serif"/>
          <w:b/>
          <w:i/>
          <w:sz w:val="22"/>
        </w:rPr>
        <w:t>Joint Strike Fighter Investigation</w:t>
      </w:r>
      <w:r>
        <w:rPr>
          <w:rFonts w:ascii="sans-serif" w:hAnsi="sans-serif"/>
          <w:sz w:val="22"/>
        </w:rPr>
        <w:t>In 2013 the Company received subpoenas from the Department of Justice requesting information 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pStyle w:val="TextBody"/>
        <w:spacing w:before="119" w:after="119"/>
        <w:ind w:left="119" w:right="119" w:firstLine="397"/>
        <w:jc w:val="both"/>
        <w:rPr>
          <w:rFonts w:ascii="sans-serif" w:hAnsi="sans-serif"/>
          <w:sz w:val="22"/>
        </w:rPr>
      </w:pPr>
      <w:r>
        <w:rPr>
          <w:rFonts w:ascii="sans-serif" w:hAnsi="sans-serif"/>
          <w:sz w:val="22"/>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pStyle w:val="TextBody"/>
        <w:spacing w:before="357" w:after="357"/>
        <w:ind w:left="357" w:right="357" w:hanging="0"/>
        <w:rPr>
          <w:rFonts w:ascii="sans-serif" w:hAnsi="sans-serif"/>
          <w:b/>
          <w:i/>
          <w:sz w:val="22"/>
        </w:rPr>
      </w:pPr>
      <w:r>
        <w:rPr>
          <w:rFonts w:ascii="sans-serif" w:hAnsi="sans-serif"/>
          <w:b/>
          <w:i/>
          <w:sz w:val="22"/>
        </w:rPr>
        <w:t>Warranties and Guarantees</w:t>
      </w:r>
    </w:p>
    <w:p>
      <w:pPr>
        <w:pStyle w:val="TextBody"/>
        <w:spacing w:before="119" w:after="119"/>
        <w:ind w:left="119" w:right="119" w:firstLine="397"/>
        <w:jc w:val="both"/>
        <w:rPr>
          <w:rFonts w:ascii="sans-serif" w:hAnsi="sans-serif"/>
          <w:sz w:val="22"/>
        </w:rPr>
      </w:pPr>
      <w:r>
        <w:rPr>
          <w:rFonts w:ascii="sans-serif" w:hAnsi="sans-serif"/>
          <w:sz w:val="22"/>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in the obligations become reasonably estimable.</w:t>
      </w:r>
    </w:p>
    <w:p>
      <w:pPr>
        <w:pStyle w:val="TextBody"/>
        <w:spacing w:before="119" w:after="119"/>
        <w:ind w:left="119" w:right="119" w:hanging="0"/>
        <w:jc w:val="center"/>
        <w:rPr>
          <w:rFonts w:ascii="sans-serif" w:hAnsi="sans-serif"/>
          <w:sz w:val="22"/>
        </w:rPr>
      </w:pPr>
      <w:r>
        <w:rPr>
          <w:rFonts w:ascii="sans-serif" w:hAnsi="sans-serif"/>
          <w:sz w:val="22"/>
        </w:rPr>
        <w:t>65</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rPr>
          <w:rFonts w:ascii="sans-serif" w:hAnsi="sans-serif"/>
          <w:sz w:val="22"/>
        </w:rPr>
      </w:pPr>
      <w:r>
        <w:rPr>
          <w:rFonts w:ascii="sans-serif" w:hAnsi="sans-serif"/>
          <w:sz w:val="22"/>
        </w:rPr>
        <w:t>The following table summarizes information concerning our recorded obligations for product warranties and product performance guarantees:</w:t>
      </w:r>
    </w:p>
    <w:tbl>
      <w:tblPr>
        <w:tblW w:w="9260" w:type="dxa"/>
        <w:jc w:val="left"/>
        <w:tblInd w:w="0" w:type="dxa"/>
        <w:tblCellMar>
          <w:top w:w="0" w:type="dxa"/>
          <w:left w:w="0" w:type="dxa"/>
          <w:bottom w:w="0" w:type="dxa"/>
          <w:right w:w="0" w:type="dxa"/>
        </w:tblCellMar>
      </w:tblPr>
      <w:tblGrid>
        <w:gridCol w:w="6215"/>
        <w:gridCol w:w="60"/>
        <w:gridCol w:w="60"/>
        <w:gridCol w:w="155"/>
        <w:gridCol w:w="60"/>
        <w:gridCol w:w="500"/>
        <w:gridCol w:w="95"/>
        <w:gridCol w:w="60"/>
        <w:gridCol w:w="60"/>
        <w:gridCol w:w="60"/>
        <w:gridCol w:w="155"/>
        <w:gridCol w:w="60"/>
        <w:gridCol w:w="500"/>
        <w:gridCol w:w="95"/>
        <w:gridCol w:w="60"/>
        <w:gridCol w:w="60"/>
        <w:gridCol w:w="60"/>
        <w:gridCol w:w="155"/>
        <w:gridCol w:w="60"/>
        <w:gridCol w:w="500"/>
        <w:gridCol w:w="155"/>
        <w:gridCol w:w="75"/>
      </w:tblGrid>
      <w:tr>
        <w:trPr/>
        <w:tc>
          <w:tcPr>
            <w:tcW w:w="6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gridSpan w:val="6"/>
            <w:tcBorders/>
            <w:shd w:fill="auto" w:val="clear"/>
            <w:vAlign w:val="bottom"/>
          </w:tcPr>
          <w:p>
            <w:pPr>
              <w:pStyle w:val="TableContents"/>
              <w:spacing w:before="0" w:after="283"/>
              <w:rPr>
                <w:sz w:val="4"/>
                <w:szCs w:val="4"/>
              </w:rPr>
            </w:pPr>
            <w:r>
              <w:rPr>
                <w:sz w:val="4"/>
                <w:szCs w:val="4"/>
              </w:rPr>
            </w:r>
          </w:p>
        </w:tc>
      </w:tr>
      <w:tr>
        <w:trPr/>
        <w:tc>
          <w:tcPr>
            <w:tcW w:w="621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985" w:type="dxa"/>
            <w:gridSpan w:val="20"/>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Years Ended</w:t>
              <w:br/>
              <w:t>December 31,</w:t>
            </w:r>
            <w:r>
              <w:rPr/>
              <w:t xml:space="preserve"> </w:t>
            </w:r>
          </w:p>
        </w:tc>
      </w:tr>
      <w:tr>
        <w:trPr/>
        <w:tc>
          <w:tcPr>
            <w:tcW w:w="621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05" w:type="dxa"/>
            <w:gridSpan w:val="6"/>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2013</w:t>
            </w:r>
            <w:r>
              <w:rPr/>
              <w:t xml:space="preserve"> </w:t>
            </w:r>
          </w:p>
        </w:tc>
      </w:tr>
      <w:tr>
        <w:trPr/>
        <w:tc>
          <w:tcPr>
            <w:tcW w:w="621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Beginning of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407 </w:t>
            </w:r>
          </w:p>
        </w:tc>
        <w:tc>
          <w:tcPr>
            <w:tcW w:w="230" w:type="dxa"/>
            <w:gridSpan w:val="2"/>
            <w:tcBorders/>
            <w:shd w:fill="E5FFFF"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Accruals for warranties/guarantees issued during the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212 </w:t>
            </w:r>
          </w:p>
        </w:tc>
        <w:tc>
          <w:tcPr>
            <w:tcW w:w="230" w:type="dxa"/>
            <w:gridSpan w:val="2"/>
            <w:tcBorders/>
            <w:shd w:fill="auto" w:val="clear"/>
            <w:vAlign w:val="bottom"/>
          </w:tcPr>
          <w:p>
            <w:pPr>
              <w:pStyle w:val="TableContents"/>
              <w:spacing w:before="0" w:after="283"/>
              <w:rPr/>
            </w:pPr>
            <w:r>
              <w:rPr/>
              <w:t> </w:t>
            </w:r>
          </w:p>
        </w:tc>
      </w:tr>
      <w:tr>
        <w:trPr/>
        <w:tc>
          <w:tcPr>
            <w:tcW w:w="621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Adjustment of pre-existing warranties/guarantees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E5FFFF"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Settlement of warranty/guarantee claims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(213</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 xml:space="preserve">) </w:t>
            </w:r>
          </w:p>
        </w:tc>
        <w:tc>
          <w:tcPr>
            <w:tcW w:w="75" w:type="dxa"/>
            <w:tcBorders/>
            <w:shd w:fill="auto"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21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End of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416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405 </w:t>
            </w:r>
          </w:p>
        </w:tc>
        <w:tc>
          <w:tcPr>
            <w:tcW w:w="230" w:type="dxa"/>
            <w:gridSpan w:val="2"/>
            <w:tcBorders/>
            <w:shd w:fill="E5FFFF" w:val="clear"/>
            <w:vAlign w:val="bottom"/>
          </w:tcPr>
          <w:p>
            <w:pPr>
              <w:pStyle w:val="TableContents"/>
              <w:spacing w:before="0" w:after="283"/>
              <w:rPr/>
            </w:pPr>
            <w:r>
              <w:rPr/>
              <w:t> </w:t>
            </w:r>
          </w:p>
        </w:tc>
      </w:tr>
      <w:tr>
        <w:trPr/>
        <w:tc>
          <w:tcPr>
            <w:tcW w:w="621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Product warranties and product performance guarantees are included in the following balance sheet accounts:</w:t>
      </w:r>
    </w:p>
    <w:tbl>
      <w:tblPr>
        <w:tblW w:w="3640" w:type="dxa"/>
        <w:jc w:val="left"/>
        <w:tblInd w:w="0" w:type="dxa"/>
        <w:tblCellMar>
          <w:top w:w="0" w:type="dxa"/>
          <w:left w:w="0" w:type="dxa"/>
          <w:bottom w:w="0" w:type="dxa"/>
          <w:right w:w="0" w:type="dxa"/>
        </w:tblCellMar>
      </w:tblPr>
      <w:tblGrid>
        <w:gridCol w:w="1925"/>
        <w:gridCol w:w="60"/>
        <w:gridCol w:w="60"/>
        <w:gridCol w:w="155"/>
        <w:gridCol w:w="60"/>
        <w:gridCol w:w="425"/>
        <w:gridCol w:w="60"/>
        <w:gridCol w:w="60"/>
        <w:gridCol w:w="60"/>
        <w:gridCol w:w="155"/>
        <w:gridCol w:w="60"/>
        <w:gridCol w:w="485"/>
        <w:gridCol w:w="75"/>
      </w:tblGrid>
      <w:tr>
        <w:trPr/>
        <w:tc>
          <w:tcPr>
            <w:tcW w:w="19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5" w:type="dxa"/>
            <w:gridSpan w:val="5"/>
            <w:tcBorders/>
            <w:shd w:fill="auto" w:val="clear"/>
            <w:vAlign w:val="bottom"/>
          </w:tcPr>
          <w:p>
            <w:pPr>
              <w:pStyle w:val="TableContents"/>
              <w:spacing w:before="0" w:after="283"/>
              <w:rPr>
                <w:sz w:val="4"/>
                <w:szCs w:val="4"/>
              </w:rPr>
            </w:pPr>
            <w:r>
              <w:rPr>
                <w:sz w:val="4"/>
                <w:szCs w:val="4"/>
              </w:rPr>
            </w:r>
          </w:p>
        </w:tc>
      </w:tr>
      <w:tr>
        <w:trPr/>
        <w:tc>
          <w:tcPr>
            <w:tcW w:w="192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655" w:type="dxa"/>
            <w:gridSpan w:val="11"/>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December 31,</w:t>
            </w:r>
            <w:r>
              <w:rPr/>
              <w:t xml:space="preserve"> </w:t>
            </w:r>
          </w:p>
        </w:tc>
      </w:tr>
      <w:tr>
        <w:trPr/>
        <w:tc>
          <w:tcPr>
            <w:tcW w:w="192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76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835" w:type="dxa"/>
            <w:gridSpan w:val="5"/>
            <w:tcBorders>
              <w:bottom w:val="single" w:sz="4" w:space="0" w:color="000000"/>
            </w:tcBorders>
            <w:shd w:fill="auto" w:val="clear"/>
            <w:tcMar>
              <w:bottom w:w="28" w:type="dxa"/>
            </w:tcMar>
            <w:vAlign w:val="bottom"/>
          </w:tcPr>
          <w:p>
            <w:pPr>
              <w:pStyle w:val="TableContents"/>
              <w:spacing w:before="0" w:after="283"/>
              <w:jc w:val="center"/>
              <w:rPr/>
            </w:pPr>
            <w:r>
              <w:rPr>
                <w:rFonts w:ascii="sans-serif" w:hAnsi="sans-serif"/>
                <w:b/>
                <w:sz w:val="18"/>
              </w:rPr>
              <w:t>2014</w:t>
            </w:r>
            <w:r>
              <w:rPr/>
              <w:t xml:space="preserve"> </w:t>
            </w:r>
          </w:p>
        </w:tc>
      </w:tr>
      <w:tr>
        <w:trPr/>
        <w:tc>
          <w:tcPr>
            <w:tcW w:w="19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Accrued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332 </w:t>
            </w:r>
          </w:p>
        </w:tc>
        <w:tc>
          <w:tcPr>
            <w:tcW w:w="75" w:type="dxa"/>
            <w:tcBorders/>
            <w:shd w:fill="E5FFFF" w:val="clear"/>
            <w:vAlign w:val="bottom"/>
          </w:tcPr>
          <w:p>
            <w:pPr>
              <w:pStyle w:val="TableContents"/>
              <w:spacing w:before="0" w:after="283"/>
              <w:rPr/>
            </w:pPr>
            <w:r>
              <w:rPr/>
              <w:t> </w:t>
            </w:r>
          </w:p>
        </w:tc>
      </w:tr>
      <w:tr>
        <w:trPr/>
        <w:tc>
          <w:tcPr>
            <w:tcW w:w="19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 xml:space="preserve">71 </w:t>
            </w:r>
          </w:p>
        </w:tc>
        <w:tc>
          <w:tcPr>
            <w:tcW w:w="75" w:type="dxa"/>
            <w:tcBorders/>
            <w:shd w:fill="auto" w:val="clear"/>
            <w:vAlign w:val="bottom"/>
          </w:tcPr>
          <w:p>
            <w:pPr>
              <w:pStyle w:val="TableContents"/>
              <w:spacing w:before="0" w:after="283"/>
              <w:rPr/>
            </w:pPr>
            <w:r>
              <w:rPr/>
              <w:t> </w:t>
            </w:r>
          </w:p>
        </w:tc>
      </w:tr>
      <w:tr>
        <w:trPr/>
        <w:tc>
          <w:tcPr>
            <w:tcW w:w="19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5"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192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416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 xml:space="preserve">403 </w:t>
            </w:r>
          </w:p>
        </w:tc>
        <w:tc>
          <w:tcPr>
            <w:tcW w:w="75" w:type="dxa"/>
            <w:tcBorders/>
            <w:shd w:fill="E5FFFF" w:val="clear"/>
            <w:vAlign w:val="bottom"/>
          </w:tcPr>
          <w:p>
            <w:pPr>
              <w:pStyle w:val="TableContents"/>
              <w:spacing w:before="0" w:after="283"/>
              <w:rPr/>
            </w:pPr>
            <w:r>
              <w:rPr/>
              <w:t> </w:t>
            </w:r>
          </w:p>
        </w:tc>
      </w:tr>
      <w:tr>
        <w:trPr/>
        <w:tc>
          <w:tcPr>
            <w:tcW w:w="19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5"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Note 20. Pension and Other Postretirement Benefits</w:t>
      </w:r>
    </w:p>
    <w:p>
      <w:pPr>
        <w:pStyle w:val="TextBody"/>
        <w:spacing w:before="119" w:after="119"/>
        <w:ind w:left="119" w:right="119" w:firstLine="397"/>
        <w:jc w:val="both"/>
        <w:rPr>
          <w:rFonts w:ascii="sans-serif" w:hAnsi="sans-serif"/>
          <w:sz w:val="22"/>
        </w:rPr>
      </w:pPr>
      <w:r>
        <w:rPr>
          <w:rFonts w:ascii="sans-serif" w:hAnsi="sans-serif"/>
          <w:sz w:val="22"/>
        </w:rPr>
        <w:t>We sponsor both funded and unfunded U.S. and non-U.S. defined benefit pension plans covering the majority of our employees and retirees. Pension benefits for substantially all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We also sponsor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pStyle w:val="TextBody"/>
        <w:spacing w:before="119" w:after="119"/>
        <w:ind w:left="119" w:right="119" w:firstLine="397"/>
        <w:jc w:val="both"/>
        <w:rPr>
          <w:rFonts w:ascii="sans-serif" w:hAnsi="sans-serif"/>
          <w:sz w:val="22"/>
        </w:rPr>
      </w:pPr>
      <w:r>
        <w:rPr>
          <w:rFonts w:ascii="sans-serif" w:hAnsi="sans-serif"/>
          <w:sz w:val="22"/>
        </w:rPr>
        <w:t>We also sponsor postretirement benefit plans that provide health care benefits and life insurance coverage mainly to U.S. eligible retirees. Less than 1% of Honeywells U.S. employees are eligible for a retiree medical subsidy from the Company; and this subsidy is limited to a fixed-dollar amount. In addition, more than 80% of Honeywells current retirees either have no Company subsidy or have a fixed-dollar subsidy amount. This significantly limits our exposure to the impact of future health care cost increases. The retiree medical and life insurance plans are not funded. Claims and expenses are paid from our operating cash flow.</w:t>
      </w:r>
    </w:p>
    <w:p>
      <w:pPr>
        <w:pStyle w:val="TextBody"/>
        <w:spacing w:before="119" w:after="119"/>
        <w:ind w:left="119" w:right="119" w:hanging="0"/>
        <w:jc w:val="center"/>
        <w:rPr>
          <w:rFonts w:ascii="sans-serif" w:hAnsi="sans-serif"/>
          <w:sz w:val="22"/>
        </w:rPr>
      </w:pPr>
      <w:r>
        <w:rPr>
          <w:rFonts w:ascii="sans-serif" w:hAnsi="sans-serif"/>
          <w:sz w:val="22"/>
        </w:rPr>
        <w:t>66</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The following tables summarize the balance sheet impact, including the benefit obligations, assets and funded status associated with our significant pension and other postretirement benefit plans.</w:t>
      </w:r>
    </w:p>
    <w:tbl>
      <w:tblPr>
        <w:tblW w:w="9590" w:type="dxa"/>
        <w:jc w:val="left"/>
        <w:tblInd w:w="0" w:type="dxa"/>
        <w:tblCellMar>
          <w:top w:w="0" w:type="dxa"/>
          <w:left w:w="0" w:type="dxa"/>
          <w:bottom w:w="0" w:type="dxa"/>
          <w:right w:w="0" w:type="dxa"/>
        </w:tblCellMar>
      </w:tblPr>
      <w:tblGrid>
        <w:gridCol w:w="4865"/>
        <w:gridCol w:w="60"/>
        <w:gridCol w:w="60"/>
        <w:gridCol w:w="155"/>
        <w:gridCol w:w="60"/>
        <w:gridCol w:w="755"/>
        <w:gridCol w:w="95"/>
        <w:gridCol w:w="60"/>
        <w:gridCol w:w="60"/>
        <w:gridCol w:w="60"/>
        <w:gridCol w:w="155"/>
        <w:gridCol w:w="60"/>
        <w:gridCol w:w="755"/>
        <w:gridCol w:w="95"/>
        <w:gridCol w:w="60"/>
        <w:gridCol w:w="60"/>
        <w:gridCol w:w="60"/>
        <w:gridCol w:w="155"/>
        <w:gridCol w:w="60"/>
        <w:gridCol w:w="620"/>
        <w:gridCol w:w="95"/>
        <w:gridCol w:w="60"/>
        <w:gridCol w:w="60"/>
        <w:gridCol w:w="60"/>
        <w:gridCol w:w="155"/>
        <w:gridCol w:w="60"/>
        <w:gridCol w:w="620"/>
        <w:gridCol w:w="95"/>
        <w:gridCol w:w="75"/>
      </w:tblGrid>
      <w:tr>
        <w:trPr/>
        <w:tc>
          <w:tcPr>
            <w:tcW w:w="48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486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4665" w:type="dxa"/>
            <w:gridSpan w:val="2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Pension Benefits</w:t>
            </w:r>
          </w:p>
        </w:tc>
      </w:tr>
      <w:tr>
        <w:trPr/>
        <w:tc>
          <w:tcPr>
            <w:tcW w:w="486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2430"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c>
          <w:tcPr>
            <w:tcW w:w="60" w:type="dxa"/>
            <w:tcBorders/>
            <w:shd w:fill="auto" w:val="clear"/>
            <w:vAlign w:val="bottom"/>
          </w:tcPr>
          <w:p>
            <w:pPr>
              <w:pStyle w:val="TableContents"/>
              <w:spacing w:before="0" w:after="283"/>
              <w:rPr/>
            </w:pPr>
            <w:r>
              <w:rPr/>
              <w:t> </w:t>
            </w:r>
          </w:p>
        </w:tc>
        <w:tc>
          <w:tcPr>
            <w:tcW w:w="2175"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486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48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Change in benefit obligation:</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Benefit obligation at beginning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18,035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16,290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5,761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5,523</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Service cost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w:t>
            </w:r>
          </w:p>
        </w:tc>
        <w:tc>
          <w:tcPr>
            <w:tcW w:w="170" w:type="dxa"/>
            <w:gridSpan w:val="2"/>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Interest 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231</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Plan amendments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Actuarial (gains) 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(178</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601</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Acquisitions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1,137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Divestitures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Benefits paid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Settlements and curtailments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Foreign currency and other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Benefit obligation at end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17,298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18,035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6,338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5,761</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Change in plan assets:</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Fair value of plan assets at beginning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17,066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16,727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5,333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5,037</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Actual return on plan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1,290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622</w:t>
            </w:r>
          </w:p>
        </w:tc>
        <w:tc>
          <w:tcPr>
            <w:tcW w:w="170" w:type="dxa"/>
            <w:gridSpan w:val="2"/>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Company contributions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187</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Acquisitions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1,036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Benefits paid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(1,027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(996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Foreign currency and other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Fair value of plan assets at end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16,349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17,066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6,117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5,333</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Funded status of plans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(949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(969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Amounts recognized in Consolidated Balance</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Sheet consist of:</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Prepaid pension benefit cost(1)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270</w:t>
            </w:r>
          </w:p>
        </w:tc>
        <w:tc>
          <w:tcPr>
            <w:tcW w:w="170" w:type="dxa"/>
            <w:gridSpan w:val="2"/>
            <w:tcBorders/>
            <w:shd w:fill="auto" w:val="cle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Accrued pension liabilitiescurrent(2)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Accrued pension liabilitiesnoncurrent(3)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(898</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(895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(641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8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amount recognized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(949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(969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8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8247" w:type="dxa"/>
        <w:jc w:val="left"/>
        <w:tblInd w:w="0" w:type="dxa"/>
        <w:tblCellMar>
          <w:top w:w="0" w:type="dxa"/>
          <w:left w:w="0" w:type="dxa"/>
          <w:bottom w:w="0" w:type="dxa"/>
          <w:right w:w="0" w:type="dxa"/>
        </w:tblCellMar>
      </w:tblPr>
      <w:tblGrid>
        <w:gridCol w:w="75"/>
        <w:gridCol w:w="407"/>
        <w:gridCol w:w="105"/>
        <w:gridCol w:w="7622"/>
        <w:gridCol w:w="38"/>
      </w:tblGrid>
      <w:tr>
        <w:trPr/>
        <w:tc>
          <w:tcPr>
            <w:tcW w:w="8247"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407"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105" w:type="dxa"/>
            <w:tcBorders/>
            <w:shd w:fill="auto" w:val="clear"/>
          </w:tcPr>
          <w:p>
            <w:pPr>
              <w:pStyle w:val="TableContents"/>
              <w:spacing w:before="0" w:after="283"/>
              <w:rPr/>
            </w:pPr>
            <w:r>
              <w:rPr/>
              <w:t> </w:t>
            </w:r>
          </w:p>
        </w:tc>
        <w:tc>
          <w:tcPr>
            <w:tcW w:w="7622" w:type="dxa"/>
            <w:tcBorders/>
            <w:shd w:fill="auto" w:val="clear"/>
          </w:tcPr>
          <w:p>
            <w:pPr>
              <w:pStyle w:val="TableContents"/>
              <w:spacing w:before="0" w:after="283"/>
              <w:jc w:val="both"/>
              <w:rPr>
                <w:rFonts w:ascii="sans-serif" w:hAnsi="sans-serif"/>
                <w:sz w:val="22"/>
              </w:rPr>
            </w:pPr>
            <w:r>
              <w:rPr>
                <w:rFonts w:ascii="sans-serif" w:hAnsi="sans-serif"/>
                <w:sz w:val="22"/>
              </w:rPr>
              <w:t>Included in other assets on Consolidated Balance Sheet</w:t>
            </w:r>
          </w:p>
        </w:tc>
        <w:tc>
          <w:tcPr>
            <w:tcW w:w="38" w:type="dxa"/>
            <w:tcBorders/>
            <w:shd w:fill="auto" w:val="clear"/>
          </w:tcPr>
          <w:p>
            <w:pPr>
              <w:pStyle w:val="TableContents"/>
              <w:spacing w:before="0" w:after="283"/>
              <w:rPr>
                <w:sz w:val="4"/>
                <w:szCs w:val="4"/>
              </w:rPr>
            </w:pPr>
            <w:r>
              <w:rPr>
                <w:sz w:val="4"/>
                <w:szCs w:val="4"/>
              </w:rPr>
            </w:r>
          </w:p>
        </w:tc>
      </w:tr>
      <w:tr>
        <w:trPr/>
        <w:tc>
          <w:tcPr>
            <w:tcW w:w="8247"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407"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105" w:type="dxa"/>
            <w:tcBorders/>
            <w:shd w:fill="auto" w:val="clear"/>
          </w:tcPr>
          <w:p>
            <w:pPr>
              <w:pStyle w:val="TableContents"/>
              <w:spacing w:before="0" w:after="283"/>
              <w:rPr/>
            </w:pPr>
            <w:r>
              <w:rPr/>
              <w:t> </w:t>
            </w:r>
          </w:p>
        </w:tc>
        <w:tc>
          <w:tcPr>
            <w:tcW w:w="7622"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Included in accrued liabilities on Consolidated Balance Sheet</w:t>
            </w:r>
          </w:p>
        </w:tc>
        <w:tc>
          <w:tcPr>
            <w:tcW w:w="38" w:type="dxa"/>
            <w:tcBorders/>
            <w:shd w:fill="auto" w:val="clear"/>
          </w:tcPr>
          <w:p>
            <w:pPr>
              <w:pStyle w:val="TableContents"/>
              <w:spacing w:before="0" w:after="283"/>
              <w:rPr>
                <w:sz w:val="4"/>
                <w:szCs w:val="4"/>
              </w:rPr>
            </w:pPr>
            <w:r>
              <w:rPr>
                <w:sz w:val="4"/>
                <w:szCs w:val="4"/>
              </w:rPr>
            </w:r>
          </w:p>
        </w:tc>
      </w:tr>
      <w:tr>
        <w:trPr/>
        <w:tc>
          <w:tcPr>
            <w:tcW w:w="8247"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407"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(3)</w:t>
            </w:r>
          </w:p>
        </w:tc>
        <w:tc>
          <w:tcPr>
            <w:tcW w:w="105" w:type="dxa"/>
            <w:tcBorders/>
            <w:shd w:fill="auto" w:val="clear"/>
          </w:tcPr>
          <w:p>
            <w:pPr>
              <w:pStyle w:val="TableContents"/>
              <w:spacing w:before="0" w:after="283"/>
              <w:rPr/>
            </w:pPr>
            <w:r>
              <w:rPr/>
              <w:t> </w:t>
            </w:r>
          </w:p>
        </w:tc>
        <w:tc>
          <w:tcPr>
            <w:tcW w:w="7622"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Included in other liabilitiesnoncurrent on Consolidated Balance Sheet</w:t>
            </w:r>
          </w:p>
        </w:tc>
        <w:tc>
          <w:tcPr>
            <w:tcW w:w="38"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67</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tbl>
      <w:tblPr>
        <w:tblW w:w="8795" w:type="dxa"/>
        <w:jc w:val="left"/>
        <w:tblInd w:w="0" w:type="dxa"/>
        <w:tblCellMar>
          <w:top w:w="0" w:type="dxa"/>
          <w:left w:w="0" w:type="dxa"/>
          <w:bottom w:w="0" w:type="dxa"/>
          <w:right w:w="0" w:type="dxa"/>
        </w:tblCellMar>
      </w:tblPr>
      <w:tblGrid>
        <w:gridCol w:w="6680"/>
        <w:gridCol w:w="60"/>
        <w:gridCol w:w="60"/>
        <w:gridCol w:w="155"/>
        <w:gridCol w:w="60"/>
        <w:gridCol w:w="500"/>
        <w:gridCol w:w="95"/>
        <w:gridCol w:w="60"/>
        <w:gridCol w:w="60"/>
        <w:gridCol w:w="60"/>
        <w:gridCol w:w="155"/>
        <w:gridCol w:w="60"/>
        <w:gridCol w:w="620"/>
        <w:gridCol w:w="95"/>
        <w:gridCol w:w="75"/>
      </w:tblGrid>
      <w:tr>
        <w:trPr/>
        <w:tc>
          <w:tcPr>
            <w:tcW w:w="6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668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055"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Other</w:t>
              <w:br/>
              <w:t>Postretirement</w:t>
              <w:br/>
              <w:t>Benefits</w:t>
            </w:r>
          </w:p>
        </w:tc>
      </w:tr>
      <w:tr>
        <w:trPr/>
        <w:tc>
          <w:tcPr>
            <w:tcW w:w="668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66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Change in benefit obligation:</w:t>
            </w:r>
          </w:p>
        </w:tc>
        <w:tc>
          <w:tcPr>
            <w:tcW w:w="60" w:type="dxa"/>
            <w:tcBorders/>
            <w:shd w:fill="E5FFFF" w:val="clear"/>
            <w:vAlign w:val="bottom"/>
          </w:tcPr>
          <w:p>
            <w:pPr>
              <w:pStyle w:val="TableContents"/>
              <w:spacing w:before="0" w:after="283"/>
              <w:rPr/>
            </w:pPr>
            <w:r>
              <w:rPr/>
              <w:t> </w:t>
            </w:r>
          </w:p>
        </w:tc>
        <w:tc>
          <w:tcPr>
            <w:tcW w:w="93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Benefit obligation at beginning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973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1,096</w:t>
            </w:r>
          </w:p>
        </w:tc>
        <w:tc>
          <w:tcPr>
            <w:tcW w:w="170" w:type="dxa"/>
            <w:gridSpan w:val="2"/>
            <w:tcBorders/>
            <w:shd w:fill="auto" w:val="cle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Service cost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Interest 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w:t>
            </w:r>
          </w:p>
        </w:tc>
        <w:tc>
          <w:tcPr>
            <w:tcW w:w="170" w:type="dxa"/>
            <w:gridSpan w:val="2"/>
            <w:tcBorders/>
            <w:shd w:fill="auto" w:val="cle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Plan amendments(1)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Actuarial (gains) 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46</w:t>
            </w:r>
          </w:p>
        </w:tc>
        <w:tc>
          <w:tcPr>
            <w:tcW w:w="170" w:type="dxa"/>
            <w:gridSpan w:val="2"/>
            <w:tcBorders/>
            <w:shd w:fill="auto" w:val="cle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Benefits paid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Benefit obligation at end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569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973</w:t>
            </w:r>
          </w:p>
        </w:tc>
        <w:tc>
          <w:tcPr>
            <w:tcW w:w="170" w:type="dxa"/>
            <w:gridSpan w:val="2"/>
            <w:tcBorders/>
            <w:shd w:fill="auto"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Change in plan assets:</w:t>
            </w:r>
          </w:p>
        </w:tc>
        <w:tc>
          <w:tcPr>
            <w:tcW w:w="60" w:type="dxa"/>
            <w:tcBorders/>
            <w:shd w:fill="E5FFFF" w:val="clear"/>
            <w:vAlign w:val="bottom"/>
          </w:tcPr>
          <w:p>
            <w:pPr>
              <w:pStyle w:val="TableContents"/>
              <w:spacing w:before="0" w:after="283"/>
              <w:rPr/>
            </w:pPr>
            <w:r>
              <w:rPr/>
              <w:t> </w:t>
            </w:r>
          </w:p>
        </w:tc>
        <w:tc>
          <w:tcPr>
            <w:tcW w:w="93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Fair value of plan assets at beginning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auto" w:val="cle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Actual return on plan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Company contributions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auto" w:val="cle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Benefits paid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Fair value of plan assets at end of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auto"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Funded status of plans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(973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Amounts recognized in Consolidated Balance Sheet consist of:</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Accrued liabilities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Postretirement benefit obligations other than pensions(2)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(484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(862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6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amount recognized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(973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6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10205" w:type="dxa"/>
        <w:jc w:val="left"/>
        <w:tblInd w:w="0" w:type="dxa"/>
        <w:tblCellMar>
          <w:top w:w="0" w:type="dxa"/>
          <w:left w:w="0" w:type="dxa"/>
          <w:bottom w:w="0" w:type="dxa"/>
          <w:right w:w="0" w:type="dxa"/>
        </w:tblCellMar>
      </w:tblPr>
      <w:tblGrid>
        <w:gridCol w:w="75"/>
        <w:gridCol w:w="360"/>
        <w:gridCol w:w="77"/>
        <w:gridCol w:w="9654"/>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60"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77" w:type="dxa"/>
            <w:tcBorders/>
            <w:shd w:fill="auto" w:val="clear"/>
          </w:tcPr>
          <w:p>
            <w:pPr>
              <w:pStyle w:val="TableContents"/>
              <w:spacing w:before="0" w:after="283"/>
              <w:rPr/>
            </w:pPr>
            <w:r>
              <w:rPr/>
              <w:t> </w:t>
            </w:r>
          </w:p>
        </w:tc>
        <w:tc>
          <w:tcPr>
            <w:tcW w:w="9654" w:type="dxa"/>
            <w:tcBorders/>
            <w:shd w:fill="auto" w:val="clear"/>
          </w:tcPr>
          <w:p>
            <w:pPr>
              <w:pStyle w:val="TableContents"/>
              <w:spacing w:before="0" w:after="283"/>
              <w:jc w:val="both"/>
              <w:rPr>
                <w:rFonts w:ascii="sans-serif" w:hAnsi="sans-serif"/>
                <w:sz w:val="22"/>
              </w:rPr>
            </w:pPr>
            <w:r>
              <w:rPr>
                <w:rFonts w:ascii="sans-serif" w:hAnsi="sans-serif"/>
                <w:sz w:val="22"/>
              </w:rPr>
              <w:t>Elimination of retiree medical insurance coverage for certain retirees. Amount will be recognized as part of net postretirement benefit cost over the expected future lifetime of the remaining participants in the plan.</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60"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77" w:type="dxa"/>
            <w:tcBorders/>
            <w:shd w:fill="auto" w:val="clear"/>
          </w:tcPr>
          <w:p>
            <w:pPr>
              <w:pStyle w:val="TableContents"/>
              <w:spacing w:before="0" w:after="283"/>
              <w:rPr/>
            </w:pPr>
            <w:r>
              <w:rPr/>
              <w:t> </w:t>
            </w:r>
          </w:p>
        </w:tc>
        <w:tc>
          <w:tcPr>
            <w:tcW w:w="9654"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Excludes non-U.S. plans of $42 million and $49 million in 2015 and 2014.</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firstLine="397"/>
        <w:jc w:val="both"/>
        <w:rPr>
          <w:rFonts w:ascii="sans-serif" w:hAnsi="sans-serif"/>
          <w:sz w:val="22"/>
        </w:rPr>
      </w:pPr>
      <w:r>
        <w:rPr>
          <w:rFonts w:ascii="sans-serif" w:hAnsi="sans-serif"/>
          <w:sz w:val="22"/>
        </w:rPr>
        <w:t>Amounts recognized in accumulated other comprehensive (income) loss associated with our significant pension and other postretirement benefit plans at December 31, 2015 and 2014 are as follows:</w:t>
      </w:r>
    </w:p>
    <w:tbl>
      <w:tblPr>
        <w:tblW w:w="6450" w:type="dxa"/>
        <w:jc w:val="left"/>
        <w:tblInd w:w="0" w:type="dxa"/>
        <w:tblCellMar>
          <w:top w:w="0" w:type="dxa"/>
          <w:left w:w="0" w:type="dxa"/>
          <w:bottom w:w="0" w:type="dxa"/>
          <w:right w:w="0" w:type="dxa"/>
        </w:tblCellMar>
      </w:tblPr>
      <w:tblGrid>
        <w:gridCol w:w="2675"/>
        <w:gridCol w:w="60"/>
        <w:gridCol w:w="60"/>
        <w:gridCol w:w="155"/>
        <w:gridCol w:w="60"/>
        <w:gridCol w:w="620"/>
        <w:gridCol w:w="95"/>
        <w:gridCol w:w="60"/>
        <w:gridCol w:w="60"/>
        <w:gridCol w:w="60"/>
        <w:gridCol w:w="155"/>
        <w:gridCol w:w="60"/>
        <w:gridCol w:w="425"/>
        <w:gridCol w:w="60"/>
        <w:gridCol w:w="60"/>
        <w:gridCol w:w="60"/>
        <w:gridCol w:w="155"/>
        <w:gridCol w:w="60"/>
        <w:gridCol w:w="425"/>
        <w:gridCol w:w="95"/>
        <w:gridCol w:w="60"/>
        <w:gridCol w:w="60"/>
        <w:gridCol w:w="60"/>
        <w:gridCol w:w="155"/>
        <w:gridCol w:w="60"/>
        <w:gridCol w:w="425"/>
        <w:gridCol w:w="95"/>
        <w:gridCol w:w="75"/>
      </w:tblGrid>
      <w:tr>
        <w:trPr/>
        <w:tc>
          <w:tcPr>
            <w:tcW w:w="2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0" w:type="dxa"/>
            <w:gridSpan w:val="6"/>
            <w:tcBorders/>
            <w:shd w:fill="auto" w:val="clear"/>
            <w:vAlign w:val="bottom"/>
          </w:tcPr>
          <w:p>
            <w:pPr>
              <w:pStyle w:val="TableContents"/>
              <w:spacing w:before="0" w:after="283"/>
              <w:rPr/>
            </w:pPr>
            <w:r>
              <w:rPr/>
              <w:t> </w:t>
            </w:r>
          </w:p>
        </w:tc>
      </w:tr>
      <w:tr>
        <w:trPr/>
        <w:tc>
          <w:tcPr>
            <w:tcW w:w="267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715" w:type="dxa"/>
            <w:gridSpan w:val="2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Pension Benefits</w:t>
            </w:r>
          </w:p>
        </w:tc>
      </w:tr>
      <w:tr>
        <w:trPr/>
        <w:tc>
          <w:tcPr>
            <w:tcW w:w="267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870" w:type="dxa"/>
            <w:gridSpan w:val="12"/>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c>
          <w:tcPr>
            <w:tcW w:w="60" w:type="dxa"/>
            <w:tcBorders/>
            <w:shd w:fill="auto" w:val="clear"/>
            <w:vAlign w:val="bottom"/>
          </w:tcPr>
          <w:p>
            <w:pPr>
              <w:pStyle w:val="TableContents"/>
              <w:spacing w:before="0" w:after="283"/>
              <w:rPr/>
            </w:pPr>
            <w:r>
              <w:rPr/>
              <w:t> </w:t>
            </w:r>
          </w:p>
        </w:tc>
        <w:tc>
          <w:tcPr>
            <w:tcW w:w="1785"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267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76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5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87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267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Transition obligation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170" w:type="dxa"/>
            <w:gridSpan w:val="2"/>
            <w:tcBorders/>
            <w:shd w:fill="E5FF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Prior service (credit) 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(355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267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actuarial loss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1,005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464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493</w:t>
            </w:r>
          </w:p>
        </w:tc>
        <w:tc>
          <w:tcPr>
            <w:tcW w:w="170" w:type="dxa"/>
            <w:gridSpan w:val="2"/>
            <w:tcBorders/>
            <w:shd w:fill="E5FFFF"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amount recognized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650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442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467</w:t>
            </w:r>
          </w:p>
        </w:tc>
        <w:tc>
          <w:tcPr>
            <w:tcW w:w="170" w:type="dxa"/>
            <w:gridSpan w:val="2"/>
            <w:tcBorders/>
            <w:shd w:fill="auto" w:val="clear"/>
            <w:vAlign w:val="bottom"/>
          </w:tcPr>
          <w:p>
            <w:pPr>
              <w:pStyle w:val="TableContents"/>
              <w:spacing w:before="0" w:after="283"/>
              <w:rPr/>
            </w:pPr>
            <w:r>
              <w:rPr/>
              <w:t> </w:t>
            </w:r>
          </w:p>
        </w:tc>
      </w:tr>
      <w:tr>
        <w:trPr/>
        <w:tc>
          <w:tcPr>
            <w:tcW w:w="267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tbl>
      <w:tblPr>
        <w:tblW w:w="4520" w:type="dxa"/>
        <w:jc w:val="left"/>
        <w:tblInd w:w="0" w:type="dxa"/>
        <w:tblCellMar>
          <w:top w:w="0" w:type="dxa"/>
          <w:left w:w="0" w:type="dxa"/>
          <w:bottom w:w="0" w:type="dxa"/>
          <w:right w:w="0" w:type="dxa"/>
        </w:tblCellMar>
      </w:tblPr>
      <w:tblGrid>
        <w:gridCol w:w="2525"/>
        <w:gridCol w:w="60"/>
        <w:gridCol w:w="60"/>
        <w:gridCol w:w="155"/>
        <w:gridCol w:w="60"/>
        <w:gridCol w:w="500"/>
        <w:gridCol w:w="95"/>
        <w:gridCol w:w="60"/>
        <w:gridCol w:w="60"/>
        <w:gridCol w:w="60"/>
        <w:gridCol w:w="155"/>
        <w:gridCol w:w="60"/>
        <w:gridCol w:w="500"/>
        <w:gridCol w:w="95"/>
        <w:gridCol w:w="75"/>
      </w:tblGrid>
      <w:tr>
        <w:trPr/>
        <w:tc>
          <w:tcPr>
            <w:tcW w:w="25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shd w:fill="auto" w:val="clear"/>
            <w:vAlign w:val="bottom"/>
          </w:tcPr>
          <w:p>
            <w:pPr>
              <w:pStyle w:val="TableContents"/>
              <w:spacing w:before="0" w:after="283"/>
              <w:rPr/>
            </w:pPr>
            <w:r>
              <w:rPr/>
              <w:t> </w:t>
            </w:r>
          </w:p>
        </w:tc>
      </w:tr>
      <w:tr>
        <w:trPr/>
        <w:tc>
          <w:tcPr>
            <w:tcW w:w="252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935" w:type="dxa"/>
            <w:gridSpan w:val="1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Other</w:t>
              <w:br/>
              <w:t>Postretirement</w:t>
              <w:br/>
              <w:t>Benefits</w:t>
            </w:r>
          </w:p>
        </w:tc>
      </w:tr>
      <w:tr>
        <w:trPr/>
        <w:tc>
          <w:tcPr>
            <w:tcW w:w="252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4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25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Prior service (credit)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25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actuarial 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278</w:t>
            </w:r>
          </w:p>
        </w:tc>
        <w:tc>
          <w:tcPr>
            <w:tcW w:w="170" w:type="dxa"/>
            <w:gridSpan w:val="2"/>
            <w:tcBorders/>
            <w:shd w:fill="auto" w:val="clear"/>
            <w:vAlign w:val="bottom"/>
          </w:tcPr>
          <w:p>
            <w:pPr>
              <w:pStyle w:val="TableContents"/>
              <w:spacing w:before="0" w:after="283"/>
              <w:rPr/>
            </w:pPr>
            <w:r>
              <w:rPr/>
              <w:t> </w:t>
            </w:r>
          </w:p>
        </w:tc>
      </w:tr>
      <w:tr>
        <w:trPr/>
        <w:tc>
          <w:tcPr>
            <w:tcW w:w="25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25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amount recognized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w:t>
            </w:r>
          </w:p>
        </w:tc>
        <w:tc>
          <w:tcPr>
            <w:tcW w:w="170" w:type="dxa"/>
            <w:gridSpan w:val="2"/>
            <w:tcBorders/>
            <w:shd w:fill="E5FFFF" w:val="clear"/>
            <w:vAlign w:val="bottom"/>
          </w:tcPr>
          <w:p>
            <w:pPr>
              <w:pStyle w:val="TableContents"/>
              <w:spacing w:before="0" w:after="283"/>
              <w:rPr/>
            </w:pPr>
            <w:r>
              <w:rPr/>
              <w:t> </w:t>
            </w:r>
          </w:p>
        </w:tc>
      </w:tr>
      <w:tr>
        <w:trPr/>
        <w:tc>
          <w:tcPr>
            <w:tcW w:w="252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68</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The components of net periodic benefit (income) cost and other amounts recognized in other comprehensive (income) loss for our significant pension and other postretirement benefit plans include the following components:</w:t>
      </w:r>
    </w:p>
    <w:tbl>
      <w:tblPr>
        <w:tblW w:w="10205" w:type="dxa"/>
        <w:jc w:val="left"/>
        <w:tblInd w:w="0" w:type="dxa"/>
        <w:tblCellMar>
          <w:top w:w="0" w:type="dxa"/>
          <w:left w:w="0" w:type="dxa"/>
          <w:bottom w:w="0" w:type="dxa"/>
          <w:right w:w="0" w:type="dxa"/>
        </w:tblCellMar>
      </w:tblPr>
      <w:tblGrid>
        <w:gridCol w:w="3665"/>
        <w:gridCol w:w="60"/>
        <w:gridCol w:w="60"/>
        <w:gridCol w:w="155"/>
        <w:gridCol w:w="60"/>
        <w:gridCol w:w="695"/>
        <w:gridCol w:w="95"/>
        <w:gridCol w:w="60"/>
        <w:gridCol w:w="60"/>
        <w:gridCol w:w="60"/>
        <w:gridCol w:w="155"/>
        <w:gridCol w:w="60"/>
        <w:gridCol w:w="695"/>
        <w:gridCol w:w="95"/>
        <w:gridCol w:w="60"/>
        <w:gridCol w:w="60"/>
        <w:gridCol w:w="60"/>
        <w:gridCol w:w="155"/>
        <w:gridCol w:w="60"/>
        <w:gridCol w:w="695"/>
        <w:gridCol w:w="95"/>
        <w:gridCol w:w="60"/>
        <w:gridCol w:w="60"/>
        <w:gridCol w:w="60"/>
        <w:gridCol w:w="155"/>
        <w:gridCol w:w="60"/>
        <w:gridCol w:w="500"/>
        <w:gridCol w:w="95"/>
        <w:gridCol w:w="60"/>
        <w:gridCol w:w="60"/>
        <w:gridCol w:w="60"/>
        <w:gridCol w:w="155"/>
        <w:gridCol w:w="60"/>
        <w:gridCol w:w="500"/>
        <w:gridCol w:w="95"/>
        <w:gridCol w:w="60"/>
        <w:gridCol w:w="60"/>
        <w:gridCol w:w="60"/>
        <w:gridCol w:w="155"/>
        <w:gridCol w:w="60"/>
        <w:gridCol w:w="500"/>
        <w:gridCol w:w="95"/>
        <w:gridCol w:w="75"/>
      </w:tblGrid>
      <w:tr>
        <w:trPr/>
        <w:tc>
          <w:tcPr>
            <w:tcW w:w="36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shd w:fill="auto" w:val="clear"/>
            <w:vAlign w:val="bottom"/>
          </w:tcPr>
          <w:p>
            <w:pPr>
              <w:pStyle w:val="TableContents"/>
              <w:spacing w:before="0" w:after="283"/>
              <w:rPr/>
            </w:pPr>
            <w:r>
              <w:rPr/>
              <w:t> </w:t>
            </w:r>
          </w:p>
        </w:tc>
      </w:tr>
      <w:tr>
        <w:trPr/>
        <w:tc>
          <w:tcPr>
            <w:tcW w:w="3665"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Net Periodic Benefit Cost</w:t>
            </w:r>
          </w:p>
        </w:tc>
        <w:tc>
          <w:tcPr>
            <w:tcW w:w="60" w:type="dxa"/>
            <w:tcBorders/>
            <w:shd w:fill="auto" w:val="clear"/>
            <w:vAlign w:val="bottom"/>
          </w:tcPr>
          <w:p>
            <w:pPr>
              <w:pStyle w:val="TableContents"/>
              <w:spacing w:before="0" w:after="283"/>
              <w:rPr/>
            </w:pPr>
            <w:r>
              <w:rPr/>
              <w:t> </w:t>
            </w:r>
          </w:p>
        </w:tc>
        <w:tc>
          <w:tcPr>
            <w:tcW w:w="6480" w:type="dxa"/>
            <w:gridSpan w:val="4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Pension Benefits</w:t>
            </w:r>
          </w:p>
        </w:tc>
      </w:tr>
      <w:tr>
        <w:trPr/>
        <w:tc>
          <w:tcPr>
            <w:tcW w:w="3665"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349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c>
          <w:tcPr>
            <w:tcW w:w="60" w:type="dxa"/>
            <w:tcBorders/>
            <w:shd w:fill="auto" w:val="clear"/>
            <w:vAlign w:val="bottom"/>
          </w:tcPr>
          <w:p>
            <w:pPr>
              <w:pStyle w:val="TableContents"/>
              <w:spacing w:before="0" w:after="283"/>
              <w:rPr/>
            </w:pPr>
            <w:r>
              <w:rPr/>
              <w:t> </w:t>
            </w:r>
          </w:p>
        </w:tc>
        <w:tc>
          <w:tcPr>
            <w:tcW w:w="292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3665"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4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36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Service cost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58</w:t>
            </w:r>
          </w:p>
        </w:tc>
        <w:tc>
          <w:tcPr>
            <w:tcW w:w="170" w:type="dxa"/>
            <w:gridSpan w:val="2"/>
            <w:tcBorders/>
            <w:shd w:fill="E5FF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Interest 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677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215</w:t>
            </w:r>
          </w:p>
        </w:tc>
        <w:tc>
          <w:tcPr>
            <w:tcW w:w="170" w:type="dxa"/>
            <w:gridSpan w:val="2"/>
            <w:tcBorders/>
            <w:shd w:fill="auto" w:val="clear"/>
            <w:vAlign w:val="bottom"/>
          </w:tcPr>
          <w:p>
            <w:pPr>
              <w:pStyle w:val="TableContents"/>
              <w:spacing w:before="0" w:after="283"/>
              <w:rPr/>
            </w:pPr>
            <w:r>
              <w:rPr/>
              <w:t> </w:t>
            </w:r>
          </w:p>
        </w:tc>
      </w:tr>
      <w:tr>
        <w:trPr/>
        <w:tc>
          <w:tcPr>
            <w:tcW w:w="36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Expected return on plan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(1,278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(1,257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(1,076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Amortization of transition obligation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70" w:type="dxa"/>
            <w:gridSpan w:val="2"/>
            <w:tcBorders/>
            <w:shd w:fill="auto" w:val="clear"/>
            <w:vAlign w:val="bottom"/>
          </w:tcPr>
          <w:p>
            <w:pPr>
              <w:pStyle w:val="TableContents"/>
              <w:spacing w:before="0" w:after="283"/>
              <w:rPr/>
            </w:pPr>
            <w:r>
              <w:rPr/>
              <w:t> </w:t>
            </w:r>
          </w:p>
        </w:tc>
      </w:tr>
      <w:tr>
        <w:trPr/>
        <w:tc>
          <w:tcPr>
            <w:tcW w:w="36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Amortization of prior service cost (credit)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Recognition of actuarial 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51</w:t>
            </w:r>
          </w:p>
        </w:tc>
        <w:tc>
          <w:tcPr>
            <w:tcW w:w="170" w:type="dxa"/>
            <w:gridSpan w:val="2"/>
            <w:tcBorders/>
            <w:shd w:fill="auto" w:val="clear"/>
            <w:vAlign w:val="bottom"/>
          </w:tcPr>
          <w:p>
            <w:pPr>
              <w:pStyle w:val="TableContents"/>
              <w:spacing w:before="0" w:after="283"/>
              <w:rPr/>
            </w:pPr>
            <w:r>
              <w:rPr/>
              <w:t> </w:t>
            </w:r>
          </w:p>
        </w:tc>
      </w:tr>
      <w:tr>
        <w:trPr/>
        <w:tc>
          <w:tcPr>
            <w:tcW w:w="366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Settlements and curtailments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E5FFFF"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periodic benefit (income) 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w:t>
            </w:r>
          </w:p>
        </w:tc>
        <w:tc>
          <w:tcPr>
            <w:tcW w:w="170" w:type="dxa"/>
            <w:gridSpan w:val="2"/>
            <w:tcBorders/>
            <w:shd w:fill="auto" w:val="clear"/>
            <w:vAlign w:val="bottom"/>
          </w:tcPr>
          <w:p>
            <w:pPr>
              <w:pStyle w:val="TableContents"/>
              <w:spacing w:before="0" w:after="283"/>
              <w:rPr/>
            </w:pPr>
            <w:r>
              <w:rPr/>
              <w:t> </w:t>
            </w:r>
          </w:p>
        </w:tc>
      </w:tr>
      <w:tr>
        <w:trPr/>
        <w:tc>
          <w:tcPr>
            <w:tcW w:w="366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4070"/>
        <w:gridCol w:w="60"/>
        <w:gridCol w:w="60"/>
        <w:gridCol w:w="155"/>
        <w:gridCol w:w="60"/>
        <w:gridCol w:w="500"/>
        <w:gridCol w:w="95"/>
        <w:gridCol w:w="60"/>
        <w:gridCol w:w="60"/>
        <w:gridCol w:w="60"/>
        <w:gridCol w:w="155"/>
        <w:gridCol w:w="60"/>
        <w:gridCol w:w="620"/>
        <w:gridCol w:w="95"/>
        <w:gridCol w:w="60"/>
        <w:gridCol w:w="60"/>
        <w:gridCol w:w="60"/>
        <w:gridCol w:w="155"/>
        <w:gridCol w:w="60"/>
        <w:gridCol w:w="695"/>
        <w:gridCol w:w="95"/>
        <w:gridCol w:w="60"/>
        <w:gridCol w:w="60"/>
        <w:gridCol w:w="60"/>
        <w:gridCol w:w="155"/>
        <w:gridCol w:w="60"/>
        <w:gridCol w:w="500"/>
        <w:gridCol w:w="95"/>
        <w:gridCol w:w="60"/>
        <w:gridCol w:w="60"/>
        <w:gridCol w:w="60"/>
        <w:gridCol w:w="155"/>
        <w:gridCol w:w="60"/>
        <w:gridCol w:w="500"/>
        <w:gridCol w:w="95"/>
        <w:gridCol w:w="60"/>
        <w:gridCol w:w="60"/>
        <w:gridCol w:w="60"/>
        <w:gridCol w:w="155"/>
        <w:gridCol w:w="60"/>
        <w:gridCol w:w="365"/>
        <w:gridCol w:w="95"/>
        <w:gridCol w:w="75"/>
      </w:tblGrid>
      <w:tr>
        <w:trPr/>
        <w:tc>
          <w:tcPr>
            <w:tcW w:w="40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gridSpan w:val="6"/>
            <w:tcBorders/>
            <w:shd w:fill="auto" w:val="clear"/>
            <w:vAlign w:val="bottom"/>
          </w:tcPr>
          <w:p>
            <w:pPr>
              <w:pStyle w:val="TableContents"/>
              <w:spacing w:before="0" w:after="283"/>
              <w:rPr/>
            </w:pPr>
            <w:r>
              <w:rPr/>
              <w:t> </w:t>
            </w:r>
          </w:p>
        </w:tc>
      </w:tr>
      <w:tr>
        <w:trPr/>
        <w:tc>
          <w:tcPr>
            <w:tcW w:w="4070"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Other Changes in Plan Assets and</w:t>
              <w:br/>
              <w:t>Benefits Obligations Recognized in</w:t>
              <w:br/>
              <w:t>Other Comprehensive (Income) Loss</w:t>
            </w:r>
          </w:p>
        </w:tc>
        <w:tc>
          <w:tcPr>
            <w:tcW w:w="60" w:type="dxa"/>
            <w:tcBorders/>
            <w:shd w:fill="auto" w:val="clear"/>
            <w:vAlign w:val="bottom"/>
          </w:tcPr>
          <w:p>
            <w:pPr>
              <w:pStyle w:val="TableContents"/>
              <w:spacing w:before="0" w:after="283"/>
              <w:rPr/>
            </w:pPr>
            <w:r>
              <w:rPr/>
              <w:t> </w:t>
            </w:r>
          </w:p>
        </w:tc>
        <w:tc>
          <w:tcPr>
            <w:tcW w:w="322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c>
          <w:tcPr>
            <w:tcW w:w="60" w:type="dxa"/>
            <w:tcBorders/>
            <w:shd w:fill="auto" w:val="clear"/>
            <w:vAlign w:val="bottom"/>
          </w:tcPr>
          <w:p>
            <w:pPr>
              <w:pStyle w:val="TableContents"/>
              <w:spacing w:before="0" w:after="283"/>
              <w:rPr/>
            </w:pPr>
            <w:r>
              <w:rPr/>
              <w:t> </w:t>
            </w:r>
          </w:p>
        </w:tc>
        <w:tc>
          <w:tcPr>
            <w:tcW w:w="2790"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4070"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1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07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Actuarial losses (gains)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775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1,686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(3,090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Prior service (credit) 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auto" w:val="clear"/>
            <w:vAlign w:val="bottom"/>
          </w:tcPr>
          <w:p>
            <w:pPr>
              <w:pStyle w:val="TableContents"/>
              <w:spacing w:before="0" w:after="283"/>
              <w:rPr/>
            </w:pPr>
            <w:r>
              <w:rPr/>
              <w:t> </w:t>
            </w:r>
          </w:p>
        </w:tc>
      </w:tr>
      <w:tr>
        <w:trPr/>
        <w:tc>
          <w:tcPr>
            <w:tcW w:w="407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Transition obligation recognized during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Prior service (cost) credit recognized during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70" w:type="dxa"/>
            <w:gridSpan w:val="2"/>
            <w:tcBorders/>
            <w:shd w:fill="auto" w:val="clear"/>
            <w:vAlign w:val="bottom"/>
          </w:tcPr>
          <w:p>
            <w:pPr>
              <w:pStyle w:val="TableContents"/>
              <w:spacing w:before="0" w:after="283"/>
              <w:rPr/>
            </w:pPr>
            <w:r>
              <w:rPr/>
              <w:t> </w:t>
            </w:r>
          </w:p>
        </w:tc>
      </w:tr>
      <w:tr>
        <w:trPr/>
        <w:tc>
          <w:tcPr>
            <w:tcW w:w="407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Actuarial losses recognized during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Foreign exchange translation adjustments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170" w:type="dxa"/>
            <w:gridSpan w:val="2"/>
            <w:tcBorders/>
            <w:shd w:fill="auto"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07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Total recognized in other comprehensive (income) loss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1,637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(3,099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Total recognized in net periodic benefit (income) cost and other comprehensive (income) 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1,441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(3,203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07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estimated prior service (credit) for pension benefits that will be amortized from accumulated other comprehensive (income) loss into net periodic benefit (income) cost in 2016 are expected to be ($44) million and ($3) million for U.S. and non-U.S. pension plans.</w:t>
      </w:r>
    </w:p>
    <w:tbl>
      <w:tblPr>
        <w:tblW w:w="6470" w:type="dxa"/>
        <w:jc w:val="left"/>
        <w:tblInd w:w="0" w:type="dxa"/>
        <w:tblCellMar>
          <w:top w:w="0" w:type="dxa"/>
          <w:left w:w="0" w:type="dxa"/>
          <w:bottom w:w="0" w:type="dxa"/>
          <w:right w:w="0" w:type="dxa"/>
        </w:tblCellMar>
      </w:tblPr>
      <w:tblGrid>
        <w:gridCol w:w="3890"/>
        <w:gridCol w:w="60"/>
        <w:gridCol w:w="60"/>
        <w:gridCol w:w="155"/>
        <w:gridCol w:w="60"/>
        <w:gridCol w:w="365"/>
        <w:gridCol w:w="95"/>
        <w:gridCol w:w="60"/>
        <w:gridCol w:w="60"/>
        <w:gridCol w:w="60"/>
        <w:gridCol w:w="155"/>
        <w:gridCol w:w="60"/>
        <w:gridCol w:w="365"/>
        <w:gridCol w:w="95"/>
        <w:gridCol w:w="60"/>
        <w:gridCol w:w="60"/>
        <w:gridCol w:w="60"/>
        <w:gridCol w:w="155"/>
        <w:gridCol w:w="60"/>
        <w:gridCol w:w="365"/>
        <w:gridCol w:w="95"/>
        <w:gridCol w:w="75"/>
      </w:tblGrid>
      <w:tr>
        <w:trPr/>
        <w:tc>
          <w:tcPr>
            <w:tcW w:w="38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gridSpan w:val="6"/>
            <w:tcBorders/>
            <w:shd w:fill="auto" w:val="clear"/>
            <w:vAlign w:val="bottom"/>
          </w:tcPr>
          <w:p>
            <w:pPr>
              <w:pStyle w:val="TableContents"/>
              <w:spacing w:before="0" w:after="283"/>
              <w:rPr/>
            </w:pPr>
            <w:r>
              <w:rPr/>
              <w:t> </w:t>
            </w:r>
          </w:p>
        </w:tc>
      </w:tr>
      <w:tr>
        <w:trPr/>
        <w:tc>
          <w:tcPr>
            <w:tcW w:w="3890"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Net Periodic Benefit Cost</w:t>
            </w:r>
          </w:p>
        </w:tc>
        <w:tc>
          <w:tcPr>
            <w:tcW w:w="60" w:type="dxa"/>
            <w:tcBorders/>
            <w:shd w:fill="auto" w:val="clear"/>
            <w:vAlign w:val="bottom"/>
          </w:tcPr>
          <w:p>
            <w:pPr>
              <w:pStyle w:val="TableContents"/>
              <w:spacing w:before="0" w:after="283"/>
              <w:rPr/>
            </w:pPr>
            <w:r>
              <w:rPr/>
              <w:t> </w:t>
            </w:r>
          </w:p>
        </w:tc>
        <w:tc>
          <w:tcPr>
            <w:tcW w:w="2520"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Other Postretirement</w:t>
              <w:br/>
              <w:t>Benefits Years Ended</w:t>
              <w:br/>
              <w:t>December 31,</w:t>
            </w:r>
          </w:p>
        </w:tc>
      </w:tr>
      <w:tr>
        <w:trPr/>
        <w:tc>
          <w:tcPr>
            <w:tcW w:w="3890"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79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79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1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38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Service cost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E5FFFF" w:val="clear"/>
            <w:vAlign w:val="bottom"/>
          </w:tcPr>
          <w:p>
            <w:pPr>
              <w:pStyle w:val="TableContents"/>
              <w:spacing w:before="0" w:after="283"/>
              <w:rPr/>
            </w:pPr>
            <w:r>
              <w:rPr/>
              <w:t> </w:t>
            </w:r>
          </w:p>
        </w:tc>
      </w:tr>
      <w:tr>
        <w:trPr/>
        <w:tc>
          <w:tcPr>
            <w:tcW w:w="38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Interest 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44</w:t>
            </w:r>
          </w:p>
        </w:tc>
        <w:tc>
          <w:tcPr>
            <w:tcW w:w="170" w:type="dxa"/>
            <w:gridSpan w:val="2"/>
            <w:tcBorders/>
            <w:shd w:fill="auto" w:val="clear"/>
            <w:vAlign w:val="bottom"/>
          </w:tcPr>
          <w:p>
            <w:pPr>
              <w:pStyle w:val="TableContents"/>
              <w:spacing w:before="0" w:after="283"/>
              <w:rPr/>
            </w:pPr>
            <w:r>
              <w:rPr/>
              <w:t> </w:t>
            </w:r>
          </w:p>
        </w:tc>
      </w:tr>
      <w:tr>
        <w:trPr/>
        <w:tc>
          <w:tcPr>
            <w:tcW w:w="38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Amortization of prior service (credit)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8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Recognition of actuarial losses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w:t>
            </w:r>
          </w:p>
        </w:tc>
        <w:tc>
          <w:tcPr>
            <w:tcW w:w="170" w:type="dxa"/>
            <w:gridSpan w:val="2"/>
            <w:tcBorders/>
            <w:shd w:fill="auto" w:val="clear"/>
            <w:vAlign w:val="bottom"/>
          </w:tcPr>
          <w:p>
            <w:pPr>
              <w:pStyle w:val="TableContents"/>
              <w:spacing w:before="0" w:after="283"/>
              <w:rPr/>
            </w:pPr>
            <w:r>
              <w:rPr/>
              <w:t> </w:t>
            </w:r>
          </w:p>
        </w:tc>
      </w:tr>
      <w:tr>
        <w:trPr/>
        <w:tc>
          <w:tcPr>
            <w:tcW w:w="38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Settlements and curtailments(1)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89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38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Net periodic benefit 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w:t>
            </w:r>
          </w:p>
        </w:tc>
        <w:tc>
          <w:tcPr>
            <w:tcW w:w="170" w:type="dxa"/>
            <w:gridSpan w:val="2"/>
            <w:tcBorders/>
            <w:shd w:fill="auto" w:val="clear"/>
            <w:vAlign w:val="bottom"/>
          </w:tcPr>
          <w:p>
            <w:pPr>
              <w:pStyle w:val="TableContents"/>
              <w:spacing w:before="0" w:after="283"/>
              <w:rPr/>
            </w:pPr>
            <w:r>
              <w:rPr/>
              <w:t> </w:t>
            </w:r>
          </w:p>
        </w:tc>
      </w:tr>
      <w:tr>
        <w:trPr/>
        <w:tc>
          <w:tcPr>
            <w:tcW w:w="389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10205" w:type="dxa"/>
        <w:jc w:val="left"/>
        <w:tblInd w:w="0" w:type="dxa"/>
        <w:tblCellMar>
          <w:top w:w="0" w:type="dxa"/>
          <w:left w:w="0" w:type="dxa"/>
          <w:bottom w:w="0" w:type="dxa"/>
          <w:right w:w="0" w:type="dxa"/>
        </w:tblCellMar>
      </w:tblPr>
      <w:tblGrid>
        <w:gridCol w:w="75"/>
        <w:gridCol w:w="272"/>
        <w:gridCol w:w="85"/>
        <w:gridCol w:w="9734"/>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85" w:type="dxa"/>
            <w:tcBorders/>
            <w:shd w:fill="auto" w:val="clear"/>
          </w:tcPr>
          <w:p>
            <w:pPr>
              <w:pStyle w:val="TableContents"/>
              <w:spacing w:before="0" w:after="283"/>
              <w:rPr/>
            </w:pPr>
            <w:r>
              <w:rPr/>
              <w:t> </w:t>
            </w:r>
          </w:p>
        </w:tc>
        <w:tc>
          <w:tcPr>
            <w:tcW w:w="9734" w:type="dxa"/>
            <w:tcBorders/>
            <w:shd w:fill="auto" w:val="clear"/>
          </w:tcPr>
          <w:p>
            <w:pPr>
              <w:pStyle w:val="TableContents"/>
              <w:spacing w:before="0" w:after="283"/>
              <w:jc w:val="both"/>
              <w:rPr>
                <w:rFonts w:ascii="sans-serif" w:hAnsi="sans-serif"/>
                <w:sz w:val="22"/>
              </w:rPr>
            </w:pPr>
            <w:r>
              <w:rPr>
                <w:rFonts w:ascii="sans-serif" w:hAnsi="sans-serif"/>
                <w:sz w:val="22"/>
              </w:rPr>
              <w:t>Curtailment gain in 2013 related to elimination of retiree medical coverage for a union group in connection with a new collective bargaining agreement.</w:t>
            </w:r>
          </w:p>
        </w:tc>
        <w:tc>
          <w:tcPr>
            <w:tcW w:w="39"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69</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tbl>
      <w:tblPr>
        <w:tblW w:w="10205" w:type="dxa"/>
        <w:jc w:val="left"/>
        <w:tblInd w:w="0" w:type="dxa"/>
        <w:tblCellMar>
          <w:top w:w="0" w:type="dxa"/>
          <w:left w:w="0" w:type="dxa"/>
          <w:bottom w:w="0" w:type="dxa"/>
          <w:right w:w="0" w:type="dxa"/>
        </w:tblCellMar>
      </w:tblPr>
      <w:tblGrid>
        <w:gridCol w:w="7355"/>
        <w:gridCol w:w="60"/>
        <w:gridCol w:w="60"/>
        <w:gridCol w:w="155"/>
        <w:gridCol w:w="60"/>
        <w:gridCol w:w="500"/>
        <w:gridCol w:w="95"/>
        <w:gridCol w:w="60"/>
        <w:gridCol w:w="60"/>
        <w:gridCol w:w="60"/>
        <w:gridCol w:w="155"/>
        <w:gridCol w:w="60"/>
        <w:gridCol w:w="365"/>
        <w:gridCol w:w="95"/>
        <w:gridCol w:w="60"/>
        <w:gridCol w:w="60"/>
        <w:gridCol w:w="60"/>
        <w:gridCol w:w="155"/>
        <w:gridCol w:w="60"/>
        <w:gridCol w:w="500"/>
        <w:gridCol w:w="95"/>
        <w:gridCol w:w="75"/>
      </w:tblGrid>
      <w:tr>
        <w:trPr/>
        <w:tc>
          <w:tcPr>
            <w:tcW w:w="73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shd w:fill="auto" w:val="clear"/>
            <w:vAlign w:val="bottom"/>
          </w:tcPr>
          <w:p>
            <w:pPr>
              <w:pStyle w:val="TableContents"/>
              <w:spacing w:before="0" w:after="283"/>
              <w:rPr/>
            </w:pPr>
            <w:r>
              <w:rPr/>
              <w:t> </w:t>
            </w:r>
          </w:p>
        </w:tc>
      </w:tr>
      <w:tr>
        <w:trPr/>
        <w:tc>
          <w:tcPr>
            <w:tcW w:w="7355" w:type="dxa"/>
            <w:vMerge w:val="restart"/>
            <w:tcBorders>
              <w:bottom w:val="single" w:sz="4" w:space="0" w:color="000000"/>
            </w:tcBorders>
            <w:shd w:fill="auto" w:val="clear"/>
            <w:tcMar>
              <w:bottom w:w="28" w:type="dxa"/>
            </w:tcMar>
            <w:vAlign w:val="bottom"/>
          </w:tcPr>
          <w:p>
            <w:pPr>
              <w:pStyle w:val="TableContents"/>
              <w:spacing w:before="0" w:after="283"/>
              <w:rPr>
                <w:rFonts w:ascii="sans-serif" w:hAnsi="sans-serif"/>
                <w:b/>
                <w:sz w:val="18"/>
              </w:rPr>
            </w:pPr>
            <w:r>
              <w:rPr>
                <w:rFonts w:ascii="sans-serif" w:hAnsi="sans-serif"/>
                <w:b/>
                <w:sz w:val="18"/>
              </w:rPr>
              <w:t>Other Changes in Plan Assets and Benefits Obligations</w:t>
              <w:br/>
              <w:t>Recognized in Other Comprehensive (Income) Loss</w:t>
            </w:r>
          </w:p>
        </w:tc>
        <w:tc>
          <w:tcPr>
            <w:tcW w:w="60" w:type="dxa"/>
            <w:tcBorders/>
            <w:shd w:fill="auto" w:val="clear"/>
            <w:vAlign w:val="bottom"/>
          </w:tcPr>
          <w:p>
            <w:pPr>
              <w:pStyle w:val="TableContents"/>
              <w:spacing w:before="0" w:after="283"/>
              <w:rPr/>
            </w:pPr>
            <w:r>
              <w:rPr/>
              <w:t> </w:t>
            </w:r>
          </w:p>
        </w:tc>
        <w:tc>
          <w:tcPr>
            <w:tcW w:w="2790"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7355" w:type="dxa"/>
            <w:vMerge w:val="continue"/>
            <w:tcBorders>
              <w:bottom w:val="single" w:sz="4" w:space="0" w:color="000000"/>
            </w:tcBorders>
            <w:shd w:fill="auto" w:val="clear"/>
            <w:tcMar>
              <w:bottom w:w="28" w:type="dxa"/>
            </w:tcM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3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79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4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73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Actuarial (gains) losses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(55</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735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Prior service (credit)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73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Prior service credit recognized during year</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w:t>
            </w:r>
          </w:p>
        </w:tc>
        <w:tc>
          <w:tcPr>
            <w:tcW w:w="170" w:type="dxa"/>
            <w:gridSpan w:val="2"/>
            <w:tcBorders/>
            <w:shd w:fill="E5FFFF" w:val="clear"/>
            <w:vAlign w:val="bottom"/>
          </w:tcPr>
          <w:p>
            <w:pPr>
              <w:pStyle w:val="TableContents"/>
              <w:spacing w:before="0" w:after="283"/>
              <w:rPr/>
            </w:pPr>
            <w:r>
              <w:rPr/>
              <w:t> </w:t>
            </w:r>
          </w:p>
        </w:tc>
      </w:tr>
      <w:tr>
        <w:trPr/>
        <w:tc>
          <w:tcPr>
            <w:tcW w:w="735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Actuarial losses recognized during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735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Settlements and curtailments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w:t>
            </w:r>
          </w:p>
        </w:tc>
        <w:tc>
          <w:tcPr>
            <w:tcW w:w="170" w:type="dxa"/>
            <w:gridSpan w:val="2"/>
            <w:tcBorders/>
            <w:shd w:fill="E5FFFF" w:val="clear"/>
            <w:vAlign w:val="bottom"/>
          </w:tcPr>
          <w:p>
            <w:pPr>
              <w:pStyle w:val="TableContents"/>
              <w:spacing w:before="0" w:after="283"/>
              <w:rPr/>
            </w:pPr>
            <w:r>
              <w:rPr/>
              <w:t> </w:t>
            </w:r>
          </w:p>
        </w:tc>
      </w:tr>
      <w:tr>
        <w:trPr/>
        <w:tc>
          <w:tcPr>
            <w:tcW w:w="735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735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Total recognized in other comprehensive (income)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735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735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Total recognized in net periodic benefit cost and other comprehensive (income) loss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50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735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3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estimated net loss and prior service (credit) for other postretirement benefits that will be amortized from accumulated other comprehensive (income) loss into net periodic benefit (income) in 2016 are expected to be $22 million and ($76) million.</w:t>
      </w:r>
    </w:p>
    <w:p>
      <w:pPr>
        <w:pStyle w:val="TextBody"/>
        <w:spacing w:before="119" w:after="119"/>
        <w:ind w:left="119" w:right="119" w:firstLine="397"/>
        <w:jc w:val="both"/>
        <w:rPr>
          <w:rFonts w:ascii="sans-serif" w:hAnsi="sans-serif"/>
          <w:sz w:val="22"/>
        </w:rPr>
      </w:pPr>
      <w:r>
        <w:rPr>
          <w:rFonts w:ascii="sans-serif" w:hAnsi="sans-serif"/>
          <w:sz w:val="22"/>
        </w:rPr>
        <w:t>Major actuarial assumptions used in determining the benefit obligations and net periodic benefit (income) cost for our significant benefit plans are presented in the following table as weighted averages.</w:t>
      </w:r>
    </w:p>
    <w:tbl>
      <w:tblPr>
        <w:tblW w:w="10205" w:type="dxa"/>
        <w:jc w:val="left"/>
        <w:tblInd w:w="0" w:type="dxa"/>
        <w:tblCellMar>
          <w:top w:w="0" w:type="dxa"/>
          <w:left w:w="0" w:type="dxa"/>
          <w:bottom w:w="0" w:type="dxa"/>
          <w:right w:w="0" w:type="dxa"/>
        </w:tblCellMar>
      </w:tblPr>
      <w:tblGrid>
        <w:gridCol w:w="4550"/>
        <w:gridCol w:w="60"/>
        <w:gridCol w:w="60"/>
        <w:gridCol w:w="60"/>
        <w:gridCol w:w="485"/>
        <w:gridCol w:w="215"/>
        <w:gridCol w:w="60"/>
        <w:gridCol w:w="60"/>
        <w:gridCol w:w="60"/>
        <w:gridCol w:w="60"/>
        <w:gridCol w:w="485"/>
        <w:gridCol w:w="215"/>
        <w:gridCol w:w="60"/>
        <w:gridCol w:w="60"/>
        <w:gridCol w:w="60"/>
        <w:gridCol w:w="60"/>
        <w:gridCol w:w="485"/>
        <w:gridCol w:w="215"/>
        <w:gridCol w:w="60"/>
        <w:gridCol w:w="60"/>
        <w:gridCol w:w="60"/>
        <w:gridCol w:w="60"/>
        <w:gridCol w:w="485"/>
        <w:gridCol w:w="215"/>
        <w:gridCol w:w="60"/>
        <w:gridCol w:w="60"/>
        <w:gridCol w:w="60"/>
        <w:gridCol w:w="60"/>
        <w:gridCol w:w="485"/>
        <w:gridCol w:w="215"/>
        <w:gridCol w:w="60"/>
        <w:gridCol w:w="60"/>
        <w:gridCol w:w="60"/>
        <w:gridCol w:w="60"/>
        <w:gridCol w:w="485"/>
        <w:gridCol w:w="215"/>
        <w:gridCol w:w="75"/>
      </w:tblGrid>
      <w:tr>
        <w:trPr/>
        <w:tc>
          <w:tcPr>
            <w:tcW w:w="4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5"/>
            <w:tcBorders/>
            <w:shd w:fill="auto" w:val="clear"/>
            <w:vAlign w:val="bottom"/>
          </w:tcPr>
          <w:p>
            <w:pPr>
              <w:pStyle w:val="TableContents"/>
              <w:spacing w:before="0" w:after="283"/>
              <w:rPr/>
            </w:pPr>
            <w:r>
              <w:rPr/>
              <w:t> </w:t>
            </w:r>
          </w:p>
        </w:tc>
      </w:tr>
      <w:tr>
        <w:trPr/>
        <w:tc>
          <w:tcPr>
            <w:tcW w:w="455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5595" w:type="dxa"/>
            <w:gridSpan w:val="3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Pension Benefits</w:t>
            </w:r>
          </w:p>
        </w:tc>
      </w:tr>
      <w:tr>
        <w:trPr/>
        <w:tc>
          <w:tcPr>
            <w:tcW w:w="455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2760"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c>
          <w:tcPr>
            <w:tcW w:w="60" w:type="dxa"/>
            <w:tcBorders/>
            <w:shd w:fill="auto" w:val="clear"/>
            <w:vAlign w:val="bottom"/>
          </w:tcPr>
          <w:p>
            <w:pPr>
              <w:pStyle w:val="TableContents"/>
              <w:spacing w:before="0" w:after="283"/>
              <w:rPr/>
            </w:pPr>
            <w:r>
              <w:rPr/>
              <w:t> </w:t>
            </w:r>
          </w:p>
        </w:tc>
        <w:tc>
          <w:tcPr>
            <w:tcW w:w="2775"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455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9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5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Actuarial assumptions used to determine benefit obligations as of December 31:</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95" w:type="dxa"/>
            <w:gridSpan w:val="5"/>
            <w:tcBorders/>
            <w:shd w:fill="E5FFFF"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Discount rate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4.46</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4.08</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4.89</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3.49</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3.26</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4.29</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55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Expected annual rate of compensation increase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4.48</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4.50</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4.50</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2.11</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2.53</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2.81</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Actuarial assumptions used to determine net periodic benefit (income) cost for years ended December 31:</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5"/>
            <w:tcBorders/>
            <w:shd w:fill="auto" w:val="clear"/>
            <w:vAlign w:val="bottom"/>
          </w:tcPr>
          <w:p>
            <w:pPr>
              <w:pStyle w:val="TableContents"/>
              <w:spacing w:before="0" w:after="283"/>
              <w:rPr/>
            </w:pPr>
            <w:r>
              <w:rPr/>
              <w:t> </w:t>
            </w:r>
          </w:p>
        </w:tc>
      </w:tr>
      <w:tr>
        <w:trPr/>
        <w:tc>
          <w:tcPr>
            <w:tcW w:w="455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Discount rate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4.08</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4.89</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4.06</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3.26</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4.29</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4.29</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55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Expected rate of return on plan assets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7.75</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7.75</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7.75</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6.94</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6.96</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6.99</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55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Expected annual rate of compensation increase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4.50</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4.50</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4.50</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2.53</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2.81</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48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3.55</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7370"/>
        <w:gridCol w:w="60"/>
        <w:gridCol w:w="60"/>
        <w:gridCol w:w="60"/>
        <w:gridCol w:w="485"/>
        <w:gridCol w:w="215"/>
        <w:gridCol w:w="60"/>
        <w:gridCol w:w="60"/>
        <w:gridCol w:w="60"/>
        <w:gridCol w:w="60"/>
        <w:gridCol w:w="485"/>
        <w:gridCol w:w="215"/>
        <w:gridCol w:w="60"/>
        <w:gridCol w:w="60"/>
        <w:gridCol w:w="60"/>
        <w:gridCol w:w="60"/>
        <w:gridCol w:w="485"/>
        <w:gridCol w:w="215"/>
        <w:gridCol w:w="75"/>
      </w:tblGrid>
      <w:tr>
        <w:trPr/>
        <w:tc>
          <w:tcPr>
            <w:tcW w:w="73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5" w:type="dxa"/>
            <w:gridSpan w:val="5"/>
            <w:tcBorders/>
            <w:shd w:fill="auto" w:val="clear"/>
            <w:vAlign w:val="bottom"/>
          </w:tcPr>
          <w:p>
            <w:pPr>
              <w:pStyle w:val="TableContents"/>
              <w:spacing w:before="0" w:after="283"/>
              <w:rPr/>
            </w:pPr>
            <w:r>
              <w:rPr/>
              <w:t> </w:t>
            </w:r>
          </w:p>
        </w:tc>
      </w:tr>
      <w:tr>
        <w:trPr/>
        <w:tc>
          <w:tcPr>
            <w:tcW w:w="737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775"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Other</w:t>
              <w:br/>
              <w:t>Postretirement</w:t>
              <w:br/>
              <w:t>Benefits</w:t>
            </w:r>
          </w:p>
        </w:tc>
      </w:tr>
      <w:tr>
        <w:trPr/>
        <w:tc>
          <w:tcPr>
            <w:tcW w:w="737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88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89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737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Actuarial assumptions used to determine benefit obligations as of December 31:</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95" w:type="dxa"/>
            <w:gridSpan w:val="5"/>
            <w:tcBorders/>
            <w:shd w:fill="E5FFFF"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Discount rate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3.80</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3.45</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4.05</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737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Actuarial assumptions used to determine net periodic benefit cost for years ended December 31:</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8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95" w:type="dxa"/>
            <w:gridSpan w:val="5"/>
            <w:tcBorders/>
            <w:shd w:fill="E5FFFF" w:val="clear"/>
            <w:vAlign w:val="bottom"/>
          </w:tcPr>
          <w:p>
            <w:pPr>
              <w:pStyle w:val="TableContents"/>
              <w:spacing w:before="0" w:after="283"/>
              <w:rPr/>
            </w:pPr>
            <w:r>
              <w:rPr/>
              <w:t> </w:t>
            </w:r>
          </w:p>
        </w:tc>
      </w:tr>
      <w:tr>
        <w:trPr/>
        <w:tc>
          <w:tcPr>
            <w:tcW w:w="737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Discount rate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3.45</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4.05</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3.40</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discount rate for our U.S. pension and other postretirement benefits plans reflects the current rate at which the associated liabilities could be settled at the measurement date of December 31. To determine discount rates for our U.S. pension and other postretirement benefit plans,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 The discount rate used to determine the other postretirement benefit obligation is lower principally due to a shorter expected duration of other postretirement plan obligations as compared to pension plan obligations.</w:t>
      </w:r>
    </w:p>
    <w:p>
      <w:pPr>
        <w:pStyle w:val="TextBody"/>
        <w:spacing w:before="119" w:after="119"/>
        <w:ind w:left="119" w:right="119" w:hanging="0"/>
        <w:jc w:val="center"/>
        <w:rPr>
          <w:rFonts w:ascii="sans-serif" w:hAnsi="sans-serif"/>
          <w:sz w:val="22"/>
        </w:rPr>
      </w:pPr>
      <w:r>
        <w:rPr>
          <w:rFonts w:ascii="sans-serif" w:hAnsi="sans-serif"/>
          <w:sz w:val="22"/>
        </w:rPr>
        <w:t>70</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jc w:val="both"/>
        <w:rPr>
          <w:rFonts w:ascii="sans-serif" w:hAnsi="sans-serif"/>
          <w:sz w:val="22"/>
        </w:rPr>
      </w:pPr>
      <w:r>
        <w:rPr>
          <w:rFonts w:ascii="sans-serif" w:hAnsi="sans-serif"/>
          <w:sz w:val="22"/>
        </w:rPr>
        <w:t>During the fourth quarter of 2015 we changed the methodology used to estimate the service and interest cost components of net periodic benefit (income) cost for our significant pension plans. Previously, we estimated such cost components utilizing a single weighted-average discount rate derived from the yield curve used to measure the pension benefit obligation. The new methodology utilizes a full yield curve approach in the estimation of these cost components by applying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The change does not affect the measurement of our pension obligation and is applied prospectively as a change in estimate.</w:t>
      </w:r>
    </w:p>
    <w:p>
      <w:pPr>
        <w:pStyle w:val="TextBody"/>
        <w:spacing w:before="119" w:after="119"/>
        <w:ind w:left="119" w:right="119" w:firstLine="397"/>
        <w:jc w:val="both"/>
        <w:rPr>
          <w:rFonts w:ascii="sans-serif" w:hAnsi="sans-serif"/>
          <w:sz w:val="22"/>
        </w:rPr>
      </w:pPr>
      <w:r>
        <w:rPr>
          <w:rFonts w:ascii="sans-serif" w:hAnsi="sans-serif"/>
          <w:sz w:val="22"/>
        </w:rPr>
        <w:t>For our U.S. pension plans, the single weighted-average spot rates used to determine service and interest costs for 2016 are 4.69% and 3.59%. We estimate the service and interest costs for our U.S. pension plans will be reduced by approximately $150 million in 2016.</w:t>
      </w:r>
    </w:p>
    <w:p>
      <w:pPr>
        <w:pStyle w:val="TextBody"/>
        <w:spacing w:before="119" w:after="119"/>
        <w:ind w:left="119" w:right="119" w:firstLine="397"/>
        <w:jc w:val="both"/>
        <w:rPr>
          <w:rFonts w:ascii="sans-serif" w:hAnsi="sans-serif"/>
          <w:sz w:val="22"/>
        </w:rPr>
      </w:pPr>
      <w:r>
        <w:rPr>
          <w:rFonts w:ascii="sans-serif" w:hAnsi="sans-serif"/>
          <w:sz w:val="22"/>
        </w:rPr>
        <w:t>Our expected rate of return on U.S. plan assets of 7.75% is a long-term rate based on historical plan asset returns over varying long-term periods combined with current market conditions and broad asset mix considerations. We review the expected rate of return on an annual basis and revise it as appropriate.</w:t>
      </w:r>
    </w:p>
    <w:p>
      <w:pPr>
        <w:pStyle w:val="TextBody"/>
        <w:spacing w:before="119" w:after="119"/>
        <w:ind w:left="119" w:right="119" w:firstLine="397"/>
        <w:jc w:val="both"/>
        <w:rPr>
          <w:rFonts w:ascii="sans-serif" w:hAnsi="sans-serif"/>
          <w:sz w:val="22"/>
        </w:rPr>
      </w:pPr>
      <w:r>
        <w:rPr>
          <w:rFonts w:ascii="sans-serif" w:hAnsi="sans-serif"/>
          <w:sz w:val="22"/>
        </w:rPr>
        <w:t>For non-U.S. benefit plans actuarial assumptions reflect economic and market factors relevant to each country. The impact of the discount rate methodology change on service and interest costs for our non-U.S. pension plans was not material.</w:t>
      </w:r>
    </w:p>
    <w:p>
      <w:pPr>
        <w:pStyle w:val="TextBody"/>
        <w:spacing w:before="357" w:after="357"/>
        <w:ind w:left="357" w:right="357" w:hanging="0"/>
        <w:rPr>
          <w:rFonts w:ascii="sans-serif" w:hAnsi="sans-serif"/>
          <w:b/>
          <w:sz w:val="22"/>
        </w:rPr>
      </w:pPr>
      <w:r>
        <w:rPr>
          <w:rFonts w:ascii="sans-serif" w:hAnsi="sans-serif"/>
          <w:b/>
          <w:sz w:val="22"/>
        </w:rPr>
        <w:t>Pension Benefits</w:t>
      </w:r>
    </w:p>
    <w:p>
      <w:pPr>
        <w:pStyle w:val="TextBody"/>
        <w:spacing w:before="119" w:after="119"/>
        <w:ind w:left="119" w:right="119" w:firstLine="397"/>
        <w:jc w:val="both"/>
        <w:rPr>
          <w:rFonts w:ascii="sans-serif" w:hAnsi="sans-serif"/>
          <w:sz w:val="22"/>
        </w:rPr>
      </w:pPr>
      <w:r>
        <w:rPr>
          <w:rFonts w:ascii="sans-serif" w:hAnsi="sans-serif"/>
          <w:sz w:val="22"/>
        </w:rPr>
        <w:t>Included in the aggregate data in the tables above are the amounts applicable to our pension plans with accumulated benefit obligations exceeding the fair value of plan assets. Amounts related to such plans were as follows:</w:t>
      </w:r>
    </w:p>
    <w:tbl>
      <w:tblPr>
        <w:tblW w:w="7395" w:type="dxa"/>
        <w:jc w:val="left"/>
        <w:tblInd w:w="0" w:type="dxa"/>
        <w:tblCellMar>
          <w:top w:w="0" w:type="dxa"/>
          <w:left w:w="0" w:type="dxa"/>
          <w:bottom w:w="0" w:type="dxa"/>
          <w:right w:w="0" w:type="dxa"/>
        </w:tblCellMar>
      </w:tblPr>
      <w:tblGrid>
        <w:gridCol w:w="3380"/>
        <w:gridCol w:w="60"/>
        <w:gridCol w:w="60"/>
        <w:gridCol w:w="155"/>
        <w:gridCol w:w="60"/>
        <w:gridCol w:w="755"/>
        <w:gridCol w:w="60"/>
        <w:gridCol w:w="60"/>
        <w:gridCol w:w="60"/>
        <w:gridCol w:w="155"/>
        <w:gridCol w:w="60"/>
        <w:gridCol w:w="425"/>
        <w:gridCol w:w="60"/>
        <w:gridCol w:w="60"/>
        <w:gridCol w:w="60"/>
        <w:gridCol w:w="155"/>
        <w:gridCol w:w="60"/>
        <w:gridCol w:w="620"/>
        <w:gridCol w:w="60"/>
        <w:gridCol w:w="60"/>
        <w:gridCol w:w="60"/>
        <w:gridCol w:w="155"/>
        <w:gridCol w:w="60"/>
        <w:gridCol w:w="620"/>
        <w:gridCol w:w="75"/>
      </w:tblGrid>
      <w:tr>
        <w:trPr/>
        <w:tc>
          <w:tcPr>
            <w:tcW w:w="33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38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955"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338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910"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c>
          <w:tcPr>
            <w:tcW w:w="60" w:type="dxa"/>
            <w:tcBorders/>
            <w:shd w:fill="auto" w:val="clear"/>
            <w:vAlign w:val="bottom"/>
          </w:tcPr>
          <w:p>
            <w:pPr>
              <w:pStyle w:val="TableContents"/>
              <w:spacing w:before="0" w:after="283"/>
              <w:rPr/>
            </w:pPr>
            <w:r>
              <w:rPr/>
              <w:t> </w:t>
            </w:r>
          </w:p>
        </w:tc>
        <w:tc>
          <w:tcPr>
            <w:tcW w:w="1985"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338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76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33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Projected benefit obligation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17,298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1,624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1,686</w:t>
            </w:r>
          </w:p>
        </w:tc>
        <w:tc>
          <w:tcPr>
            <w:tcW w:w="75" w:type="dxa"/>
            <w:tcBorders/>
            <w:shd w:fill="E5FFFF" w:val="clear"/>
            <w:vAlign w:val="bottom"/>
          </w:tcPr>
          <w:p>
            <w:pPr>
              <w:pStyle w:val="TableContents"/>
              <w:spacing w:before="0" w:after="283"/>
              <w:rPr/>
            </w:pPr>
            <w:r>
              <w:rPr/>
              <w:t> </w:t>
            </w:r>
          </w:p>
        </w:tc>
      </w:tr>
      <w:tr>
        <w:trPr/>
        <w:tc>
          <w:tcPr>
            <w:tcW w:w="33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Accumulated benefit obligation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16,899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1,584</w:t>
            </w:r>
          </w:p>
        </w:tc>
        <w:tc>
          <w:tcPr>
            <w:tcW w:w="75" w:type="dxa"/>
            <w:tcBorders/>
            <w:shd w:fill="auto" w:val="clear"/>
            <w:vAlign w:val="bottom"/>
          </w:tcPr>
          <w:p>
            <w:pPr>
              <w:pStyle w:val="TableContents"/>
              <w:spacing w:before="0" w:after="283"/>
              <w:rPr/>
            </w:pPr>
            <w:r>
              <w:rPr/>
              <w:t> </w:t>
            </w:r>
          </w:p>
        </w:tc>
      </w:tr>
      <w:tr>
        <w:trPr/>
        <w:tc>
          <w:tcPr>
            <w:tcW w:w="33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Fair value of plan assets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16,349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42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976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994</w:t>
            </w:r>
          </w:p>
        </w:tc>
        <w:tc>
          <w:tcPr>
            <w:tcW w:w="75" w:type="dxa"/>
            <w:tcBorders/>
            <w:shd w:fill="E5FFFF"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Accumulated benefit obligation for our U.S. defined benefit pension plans were $16.9 billion and $17.2 billion and for our Non-U.S. defined benefit plans were $6.2 billion and $5.5 billion at December 31, 2015 and 2014.</w:t>
      </w:r>
    </w:p>
    <w:p>
      <w:pPr>
        <w:pStyle w:val="TextBody"/>
        <w:spacing w:before="119" w:after="119"/>
        <w:ind w:left="119" w:right="119" w:firstLine="397"/>
        <w:jc w:val="both"/>
        <w:rPr>
          <w:rFonts w:ascii="sans-serif" w:hAnsi="sans-serif"/>
          <w:sz w:val="22"/>
        </w:rPr>
      </w:pPr>
      <w:r>
        <w:rPr>
          <w:rFonts w:ascii="sans-serif" w:hAnsi="sans-serif"/>
          <w:sz w:val="22"/>
        </w:rPr>
        <w:t>Our asset investment strategy for our U.S. pension plans focuses on maintaining a diversified portfolio using various asset classes in order to achieve our long-term investment objectives on a risk adjusted basis. Our actual invested positions in various securities change over time based on short and longer- term investment opportunities. To achieve our objectives, we have established long-term target allocations as follows: 60%-70% equity securities, 10%-20% fixed income securities and cash, 5%-15% real estate investments, and 10%-20%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and hedge funds that follow several different strategies. We review our assets on a regular basis to ensure that we are within the targeted asset allocation ranges and, if necessary, asset balances are adjusted back within target allocations.</w:t>
      </w:r>
    </w:p>
    <w:p>
      <w:pPr>
        <w:pStyle w:val="TextBody"/>
        <w:spacing w:before="119" w:after="119"/>
        <w:ind w:left="119" w:right="119" w:hanging="0"/>
        <w:jc w:val="center"/>
        <w:rPr>
          <w:rFonts w:ascii="sans-serif" w:hAnsi="sans-serif"/>
          <w:sz w:val="22"/>
        </w:rPr>
      </w:pPr>
      <w:r>
        <w:rPr>
          <w:rFonts w:ascii="sans-serif" w:hAnsi="sans-serif"/>
          <w:sz w:val="22"/>
        </w:rPr>
        <w:t>71</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jc w:val="both"/>
        <w:rPr>
          <w:rFonts w:ascii="sans-serif" w:hAnsi="sans-serif"/>
          <w:sz w:val="22"/>
        </w:rPr>
      </w:pPr>
      <w:r>
        <w:rPr>
          <w:rFonts w:ascii="sans-serif" w:hAnsi="sans-serif"/>
          <w:sz w:val="22"/>
        </w:rPr>
        <w:t>Our non-U.S. pension assets are typically managed by decentralized fiduciary committees with the Honeywell Corporate Investments group providing standard funding and investment guidance. Our non-U.S. investment policies are different for each country as local regulations, funding rules, and financial and tax considerations are part of the funding and investment allocation process in each country.</w:t>
      </w:r>
    </w:p>
    <w:p>
      <w:pPr>
        <w:pStyle w:val="TextBody"/>
        <w:spacing w:before="119" w:after="119"/>
        <w:ind w:left="119" w:right="119" w:firstLine="397"/>
        <w:jc w:val="both"/>
        <w:rPr>
          <w:rFonts w:ascii="sans-serif" w:hAnsi="sans-serif"/>
          <w:sz w:val="22"/>
        </w:rPr>
      </w:pPr>
      <w:r>
        <w:rPr>
          <w:rFonts w:ascii="sans-serif" w:hAnsi="sans-serif"/>
          <w:sz w:val="22"/>
        </w:rPr>
        <w:t>The fair values of both our U.S. and non-U.S. pension plans assets by asset category are as follows:</w:t>
      </w:r>
    </w:p>
    <w:tbl>
      <w:tblPr>
        <w:tblW w:w="7845" w:type="dxa"/>
        <w:jc w:val="left"/>
        <w:tblInd w:w="0" w:type="dxa"/>
        <w:tblCellMar>
          <w:top w:w="0" w:type="dxa"/>
          <w:left w:w="0" w:type="dxa"/>
          <w:bottom w:w="0" w:type="dxa"/>
          <w:right w:w="0" w:type="dxa"/>
        </w:tblCellMar>
      </w:tblPr>
      <w:tblGrid>
        <w:gridCol w:w="3635"/>
        <w:gridCol w:w="60"/>
        <w:gridCol w:w="60"/>
        <w:gridCol w:w="155"/>
        <w:gridCol w:w="60"/>
        <w:gridCol w:w="755"/>
        <w:gridCol w:w="60"/>
        <w:gridCol w:w="60"/>
        <w:gridCol w:w="60"/>
        <w:gridCol w:w="155"/>
        <w:gridCol w:w="60"/>
        <w:gridCol w:w="620"/>
        <w:gridCol w:w="60"/>
        <w:gridCol w:w="60"/>
        <w:gridCol w:w="60"/>
        <w:gridCol w:w="155"/>
        <w:gridCol w:w="60"/>
        <w:gridCol w:w="620"/>
        <w:gridCol w:w="60"/>
        <w:gridCol w:w="60"/>
        <w:gridCol w:w="60"/>
        <w:gridCol w:w="155"/>
        <w:gridCol w:w="60"/>
        <w:gridCol w:w="620"/>
        <w:gridCol w:w="75"/>
      </w:tblGrid>
      <w:tr>
        <w:trPr/>
        <w:tc>
          <w:tcPr>
            <w:tcW w:w="3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63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4150"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r>
      <w:tr>
        <w:trPr/>
        <w:tc>
          <w:tcPr>
            <w:tcW w:w="36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4150"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 2015</w:t>
            </w:r>
          </w:p>
        </w:tc>
      </w:tr>
      <w:tr>
        <w:trPr/>
        <w:tc>
          <w:tcPr>
            <w:tcW w:w="36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Total</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1</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2</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3</w:t>
            </w:r>
          </w:p>
        </w:tc>
      </w:tr>
      <w:tr>
        <w:trPr/>
        <w:tc>
          <w:tcPr>
            <w:tcW w:w="363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Common stock/preferred stock:</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70" w:type="dxa"/>
            <w:gridSpan w:val="5"/>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Honeywell common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U.S. large cap stocks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3,761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3,761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U.S. mid cap stocks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U.S. small cap stocks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International stocks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Real estate investment trusts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Fixed income investments:</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Short term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1,332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1,332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Government securities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Corporate bonds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3,003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3,003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Mortgage/Asset-backed securities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Insurance contracts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Investments in private funds:</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Private funds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889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889</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Hedge funds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Real estate funds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156</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Direct investments:</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Direct private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535</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Real estate properties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626</w:t>
            </w:r>
          </w:p>
        </w:tc>
        <w:tc>
          <w:tcPr>
            <w:tcW w:w="75" w:type="dxa"/>
            <w:tcBorders/>
            <w:shd w:fill="auto"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16,349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9,972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4,152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2,225</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72</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tbl>
      <w:tblPr>
        <w:tblW w:w="7980" w:type="dxa"/>
        <w:jc w:val="left"/>
        <w:tblInd w:w="0" w:type="dxa"/>
        <w:tblCellMar>
          <w:top w:w="0" w:type="dxa"/>
          <w:left w:w="0" w:type="dxa"/>
          <w:bottom w:w="0" w:type="dxa"/>
          <w:right w:w="0" w:type="dxa"/>
        </w:tblCellMar>
      </w:tblPr>
      <w:tblGrid>
        <w:gridCol w:w="3635"/>
        <w:gridCol w:w="60"/>
        <w:gridCol w:w="60"/>
        <w:gridCol w:w="155"/>
        <w:gridCol w:w="60"/>
        <w:gridCol w:w="755"/>
        <w:gridCol w:w="60"/>
        <w:gridCol w:w="60"/>
        <w:gridCol w:w="60"/>
        <w:gridCol w:w="155"/>
        <w:gridCol w:w="60"/>
        <w:gridCol w:w="755"/>
        <w:gridCol w:w="60"/>
        <w:gridCol w:w="60"/>
        <w:gridCol w:w="60"/>
        <w:gridCol w:w="155"/>
        <w:gridCol w:w="60"/>
        <w:gridCol w:w="620"/>
        <w:gridCol w:w="60"/>
        <w:gridCol w:w="60"/>
        <w:gridCol w:w="60"/>
        <w:gridCol w:w="155"/>
        <w:gridCol w:w="60"/>
        <w:gridCol w:w="620"/>
        <w:gridCol w:w="75"/>
      </w:tblGrid>
      <w:tr>
        <w:trPr/>
        <w:tc>
          <w:tcPr>
            <w:tcW w:w="3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63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4285"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r>
      <w:tr>
        <w:trPr/>
        <w:tc>
          <w:tcPr>
            <w:tcW w:w="36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4285"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 2014</w:t>
            </w:r>
          </w:p>
        </w:tc>
      </w:tr>
      <w:tr>
        <w:trPr/>
        <w:tc>
          <w:tcPr>
            <w:tcW w:w="36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Total</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1</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2</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3</w:t>
            </w:r>
          </w:p>
        </w:tc>
      </w:tr>
      <w:tr>
        <w:trPr/>
        <w:tc>
          <w:tcPr>
            <w:tcW w:w="363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Common stock/preferred stock:</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70" w:type="dxa"/>
            <w:gridSpan w:val="5"/>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Honeywell common stock</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U.S. large cap stocks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3,913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3,867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U.S. mid cap stocks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U.S. small cap stocks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International stocks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Real estate investment trusts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Fixed income investments:</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Short term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1,078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1,078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Government securities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Corporate bonds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2,988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2,988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Mortgage/Asset-backed securities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Insurance contracts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Investments in private funds:</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Private funds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999</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Hedge funds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Real estate funds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226</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Direct investments:</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Direct private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301</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Real estate properties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600</w:t>
            </w:r>
          </w:p>
        </w:tc>
        <w:tc>
          <w:tcPr>
            <w:tcW w:w="75" w:type="dxa"/>
            <w:tcBorders/>
            <w:shd w:fill="auto"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17,066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10,637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4,300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2,129</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tbl>
      <w:tblPr>
        <w:tblW w:w="7362" w:type="dxa"/>
        <w:jc w:val="left"/>
        <w:tblInd w:w="0" w:type="dxa"/>
        <w:tblCellMar>
          <w:top w:w="0" w:type="dxa"/>
          <w:left w:w="0" w:type="dxa"/>
          <w:bottom w:w="0" w:type="dxa"/>
          <w:right w:w="0" w:type="dxa"/>
        </w:tblCellMar>
      </w:tblPr>
      <w:tblGrid>
        <w:gridCol w:w="3635"/>
        <w:gridCol w:w="60"/>
        <w:gridCol w:w="60"/>
        <w:gridCol w:w="155"/>
        <w:gridCol w:w="60"/>
        <w:gridCol w:w="620"/>
        <w:gridCol w:w="60"/>
        <w:gridCol w:w="60"/>
        <w:gridCol w:w="61"/>
        <w:gridCol w:w="158"/>
        <w:gridCol w:w="61"/>
        <w:gridCol w:w="434"/>
        <w:gridCol w:w="60"/>
        <w:gridCol w:w="60"/>
        <w:gridCol w:w="60"/>
        <w:gridCol w:w="155"/>
        <w:gridCol w:w="60"/>
        <w:gridCol w:w="620"/>
        <w:gridCol w:w="60"/>
        <w:gridCol w:w="60"/>
        <w:gridCol w:w="62"/>
        <w:gridCol w:w="161"/>
        <w:gridCol w:w="62"/>
        <w:gridCol w:w="443"/>
        <w:gridCol w:w="75"/>
      </w:tblGrid>
      <w:tr>
        <w:trPr/>
        <w:tc>
          <w:tcPr>
            <w:tcW w:w="3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shd w:fill="auto" w:val="clear"/>
            <w:vAlign w:val="bottom"/>
          </w:tcPr>
          <w:p>
            <w:pPr>
              <w:pStyle w:val="TableContents"/>
              <w:spacing w:before="0" w:after="283"/>
              <w:rPr/>
            </w:pPr>
            <w:r>
              <w:rPr/>
              <w:t> </w:t>
            </w:r>
          </w:p>
        </w:tc>
      </w:tr>
      <w:tr>
        <w:trPr/>
        <w:tc>
          <w:tcPr>
            <w:tcW w:w="363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667"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36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3667"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 2015</w:t>
            </w:r>
          </w:p>
        </w:tc>
      </w:tr>
      <w:tr>
        <w:trPr/>
        <w:tc>
          <w:tcPr>
            <w:tcW w:w="36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Total</w:t>
            </w:r>
          </w:p>
        </w:tc>
        <w:tc>
          <w:tcPr>
            <w:tcW w:w="60" w:type="dxa"/>
            <w:tcBorders/>
            <w:shd w:fill="auto" w:val="clear"/>
            <w:vAlign w:val="bottom"/>
          </w:tcPr>
          <w:p>
            <w:pPr>
              <w:pStyle w:val="TableContents"/>
              <w:spacing w:before="0" w:after="283"/>
              <w:rPr/>
            </w:pPr>
            <w:r>
              <w:rPr/>
              <w:t> </w:t>
            </w:r>
          </w:p>
        </w:tc>
        <w:tc>
          <w:tcPr>
            <w:tcW w:w="774"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1</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2</w:t>
            </w:r>
          </w:p>
        </w:tc>
        <w:tc>
          <w:tcPr>
            <w:tcW w:w="60" w:type="dxa"/>
            <w:tcBorders/>
            <w:shd w:fill="auto" w:val="clear"/>
            <w:vAlign w:val="bottom"/>
          </w:tcPr>
          <w:p>
            <w:pPr>
              <w:pStyle w:val="TableContents"/>
              <w:spacing w:before="0" w:after="283"/>
              <w:rPr/>
            </w:pPr>
            <w:r>
              <w:rPr/>
              <w:t> </w:t>
            </w:r>
          </w:p>
        </w:tc>
        <w:tc>
          <w:tcPr>
            <w:tcW w:w="803"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3</w:t>
            </w:r>
          </w:p>
        </w:tc>
      </w:tr>
      <w:tr>
        <w:trPr/>
        <w:tc>
          <w:tcPr>
            <w:tcW w:w="363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Common stock/preferred stock:</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74"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03" w:type="dxa"/>
            <w:gridSpan w:val="5"/>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U.S. companies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Non-U.S. companies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2,200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1,972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Fixed income investments:</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Short-term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Government securities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9" w:type="dxa"/>
            <w:gridSpan w:val="2"/>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Corporate bonds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1,073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1,073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Mortgage/Asset-backed securities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9" w:type="dxa"/>
            <w:gridSpan w:val="2"/>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Insurance contracts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Investments in private funds:</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Private funds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Hedge funds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9" w:type="dxa"/>
            <w:gridSpan w:val="2"/>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Real estate funds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221</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282</w:t>
            </w:r>
          </w:p>
        </w:tc>
        <w:tc>
          <w:tcPr>
            <w:tcW w:w="75" w:type="dxa"/>
            <w:tcBorders/>
            <w:shd w:fill="auto"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73</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tbl>
      <w:tblPr>
        <w:tblW w:w="7362" w:type="dxa"/>
        <w:jc w:val="left"/>
        <w:tblInd w:w="0" w:type="dxa"/>
        <w:tblCellMar>
          <w:top w:w="0" w:type="dxa"/>
          <w:left w:w="0" w:type="dxa"/>
          <w:bottom w:w="0" w:type="dxa"/>
          <w:right w:w="0" w:type="dxa"/>
        </w:tblCellMar>
      </w:tblPr>
      <w:tblGrid>
        <w:gridCol w:w="3635"/>
        <w:gridCol w:w="60"/>
        <w:gridCol w:w="60"/>
        <w:gridCol w:w="155"/>
        <w:gridCol w:w="60"/>
        <w:gridCol w:w="620"/>
        <w:gridCol w:w="60"/>
        <w:gridCol w:w="60"/>
        <w:gridCol w:w="61"/>
        <w:gridCol w:w="158"/>
        <w:gridCol w:w="61"/>
        <w:gridCol w:w="434"/>
        <w:gridCol w:w="60"/>
        <w:gridCol w:w="60"/>
        <w:gridCol w:w="60"/>
        <w:gridCol w:w="155"/>
        <w:gridCol w:w="60"/>
        <w:gridCol w:w="620"/>
        <w:gridCol w:w="60"/>
        <w:gridCol w:w="60"/>
        <w:gridCol w:w="62"/>
        <w:gridCol w:w="161"/>
        <w:gridCol w:w="62"/>
        <w:gridCol w:w="443"/>
        <w:gridCol w:w="75"/>
      </w:tblGrid>
      <w:tr>
        <w:trPr/>
        <w:tc>
          <w:tcPr>
            <w:tcW w:w="3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shd w:fill="auto" w:val="clear"/>
            <w:vAlign w:val="bottom"/>
          </w:tcPr>
          <w:p>
            <w:pPr>
              <w:pStyle w:val="TableContents"/>
              <w:spacing w:before="0" w:after="283"/>
              <w:rPr/>
            </w:pPr>
            <w:r>
              <w:rPr/>
              <w:t> </w:t>
            </w:r>
          </w:p>
        </w:tc>
      </w:tr>
      <w:tr>
        <w:trPr/>
        <w:tc>
          <w:tcPr>
            <w:tcW w:w="363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667"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36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3667" w:type="dxa"/>
            <w:gridSpan w:val="23"/>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 2014</w:t>
            </w:r>
          </w:p>
        </w:tc>
      </w:tr>
      <w:tr>
        <w:trPr/>
        <w:tc>
          <w:tcPr>
            <w:tcW w:w="363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Total</w:t>
            </w:r>
          </w:p>
        </w:tc>
        <w:tc>
          <w:tcPr>
            <w:tcW w:w="60" w:type="dxa"/>
            <w:tcBorders/>
            <w:shd w:fill="auto" w:val="clear"/>
            <w:vAlign w:val="bottom"/>
          </w:tcPr>
          <w:p>
            <w:pPr>
              <w:pStyle w:val="TableContents"/>
              <w:spacing w:before="0" w:after="283"/>
              <w:rPr/>
            </w:pPr>
            <w:r>
              <w:rPr/>
              <w:t> </w:t>
            </w:r>
          </w:p>
        </w:tc>
        <w:tc>
          <w:tcPr>
            <w:tcW w:w="774"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1</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2</w:t>
            </w:r>
          </w:p>
        </w:tc>
        <w:tc>
          <w:tcPr>
            <w:tcW w:w="60" w:type="dxa"/>
            <w:tcBorders/>
            <w:shd w:fill="auto" w:val="clear"/>
            <w:vAlign w:val="bottom"/>
          </w:tcPr>
          <w:p>
            <w:pPr>
              <w:pStyle w:val="TableContents"/>
              <w:spacing w:before="0" w:after="283"/>
              <w:rPr/>
            </w:pPr>
            <w:r>
              <w:rPr/>
              <w:t> </w:t>
            </w:r>
          </w:p>
        </w:tc>
        <w:tc>
          <w:tcPr>
            <w:tcW w:w="803"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Level 3</w:t>
            </w:r>
          </w:p>
        </w:tc>
      </w:tr>
      <w:tr>
        <w:trPr/>
        <w:tc>
          <w:tcPr>
            <w:tcW w:w="363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Common stock/preferred stock:</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74"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03" w:type="dxa"/>
            <w:gridSpan w:val="5"/>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U.S. companies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Non-U.S. companies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1,876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1,651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Fixed income investments:</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Short-term investments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Government securities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9" w:type="dxa"/>
            <w:gridSpan w:val="2"/>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Corporate bonds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857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857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Mortgage/Asset-backed securities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9" w:type="dxa"/>
            <w:gridSpan w:val="2"/>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Insurance contracts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Investments in private funds:</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Private funds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Hedge funds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9" w:type="dxa"/>
            <w:gridSpan w:val="2"/>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223" w:type="dxa"/>
            <w:gridSpan w:val="2"/>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75" w:type="dxa"/>
            <w:tcBorders/>
            <w:shd w:fill="auto" w:val="clear"/>
            <w:vAlign w:val="bottom"/>
          </w:tcPr>
          <w:p>
            <w:pPr>
              <w:pStyle w:val="TableContents"/>
              <w:spacing w:before="0" w:after="283"/>
              <w:rPr/>
            </w:pPr>
            <w:r>
              <w:rPr/>
              <w:t> </w:t>
            </w:r>
          </w:p>
        </w:tc>
      </w:tr>
      <w:tr>
        <w:trPr/>
        <w:tc>
          <w:tcPr>
            <w:tcW w:w="363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Real estate funds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1" w:type="dxa"/>
            <w:tcBorders/>
            <w:shd w:fill="E5FFFF" w:val="clear"/>
            <w:vAlign w:val="bottom"/>
          </w:tcPr>
          <w:p>
            <w:pPr>
              <w:pStyle w:val="TableContents"/>
              <w:spacing w:before="0" w:after="283"/>
              <w:rPr/>
            </w:pPr>
            <w:r>
              <w:rPr/>
              <w:t> </w:t>
            </w:r>
          </w:p>
        </w:tc>
        <w:tc>
          <w:tcPr>
            <w:tcW w:w="219" w:type="dxa"/>
            <w:gridSpan w:val="2"/>
            <w:tcBorders/>
            <w:shd w:fill="E5FFFF" w:val="clear"/>
            <w:vAlign w:val="bottom"/>
          </w:tcPr>
          <w:p>
            <w:pPr>
              <w:pStyle w:val="TableContents"/>
              <w:spacing w:before="0" w:after="283"/>
              <w:rPr/>
            </w:pPr>
            <w:r>
              <w:rPr/>
              <w:t> </w:t>
            </w:r>
          </w:p>
        </w:tc>
        <w:tc>
          <w:tcPr>
            <w:tcW w:w="434"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2" w:type="dxa"/>
            <w:tcBorders/>
            <w:shd w:fill="E5FFFF" w:val="clear"/>
            <w:vAlign w:val="bottom"/>
          </w:tcPr>
          <w:p>
            <w:pPr>
              <w:pStyle w:val="TableContents"/>
              <w:spacing w:before="0" w:after="283"/>
              <w:rPr/>
            </w:pPr>
            <w:r>
              <w:rPr/>
              <w:t> </w:t>
            </w:r>
          </w:p>
        </w:tc>
        <w:tc>
          <w:tcPr>
            <w:tcW w:w="223" w:type="dxa"/>
            <w:gridSpan w:val="2"/>
            <w:tcBorders/>
            <w:shd w:fill="E5FFFF" w:val="clear"/>
            <w:vAlign w:val="bottom"/>
          </w:tcPr>
          <w:p>
            <w:pPr>
              <w:pStyle w:val="TableContents"/>
              <w:spacing w:before="0" w:after="283"/>
              <w:rPr/>
            </w:pPr>
            <w:r>
              <w:rPr/>
              <w:t> </w:t>
            </w:r>
          </w:p>
        </w:tc>
        <w:tc>
          <w:tcPr>
            <w:tcW w:w="44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185</w:t>
            </w:r>
          </w:p>
        </w:tc>
        <w:tc>
          <w:tcPr>
            <w:tcW w:w="75" w:type="dxa"/>
            <w:tcBorders/>
            <w:shd w:fill="E5FFFF"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5,333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1"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4,282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2"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249</w:t>
            </w:r>
          </w:p>
        </w:tc>
        <w:tc>
          <w:tcPr>
            <w:tcW w:w="75" w:type="dxa"/>
            <w:tcBorders/>
            <w:shd w:fill="auto" w:val="clear"/>
            <w:vAlign w:val="bottom"/>
          </w:tcPr>
          <w:p>
            <w:pPr>
              <w:pStyle w:val="TableContents"/>
              <w:spacing w:before="0" w:after="283"/>
              <w:rPr/>
            </w:pPr>
            <w:r>
              <w:rPr/>
              <w:t> </w:t>
            </w:r>
          </w:p>
        </w:tc>
      </w:tr>
      <w:tr>
        <w:trPr/>
        <w:tc>
          <w:tcPr>
            <w:tcW w:w="363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4"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3"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following tables summarize changes in the fair value of Level 3 assets:</w:t>
      </w:r>
    </w:p>
    <w:tbl>
      <w:tblPr>
        <w:tblW w:w="9839" w:type="dxa"/>
        <w:jc w:val="left"/>
        <w:tblInd w:w="0" w:type="dxa"/>
        <w:tblCellMar>
          <w:top w:w="0" w:type="dxa"/>
          <w:left w:w="0" w:type="dxa"/>
          <w:bottom w:w="0" w:type="dxa"/>
          <w:right w:w="0" w:type="dxa"/>
        </w:tblCellMar>
      </w:tblPr>
      <w:tblGrid>
        <w:gridCol w:w="4145"/>
        <w:gridCol w:w="60"/>
        <w:gridCol w:w="60"/>
        <w:gridCol w:w="155"/>
        <w:gridCol w:w="60"/>
        <w:gridCol w:w="620"/>
        <w:gridCol w:w="95"/>
        <w:gridCol w:w="60"/>
        <w:gridCol w:w="60"/>
        <w:gridCol w:w="83"/>
        <w:gridCol w:w="215"/>
        <w:gridCol w:w="83"/>
        <w:gridCol w:w="696"/>
        <w:gridCol w:w="132"/>
        <w:gridCol w:w="86"/>
        <w:gridCol w:w="60"/>
        <w:gridCol w:w="60"/>
        <w:gridCol w:w="155"/>
        <w:gridCol w:w="60"/>
        <w:gridCol w:w="290"/>
        <w:gridCol w:w="95"/>
        <w:gridCol w:w="60"/>
        <w:gridCol w:w="60"/>
        <w:gridCol w:w="81"/>
        <w:gridCol w:w="210"/>
        <w:gridCol w:w="81"/>
        <w:gridCol w:w="576"/>
        <w:gridCol w:w="128"/>
        <w:gridCol w:w="81"/>
        <w:gridCol w:w="60"/>
        <w:gridCol w:w="73"/>
        <w:gridCol w:w="192"/>
        <w:gridCol w:w="73"/>
        <w:gridCol w:w="621"/>
        <w:gridCol w:w="117"/>
        <w:gridCol w:w="96"/>
      </w:tblGrid>
      <w:tr>
        <w:trPr/>
        <w:tc>
          <w:tcPr>
            <w:tcW w:w="4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7"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2" w:type="dxa"/>
            <w:gridSpan w:val="6"/>
            <w:tcBorders/>
            <w:shd w:fill="auto" w:val="clear"/>
            <w:vAlign w:val="bottom"/>
          </w:tcPr>
          <w:p>
            <w:pPr>
              <w:pStyle w:val="TableContents"/>
              <w:spacing w:before="0" w:after="283"/>
              <w:rPr/>
            </w:pPr>
            <w:r>
              <w:rPr/>
              <w:t> </w:t>
            </w:r>
          </w:p>
        </w:tc>
      </w:tr>
      <w:tr>
        <w:trPr/>
        <w:tc>
          <w:tcPr>
            <w:tcW w:w="414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5634" w:type="dxa"/>
            <w:gridSpan w:val="3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r>
      <w:tr>
        <w:trPr/>
        <w:tc>
          <w:tcPr>
            <w:tcW w:w="414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Private</w:t>
              <w:br/>
              <w:t>Funds</w:t>
            </w:r>
          </w:p>
        </w:tc>
        <w:tc>
          <w:tcPr>
            <w:tcW w:w="60" w:type="dxa"/>
            <w:tcBorders/>
            <w:shd w:fill="auto" w:val="clear"/>
            <w:vAlign w:val="bottom"/>
          </w:tcPr>
          <w:p>
            <w:pPr>
              <w:pStyle w:val="TableContents"/>
              <w:spacing w:before="0" w:after="283"/>
              <w:rPr/>
            </w:pPr>
            <w:r>
              <w:rPr/>
              <w:t> </w:t>
            </w:r>
          </w:p>
        </w:tc>
        <w:tc>
          <w:tcPr>
            <w:tcW w:w="129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Direct</w:t>
              <w:br/>
              <w:t>Private</w:t>
              <w:br/>
              <w:t>Investments</w:t>
            </w:r>
          </w:p>
        </w:tc>
        <w:tc>
          <w:tcPr>
            <w:tcW w:w="60" w:type="dxa"/>
            <w:tcBorders/>
            <w:shd w:fill="auto" w:val="clear"/>
            <w:vAlign w:val="bottom"/>
          </w:tcPr>
          <w:p>
            <w:pPr>
              <w:pStyle w:val="TableContents"/>
              <w:spacing w:before="0" w:after="283"/>
              <w:rPr/>
            </w:pPr>
            <w:r>
              <w:rPr/>
              <w:t> </w:t>
            </w:r>
          </w:p>
        </w:tc>
        <w:tc>
          <w:tcPr>
            <w:tcW w:w="72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Hedge</w:t>
              <w:br/>
              <w:t>Funds</w:t>
            </w:r>
          </w:p>
        </w:tc>
        <w:tc>
          <w:tcPr>
            <w:tcW w:w="60" w:type="dxa"/>
            <w:tcBorders/>
            <w:shd w:fill="auto" w:val="clear"/>
            <w:vAlign w:val="bottom"/>
          </w:tcPr>
          <w:p>
            <w:pPr>
              <w:pStyle w:val="TableContents"/>
              <w:spacing w:before="0" w:after="283"/>
              <w:rPr/>
            </w:pPr>
            <w:r>
              <w:rPr/>
              <w:t> </w:t>
            </w:r>
          </w:p>
        </w:tc>
        <w:tc>
          <w:tcPr>
            <w:tcW w:w="1157"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Real Estate</w:t>
              <w:br/>
              <w:t>Funds</w:t>
            </w:r>
          </w:p>
        </w:tc>
        <w:tc>
          <w:tcPr>
            <w:tcW w:w="60" w:type="dxa"/>
            <w:tcBorders/>
            <w:shd w:fill="auto" w:val="clear"/>
            <w:vAlign w:val="bottom"/>
          </w:tcPr>
          <w:p>
            <w:pPr>
              <w:pStyle w:val="TableContents"/>
              <w:spacing w:before="0" w:after="283"/>
              <w:rPr/>
            </w:pPr>
            <w:r>
              <w:rPr/>
              <w:t> </w:t>
            </w:r>
          </w:p>
        </w:tc>
        <w:tc>
          <w:tcPr>
            <w:tcW w:w="1172"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Real Estate</w:t>
              <w:br/>
              <w:t>Properties</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1,058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3" w:type="dxa"/>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278</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c>
          <w:tcPr>
            <w:tcW w:w="5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237</w:t>
            </w:r>
          </w:p>
        </w:tc>
        <w:tc>
          <w:tcPr>
            <w:tcW w:w="20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19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3" w:type="dxa"/>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627</w:t>
            </w:r>
          </w:p>
        </w:tc>
        <w:tc>
          <w:tcPr>
            <w:tcW w:w="213"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Actual return on plan assets:</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7"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2" w:type="dxa"/>
            <w:gridSpan w:val="6"/>
            <w:tcBorders/>
            <w:shd w:fill="auto" w:val="cle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Relating to assets still held at year-end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98" w:type="dxa"/>
            <w:gridSpan w:val="2"/>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13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1" w:type="dxa"/>
            <w:gridSpan w:val="2"/>
            <w:tcBorders/>
            <w:shd w:fill="E5FFFF" w:val="clear"/>
            <w:vAlign w:val="bottom"/>
          </w:tcPr>
          <w:p>
            <w:pPr>
              <w:pStyle w:val="TableContents"/>
              <w:spacing w:before="0" w:after="283"/>
              <w:rPr/>
            </w:pPr>
            <w:r>
              <w:rPr/>
              <w:t> </w:t>
            </w:r>
          </w:p>
        </w:tc>
        <w:tc>
          <w:tcPr>
            <w:tcW w:w="5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w:t>
            </w:r>
          </w:p>
        </w:tc>
        <w:tc>
          <w:tcPr>
            <w:tcW w:w="20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265" w:type="dxa"/>
            <w:gridSpan w:val="2"/>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w:t>
            </w:r>
          </w:p>
        </w:tc>
        <w:tc>
          <w:tcPr>
            <w:tcW w:w="213"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Relating to assets sold during the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98" w:type="dxa"/>
            <w:gridSpan w:val="2"/>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59</w:t>
            </w:r>
          </w:p>
        </w:tc>
        <w:tc>
          <w:tcPr>
            <w:tcW w:w="21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1" w:type="dxa"/>
            <w:gridSpan w:val="2"/>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20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265" w:type="dxa"/>
            <w:gridSpan w:val="2"/>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w:t>
            </w:r>
          </w:p>
        </w:tc>
        <w:tc>
          <w:tcPr>
            <w:tcW w:w="213" w:type="dxa"/>
            <w:gridSpan w:val="2"/>
            <w:tcBorders/>
            <w:shd w:fill="auto" w:val="cle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Purchases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98" w:type="dxa"/>
            <w:gridSpan w:val="2"/>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1" w:type="dxa"/>
            <w:gridSpan w:val="2"/>
            <w:tcBorders/>
            <w:shd w:fill="E5FFFF" w:val="clear"/>
            <w:vAlign w:val="bottom"/>
          </w:tcPr>
          <w:p>
            <w:pPr>
              <w:pStyle w:val="TableContents"/>
              <w:spacing w:before="0" w:after="283"/>
              <w:rPr/>
            </w:pPr>
            <w:r>
              <w:rPr/>
              <w:t> </w:t>
            </w:r>
          </w:p>
        </w:tc>
        <w:tc>
          <w:tcPr>
            <w:tcW w:w="5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w:t>
            </w:r>
          </w:p>
        </w:tc>
        <w:tc>
          <w:tcPr>
            <w:tcW w:w="20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265" w:type="dxa"/>
            <w:gridSpan w:val="2"/>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w:t>
            </w:r>
          </w:p>
        </w:tc>
        <w:tc>
          <w:tcPr>
            <w:tcW w:w="213"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Sales and settlements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98" w:type="dxa"/>
            <w:gridSpan w:val="2"/>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(118</w:t>
            </w:r>
          </w:p>
        </w:tc>
        <w:tc>
          <w:tcPr>
            <w:tcW w:w="13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1" w:type="dxa"/>
            <w:gridSpan w:val="2"/>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w:t>
            </w:r>
          </w:p>
        </w:tc>
        <w:tc>
          <w:tcPr>
            <w:tcW w:w="12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265" w:type="dxa"/>
            <w:gridSpan w:val="2"/>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(128</w:t>
            </w:r>
          </w:p>
        </w:tc>
        <w:tc>
          <w:tcPr>
            <w:tcW w:w="11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6"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7"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2"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98" w:type="dxa"/>
            <w:gridSpan w:val="2"/>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301</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1" w:type="dxa"/>
            <w:gridSpan w:val="2"/>
            <w:tcBorders/>
            <w:shd w:fill="E5FFFF" w:val="clear"/>
            <w:vAlign w:val="bottom"/>
          </w:tcPr>
          <w:p>
            <w:pPr>
              <w:pStyle w:val="TableContents"/>
              <w:spacing w:before="0" w:after="283"/>
              <w:rPr/>
            </w:pPr>
            <w:r>
              <w:rPr/>
              <w:t> </w:t>
            </w:r>
          </w:p>
        </w:tc>
        <w:tc>
          <w:tcPr>
            <w:tcW w:w="5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226</w:t>
            </w:r>
          </w:p>
        </w:tc>
        <w:tc>
          <w:tcPr>
            <w:tcW w:w="20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265" w:type="dxa"/>
            <w:gridSpan w:val="2"/>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600</w:t>
            </w:r>
          </w:p>
        </w:tc>
        <w:tc>
          <w:tcPr>
            <w:tcW w:w="213"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Actual return on plan assets:</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7"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2" w:type="dxa"/>
            <w:gridSpan w:val="6"/>
            <w:tcBorders/>
            <w:shd w:fill="auto" w:val="cle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Relating to assets still held at year-end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98" w:type="dxa"/>
            <w:gridSpan w:val="2"/>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1" w:type="dxa"/>
            <w:gridSpan w:val="2"/>
            <w:tcBorders/>
            <w:shd w:fill="E5FFFF" w:val="clear"/>
            <w:vAlign w:val="bottom"/>
          </w:tcPr>
          <w:p>
            <w:pPr>
              <w:pStyle w:val="TableContents"/>
              <w:spacing w:before="0" w:after="283"/>
              <w:rPr/>
            </w:pPr>
            <w:r>
              <w:rPr/>
              <w:t> </w:t>
            </w:r>
          </w:p>
        </w:tc>
        <w:tc>
          <w:tcPr>
            <w:tcW w:w="5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12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265" w:type="dxa"/>
            <w:gridSpan w:val="2"/>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w:t>
            </w:r>
          </w:p>
        </w:tc>
        <w:tc>
          <w:tcPr>
            <w:tcW w:w="213"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Relating to assets sold during the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98" w:type="dxa"/>
            <w:gridSpan w:val="2"/>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w:t>
            </w:r>
          </w:p>
        </w:tc>
        <w:tc>
          <w:tcPr>
            <w:tcW w:w="218"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1" w:type="dxa"/>
            <w:gridSpan w:val="2"/>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w:t>
            </w:r>
          </w:p>
        </w:tc>
        <w:tc>
          <w:tcPr>
            <w:tcW w:w="20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265" w:type="dxa"/>
            <w:gridSpan w:val="2"/>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w:t>
            </w:r>
          </w:p>
        </w:tc>
        <w:tc>
          <w:tcPr>
            <w:tcW w:w="213" w:type="dxa"/>
            <w:gridSpan w:val="2"/>
            <w:tcBorders/>
            <w:shd w:fill="auto" w:val="cle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Purchases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98" w:type="dxa"/>
            <w:gridSpan w:val="2"/>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242</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1" w:type="dxa"/>
            <w:gridSpan w:val="2"/>
            <w:tcBorders/>
            <w:shd w:fill="E5FFFF" w:val="clear"/>
            <w:vAlign w:val="bottom"/>
          </w:tcPr>
          <w:p>
            <w:pPr>
              <w:pStyle w:val="TableContents"/>
              <w:spacing w:before="0" w:after="283"/>
              <w:rPr/>
            </w:pPr>
            <w:r>
              <w:rPr/>
              <w:t> </w:t>
            </w:r>
          </w:p>
        </w:tc>
        <w:tc>
          <w:tcPr>
            <w:tcW w:w="5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w:t>
            </w:r>
          </w:p>
        </w:tc>
        <w:tc>
          <w:tcPr>
            <w:tcW w:w="20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265" w:type="dxa"/>
            <w:gridSpan w:val="2"/>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w:t>
            </w:r>
          </w:p>
        </w:tc>
        <w:tc>
          <w:tcPr>
            <w:tcW w:w="213"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Sales and settlements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298" w:type="dxa"/>
            <w:gridSpan w:val="2"/>
            <w:tcBorders/>
            <w:shd w:fill="auto" w:val="clear"/>
            <w:vAlign w:val="bottom"/>
          </w:tcPr>
          <w:p>
            <w:pPr>
              <w:pStyle w:val="TableContents"/>
              <w:spacing w:before="0" w:after="283"/>
              <w:rPr/>
            </w:pPr>
            <w:r>
              <w:rPr/>
              <w:t> </w:t>
            </w:r>
          </w:p>
        </w:tc>
        <w:tc>
          <w:tcPr>
            <w:tcW w:w="6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(76</w:t>
            </w:r>
          </w:p>
        </w:tc>
        <w:tc>
          <w:tcPr>
            <w:tcW w:w="132"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1" w:type="dxa"/>
            <w:gridSpan w:val="2"/>
            <w:tcBorders/>
            <w:shd w:fill="auto" w:val="clear"/>
            <w:vAlign w:val="bottom"/>
          </w:tcPr>
          <w:p>
            <w:pPr>
              <w:pStyle w:val="TableContents"/>
              <w:spacing w:before="0" w:after="283"/>
              <w:rPr/>
            </w:pPr>
            <w:r>
              <w:rPr/>
              <w:t> </w:t>
            </w:r>
          </w:p>
        </w:tc>
        <w:tc>
          <w:tcPr>
            <w:tcW w:w="57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(59</w:t>
            </w:r>
          </w:p>
        </w:tc>
        <w:tc>
          <w:tcPr>
            <w:tcW w:w="12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265" w:type="dxa"/>
            <w:gridSpan w:val="2"/>
            <w:tcBorders/>
            <w:shd w:fill="auto" w:val="clear"/>
            <w:vAlign w:val="bottom"/>
          </w:tcPr>
          <w:p>
            <w:pPr>
              <w:pStyle w:val="TableContents"/>
              <w:spacing w:before="0" w:after="283"/>
              <w:rPr/>
            </w:pPr>
            <w:r>
              <w:rPr/>
              <w:t> </w:t>
            </w:r>
          </w:p>
        </w:tc>
        <w:tc>
          <w:tcPr>
            <w:tcW w:w="62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117"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96"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7"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2"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889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3" w:type="dxa"/>
            <w:tcBorders/>
            <w:shd w:fill="E5FFFF" w:val="clear"/>
            <w:vAlign w:val="bottom"/>
          </w:tcPr>
          <w:p>
            <w:pPr>
              <w:pStyle w:val="TableContents"/>
              <w:spacing w:before="0" w:after="283"/>
              <w:rPr/>
            </w:pPr>
            <w:r>
              <w:rPr/>
              <w:t> </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3" w:type="dxa"/>
            <w:tcBorders/>
            <w:shd w:fill="E5FFFF" w:val="clear"/>
            <w:vAlign w:val="bottom"/>
          </w:tcPr>
          <w:p>
            <w:pPr>
              <w:pStyle w:val="TableContents"/>
              <w:spacing w:before="0" w:after="283"/>
              <w:rPr/>
            </w:pPr>
            <w:r>
              <w:rPr/>
              <w:t> </w:t>
            </w:r>
          </w:p>
        </w:tc>
        <w:tc>
          <w:tcPr>
            <w:tcW w:w="6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535</w:t>
            </w:r>
          </w:p>
        </w:tc>
        <w:tc>
          <w:tcPr>
            <w:tcW w:w="218"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29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1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c>
          <w:tcPr>
            <w:tcW w:w="57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156</w:t>
            </w:r>
          </w:p>
        </w:tc>
        <w:tc>
          <w:tcPr>
            <w:tcW w:w="209"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73" w:type="dxa"/>
            <w:tcBorders/>
            <w:shd w:fill="E5FFFF" w:val="clear"/>
            <w:vAlign w:val="bottom"/>
          </w:tcPr>
          <w:p>
            <w:pPr>
              <w:pStyle w:val="TableContents"/>
              <w:spacing w:before="0" w:after="283"/>
              <w:rPr/>
            </w:pPr>
            <w:r>
              <w:rPr/>
              <w:t> </w:t>
            </w:r>
          </w:p>
        </w:tc>
        <w:tc>
          <w:tcPr>
            <w:tcW w:w="192"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3" w:type="dxa"/>
            <w:tcBorders/>
            <w:shd w:fill="E5FFFF" w:val="clear"/>
            <w:vAlign w:val="bottom"/>
          </w:tcPr>
          <w:p>
            <w:pPr>
              <w:pStyle w:val="TableContents"/>
              <w:spacing w:before="0" w:after="283"/>
              <w:rPr/>
            </w:pPr>
            <w:r>
              <w:rPr/>
              <w:t> </w:t>
            </w:r>
          </w:p>
        </w:tc>
        <w:tc>
          <w:tcPr>
            <w:tcW w:w="62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626</w:t>
            </w:r>
          </w:p>
        </w:tc>
        <w:tc>
          <w:tcPr>
            <w:tcW w:w="213"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7"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2"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74</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tbl>
      <w:tblPr>
        <w:tblW w:w="7088" w:type="dxa"/>
        <w:jc w:val="left"/>
        <w:tblInd w:w="0" w:type="dxa"/>
        <w:tblCellMar>
          <w:top w:w="0" w:type="dxa"/>
          <w:left w:w="0" w:type="dxa"/>
          <w:bottom w:w="0" w:type="dxa"/>
          <w:right w:w="0" w:type="dxa"/>
        </w:tblCellMar>
      </w:tblPr>
      <w:tblGrid>
        <w:gridCol w:w="4145"/>
        <w:gridCol w:w="60"/>
        <w:gridCol w:w="60"/>
        <w:gridCol w:w="155"/>
        <w:gridCol w:w="60"/>
        <w:gridCol w:w="365"/>
        <w:gridCol w:w="95"/>
        <w:gridCol w:w="60"/>
        <w:gridCol w:w="60"/>
        <w:gridCol w:w="60"/>
        <w:gridCol w:w="155"/>
        <w:gridCol w:w="60"/>
        <w:gridCol w:w="365"/>
        <w:gridCol w:w="95"/>
        <w:gridCol w:w="60"/>
        <w:gridCol w:w="60"/>
        <w:gridCol w:w="81"/>
        <w:gridCol w:w="209"/>
        <w:gridCol w:w="81"/>
        <w:gridCol w:w="573"/>
        <w:gridCol w:w="128"/>
        <w:gridCol w:w="101"/>
      </w:tblGrid>
      <w:tr>
        <w:trPr/>
        <w:tc>
          <w:tcPr>
            <w:tcW w:w="4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gridSpan w:val="6"/>
            <w:tcBorders/>
            <w:shd w:fill="auto" w:val="clear"/>
            <w:vAlign w:val="bottom"/>
          </w:tcPr>
          <w:p>
            <w:pPr>
              <w:pStyle w:val="TableContents"/>
              <w:spacing w:before="0" w:after="283"/>
              <w:rPr/>
            </w:pPr>
            <w:r>
              <w:rPr/>
              <w:t> </w:t>
            </w:r>
          </w:p>
        </w:tc>
      </w:tr>
      <w:tr>
        <w:trPr/>
        <w:tc>
          <w:tcPr>
            <w:tcW w:w="414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883"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414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79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Private</w:t>
              <w:br/>
              <w:t>Funds</w:t>
            </w:r>
          </w:p>
        </w:tc>
        <w:tc>
          <w:tcPr>
            <w:tcW w:w="60" w:type="dxa"/>
            <w:tcBorders/>
            <w:shd w:fill="auto" w:val="clear"/>
            <w:vAlign w:val="bottom"/>
          </w:tcPr>
          <w:p>
            <w:pPr>
              <w:pStyle w:val="TableContents"/>
              <w:spacing w:before="0" w:after="283"/>
              <w:rPr/>
            </w:pPr>
            <w:r>
              <w:rPr/>
              <w:t> </w:t>
            </w:r>
          </w:p>
        </w:tc>
        <w:tc>
          <w:tcPr>
            <w:tcW w:w="79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Hedge</w:t>
              <w:br/>
              <w:t>Funds</w:t>
            </w:r>
          </w:p>
        </w:tc>
        <w:tc>
          <w:tcPr>
            <w:tcW w:w="60" w:type="dxa"/>
            <w:tcBorders/>
            <w:shd w:fill="auto" w:val="clear"/>
            <w:vAlign w:val="bottom"/>
          </w:tcPr>
          <w:p>
            <w:pPr>
              <w:pStyle w:val="TableContents"/>
              <w:spacing w:before="0" w:after="283"/>
              <w:rPr/>
            </w:pPr>
            <w:r>
              <w:rPr/>
              <w:t> </w:t>
            </w:r>
          </w:p>
        </w:tc>
        <w:tc>
          <w:tcPr>
            <w:tcW w:w="1173"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Real Estate</w:t>
              <w:br/>
              <w:t>Funds</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0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181</w:t>
            </w:r>
          </w:p>
        </w:tc>
        <w:tc>
          <w:tcPr>
            <w:tcW w:w="229"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Actual return on plan assets:</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gridSpan w:val="6"/>
            <w:tcBorders/>
            <w:shd w:fill="auto" w:val="cle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Relating to assets still held at year-end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0" w:type="dxa"/>
            <w:gridSpan w:val="2"/>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w:t>
            </w:r>
          </w:p>
        </w:tc>
        <w:tc>
          <w:tcPr>
            <w:tcW w:w="229"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Relating to assets sold during the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0" w:type="dxa"/>
            <w:gridSpan w:val="2"/>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w:t>
            </w:r>
          </w:p>
        </w:tc>
        <w:tc>
          <w:tcPr>
            <w:tcW w:w="229" w:type="dxa"/>
            <w:gridSpan w:val="2"/>
            <w:tcBorders/>
            <w:shd w:fill="auto" w:val="cle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Purchases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0" w:type="dxa"/>
            <w:gridSpan w:val="2"/>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w:t>
            </w:r>
          </w:p>
        </w:tc>
        <w:tc>
          <w:tcPr>
            <w:tcW w:w="229"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Sales and settlements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0" w:type="dxa"/>
            <w:gridSpan w:val="2"/>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w:t>
            </w:r>
          </w:p>
        </w:tc>
        <w:tc>
          <w:tcPr>
            <w:tcW w:w="12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1"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0" w:type="dxa"/>
            <w:gridSpan w:val="2"/>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185</w:t>
            </w:r>
          </w:p>
        </w:tc>
        <w:tc>
          <w:tcPr>
            <w:tcW w:w="229"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Actual return on plan assets:</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gridSpan w:val="6"/>
            <w:tcBorders/>
            <w:shd w:fill="auto" w:val="cle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Relating to assets still held at year-end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0" w:type="dxa"/>
            <w:gridSpan w:val="2"/>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w:t>
            </w:r>
          </w:p>
        </w:tc>
        <w:tc>
          <w:tcPr>
            <w:tcW w:w="229"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Relating to assets sold during the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0" w:type="dxa"/>
            <w:gridSpan w:val="2"/>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w:t>
            </w:r>
          </w:p>
        </w:tc>
        <w:tc>
          <w:tcPr>
            <w:tcW w:w="12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1" w:type="dxa"/>
            <w:tcBorders/>
            <w:shd w:fill="auto" w:val="cle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Purchases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90" w:type="dxa"/>
            <w:gridSpan w:val="2"/>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41</w:t>
            </w:r>
          </w:p>
        </w:tc>
        <w:tc>
          <w:tcPr>
            <w:tcW w:w="229"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Sales and settlements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90" w:type="dxa"/>
            <w:gridSpan w:val="2"/>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w:t>
            </w:r>
          </w:p>
        </w:tc>
        <w:tc>
          <w:tcPr>
            <w:tcW w:w="128"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1"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14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Balance at December 31, 2015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36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0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c>
          <w:tcPr>
            <w:tcW w:w="573"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221</w:t>
            </w:r>
          </w:p>
        </w:tc>
        <w:tc>
          <w:tcPr>
            <w:tcW w:w="229" w:type="dxa"/>
            <w:gridSpan w:val="2"/>
            <w:tcBorders/>
            <w:shd w:fill="E5FF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3"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Company enters into futures contracts to gain exposure to certain markets. Sufficient cash or cash equivalents are held by our pension plans to cover the notional value of the futures contracts. At December 31, 2015 and 2014, our U.S. plans had contracts with notional amounts of $2,613 million and $2,354 million. At December 31, 2015 and 2014, our non-U.S. plans had contracts with notional amounts of $54 million and $65 million. In both our U.S. and non-U.S. pension plans, the notional derivative exposure is primarily related to outstanding equity futures contracts.</w:t>
      </w:r>
    </w:p>
    <w:p>
      <w:pPr>
        <w:pStyle w:val="TextBody"/>
        <w:spacing w:before="119" w:after="119"/>
        <w:ind w:left="119" w:right="119" w:firstLine="397"/>
        <w:jc w:val="both"/>
        <w:rPr>
          <w:rFonts w:ascii="sans-serif" w:hAnsi="sans-serif"/>
          <w:sz w:val="22"/>
        </w:rPr>
      </w:pPr>
      <w:r>
        <w:rPr>
          <w:rFonts w:ascii="sans-serif" w:hAnsi="sans-serif"/>
          <w:sz w:val="22"/>
        </w:rPr>
        <w:t>Common stocks, preferred stocks, real estate investment trusts, and short-term investments are valued at the closing price reported in the active market in which the individual securities are traded. Corporate bonds, mortgages, 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commingled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w:t>
      </w:r>
    </w:p>
    <w:p>
      <w:pPr>
        <w:pStyle w:val="TextBody"/>
        <w:spacing w:before="119" w:after="119"/>
        <w:ind w:left="119" w:right="119" w:firstLine="397"/>
        <w:jc w:val="both"/>
        <w:rPr>
          <w:rFonts w:ascii="sans-serif" w:hAnsi="sans-serif"/>
          <w:sz w:val="22"/>
        </w:rPr>
      </w:pPr>
      <w:r>
        <w:rPr>
          <w:rFonts w:ascii="sans-serif" w:hAnsi="sans-serif"/>
          <w:sz w:val="22"/>
        </w:rPr>
        <w:t>Our general funding policy for qualified defined benefit pension plans is to contribute amounts at least sufficient to satisfy regulatory funding standards. In 2015, 2014 and 2013, we were not required to make contributions to our U.S. pension plans and no contributions were made. We are not required to make any contributions to our U.S. pension plans in 2016. In 2015, contributions of $139 million were made to our non-U.S. pension plans to satisfy regulatory funding requirements. In 2016, we expect to make contributions of cash and/or marketable securities of approximately $160 million to our non-U.S. pension plans to satisfy regulatory funding standards. Contributions for both our U.S. and non-U.S. pension plans do not reflect benefits paid directly from Company assets.</w:t>
      </w:r>
    </w:p>
    <w:p>
      <w:pPr>
        <w:pStyle w:val="TextBody"/>
        <w:spacing w:before="119" w:after="119"/>
        <w:ind w:left="119" w:right="119" w:hanging="0"/>
        <w:jc w:val="center"/>
        <w:rPr>
          <w:rFonts w:ascii="sans-serif" w:hAnsi="sans-serif"/>
          <w:sz w:val="22"/>
        </w:rPr>
      </w:pPr>
      <w:r>
        <w:rPr>
          <w:rFonts w:ascii="sans-serif" w:hAnsi="sans-serif"/>
          <w:sz w:val="22"/>
        </w:rPr>
        <w:t>75</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Benefit payments, including amounts to be paid from Company assets, and reflecting expected future service, as appropriate, are expected to be paid as follows:</w:t>
      </w:r>
    </w:p>
    <w:tbl>
      <w:tblPr>
        <w:tblW w:w="4007" w:type="dxa"/>
        <w:jc w:val="left"/>
        <w:tblInd w:w="0" w:type="dxa"/>
        <w:tblCellMar>
          <w:top w:w="0" w:type="dxa"/>
          <w:left w:w="0" w:type="dxa"/>
          <w:bottom w:w="0" w:type="dxa"/>
          <w:right w:w="0" w:type="dxa"/>
        </w:tblCellMar>
      </w:tblPr>
      <w:tblGrid>
        <w:gridCol w:w="1190"/>
        <w:gridCol w:w="60"/>
        <w:gridCol w:w="69"/>
        <w:gridCol w:w="180"/>
        <w:gridCol w:w="69"/>
        <w:gridCol w:w="722"/>
        <w:gridCol w:w="60"/>
        <w:gridCol w:w="60"/>
        <w:gridCol w:w="102"/>
        <w:gridCol w:w="263"/>
        <w:gridCol w:w="102"/>
        <w:gridCol w:w="1055"/>
        <w:gridCol w:w="75"/>
      </w:tblGrid>
      <w:tr>
        <w:trPr/>
        <w:tc>
          <w:tcPr>
            <w:tcW w:w="1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7" w:type="dxa"/>
            <w:gridSpan w:val="5"/>
            <w:tcBorders/>
            <w:shd w:fill="auto" w:val="clear"/>
            <w:vAlign w:val="bottom"/>
          </w:tcPr>
          <w:p>
            <w:pPr>
              <w:pStyle w:val="TableContents"/>
              <w:spacing w:before="0" w:after="283"/>
              <w:rPr/>
            </w:pPr>
            <w:r>
              <w:rPr/>
              <w:t> </w:t>
            </w:r>
          </w:p>
        </w:tc>
      </w:tr>
      <w:tr>
        <w:trPr/>
        <w:tc>
          <w:tcPr>
            <w:tcW w:w="119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10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U.S. Plans</w:t>
            </w:r>
          </w:p>
        </w:tc>
        <w:tc>
          <w:tcPr>
            <w:tcW w:w="60" w:type="dxa"/>
            <w:tcBorders/>
            <w:shd w:fill="auto" w:val="clear"/>
            <w:vAlign w:val="bottom"/>
          </w:tcPr>
          <w:p>
            <w:pPr>
              <w:pStyle w:val="TableContents"/>
              <w:spacing w:before="0" w:after="283"/>
              <w:rPr/>
            </w:pPr>
            <w:r>
              <w:rPr/>
              <w:t> </w:t>
            </w:r>
          </w:p>
        </w:tc>
        <w:tc>
          <w:tcPr>
            <w:tcW w:w="1597"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Non-U.S. Plans</w:t>
            </w:r>
          </w:p>
        </w:tc>
      </w:tr>
      <w:tr>
        <w:trPr/>
        <w:tc>
          <w:tcPr>
            <w:tcW w:w="11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2016</w:t>
            </w:r>
          </w:p>
        </w:tc>
        <w:tc>
          <w:tcPr>
            <w:tcW w:w="60" w:type="dxa"/>
            <w:tcBorders/>
            <w:shd w:fill="E5FFFF" w:val="clear"/>
            <w:vAlign w:val="bottom"/>
          </w:tcPr>
          <w:p>
            <w:pPr>
              <w:pStyle w:val="TableContents"/>
              <w:spacing w:before="0" w:after="283"/>
              <w:rPr/>
            </w:pPr>
            <w:r>
              <w:rPr/>
              <w:t> </w:t>
            </w:r>
          </w:p>
        </w:tc>
        <w:tc>
          <w:tcPr>
            <w:tcW w:w="69" w:type="dxa"/>
            <w:tcBorders/>
            <w:shd w:fill="E5FFFF" w:val="clear"/>
            <w:vAlign w:val="bottom"/>
          </w:tcPr>
          <w:p>
            <w:pPr>
              <w:pStyle w:val="TableContents"/>
              <w:spacing w:before="0" w:after="283"/>
              <w:rPr/>
            </w:pPr>
            <w:r>
              <w:rPr/>
              <w:t> </w:t>
            </w:r>
          </w:p>
        </w:tc>
        <w:tc>
          <w:tcPr>
            <w:tcW w:w="18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9" w:type="dxa"/>
            <w:tcBorders/>
            <w:shd w:fill="E5FFFF" w:val="clear"/>
            <w:vAlign w:val="bottom"/>
          </w:tcPr>
          <w:p>
            <w:pPr>
              <w:pStyle w:val="TableContents"/>
              <w:spacing w:before="0" w:after="283"/>
              <w:rPr/>
            </w:pPr>
            <w:r>
              <w:rPr/>
              <w:t> </w:t>
            </w:r>
          </w:p>
        </w:tc>
        <w:tc>
          <w:tcPr>
            <w:tcW w:w="72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1,151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2" w:type="dxa"/>
            <w:tcBorders/>
            <w:shd w:fill="E5FFFF" w:val="clear"/>
            <w:vAlign w:val="bottom"/>
          </w:tcPr>
          <w:p>
            <w:pPr>
              <w:pStyle w:val="TableContents"/>
              <w:spacing w:before="0" w:after="283"/>
              <w:rPr/>
            </w:pPr>
            <w:r>
              <w:rPr/>
              <w:t> </w:t>
            </w:r>
          </w:p>
        </w:tc>
        <w:tc>
          <w:tcPr>
            <w:tcW w:w="263"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02" w:type="dxa"/>
            <w:tcBorders/>
            <w:shd w:fill="E5FFFF" w:val="clear"/>
            <w:vAlign w:val="bottom"/>
          </w:tcPr>
          <w:p>
            <w:pPr>
              <w:pStyle w:val="TableContents"/>
              <w:spacing w:before="0" w:after="283"/>
              <w:rPr/>
            </w:pPr>
            <w:r>
              <w:rPr/>
              <w:t> </w:t>
            </w:r>
          </w:p>
        </w:tc>
        <w:tc>
          <w:tcPr>
            <w:tcW w:w="10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243</w:t>
            </w:r>
          </w:p>
        </w:tc>
        <w:tc>
          <w:tcPr>
            <w:tcW w:w="75" w:type="dxa"/>
            <w:tcBorders/>
            <w:shd w:fill="E5FFFF" w:val="clear"/>
            <w:vAlign w:val="bottom"/>
          </w:tcPr>
          <w:p>
            <w:pPr>
              <w:pStyle w:val="TableContents"/>
              <w:spacing w:before="0" w:after="283"/>
              <w:rPr/>
            </w:pPr>
            <w:r>
              <w:rPr/>
              <w:t> </w:t>
            </w:r>
          </w:p>
        </w:tc>
      </w:tr>
      <w:tr>
        <w:trPr/>
        <w:tc>
          <w:tcPr>
            <w:tcW w:w="11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2017</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249" w:type="dxa"/>
            <w:gridSpan w:val="2"/>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65" w:type="dxa"/>
            <w:gridSpan w:val="2"/>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252</w:t>
            </w:r>
          </w:p>
        </w:tc>
        <w:tc>
          <w:tcPr>
            <w:tcW w:w="75" w:type="dxa"/>
            <w:tcBorders/>
            <w:shd w:fill="auto" w:val="clear"/>
            <w:vAlign w:val="bottom"/>
          </w:tcPr>
          <w:p>
            <w:pPr>
              <w:pStyle w:val="TableContents"/>
              <w:spacing w:before="0" w:after="283"/>
              <w:rPr/>
            </w:pPr>
            <w:r>
              <w:rPr/>
              <w:t> </w:t>
            </w:r>
          </w:p>
        </w:tc>
      </w:tr>
      <w:tr>
        <w:trPr/>
        <w:tc>
          <w:tcPr>
            <w:tcW w:w="11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2018</w:t>
            </w:r>
          </w:p>
        </w:tc>
        <w:tc>
          <w:tcPr>
            <w:tcW w:w="60" w:type="dxa"/>
            <w:tcBorders/>
            <w:shd w:fill="E5FFFF" w:val="clear"/>
            <w:vAlign w:val="bottom"/>
          </w:tcPr>
          <w:p>
            <w:pPr>
              <w:pStyle w:val="TableContents"/>
              <w:spacing w:before="0" w:after="283"/>
              <w:rPr/>
            </w:pPr>
            <w:r>
              <w:rPr/>
              <w:t> </w:t>
            </w:r>
          </w:p>
        </w:tc>
        <w:tc>
          <w:tcPr>
            <w:tcW w:w="69" w:type="dxa"/>
            <w:tcBorders/>
            <w:shd w:fill="E5FFFF" w:val="clear"/>
            <w:vAlign w:val="bottom"/>
          </w:tcPr>
          <w:p>
            <w:pPr>
              <w:pStyle w:val="TableContents"/>
              <w:spacing w:before="0" w:after="283"/>
              <w:rPr/>
            </w:pPr>
            <w:r>
              <w:rPr/>
              <w:t> </w:t>
            </w:r>
          </w:p>
        </w:tc>
        <w:tc>
          <w:tcPr>
            <w:tcW w:w="249" w:type="dxa"/>
            <w:gridSpan w:val="2"/>
            <w:tcBorders/>
            <w:shd w:fill="E5FFFF" w:val="clear"/>
            <w:vAlign w:val="bottom"/>
          </w:tcPr>
          <w:p>
            <w:pPr>
              <w:pStyle w:val="TableContents"/>
              <w:spacing w:before="0" w:after="283"/>
              <w:rPr/>
            </w:pPr>
            <w:r>
              <w:rPr/>
              <w:t> </w:t>
            </w:r>
          </w:p>
        </w:tc>
        <w:tc>
          <w:tcPr>
            <w:tcW w:w="72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1,138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2" w:type="dxa"/>
            <w:tcBorders/>
            <w:shd w:fill="E5FFFF" w:val="clear"/>
            <w:vAlign w:val="bottom"/>
          </w:tcPr>
          <w:p>
            <w:pPr>
              <w:pStyle w:val="TableContents"/>
              <w:spacing w:before="0" w:after="283"/>
              <w:rPr/>
            </w:pPr>
            <w:r>
              <w:rPr/>
              <w:t> </w:t>
            </w:r>
          </w:p>
        </w:tc>
        <w:tc>
          <w:tcPr>
            <w:tcW w:w="365" w:type="dxa"/>
            <w:gridSpan w:val="2"/>
            <w:tcBorders/>
            <w:shd w:fill="E5FFFF" w:val="clear"/>
            <w:vAlign w:val="bottom"/>
          </w:tcPr>
          <w:p>
            <w:pPr>
              <w:pStyle w:val="TableContents"/>
              <w:spacing w:before="0" w:after="283"/>
              <w:rPr/>
            </w:pPr>
            <w:r>
              <w:rPr/>
              <w:t> </w:t>
            </w:r>
          </w:p>
        </w:tc>
        <w:tc>
          <w:tcPr>
            <w:tcW w:w="10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258</w:t>
            </w:r>
          </w:p>
        </w:tc>
        <w:tc>
          <w:tcPr>
            <w:tcW w:w="75" w:type="dxa"/>
            <w:tcBorders/>
            <w:shd w:fill="E5FFFF" w:val="clear"/>
            <w:vAlign w:val="bottom"/>
          </w:tcPr>
          <w:p>
            <w:pPr>
              <w:pStyle w:val="TableContents"/>
              <w:spacing w:before="0" w:after="283"/>
              <w:rPr/>
            </w:pPr>
            <w:r>
              <w:rPr/>
              <w:t> </w:t>
            </w:r>
          </w:p>
        </w:tc>
      </w:tr>
      <w:tr>
        <w:trPr/>
        <w:tc>
          <w:tcPr>
            <w:tcW w:w="11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2019</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249" w:type="dxa"/>
            <w:gridSpan w:val="2"/>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1,153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65" w:type="dxa"/>
            <w:gridSpan w:val="2"/>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265</w:t>
            </w:r>
          </w:p>
        </w:tc>
        <w:tc>
          <w:tcPr>
            <w:tcW w:w="75" w:type="dxa"/>
            <w:tcBorders/>
            <w:shd w:fill="auto" w:val="clear"/>
            <w:vAlign w:val="bottom"/>
          </w:tcPr>
          <w:p>
            <w:pPr>
              <w:pStyle w:val="TableContents"/>
              <w:spacing w:before="0" w:after="283"/>
              <w:rPr/>
            </w:pPr>
            <w:r>
              <w:rPr/>
              <w:t> </w:t>
            </w:r>
          </w:p>
        </w:tc>
      </w:tr>
      <w:tr>
        <w:trPr/>
        <w:tc>
          <w:tcPr>
            <w:tcW w:w="11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2020</w:t>
            </w:r>
          </w:p>
        </w:tc>
        <w:tc>
          <w:tcPr>
            <w:tcW w:w="60" w:type="dxa"/>
            <w:tcBorders/>
            <w:shd w:fill="E5FFFF" w:val="clear"/>
            <w:vAlign w:val="bottom"/>
          </w:tcPr>
          <w:p>
            <w:pPr>
              <w:pStyle w:val="TableContents"/>
              <w:spacing w:before="0" w:after="283"/>
              <w:rPr/>
            </w:pPr>
            <w:r>
              <w:rPr/>
              <w:t> </w:t>
            </w:r>
          </w:p>
        </w:tc>
        <w:tc>
          <w:tcPr>
            <w:tcW w:w="69" w:type="dxa"/>
            <w:tcBorders/>
            <w:shd w:fill="E5FFFF" w:val="clear"/>
            <w:vAlign w:val="bottom"/>
          </w:tcPr>
          <w:p>
            <w:pPr>
              <w:pStyle w:val="TableContents"/>
              <w:spacing w:before="0" w:after="283"/>
              <w:rPr/>
            </w:pPr>
            <w:r>
              <w:rPr/>
              <w:t> </w:t>
            </w:r>
          </w:p>
        </w:tc>
        <w:tc>
          <w:tcPr>
            <w:tcW w:w="249" w:type="dxa"/>
            <w:gridSpan w:val="2"/>
            <w:tcBorders/>
            <w:shd w:fill="E5FFFF" w:val="clear"/>
            <w:vAlign w:val="bottom"/>
          </w:tcPr>
          <w:p>
            <w:pPr>
              <w:pStyle w:val="TableContents"/>
              <w:spacing w:before="0" w:after="283"/>
              <w:rPr/>
            </w:pPr>
            <w:r>
              <w:rPr/>
              <w:t> </w:t>
            </w:r>
          </w:p>
        </w:tc>
        <w:tc>
          <w:tcPr>
            <w:tcW w:w="722"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1,166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2" w:type="dxa"/>
            <w:tcBorders/>
            <w:shd w:fill="E5FFFF" w:val="clear"/>
            <w:vAlign w:val="bottom"/>
          </w:tcPr>
          <w:p>
            <w:pPr>
              <w:pStyle w:val="TableContents"/>
              <w:spacing w:before="0" w:after="283"/>
              <w:rPr/>
            </w:pPr>
            <w:r>
              <w:rPr/>
              <w:t> </w:t>
            </w:r>
          </w:p>
        </w:tc>
        <w:tc>
          <w:tcPr>
            <w:tcW w:w="365" w:type="dxa"/>
            <w:gridSpan w:val="2"/>
            <w:tcBorders/>
            <w:shd w:fill="E5FFFF" w:val="clear"/>
            <w:vAlign w:val="bottom"/>
          </w:tcPr>
          <w:p>
            <w:pPr>
              <w:pStyle w:val="TableContents"/>
              <w:spacing w:before="0" w:after="283"/>
              <w:rPr/>
            </w:pPr>
            <w:r>
              <w:rPr/>
              <w:t> </w:t>
            </w:r>
          </w:p>
        </w:tc>
        <w:tc>
          <w:tcPr>
            <w:tcW w:w="10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272</w:t>
            </w:r>
          </w:p>
        </w:tc>
        <w:tc>
          <w:tcPr>
            <w:tcW w:w="75" w:type="dxa"/>
            <w:tcBorders/>
            <w:shd w:fill="E5FFFF" w:val="clear"/>
            <w:vAlign w:val="bottom"/>
          </w:tcPr>
          <w:p>
            <w:pPr>
              <w:pStyle w:val="TableContents"/>
              <w:spacing w:before="0" w:after="283"/>
              <w:rPr/>
            </w:pPr>
            <w:r>
              <w:rPr/>
              <w:t> </w:t>
            </w:r>
          </w:p>
        </w:tc>
      </w:tr>
      <w:tr>
        <w:trPr/>
        <w:tc>
          <w:tcPr>
            <w:tcW w:w="11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2021-2025</w:t>
            </w:r>
          </w:p>
        </w:tc>
        <w:tc>
          <w:tcPr>
            <w:tcW w:w="60"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249" w:type="dxa"/>
            <w:gridSpan w:val="2"/>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5,922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365" w:type="dxa"/>
            <w:gridSpan w:val="2"/>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1,474</w:t>
            </w:r>
          </w:p>
        </w:tc>
        <w:tc>
          <w:tcPr>
            <w:tcW w:w="75" w:type="dxa"/>
            <w:tcBorders/>
            <w:shd w:fill="auto" w:val="cle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Other Postretirement Benefits</w:t>
      </w:r>
    </w:p>
    <w:tbl>
      <w:tblPr>
        <w:tblW w:w="8575" w:type="dxa"/>
        <w:jc w:val="left"/>
        <w:tblInd w:w="0" w:type="dxa"/>
        <w:tblCellMar>
          <w:top w:w="0" w:type="dxa"/>
          <w:left w:w="0" w:type="dxa"/>
          <w:bottom w:w="0" w:type="dxa"/>
          <w:right w:w="0" w:type="dxa"/>
        </w:tblCellMar>
      </w:tblPr>
      <w:tblGrid>
        <w:gridCol w:w="6530"/>
        <w:gridCol w:w="60"/>
        <w:gridCol w:w="60"/>
        <w:gridCol w:w="60"/>
        <w:gridCol w:w="560"/>
        <w:gridCol w:w="215"/>
        <w:gridCol w:w="60"/>
        <w:gridCol w:w="60"/>
        <w:gridCol w:w="60"/>
        <w:gridCol w:w="60"/>
        <w:gridCol w:w="560"/>
        <w:gridCol w:w="215"/>
        <w:gridCol w:w="75"/>
      </w:tblGrid>
      <w:tr>
        <w:trPr/>
        <w:tc>
          <w:tcPr>
            <w:tcW w:w="65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653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985" w:type="dxa"/>
            <w:gridSpan w:val="11"/>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653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653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Assumed health care cost trend rate:</w:t>
            </w:r>
          </w:p>
        </w:tc>
        <w:tc>
          <w:tcPr>
            <w:tcW w:w="60" w:type="dxa"/>
            <w:tcBorders/>
            <w:shd w:fill="E5FFFF" w:val="clear"/>
            <w:vAlign w:val="bottom"/>
          </w:tcPr>
          <w:p>
            <w:pPr>
              <w:pStyle w:val="TableContents"/>
              <w:spacing w:before="0" w:after="283"/>
              <w:rPr/>
            </w:pPr>
            <w:r>
              <w:rPr/>
              <w:t> </w:t>
            </w:r>
          </w:p>
        </w:tc>
        <w:tc>
          <w:tcPr>
            <w:tcW w:w="955"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970" w:type="dxa"/>
            <w:gridSpan w:val="5"/>
            <w:tcBorders/>
            <w:shd w:fill="E5FFFF" w:val="clear"/>
            <w:vAlign w:val="bottom"/>
          </w:tcPr>
          <w:p>
            <w:pPr>
              <w:pStyle w:val="TableContents"/>
              <w:spacing w:before="0" w:after="283"/>
              <w:rPr/>
            </w:pPr>
            <w:r>
              <w:rPr/>
              <w:t> </w:t>
            </w:r>
          </w:p>
        </w:tc>
      </w:tr>
      <w:tr>
        <w:trPr/>
        <w:tc>
          <w:tcPr>
            <w:tcW w:w="653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Health care cost trend rate assumed for next 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7.00</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7.00</w:t>
            </w:r>
          </w:p>
        </w:tc>
        <w:tc>
          <w:tcPr>
            <w:tcW w:w="21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53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Rate that the cost trend rate gradually declines to</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5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5.00</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56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5.00</w:t>
            </w:r>
          </w:p>
        </w:tc>
        <w:tc>
          <w:tcPr>
            <w:tcW w:w="21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53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Year that the rate reaches the rate it is assumed to remain at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2023</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2023</w:t>
            </w:r>
          </w:p>
        </w:tc>
        <w:tc>
          <w:tcPr>
            <w:tcW w:w="290" w:type="dxa"/>
            <w:gridSpan w:val="2"/>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The assumed health care cost trend rate has a significant effect on the amounts reported. A one-percentage-point change in the assumed health care cost trend rate would have the following effects:</w:t>
      </w:r>
    </w:p>
    <w:tbl>
      <w:tblPr>
        <w:tblW w:w="7965" w:type="dxa"/>
        <w:jc w:val="left"/>
        <w:tblInd w:w="0" w:type="dxa"/>
        <w:tblCellMar>
          <w:top w:w="0" w:type="dxa"/>
          <w:left w:w="0" w:type="dxa"/>
          <w:bottom w:w="0" w:type="dxa"/>
          <w:right w:w="0" w:type="dxa"/>
        </w:tblCellMar>
      </w:tblPr>
      <w:tblGrid>
        <w:gridCol w:w="5825"/>
        <w:gridCol w:w="60"/>
        <w:gridCol w:w="89"/>
        <w:gridCol w:w="230"/>
        <w:gridCol w:w="89"/>
        <w:gridCol w:w="431"/>
        <w:gridCol w:w="60"/>
        <w:gridCol w:w="81"/>
        <w:gridCol w:w="81"/>
        <w:gridCol w:w="211"/>
        <w:gridCol w:w="81"/>
        <w:gridCol w:w="496"/>
        <w:gridCol w:w="129"/>
        <w:gridCol w:w="102"/>
      </w:tblGrid>
      <w:tr>
        <w:trPr/>
        <w:tc>
          <w:tcPr>
            <w:tcW w:w="58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9" w:type="dxa"/>
            <w:gridSpan w:val="5"/>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100" w:type="dxa"/>
            <w:gridSpan w:val="6"/>
            <w:tcBorders/>
            <w:shd w:fill="auto" w:val="clear"/>
            <w:vAlign w:val="bottom"/>
          </w:tcPr>
          <w:p>
            <w:pPr>
              <w:pStyle w:val="TableContents"/>
              <w:spacing w:before="0" w:after="283"/>
              <w:rPr/>
            </w:pPr>
            <w:r>
              <w:rPr/>
              <w:t> </w:t>
            </w:r>
          </w:p>
        </w:tc>
      </w:tr>
      <w:tr>
        <w:trPr/>
        <w:tc>
          <w:tcPr>
            <w:tcW w:w="5825"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2080" w:type="dxa"/>
            <w:gridSpan w:val="12"/>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1 percentage point</w:t>
            </w:r>
          </w:p>
        </w:tc>
      </w:tr>
      <w:tr>
        <w:trPr/>
        <w:tc>
          <w:tcPr>
            <w:tcW w:w="582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899"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Increase</w:t>
            </w:r>
          </w:p>
        </w:tc>
        <w:tc>
          <w:tcPr>
            <w:tcW w:w="81" w:type="dxa"/>
            <w:tcBorders/>
            <w:shd w:fill="auto" w:val="clear"/>
            <w:vAlign w:val="bottom"/>
          </w:tcPr>
          <w:p>
            <w:pPr>
              <w:pStyle w:val="TableContents"/>
              <w:spacing w:before="0" w:after="283"/>
              <w:rPr/>
            </w:pPr>
            <w:r>
              <w:rPr/>
              <w:t> </w:t>
            </w:r>
          </w:p>
        </w:tc>
        <w:tc>
          <w:tcPr>
            <w:tcW w:w="110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Decrease</w:t>
            </w:r>
          </w:p>
        </w:tc>
      </w:tr>
      <w:tr>
        <w:trPr/>
        <w:tc>
          <w:tcPr>
            <w:tcW w:w="5825"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Effect on total of service and interest cost components</w:t>
            </w:r>
          </w:p>
        </w:tc>
        <w:tc>
          <w:tcPr>
            <w:tcW w:w="60" w:type="dxa"/>
            <w:tcBorders/>
            <w:shd w:fill="E5FFFF" w:val="clear"/>
            <w:vAlign w:val="bottom"/>
          </w:tcPr>
          <w:p>
            <w:pPr>
              <w:pStyle w:val="TableContents"/>
              <w:spacing w:before="0" w:after="283"/>
              <w:rPr/>
            </w:pPr>
            <w:r>
              <w:rPr/>
              <w:t> </w:t>
            </w:r>
          </w:p>
        </w:tc>
        <w:tc>
          <w:tcPr>
            <w:tcW w:w="89" w:type="dxa"/>
            <w:tcBorders/>
            <w:shd w:fill="E5FFFF" w:val="clear"/>
            <w:vAlign w:val="bottom"/>
          </w:tcPr>
          <w:p>
            <w:pPr>
              <w:pStyle w:val="TableContents"/>
              <w:spacing w:before="0" w:after="283"/>
              <w:rPr/>
            </w:pPr>
            <w:r>
              <w:rPr/>
              <w:t> </w:t>
            </w:r>
          </w:p>
        </w:tc>
        <w:tc>
          <w:tcPr>
            <w:tcW w:w="230"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9" w:type="dxa"/>
            <w:tcBorders/>
            <w:shd w:fill="E5FFFF" w:val="clear"/>
            <w:vAlign w:val="bottom"/>
          </w:tcPr>
          <w:p>
            <w:pPr>
              <w:pStyle w:val="TableContents"/>
              <w:spacing w:before="0" w:after="283"/>
              <w:rPr/>
            </w:pPr>
            <w:r>
              <w:rPr/>
              <w:t> </w:t>
            </w:r>
          </w:p>
        </w:tc>
        <w:tc>
          <w:tcPr>
            <w:tcW w:w="431"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60"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81" w:type="dxa"/>
            <w:tcBorders/>
            <w:shd w:fill="E5FFFF" w:val="clear"/>
            <w:vAlign w:val="bottom"/>
          </w:tcPr>
          <w:p>
            <w:pPr>
              <w:pStyle w:val="TableContents"/>
              <w:spacing w:before="0" w:after="283"/>
              <w:rPr/>
            </w:pPr>
            <w:r>
              <w:rPr/>
              <w:t> </w:t>
            </w:r>
          </w:p>
        </w:tc>
        <w:tc>
          <w:tcPr>
            <w:tcW w:w="211"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E5FFFF" w:val="clear"/>
            <w:vAlign w:val="bottom"/>
          </w:tcPr>
          <w:p>
            <w:pPr>
              <w:pStyle w:val="TableContents"/>
              <w:spacing w:before="0" w:after="283"/>
              <w:rPr/>
            </w:pPr>
            <w:r>
              <w:rPr/>
              <w:t> </w:t>
            </w:r>
          </w:p>
        </w:tc>
        <w:tc>
          <w:tcPr>
            <w:tcW w:w="49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w:t>
            </w:r>
          </w:p>
        </w:tc>
        <w:tc>
          <w:tcPr>
            <w:tcW w:w="129"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02" w:type="dxa"/>
            <w:tcBorders/>
            <w:shd w:fill="E5FFFF" w:val="clear"/>
            <w:vAlign w:val="bottom"/>
          </w:tcPr>
          <w:p>
            <w:pPr>
              <w:pStyle w:val="TableContents"/>
              <w:spacing w:before="0" w:after="283"/>
              <w:rPr/>
            </w:pPr>
            <w:r>
              <w:rPr/>
              <w:t> </w:t>
            </w:r>
          </w:p>
        </w:tc>
      </w:tr>
      <w:tr>
        <w:trPr/>
        <w:tc>
          <w:tcPr>
            <w:tcW w:w="5825"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Effect on postretirement benefit obligation</w:t>
            </w:r>
          </w:p>
        </w:tc>
        <w:tc>
          <w:tcPr>
            <w:tcW w:w="6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9" w:type="dxa"/>
            <w:tcBorders/>
            <w:shd w:fill="auto" w:val="clear"/>
            <w:vAlign w:val="bottom"/>
          </w:tcPr>
          <w:p>
            <w:pPr>
              <w:pStyle w:val="TableContents"/>
              <w:spacing w:before="0" w:after="283"/>
              <w:rPr/>
            </w:pPr>
            <w:r>
              <w:rPr/>
              <w:t> </w:t>
            </w:r>
          </w:p>
        </w:tc>
        <w:tc>
          <w:tcPr>
            <w:tcW w:w="431"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w:t>
            </w:r>
          </w:p>
        </w:tc>
        <w:tc>
          <w:tcPr>
            <w:tcW w:w="60"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81"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129"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102" w:type="dxa"/>
            <w:tcBorders/>
            <w:shd w:fill="auto" w:val="clear"/>
            <w:vAlign w:val="bottom"/>
          </w:tcPr>
          <w:p>
            <w:pPr>
              <w:pStyle w:val="TableContents"/>
              <w:spacing w:before="0" w:after="283"/>
              <w:rPr/>
            </w:pPr>
            <w:r>
              <w:rPr/>
              <w:t> </w:t>
            </w:r>
          </w:p>
        </w:tc>
      </w:tr>
    </w:tbl>
    <w:p>
      <w:pPr>
        <w:pStyle w:val="TextBody"/>
        <w:spacing w:before="119" w:after="119"/>
        <w:ind w:left="119" w:right="119" w:firstLine="397"/>
        <w:jc w:val="both"/>
        <w:rPr>
          <w:rFonts w:ascii="sans-serif" w:hAnsi="sans-serif"/>
          <w:sz w:val="22"/>
        </w:rPr>
      </w:pPr>
      <w:r>
        <w:rPr>
          <w:rFonts w:ascii="sans-serif" w:hAnsi="sans-serif"/>
          <w:sz w:val="22"/>
        </w:rPr>
        <w:t>Benefit payments reflecting expected future service, as appropriate, are expected to be paid as follows:</w:t>
      </w:r>
    </w:p>
    <w:tbl>
      <w:tblPr>
        <w:tblW w:w="5033" w:type="dxa"/>
        <w:jc w:val="left"/>
        <w:tblInd w:w="0" w:type="dxa"/>
        <w:tblCellMar>
          <w:top w:w="0" w:type="dxa"/>
          <w:left w:w="0" w:type="dxa"/>
          <w:bottom w:w="0" w:type="dxa"/>
          <w:right w:w="0" w:type="dxa"/>
        </w:tblCellMar>
      </w:tblPr>
      <w:tblGrid>
        <w:gridCol w:w="1190"/>
        <w:gridCol w:w="60"/>
        <w:gridCol w:w="153"/>
        <w:gridCol w:w="398"/>
        <w:gridCol w:w="153"/>
        <w:gridCol w:w="1095"/>
        <w:gridCol w:w="63"/>
        <w:gridCol w:w="60"/>
        <w:gridCol w:w="153"/>
        <w:gridCol w:w="394"/>
        <w:gridCol w:w="153"/>
        <w:gridCol w:w="1086"/>
        <w:gridCol w:w="75"/>
      </w:tblGrid>
      <w:tr>
        <w:trPr/>
        <w:tc>
          <w:tcPr>
            <w:tcW w:w="11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2"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1" w:type="dxa"/>
            <w:gridSpan w:val="5"/>
            <w:tcBorders/>
            <w:shd w:fill="auto" w:val="clear"/>
            <w:vAlign w:val="bottom"/>
          </w:tcPr>
          <w:p>
            <w:pPr>
              <w:pStyle w:val="TableContents"/>
              <w:spacing w:before="0" w:after="283"/>
              <w:rPr/>
            </w:pPr>
            <w:r>
              <w:rPr/>
              <w:t> </w:t>
            </w:r>
          </w:p>
        </w:tc>
      </w:tr>
      <w:tr>
        <w:trPr/>
        <w:tc>
          <w:tcPr>
            <w:tcW w:w="119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862"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Without Impact of</w:t>
              <w:br/>
              <w:t>Medicare Subsidy</w:t>
            </w:r>
          </w:p>
        </w:tc>
        <w:tc>
          <w:tcPr>
            <w:tcW w:w="60" w:type="dxa"/>
            <w:tcBorders/>
            <w:shd w:fill="auto" w:val="clear"/>
            <w:vAlign w:val="bottom"/>
          </w:tcPr>
          <w:p>
            <w:pPr>
              <w:pStyle w:val="TableContents"/>
              <w:spacing w:before="0" w:after="283"/>
              <w:rPr/>
            </w:pPr>
            <w:r>
              <w:rPr/>
              <w:t> </w:t>
            </w:r>
          </w:p>
        </w:tc>
        <w:tc>
          <w:tcPr>
            <w:tcW w:w="1861"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Net of</w:t>
              <w:br/>
              <w:t>Medicare Subsidy</w:t>
            </w:r>
          </w:p>
        </w:tc>
      </w:tr>
      <w:tr>
        <w:trPr/>
        <w:tc>
          <w:tcPr>
            <w:tcW w:w="11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2016</w:t>
            </w:r>
          </w:p>
        </w:tc>
        <w:tc>
          <w:tcPr>
            <w:tcW w:w="60" w:type="dxa"/>
            <w:tcBorders/>
            <w:shd w:fill="E5FFFF" w:val="clear"/>
            <w:vAlign w:val="bottom"/>
          </w:tcPr>
          <w:p>
            <w:pPr>
              <w:pStyle w:val="TableContents"/>
              <w:spacing w:before="0" w:after="283"/>
              <w:rPr/>
            </w:pPr>
            <w:r>
              <w:rPr/>
              <w:t> </w:t>
            </w:r>
          </w:p>
        </w:tc>
        <w:tc>
          <w:tcPr>
            <w:tcW w:w="153" w:type="dxa"/>
            <w:tcBorders/>
            <w:shd w:fill="E5FFFF" w:val="clear"/>
            <w:vAlign w:val="bottom"/>
          </w:tcPr>
          <w:p>
            <w:pPr>
              <w:pStyle w:val="TableContents"/>
              <w:spacing w:before="0" w:after="283"/>
              <w:rPr/>
            </w:pPr>
            <w:r>
              <w:rPr/>
              <w:t> </w:t>
            </w:r>
          </w:p>
        </w:tc>
        <w:tc>
          <w:tcPr>
            <w:tcW w:w="398"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53" w:type="dxa"/>
            <w:tcBorders/>
            <w:shd w:fill="E5FFFF" w:val="clear"/>
            <w:vAlign w:val="bottom"/>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91</w:t>
            </w:r>
          </w:p>
        </w:tc>
        <w:tc>
          <w:tcPr>
            <w:tcW w:w="63"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3" w:type="dxa"/>
            <w:tcBorders/>
            <w:shd w:fill="E5FFFF" w:val="clear"/>
            <w:vAlign w:val="bottom"/>
          </w:tcPr>
          <w:p>
            <w:pPr>
              <w:pStyle w:val="TableContents"/>
              <w:spacing w:before="0" w:after="283"/>
              <w:rPr/>
            </w:pPr>
            <w:r>
              <w:rPr/>
              <w:t> </w:t>
            </w:r>
          </w:p>
        </w:tc>
        <w:tc>
          <w:tcPr>
            <w:tcW w:w="394"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153" w:type="dxa"/>
            <w:tcBorders/>
            <w:shd w:fill="E5FFFF" w:val="clear"/>
            <w:vAlign w:val="bottom"/>
          </w:tcPr>
          <w:p>
            <w:pPr>
              <w:pStyle w:val="TableContents"/>
              <w:spacing w:before="0" w:after="283"/>
              <w:rPr/>
            </w:pPr>
            <w:r>
              <w:rPr/>
              <w:t> </w:t>
            </w:r>
          </w:p>
        </w:tc>
        <w:tc>
          <w:tcPr>
            <w:tcW w:w="108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84</w:t>
            </w:r>
          </w:p>
        </w:tc>
        <w:tc>
          <w:tcPr>
            <w:tcW w:w="75" w:type="dxa"/>
            <w:tcBorders/>
            <w:shd w:fill="E5FFFF" w:val="clear"/>
            <w:vAlign w:val="bottom"/>
          </w:tcPr>
          <w:p>
            <w:pPr>
              <w:pStyle w:val="TableContents"/>
              <w:spacing w:before="0" w:after="283"/>
              <w:rPr/>
            </w:pPr>
            <w:r>
              <w:rPr/>
              <w:t> </w:t>
            </w:r>
          </w:p>
        </w:tc>
      </w:tr>
      <w:tr>
        <w:trPr/>
        <w:tc>
          <w:tcPr>
            <w:tcW w:w="11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2017</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51" w:type="dxa"/>
            <w:gridSpan w:val="2"/>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67</w:t>
            </w:r>
          </w:p>
        </w:tc>
        <w:tc>
          <w:tcPr>
            <w:tcW w:w="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47" w:type="dxa"/>
            <w:gridSpan w:val="2"/>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63</w:t>
            </w:r>
          </w:p>
        </w:tc>
        <w:tc>
          <w:tcPr>
            <w:tcW w:w="75" w:type="dxa"/>
            <w:tcBorders/>
            <w:shd w:fill="auto" w:val="clear"/>
            <w:vAlign w:val="bottom"/>
          </w:tcPr>
          <w:p>
            <w:pPr>
              <w:pStyle w:val="TableContents"/>
              <w:spacing w:before="0" w:after="283"/>
              <w:rPr/>
            </w:pPr>
            <w:r>
              <w:rPr/>
              <w:t> </w:t>
            </w:r>
          </w:p>
        </w:tc>
      </w:tr>
      <w:tr>
        <w:trPr/>
        <w:tc>
          <w:tcPr>
            <w:tcW w:w="11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2018</w:t>
            </w:r>
          </w:p>
        </w:tc>
        <w:tc>
          <w:tcPr>
            <w:tcW w:w="60" w:type="dxa"/>
            <w:tcBorders/>
            <w:shd w:fill="E5FFFF" w:val="clear"/>
            <w:vAlign w:val="bottom"/>
          </w:tcPr>
          <w:p>
            <w:pPr>
              <w:pStyle w:val="TableContents"/>
              <w:spacing w:before="0" w:after="283"/>
              <w:rPr/>
            </w:pPr>
            <w:r>
              <w:rPr/>
              <w:t> </w:t>
            </w:r>
          </w:p>
        </w:tc>
        <w:tc>
          <w:tcPr>
            <w:tcW w:w="153" w:type="dxa"/>
            <w:tcBorders/>
            <w:shd w:fill="E5FFFF" w:val="clear"/>
            <w:vAlign w:val="bottom"/>
          </w:tcPr>
          <w:p>
            <w:pPr>
              <w:pStyle w:val="TableContents"/>
              <w:spacing w:before="0" w:after="283"/>
              <w:rPr/>
            </w:pPr>
            <w:r>
              <w:rPr/>
              <w:t> </w:t>
            </w:r>
          </w:p>
        </w:tc>
        <w:tc>
          <w:tcPr>
            <w:tcW w:w="551" w:type="dxa"/>
            <w:gridSpan w:val="2"/>
            <w:tcBorders/>
            <w:shd w:fill="E5FFFF" w:val="clear"/>
            <w:vAlign w:val="bottom"/>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63</w:t>
            </w:r>
          </w:p>
        </w:tc>
        <w:tc>
          <w:tcPr>
            <w:tcW w:w="63"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3" w:type="dxa"/>
            <w:tcBorders/>
            <w:shd w:fill="E5FFFF" w:val="clear"/>
            <w:vAlign w:val="bottom"/>
          </w:tcPr>
          <w:p>
            <w:pPr>
              <w:pStyle w:val="TableContents"/>
              <w:spacing w:before="0" w:after="283"/>
              <w:rPr/>
            </w:pPr>
            <w:r>
              <w:rPr/>
              <w:t> </w:t>
            </w:r>
          </w:p>
        </w:tc>
        <w:tc>
          <w:tcPr>
            <w:tcW w:w="547" w:type="dxa"/>
            <w:gridSpan w:val="2"/>
            <w:tcBorders/>
            <w:shd w:fill="E5FFFF" w:val="clear"/>
            <w:vAlign w:val="bottom"/>
          </w:tcPr>
          <w:p>
            <w:pPr>
              <w:pStyle w:val="TableContents"/>
              <w:spacing w:before="0" w:after="283"/>
              <w:rPr/>
            </w:pPr>
            <w:r>
              <w:rPr/>
              <w:t> </w:t>
            </w:r>
          </w:p>
        </w:tc>
        <w:tc>
          <w:tcPr>
            <w:tcW w:w="108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58</w:t>
            </w:r>
          </w:p>
        </w:tc>
        <w:tc>
          <w:tcPr>
            <w:tcW w:w="75" w:type="dxa"/>
            <w:tcBorders/>
            <w:shd w:fill="E5FFFF" w:val="clear"/>
            <w:vAlign w:val="bottom"/>
          </w:tcPr>
          <w:p>
            <w:pPr>
              <w:pStyle w:val="TableContents"/>
              <w:spacing w:before="0" w:after="283"/>
              <w:rPr/>
            </w:pPr>
            <w:r>
              <w:rPr/>
              <w:t> </w:t>
            </w:r>
          </w:p>
        </w:tc>
      </w:tr>
      <w:tr>
        <w:trPr/>
        <w:tc>
          <w:tcPr>
            <w:tcW w:w="11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2019</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51" w:type="dxa"/>
            <w:gridSpan w:val="2"/>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58</w:t>
            </w:r>
          </w:p>
        </w:tc>
        <w:tc>
          <w:tcPr>
            <w:tcW w:w="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47" w:type="dxa"/>
            <w:gridSpan w:val="2"/>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w:t>
            </w:r>
          </w:p>
        </w:tc>
        <w:tc>
          <w:tcPr>
            <w:tcW w:w="75" w:type="dxa"/>
            <w:tcBorders/>
            <w:shd w:fill="auto" w:val="clear"/>
            <w:vAlign w:val="bottom"/>
          </w:tcPr>
          <w:p>
            <w:pPr>
              <w:pStyle w:val="TableContents"/>
              <w:spacing w:before="0" w:after="283"/>
              <w:rPr/>
            </w:pPr>
            <w:r>
              <w:rPr/>
              <w:t> </w:t>
            </w:r>
          </w:p>
        </w:tc>
      </w:tr>
      <w:tr>
        <w:trPr/>
        <w:tc>
          <w:tcPr>
            <w:tcW w:w="119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2020</w:t>
            </w:r>
          </w:p>
        </w:tc>
        <w:tc>
          <w:tcPr>
            <w:tcW w:w="60" w:type="dxa"/>
            <w:tcBorders/>
            <w:shd w:fill="E5FFFF" w:val="clear"/>
            <w:vAlign w:val="bottom"/>
          </w:tcPr>
          <w:p>
            <w:pPr>
              <w:pStyle w:val="TableContents"/>
              <w:spacing w:before="0" w:after="283"/>
              <w:rPr/>
            </w:pPr>
            <w:r>
              <w:rPr/>
              <w:t> </w:t>
            </w:r>
          </w:p>
        </w:tc>
        <w:tc>
          <w:tcPr>
            <w:tcW w:w="153" w:type="dxa"/>
            <w:tcBorders/>
            <w:shd w:fill="E5FFFF" w:val="clear"/>
            <w:vAlign w:val="bottom"/>
          </w:tcPr>
          <w:p>
            <w:pPr>
              <w:pStyle w:val="TableContents"/>
              <w:spacing w:before="0" w:after="283"/>
              <w:rPr/>
            </w:pPr>
            <w:r>
              <w:rPr/>
              <w:t> </w:t>
            </w:r>
          </w:p>
        </w:tc>
        <w:tc>
          <w:tcPr>
            <w:tcW w:w="551" w:type="dxa"/>
            <w:gridSpan w:val="2"/>
            <w:tcBorders/>
            <w:shd w:fill="E5FFFF" w:val="clear"/>
            <w:vAlign w:val="bottom"/>
          </w:tcPr>
          <w:p>
            <w:pPr>
              <w:pStyle w:val="TableContents"/>
              <w:spacing w:before="0" w:after="283"/>
              <w:rPr/>
            </w:pPr>
            <w:r>
              <w:rPr/>
              <w:t> </w:t>
            </w:r>
          </w:p>
        </w:tc>
        <w:tc>
          <w:tcPr>
            <w:tcW w:w="10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w:t>
            </w:r>
          </w:p>
        </w:tc>
        <w:tc>
          <w:tcPr>
            <w:tcW w:w="63"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3" w:type="dxa"/>
            <w:tcBorders/>
            <w:shd w:fill="E5FFFF" w:val="clear"/>
            <w:vAlign w:val="bottom"/>
          </w:tcPr>
          <w:p>
            <w:pPr>
              <w:pStyle w:val="TableContents"/>
              <w:spacing w:before="0" w:after="283"/>
              <w:rPr/>
            </w:pPr>
            <w:r>
              <w:rPr/>
              <w:t> </w:t>
            </w:r>
          </w:p>
        </w:tc>
        <w:tc>
          <w:tcPr>
            <w:tcW w:w="547" w:type="dxa"/>
            <w:gridSpan w:val="2"/>
            <w:tcBorders/>
            <w:shd w:fill="E5FFFF" w:val="clear"/>
            <w:vAlign w:val="bottom"/>
          </w:tcPr>
          <w:p>
            <w:pPr>
              <w:pStyle w:val="TableContents"/>
              <w:spacing w:before="0" w:after="283"/>
              <w:rPr/>
            </w:pPr>
            <w:r>
              <w:rPr/>
              <w:t> </w:t>
            </w:r>
          </w:p>
        </w:tc>
        <w:tc>
          <w:tcPr>
            <w:tcW w:w="1086"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50</w:t>
            </w:r>
          </w:p>
        </w:tc>
        <w:tc>
          <w:tcPr>
            <w:tcW w:w="75" w:type="dxa"/>
            <w:tcBorders/>
            <w:shd w:fill="E5FFFF" w:val="clear"/>
            <w:vAlign w:val="bottom"/>
          </w:tcPr>
          <w:p>
            <w:pPr>
              <w:pStyle w:val="TableContents"/>
              <w:spacing w:before="0" w:after="283"/>
              <w:rPr/>
            </w:pPr>
            <w:r>
              <w:rPr/>
              <w:t> </w:t>
            </w:r>
          </w:p>
        </w:tc>
      </w:tr>
      <w:tr>
        <w:trPr/>
        <w:tc>
          <w:tcPr>
            <w:tcW w:w="119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2021-2025</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51" w:type="dxa"/>
            <w:gridSpan w:val="2"/>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189</w:t>
            </w:r>
          </w:p>
        </w:tc>
        <w:tc>
          <w:tcPr>
            <w:tcW w:w="6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47" w:type="dxa"/>
            <w:gridSpan w:val="2"/>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171</w:t>
            </w:r>
          </w:p>
        </w:tc>
        <w:tc>
          <w:tcPr>
            <w:tcW w:w="75" w:type="dxa"/>
            <w:tcBorders/>
            <w:shd w:fill="auto" w:val="cle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Note 21. Segment Financial Data</w:t>
      </w:r>
    </w:p>
    <w:p>
      <w:pPr>
        <w:pStyle w:val="TextBody"/>
        <w:spacing w:before="119" w:after="119"/>
        <w:ind w:left="119" w:right="119" w:firstLine="397"/>
        <w:jc w:val="both"/>
        <w:rPr>
          <w:rFonts w:ascii="sans-serif" w:hAnsi="sans-serif"/>
          <w:sz w:val="22"/>
        </w:rPr>
      </w:pPr>
      <w:r>
        <w:rPr>
          <w:rFonts w:ascii="sans-serif" w:hAnsi="sans-serif"/>
          <w:sz w:val="22"/>
        </w:rPr>
        <w:t>We globally manage our business operations through three reportable operating segments. Segment information is consistent with how management reviews the businesses, makes investing and resource allocation decisions and assesses operating performance.</w:t>
      </w:r>
    </w:p>
    <w:p>
      <w:pPr>
        <w:pStyle w:val="TextBody"/>
        <w:spacing w:before="119" w:after="119"/>
        <w:ind w:left="119" w:right="119" w:firstLine="397"/>
        <w:jc w:val="both"/>
        <w:rPr>
          <w:rFonts w:ascii="sans-serif" w:hAnsi="sans-serif"/>
          <w:sz w:val="22"/>
        </w:rPr>
      </w:pPr>
      <w:r>
        <w:rPr>
          <w:rFonts w:ascii="sans-serif" w:hAnsi="sans-serif"/>
          <w:sz w:val="22"/>
        </w:rPr>
        <w:t>Honeywells senior management evaluates segment performance based on segment profit. Segment profit is measured as business unit income (loss) before taxes excluding general corporate</w:t>
      </w:r>
    </w:p>
    <w:p>
      <w:pPr>
        <w:pStyle w:val="TextBody"/>
        <w:spacing w:before="119" w:after="119"/>
        <w:ind w:left="119" w:right="119" w:hanging="0"/>
        <w:jc w:val="center"/>
        <w:rPr>
          <w:rFonts w:ascii="sans-serif" w:hAnsi="sans-serif"/>
          <w:sz w:val="22"/>
        </w:rPr>
      </w:pPr>
      <w:r>
        <w:rPr>
          <w:rFonts w:ascii="sans-serif" w:hAnsi="sans-serif"/>
          <w:sz w:val="22"/>
        </w:rPr>
        <w:t>76</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hanging="0"/>
        <w:rPr>
          <w:rFonts w:ascii="sans-serif" w:hAnsi="sans-serif"/>
          <w:sz w:val="22"/>
        </w:rPr>
      </w:pPr>
      <w:r>
        <w:rPr>
          <w:rFonts w:ascii="sans-serif" w:hAnsi="sans-serif"/>
          <w:sz w:val="22"/>
        </w:rPr>
        <w:t>unallocated expense, other income (expense), interest and other financial charges, pension and other postretirement benefits (expense), stock compensation expense and repositioning and other charges.</w:t>
      </w:r>
    </w:p>
    <w:tbl>
      <w:tblPr>
        <w:tblW w:w="8150" w:type="dxa"/>
        <w:jc w:val="left"/>
        <w:tblInd w:w="0" w:type="dxa"/>
        <w:tblCellMar>
          <w:top w:w="0" w:type="dxa"/>
          <w:left w:w="0" w:type="dxa"/>
          <w:bottom w:w="0" w:type="dxa"/>
          <w:right w:w="0" w:type="dxa"/>
        </w:tblCellMar>
      </w:tblPr>
      <w:tblGrid>
        <w:gridCol w:w="4400"/>
        <w:gridCol w:w="60"/>
        <w:gridCol w:w="60"/>
        <w:gridCol w:w="155"/>
        <w:gridCol w:w="60"/>
        <w:gridCol w:w="755"/>
        <w:gridCol w:w="95"/>
        <w:gridCol w:w="60"/>
        <w:gridCol w:w="60"/>
        <w:gridCol w:w="60"/>
        <w:gridCol w:w="155"/>
        <w:gridCol w:w="60"/>
        <w:gridCol w:w="755"/>
        <w:gridCol w:w="95"/>
        <w:gridCol w:w="60"/>
        <w:gridCol w:w="60"/>
        <w:gridCol w:w="60"/>
        <w:gridCol w:w="155"/>
        <w:gridCol w:w="60"/>
        <w:gridCol w:w="755"/>
        <w:gridCol w:w="95"/>
        <w:gridCol w:w="75"/>
      </w:tblGrid>
      <w:tr>
        <w:trPr/>
        <w:tc>
          <w:tcPr>
            <w:tcW w:w="44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440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690"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440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8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20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00" w:type="dxa"/>
            <w:gridSpan w:val="6"/>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Aerospace</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Product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10,379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10,773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10,798</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Service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4,858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4,825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4,937</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998" w:right="0" w:hanging="198"/>
              <w:rPr>
                <w:rFonts w:ascii="sans-serif" w:hAnsi="sans-serif"/>
                <w:sz w:val="22"/>
              </w:rPr>
            </w:pPr>
            <w:r>
              <w:rPr>
                <w:rFonts w:ascii="sans-serif" w:hAnsi="sans-serif"/>
                <w:sz w:val="22"/>
              </w:rPr>
              <w:t>Total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15,237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15,598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15,735</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Automation and Control Solutions</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Product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12,882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13,219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12,253</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Service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1,227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1,268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1,212</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998" w:right="0" w:hanging="198"/>
              <w:rPr>
                <w:rFonts w:ascii="sans-serif" w:hAnsi="sans-serif"/>
                <w:sz w:val="22"/>
              </w:rPr>
            </w:pPr>
            <w:r>
              <w:rPr>
                <w:rFonts w:ascii="sans-serif" w:hAnsi="sans-serif"/>
                <w:sz w:val="22"/>
              </w:rPr>
              <w:t>Total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14,109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14,487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13,465</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Performance Materials and Technologies</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Product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7,434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8,406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8,163</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Service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1,801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1,815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1,692</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998" w:right="0" w:hanging="198"/>
              <w:rPr>
                <w:rFonts w:ascii="sans-serif" w:hAnsi="sans-serif"/>
                <w:sz w:val="22"/>
              </w:rPr>
            </w:pPr>
            <w:r>
              <w:rPr>
                <w:rFonts w:ascii="sans-serif" w:hAnsi="sans-serif"/>
                <w:sz w:val="22"/>
              </w:rPr>
              <w:t>Total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9,235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10,221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9,855</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38,581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40,306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39,055</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Depreciation and amortization</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00" w:type="dxa"/>
            <w:gridSpan w:val="6"/>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Aerospace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290</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Automation and Control Solutions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302</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Performance Materials and Technologies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336</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Corporate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883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924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989</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Segment Profit</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00" w:type="dxa"/>
            <w:gridSpan w:val="6"/>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Aerospace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2,915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2,870</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Automation and Control Solutions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2,313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2,200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1,983</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Performance Materials and Technologies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1,935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1,817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1,725</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Corporate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(210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(236</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7,256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6,696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6,351</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Capital expenditures</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8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200" w:type="dxa"/>
            <w:gridSpan w:val="6"/>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Aerospace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310</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Automation and Control Solutions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132</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Performance Materials and Technologies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479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448</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Corporate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w:t>
            </w:r>
          </w:p>
        </w:tc>
        <w:tc>
          <w:tcPr>
            <w:tcW w:w="170" w:type="dxa"/>
            <w:gridSpan w:val="2"/>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1,073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1,094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947</w:t>
            </w:r>
          </w:p>
        </w:tc>
        <w:tc>
          <w:tcPr>
            <w:tcW w:w="170" w:type="dxa"/>
            <w:gridSpan w:val="2"/>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0" w:type="dxa"/>
            <w:gridSpan w:val="6"/>
            <w:tcBorders>
              <w:top w:val="double" w:sz="2" w:space="0" w:color="000000"/>
            </w:tcBorders>
            <w:shd w:fill="auto" w:val="clear"/>
            <w:tcMar>
              <w:top w:w="28" w:type="dxa"/>
            </w:tcMar>
            <w:vAlign w:val="bottom"/>
          </w:tcPr>
          <w:p>
            <w:pPr>
              <w:pStyle w:val="TableContents"/>
              <w:spacing w:before="0" w:after="283"/>
              <w:rPr/>
            </w:pPr>
            <w:r>
              <w:rPr/>
              <w:t> </w:t>
            </w:r>
          </w:p>
        </w:tc>
      </w:tr>
    </w:tbl>
    <w:tbl>
      <w:tblPr>
        <w:tblW w:w="7865" w:type="dxa"/>
        <w:jc w:val="left"/>
        <w:tblInd w:w="0" w:type="dxa"/>
        <w:tblCellMar>
          <w:top w:w="0" w:type="dxa"/>
          <w:left w:w="0" w:type="dxa"/>
          <w:bottom w:w="0" w:type="dxa"/>
          <w:right w:w="0" w:type="dxa"/>
        </w:tblCellMar>
      </w:tblPr>
      <w:tblGrid>
        <w:gridCol w:w="4400"/>
        <w:gridCol w:w="60"/>
        <w:gridCol w:w="60"/>
        <w:gridCol w:w="155"/>
        <w:gridCol w:w="60"/>
        <w:gridCol w:w="755"/>
        <w:gridCol w:w="60"/>
        <w:gridCol w:w="60"/>
        <w:gridCol w:w="60"/>
        <w:gridCol w:w="155"/>
        <w:gridCol w:w="60"/>
        <w:gridCol w:w="755"/>
        <w:gridCol w:w="60"/>
        <w:gridCol w:w="60"/>
        <w:gridCol w:w="60"/>
        <w:gridCol w:w="155"/>
        <w:gridCol w:w="60"/>
        <w:gridCol w:w="755"/>
        <w:gridCol w:w="75"/>
      </w:tblGrid>
      <w:tr>
        <w:trPr/>
        <w:tc>
          <w:tcPr>
            <w:tcW w:w="44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shd w:fill="auto" w:val="clear"/>
            <w:vAlign w:val="bottom"/>
          </w:tcPr>
          <w:p>
            <w:pPr>
              <w:pStyle w:val="TableContents"/>
              <w:spacing w:before="0" w:after="283"/>
              <w:rPr/>
            </w:pPr>
            <w:r>
              <w:rPr/>
              <w:t> </w:t>
            </w:r>
          </w:p>
        </w:tc>
      </w:tr>
      <w:tr>
        <w:trPr/>
        <w:tc>
          <w:tcPr>
            <w:tcW w:w="440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405"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440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10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440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Total Assets</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5" w:type="dxa"/>
            <w:gridSpan w:val="5"/>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Aerospace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11,235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11,151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11,379</w:t>
            </w:r>
          </w:p>
        </w:tc>
        <w:tc>
          <w:tcPr>
            <w:tcW w:w="75" w:type="dxa"/>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Automation and Control Solutions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22,355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17,191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17,675</w:t>
            </w:r>
          </w:p>
        </w:tc>
        <w:tc>
          <w:tcPr>
            <w:tcW w:w="75" w:type="dxa"/>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Performance Materials and Technologies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10,300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9,699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9,534</w:t>
            </w:r>
          </w:p>
        </w:tc>
        <w:tc>
          <w:tcPr>
            <w:tcW w:w="75" w:type="dxa"/>
            <w:tcBorders/>
            <w:shd w:fill="auto" w:val="clear"/>
            <w:vAlign w:val="bottom"/>
          </w:tcPr>
          <w:p>
            <w:pPr>
              <w:pStyle w:val="TableContents"/>
              <w:spacing w:before="0" w:after="283"/>
              <w:rPr/>
            </w:pPr>
            <w:r>
              <w:rPr/>
              <w:t> </w:t>
            </w:r>
          </w:p>
        </w:tc>
      </w:tr>
      <w:tr>
        <w:trPr/>
        <w:tc>
          <w:tcPr>
            <w:tcW w:w="440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Corporate</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5,426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7,410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6,847</w:t>
            </w:r>
          </w:p>
        </w:tc>
        <w:tc>
          <w:tcPr>
            <w:tcW w:w="75" w:type="dxa"/>
            <w:tcBorders/>
            <w:shd w:fill="E5FFFF"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49,316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45,451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45,435</w:t>
            </w:r>
          </w:p>
        </w:tc>
        <w:tc>
          <w:tcPr>
            <w:tcW w:w="75" w:type="dxa"/>
            <w:tcBorders/>
            <w:shd w:fill="auto" w:val="clear"/>
            <w:vAlign w:val="bottom"/>
          </w:tcPr>
          <w:p>
            <w:pPr>
              <w:pStyle w:val="TableContents"/>
              <w:spacing w:before="0" w:after="283"/>
              <w:rPr/>
            </w:pPr>
            <w:r>
              <w:rPr/>
              <w:t> </w:t>
            </w:r>
          </w:p>
        </w:tc>
      </w:tr>
      <w:tr>
        <w:trPr/>
        <w:tc>
          <w:tcPr>
            <w:tcW w:w="440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77</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119" w:after="119"/>
        <w:ind w:left="119" w:right="119" w:firstLine="397"/>
        <w:rPr>
          <w:rFonts w:ascii="sans-serif" w:hAnsi="sans-serif"/>
          <w:sz w:val="22"/>
        </w:rPr>
      </w:pPr>
      <w:r>
        <w:rPr>
          <w:rFonts w:ascii="sans-serif" w:hAnsi="sans-serif"/>
          <w:sz w:val="22"/>
        </w:rPr>
        <w:t>A reconciliation of segment profit to consolidated income from continuing operations before taxes are as follows:</w:t>
      </w:r>
    </w:p>
    <w:tbl>
      <w:tblPr>
        <w:tblW w:w="8525" w:type="dxa"/>
        <w:jc w:val="left"/>
        <w:tblInd w:w="0" w:type="dxa"/>
        <w:tblCellMar>
          <w:top w:w="0" w:type="dxa"/>
          <w:left w:w="0" w:type="dxa"/>
          <w:bottom w:w="0" w:type="dxa"/>
          <w:right w:w="0" w:type="dxa"/>
        </w:tblCellMar>
      </w:tblPr>
      <w:tblGrid>
        <w:gridCol w:w="5180"/>
        <w:gridCol w:w="60"/>
        <w:gridCol w:w="60"/>
        <w:gridCol w:w="155"/>
        <w:gridCol w:w="60"/>
        <w:gridCol w:w="620"/>
        <w:gridCol w:w="95"/>
        <w:gridCol w:w="60"/>
        <w:gridCol w:w="60"/>
        <w:gridCol w:w="60"/>
        <w:gridCol w:w="155"/>
        <w:gridCol w:w="60"/>
        <w:gridCol w:w="620"/>
        <w:gridCol w:w="95"/>
        <w:gridCol w:w="60"/>
        <w:gridCol w:w="60"/>
        <w:gridCol w:w="60"/>
        <w:gridCol w:w="155"/>
        <w:gridCol w:w="60"/>
        <w:gridCol w:w="620"/>
        <w:gridCol w:w="95"/>
        <w:gridCol w:w="75"/>
      </w:tblGrid>
      <w:tr>
        <w:trPr/>
        <w:tc>
          <w:tcPr>
            <w:tcW w:w="51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518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28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518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51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Segment Profit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7,256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6,696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6,351</w:t>
            </w:r>
          </w:p>
        </w:tc>
        <w:tc>
          <w:tcPr>
            <w:tcW w:w="170" w:type="dxa"/>
            <w:gridSpan w:val="2"/>
            <w:tcBorders/>
            <w:shd w:fill="E5FFFF" w:val="clear"/>
            <w:vAlign w:val="bottom"/>
          </w:tcPr>
          <w:p>
            <w:pPr>
              <w:pStyle w:val="TableContents"/>
              <w:spacing w:before="0" w:after="283"/>
              <w:rPr/>
            </w:pPr>
            <w:r>
              <w:rPr/>
              <w:t> </w:t>
            </w:r>
          </w:p>
        </w:tc>
      </w:tr>
      <w:tr>
        <w:trPr/>
        <w:tc>
          <w:tcPr>
            <w:tcW w:w="51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Other income (expense)(1)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269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202</w:t>
            </w:r>
          </w:p>
        </w:tc>
        <w:tc>
          <w:tcPr>
            <w:tcW w:w="170" w:type="dxa"/>
            <w:gridSpan w:val="2"/>
            <w:tcBorders/>
            <w:shd w:fill="auto" w:val="clear"/>
            <w:vAlign w:val="bottom"/>
          </w:tcPr>
          <w:p>
            <w:pPr>
              <w:pStyle w:val="TableContents"/>
              <w:spacing w:before="0" w:after="283"/>
              <w:rPr/>
            </w:pPr>
            <w:r>
              <w:rPr/>
              <w:t> </w:t>
            </w:r>
          </w:p>
        </w:tc>
      </w:tr>
      <w:tr>
        <w:trPr/>
        <w:tc>
          <w:tcPr>
            <w:tcW w:w="51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Interest and other financial charges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(318</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51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Stock compensation expense(2)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51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Pension ongoing income (expense)(2)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90</w:t>
            </w:r>
          </w:p>
        </w:tc>
        <w:tc>
          <w:tcPr>
            <w:tcW w:w="170" w:type="dxa"/>
            <w:gridSpan w:val="2"/>
            <w:tcBorders/>
            <w:shd w:fill="E5FFFF" w:val="clear"/>
            <w:vAlign w:val="bottom"/>
          </w:tcPr>
          <w:p>
            <w:pPr>
              <w:pStyle w:val="TableContents"/>
              <w:spacing w:before="0" w:after="283"/>
              <w:rPr/>
            </w:pPr>
            <w:r>
              <w:rPr/>
              <w:t> </w:t>
            </w:r>
          </w:p>
        </w:tc>
      </w:tr>
      <w:tr>
        <w:trPr/>
        <w:tc>
          <w:tcPr>
            <w:tcW w:w="51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Pension mark-to-market expense(2)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(249</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51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 postretirement income (expense)(2)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518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Repositioning and other charges(2)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(546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(598</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(663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51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518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Income from continuing operations before taxes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6,586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5,818</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5,412</w:t>
            </w:r>
          </w:p>
        </w:tc>
        <w:tc>
          <w:tcPr>
            <w:tcW w:w="170" w:type="dxa"/>
            <w:gridSpan w:val="2"/>
            <w:tcBorders/>
            <w:shd w:fill="E5FFFF" w:val="clear"/>
            <w:vAlign w:val="bottom"/>
          </w:tcPr>
          <w:p>
            <w:pPr>
              <w:pStyle w:val="TableContents"/>
              <w:spacing w:before="0" w:after="283"/>
              <w:rPr/>
            </w:pPr>
            <w:r>
              <w:rPr/>
              <w:t> </w:t>
            </w:r>
          </w:p>
        </w:tc>
      </w:tr>
      <w:tr>
        <w:trPr/>
        <w:tc>
          <w:tcPr>
            <w:tcW w:w="518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10205" w:type="dxa"/>
        <w:jc w:val="left"/>
        <w:tblInd w:w="0" w:type="dxa"/>
        <w:tblCellMar>
          <w:top w:w="0" w:type="dxa"/>
          <w:left w:w="0" w:type="dxa"/>
          <w:bottom w:w="0" w:type="dxa"/>
          <w:right w:w="0" w:type="dxa"/>
        </w:tblCellMar>
      </w:tblPr>
      <w:tblGrid>
        <w:gridCol w:w="75"/>
        <w:gridCol w:w="393"/>
        <w:gridCol w:w="97"/>
        <w:gridCol w:w="9600"/>
        <w:gridCol w:w="40"/>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93"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97" w:type="dxa"/>
            <w:tcBorders/>
            <w:shd w:fill="auto" w:val="clear"/>
          </w:tcPr>
          <w:p>
            <w:pPr>
              <w:pStyle w:val="TableContents"/>
              <w:spacing w:before="0" w:after="283"/>
              <w:rPr/>
            </w:pPr>
            <w:r>
              <w:rPr/>
              <w:t> </w:t>
            </w:r>
          </w:p>
        </w:tc>
        <w:tc>
          <w:tcPr>
            <w:tcW w:w="9600" w:type="dxa"/>
            <w:tcBorders/>
            <w:shd w:fill="auto" w:val="clear"/>
          </w:tcPr>
          <w:p>
            <w:pPr>
              <w:pStyle w:val="TableContents"/>
              <w:spacing w:before="0" w:after="283"/>
              <w:jc w:val="both"/>
              <w:rPr>
                <w:rFonts w:ascii="sans-serif" w:hAnsi="sans-serif"/>
                <w:sz w:val="22"/>
              </w:rPr>
            </w:pPr>
            <w:r>
              <w:rPr>
                <w:rFonts w:ascii="sans-serif" w:hAnsi="sans-serif"/>
                <w:sz w:val="22"/>
              </w:rPr>
              <w:t>Equity income (loss) of affiliated companies is included in Segment Profit.</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93"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97" w:type="dxa"/>
            <w:tcBorders/>
            <w:shd w:fill="auto" w:val="clear"/>
          </w:tcPr>
          <w:p>
            <w:pPr>
              <w:pStyle w:val="TableContents"/>
              <w:spacing w:before="0" w:after="283"/>
              <w:rPr/>
            </w:pPr>
            <w:r>
              <w:rPr/>
              <w:t> </w:t>
            </w:r>
          </w:p>
        </w:tc>
        <w:tc>
          <w:tcPr>
            <w:tcW w:w="960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Amounts included in cost of products and services sold and selling, general and administrative expenses.</w:t>
            </w:r>
          </w:p>
        </w:tc>
        <w:tc>
          <w:tcPr>
            <w:tcW w:w="40" w:type="dxa"/>
            <w:tcBorders/>
            <w:shd w:fill="auto" w:val="clear"/>
          </w:tcPr>
          <w:p>
            <w:pPr>
              <w:pStyle w:val="TableContents"/>
              <w:spacing w:before="0" w:after="283"/>
              <w:rPr>
                <w:sz w:val="4"/>
                <w:szCs w:val="4"/>
              </w:rPr>
            </w:pPr>
            <w:r>
              <w:rPr>
                <w:sz w:val="4"/>
                <w:szCs w:val="4"/>
              </w:rPr>
            </w:r>
          </w:p>
        </w:tc>
      </w:tr>
    </w:tbl>
    <w:p>
      <w:pPr>
        <w:pStyle w:val="TextBody"/>
        <w:spacing w:before="357" w:after="357"/>
        <w:ind w:left="357" w:right="357" w:hanging="0"/>
        <w:rPr>
          <w:rFonts w:ascii="sans-serif" w:hAnsi="sans-serif"/>
          <w:b/>
          <w:sz w:val="22"/>
        </w:rPr>
      </w:pPr>
      <w:r>
        <w:rPr>
          <w:rFonts w:ascii="sans-serif" w:hAnsi="sans-serif"/>
          <w:b/>
          <w:sz w:val="22"/>
        </w:rPr>
        <w:t>Note 22. Geographic AreasFinancial Data</w:t>
      </w:r>
    </w:p>
    <w:tbl>
      <w:tblPr>
        <w:tblW w:w="8570" w:type="dxa"/>
        <w:jc w:val="left"/>
        <w:tblInd w:w="0" w:type="dxa"/>
        <w:tblCellMar>
          <w:top w:w="0" w:type="dxa"/>
          <w:left w:w="0" w:type="dxa"/>
          <w:bottom w:w="0" w:type="dxa"/>
          <w:right w:w="0" w:type="dxa"/>
        </w:tblCellMar>
      </w:tblPr>
      <w:tblGrid>
        <w:gridCol w:w="2060"/>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620"/>
        <w:gridCol w:w="60"/>
        <w:gridCol w:w="60"/>
        <w:gridCol w:w="60"/>
        <w:gridCol w:w="155"/>
        <w:gridCol w:w="60"/>
        <w:gridCol w:w="620"/>
        <w:gridCol w:w="60"/>
        <w:gridCol w:w="60"/>
        <w:gridCol w:w="60"/>
        <w:gridCol w:w="155"/>
        <w:gridCol w:w="60"/>
        <w:gridCol w:w="620"/>
        <w:gridCol w:w="75"/>
      </w:tblGrid>
      <w:tr>
        <w:trPr/>
        <w:tc>
          <w:tcPr>
            <w:tcW w:w="20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shd w:fill="auto" w:val="clear"/>
            <w:vAlign w:val="bottom"/>
          </w:tcPr>
          <w:p>
            <w:pPr>
              <w:pStyle w:val="TableContents"/>
              <w:spacing w:before="0" w:after="283"/>
              <w:rPr/>
            </w:pPr>
            <w:r>
              <w:rPr/>
              <w:t> </w:t>
            </w:r>
          </w:p>
        </w:tc>
      </w:tr>
      <w:tr>
        <w:trPr/>
        <w:tc>
          <w:tcPr>
            <w:tcW w:w="206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390"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Net Sales(1)</w:t>
            </w:r>
          </w:p>
        </w:tc>
        <w:tc>
          <w:tcPr>
            <w:tcW w:w="60" w:type="dxa"/>
            <w:tcBorders/>
            <w:shd w:fill="auto" w:val="clear"/>
            <w:vAlign w:val="bottom"/>
          </w:tcPr>
          <w:p>
            <w:pPr>
              <w:pStyle w:val="TableContents"/>
              <w:spacing w:before="0" w:after="283"/>
              <w:rPr/>
            </w:pPr>
            <w:r>
              <w:rPr/>
              <w:t> </w:t>
            </w:r>
          </w:p>
        </w:tc>
        <w:tc>
          <w:tcPr>
            <w:tcW w:w="3000"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Long-lived Assets(2)</w:t>
            </w:r>
          </w:p>
        </w:tc>
      </w:tr>
      <w:tr>
        <w:trPr/>
        <w:tc>
          <w:tcPr>
            <w:tcW w:w="20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3390"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c>
          <w:tcPr>
            <w:tcW w:w="60" w:type="dxa"/>
            <w:tcBorders/>
            <w:shd w:fill="auto" w:val="clear"/>
            <w:vAlign w:val="bottom"/>
          </w:tcPr>
          <w:p>
            <w:pPr>
              <w:pStyle w:val="TableContents"/>
              <w:spacing w:before="0" w:after="283"/>
              <w:rPr/>
            </w:pPr>
            <w:r>
              <w:rPr/>
              <w:t> </w:t>
            </w:r>
          </w:p>
        </w:tc>
        <w:tc>
          <w:tcPr>
            <w:tcW w:w="3000" w:type="dxa"/>
            <w:gridSpan w:val="17"/>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December 31,</w:t>
            </w:r>
          </w:p>
        </w:tc>
      </w:tr>
      <w:tr>
        <w:trPr/>
        <w:tc>
          <w:tcPr>
            <w:tcW w:w="206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95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97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206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United States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23,771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23,911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22,978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3,939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3,612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3,393</w:t>
            </w:r>
          </w:p>
        </w:tc>
        <w:tc>
          <w:tcPr>
            <w:tcW w:w="75" w:type="dxa"/>
            <w:tcBorders/>
            <w:shd w:fill="E5FFFF"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Europe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8,674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9,870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9,804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746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905</w:t>
            </w:r>
          </w:p>
        </w:tc>
        <w:tc>
          <w:tcPr>
            <w:tcW w:w="75" w:type="dxa"/>
            <w:tcBorders/>
            <w:shd w:fill="auto" w:val="clear"/>
            <w:vAlign w:val="bottom"/>
          </w:tcPr>
          <w:p>
            <w:pPr>
              <w:pStyle w:val="TableContents"/>
              <w:spacing w:before="0" w:after="283"/>
              <w:rPr/>
            </w:pPr>
            <w:r>
              <w:rPr/>
              <w:t> </w:t>
            </w:r>
          </w:p>
        </w:tc>
      </w:tr>
      <w:tr>
        <w:trPr/>
        <w:tc>
          <w:tcPr>
            <w:tcW w:w="206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Other International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6,136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6,525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6,273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1,104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1,030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980</w:t>
            </w:r>
          </w:p>
        </w:tc>
        <w:tc>
          <w:tcPr>
            <w:tcW w:w="75" w:type="dxa"/>
            <w:tcBorders/>
            <w:shd w:fill="E5FFFF"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single" w:sz="4" w:space="0" w:color="000000"/>
            </w:tcBorders>
            <w:shd w:fill="auto" w:val="clear"/>
            <w:tcMar>
              <w:top w:w="28" w:type="dxa"/>
            </w:tcM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38,581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40,306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39,055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5,789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5,383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5,278</w:t>
            </w:r>
          </w:p>
        </w:tc>
        <w:tc>
          <w:tcPr>
            <w:tcW w:w="75" w:type="dxa"/>
            <w:tcBorders/>
            <w:shd w:fill="auto" w:val="clear"/>
            <w:vAlign w:val="bottom"/>
          </w:tcPr>
          <w:p>
            <w:pPr>
              <w:pStyle w:val="TableContents"/>
              <w:spacing w:before="0" w:after="283"/>
              <w:rPr/>
            </w:pPr>
            <w:r>
              <w:rPr/>
              <w:t> </w:t>
            </w:r>
          </w:p>
        </w:tc>
      </w:tr>
      <w:tr>
        <w:trPr/>
        <w:tc>
          <w:tcPr>
            <w:tcW w:w="206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5" w:type="dxa"/>
            <w:gridSpan w:val="5"/>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5"/>
            <w:tcBorders>
              <w:top w:val="double" w:sz="2" w:space="0" w:color="000000"/>
            </w:tcBorders>
            <w:shd w:fill="auto" w:val="clear"/>
            <w:tcMar>
              <w:top w:w="28" w:type="dxa"/>
            </w:tcMar>
            <w:vAlign w:val="bottom"/>
          </w:tcPr>
          <w:p>
            <w:pPr>
              <w:pStyle w:val="TableContents"/>
              <w:spacing w:before="0" w:after="283"/>
              <w:rPr/>
            </w:pPr>
            <w:r>
              <w:rPr/>
              <w:t> </w:t>
            </w:r>
          </w:p>
        </w:tc>
      </w:tr>
    </w:tbl>
    <w:p>
      <w:pPr>
        <w:pStyle w:val="TextBody"/>
        <w:pBdr>
          <w:top w:val="single" w:sz="4" w:space="1" w:color="000000"/>
        </w:pBdr>
        <w:spacing w:before="176" w:after="176"/>
        <w:rPr/>
      </w:pPr>
      <w:r>
        <w:rPr/>
        <w:t> </w:t>
      </w:r>
    </w:p>
    <w:tbl>
      <w:tblPr>
        <w:tblW w:w="10205" w:type="dxa"/>
        <w:jc w:val="left"/>
        <w:tblInd w:w="0" w:type="dxa"/>
        <w:tblCellMar>
          <w:top w:w="0" w:type="dxa"/>
          <w:left w:w="0" w:type="dxa"/>
          <w:bottom w:w="0" w:type="dxa"/>
          <w:right w:w="0" w:type="dxa"/>
        </w:tblCellMar>
      </w:tblPr>
      <w:tblGrid>
        <w:gridCol w:w="75"/>
        <w:gridCol w:w="355"/>
        <w:gridCol w:w="73"/>
        <w:gridCol w:w="9662"/>
        <w:gridCol w:w="40"/>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5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73" w:type="dxa"/>
            <w:tcBorders/>
            <w:shd w:fill="auto" w:val="clear"/>
          </w:tcPr>
          <w:p>
            <w:pPr>
              <w:pStyle w:val="TableContents"/>
              <w:spacing w:before="0" w:after="283"/>
              <w:rPr/>
            </w:pPr>
            <w:r>
              <w:rPr/>
              <w:t> </w:t>
            </w:r>
          </w:p>
        </w:tc>
        <w:tc>
          <w:tcPr>
            <w:tcW w:w="9662" w:type="dxa"/>
            <w:tcBorders/>
            <w:shd w:fill="auto" w:val="clear"/>
          </w:tcPr>
          <w:p>
            <w:pPr>
              <w:pStyle w:val="TableContents"/>
              <w:spacing w:before="0" w:after="283"/>
              <w:jc w:val="both"/>
              <w:rPr>
                <w:rFonts w:ascii="sans-serif" w:hAnsi="sans-serif"/>
                <w:sz w:val="22"/>
              </w:rPr>
            </w:pPr>
            <w:r>
              <w:rPr>
                <w:rFonts w:ascii="sans-serif" w:hAnsi="sans-serif"/>
                <w:sz w:val="22"/>
              </w:rPr>
              <w:t>Sales between geographic areas approximate market and are not significant. Net sales are classified according to their country of origin. Included in United States net sales are export sales of $5,526 million, $5,647 million and $5,431 million in 2015, 2014 and 2013.</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55"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73" w:type="dxa"/>
            <w:tcBorders/>
            <w:shd w:fill="auto" w:val="clear"/>
          </w:tcPr>
          <w:p>
            <w:pPr>
              <w:pStyle w:val="TableContents"/>
              <w:spacing w:before="0" w:after="283"/>
              <w:rPr/>
            </w:pPr>
            <w:r>
              <w:rPr/>
              <w:t> </w:t>
            </w:r>
          </w:p>
        </w:tc>
        <w:tc>
          <w:tcPr>
            <w:tcW w:w="9662"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Long-lived assets are comprised of property, plant and equipmentnet.</w:t>
            </w:r>
          </w:p>
        </w:tc>
        <w:tc>
          <w:tcPr>
            <w:tcW w:w="40" w:type="dxa"/>
            <w:tcBorders/>
            <w:shd w:fill="auto" w:val="clear"/>
          </w:tcPr>
          <w:p>
            <w:pPr>
              <w:pStyle w:val="TableContents"/>
              <w:spacing w:before="0" w:after="283"/>
              <w:rPr>
                <w:sz w:val="4"/>
                <w:szCs w:val="4"/>
              </w:rPr>
            </w:pPr>
            <w:r>
              <w:rPr>
                <w:sz w:val="4"/>
                <w:szCs w:val="4"/>
              </w:rPr>
            </w:r>
          </w:p>
        </w:tc>
      </w:tr>
    </w:tbl>
    <w:p>
      <w:pPr>
        <w:pStyle w:val="TextBody"/>
        <w:spacing w:before="119" w:after="119"/>
        <w:ind w:left="119" w:right="119" w:hanging="0"/>
        <w:jc w:val="center"/>
        <w:rPr>
          <w:rFonts w:ascii="sans-serif" w:hAnsi="sans-serif"/>
          <w:sz w:val="22"/>
        </w:rPr>
      </w:pPr>
      <w:r>
        <w:rPr>
          <w:rFonts w:ascii="sans-serif" w:hAnsi="sans-serif"/>
          <w:sz w:val="22"/>
        </w:rPr>
        <w:t>78</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center"/>
        <w:rPr/>
      </w:pPr>
      <w:r>
        <w:rPr>
          <w:rFonts w:ascii="sans-serif" w:hAnsi="sans-serif"/>
          <w:b/>
          <w:sz w:val="26"/>
        </w:rPr>
        <w:t>HONEYWELL INTERNATIONAL INC.</w:t>
      </w:r>
      <w:r>
        <w:rPr>
          <w:rFonts w:ascii="sans-serif" w:hAnsi="sans-serif"/>
          <w:b/>
          <w:sz w:val="22"/>
        </w:rPr>
        <w:br/>
        <w:t>NOTES TO FINANCIAL STATEMENTS(Continued)</w:t>
      </w:r>
      <w:r>
        <w:rPr>
          <w:rFonts w:ascii="sans-serif" w:hAnsi="sans-serif"/>
          <w:b/>
          <w:sz w:val="18"/>
        </w:rPr>
        <w:br/>
        <w:t>(Dollars in millions, except per share amounts)</w:t>
      </w:r>
    </w:p>
    <w:p>
      <w:pPr>
        <w:pStyle w:val="TextBody"/>
        <w:spacing w:before="238" w:after="238"/>
        <w:ind w:left="238" w:right="238" w:hanging="0"/>
        <w:rPr>
          <w:rFonts w:ascii="sans-serif" w:hAnsi="sans-serif"/>
          <w:b/>
          <w:sz w:val="22"/>
        </w:rPr>
      </w:pPr>
      <w:r>
        <w:rPr>
          <w:rFonts w:ascii="sans-serif" w:hAnsi="sans-serif"/>
          <w:b/>
          <w:sz w:val="22"/>
        </w:rPr>
        <w:t>Note 23. Supplemental Cash Flow Information</w:t>
      </w:r>
    </w:p>
    <w:tbl>
      <w:tblPr>
        <w:tblW w:w="9695" w:type="dxa"/>
        <w:jc w:val="left"/>
        <w:tblInd w:w="0" w:type="dxa"/>
        <w:tblCellMar>
          <w:top w:w="0" w:type="dxa"/>
          <w:left w:w="0" w:type="dxa"/>
          <w:bottom w:w="0" w:type="dxa"/>
          <w:right w:w="0" w:type="dxa"/>
        </w:tblCellMar>
      </w:tblPr>
      <w:tblGrid>
        <w:gridCol w:w="6350"/>
        <w:gridCol w:w="60"/>
        <w:gridCol w:w="60"/>
        <w:gridCol w:w="155"/>
        <w:gridCol w:w="60"/>
        <w:gridCol w:w="620"/>
        <w:gridCol w:w="95"/>
        <w:gridCol w:w="60"/>
        <w:gridCol w:w="60"/>
        <w:gridCol w:w="60"/>
        <w:gridCol w:w="155"/>
        <w:gridCol w:w="60"/>
        <w:gridCol w:w="620"/>
        <w:gridCol w:w="95"/>
        <w:gridCol w:w="60"/>
        <w:gridCol w:w="60"/>
        <w:gridCol w:w="60"/>
        <w:gridCol w:w="155"/>
        <w:gridCol w:w="60"/>
        <w:gridCol w:w="620"/>
        <w:gridCol w:w="95"/>
        <w:gridCol w:w="75"/>
      </w:tblGrid>
      <w:tr>
        <w:trPr/>
        <w:tc>
          <w:tcPr>
            <w:tcW w:w="6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635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3285" w:type="dxa"/>
            <w:gridSpan w:val="20"/>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Years Ended December 31,</w:t>
            </w:r>
          </w:p>
        </w:tc>
      </w:tr>
      <w:tr>
        <w:trPr/>
        <w:tc>
          <w:tcPr>
            <w:tcW w:w="635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050"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r>
      <w:tr>
        <w:trPr/>
        <w:tc>
          <w:tcPr>
            <w:tcW w:w="63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Payments for repositioning and other charges:</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Severance and exit cost payments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(118</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35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Environmental payments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(273</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(321</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(304</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Insurance receipts for asbestos related liabilities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58</w:t>
            </w:r>
          </w:p>
        </w:tc>
        <w:tc>
          <w:tcPr>
            <w:tcW w:w="170" w:type="dxa"/>
            <w:gridSpan w:val="2"/>
            <w:tcBorders/>
            <w:shd w:fill="auto" w:val="clear"/>
            <w:vAlign w:val="bottom"/>
          </w:tcPr>
          <w:p>
            <w:pPr>
              <w:pStyle w:val="TableContents"/>
              <w:spacing w:before="0" w:after="283"/>
              <w:rPr/>
            </w:pPr>
            <w:r>
              <w:rPr/>
              <w:t> </w:t>
            </w:r>
          </w:p>
        </w:tc>
      </w:tr>
      <w:tr>
        <w:trPr/>
        <w:tc>
          <w:tcPr>
            <w:tcW w:w="635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Asbestos related liability payments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(209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(259</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(357</w:t>
            </w:r>
          </w:p>
        </w:tc>
        <w:tc>
          <w:tcPr>
            <w:tcW w:w="9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E5FFFF" w:val="cle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(537</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(530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(763</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0"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63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Interest paid, net of amounts capitalized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312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330</w:t>
            </w:r>
          </w:p>
        </w:tc>
        <w:tc>
          <w:tcPr>
            <w:tcW w:w="170" w:type="dxa"/>
            <w:gridSpan w:val="2"/>
            <w:tcBorders/>
            <w:shd w:fill="E5FFFF" w:val="cle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Income taxes paid, net of refunds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1,192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1,142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1,271</w:t>
            </w:r>
          </w:p>
        </w:tc>
        <w:tc>
          <w:tcPr>
            <w:tcW w:w="170" w:type="dxa"/>
            <w:gridSpan w:val="2"/>
            <w:tcBorders/>
            <w:shd w:fill="auto" w:val="clear"/>
            <w:vAlign w:val="bottom"/>
          </w:tcPr>
          <w:p>
            <w:pPr>
              <w:pStyle w:val="TableContents"/>
              <w:spacing w:before="0" w:after="283"/>
              <w:rPr/>
            </w:pPr>
            <w:r>
              <w:rPr/>
              <w:t> </w:t>
            </w:r>
          </w:p>
        </w:tc>
      </w:tr>
      <w:tr>
        <w:trPr/>
        <w:tc>
          <w:tcPr>
            <w:tcW w:w="63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Non-cash investing and financing activities:</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50"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635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Common stock contributed to savings plans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174</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159</w:t>
            </w:r>
          </w:p>
        </w:tc>
        <w:tc>
          <w:tcPr>
            <w:tcW w:w="170" w:type="dxa"/>
            <w:gridSpan w:val="2"/>
            <w:tcBorders/>
            <w:shd w:fill="auto" w:val="clear"/>
            <w:vAlign w:val="bottom"/>
          </w:tcPr>
          <w:p>
            <w:pPr>
              <w:pStyle w:val="TableContents"/>
              <w:spacing w:before="0" w:after="283"/>
              <w:rPr/>
            </w:pPr>
            <w:r>
              <w:rPr/>
              <w:t> </w:t>
            </w:r>
          </w:p>
        </w:tc>
      </w:tr>
      <w:tr>
        <w:trPr/>
        <w:tc>
          <w:tcPr>
            <w:tcW w:w="635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Marketable securities contributed to non-U.S. pension plans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109</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w:t>
            </w:r>
          </w:p>
        </w:tc>
        <w:tc>
          <w:tcPr>
            <w:tcW w:w="170" w:type="dxa"/>
            <w:gridSpan w:val="2"/>
            <w:tcBorders/>
            <w:shd w:fill="E5FFFF" w:val="clear"/>
            <w:vAlign w:val="bottom"/>
          </w:tcPr>
          <w:p>
            <w:pPr>
              <w:pStyle w:val="TableContents"/>
              <w:spacing w:before="0" w:after="283"/>
              <w:rPr/>
            </w:pPr>
            <w:r>
              <w:rPr/>
              <w:t> </w:t>
            </w:r>
          </w:p>
        </w:tc>
      </w:tr>
    </w:tbl>
    <w:p>
      <w:pPr>
        <w:pStyle w:val="TextBody"/>
        <w:spacing w:before="357" w:after="357"/>
        <w:ind w:left="357" w:right="357" w:hanging="0"/>
        <w:rPr>
          <w:rFonts w:ascii="sans-serif" w:hAnsi="sans-serif"/>
          <w:b/>
          <w:sz w:val="22"/>
        </w:rPr>
      </w:pPr>
      <w:r>
        <w:rPr>
          <w:rFonts w:ascii="sans-serif" w:hAnsi="sans-serif"/>
          <w:b/>
          <w:sz w:val="22"/>
        </w:rPr>
        <w:t>Note 24. Unaudited Quarterly Financial Information</w:t>
      </w:r>
    </w:p>
    <w:tbl>
      <w:tblPr>
        <w:tblW w:w="9805" w:type="dxa"/>
        <w:jc w:val="left"/>
        <w:tblInd w:w="0" w:type="dxa"/>
        <w:tblCellMar>
          <w:top w:w="0" w:type="dxa"/>
          <w:left w:w="0" w:type="dxa"/>
          <w:bottom w:w="0" w:type="dxa"/>
          <w:right w:w="0" w:type="dxa"/>
        </w:tblCellMar>
      </w:tblPr>
      <w:tblGrid>
        <w:gridCol w:w="4040"/>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755"/>
        <w:gridCol w:w="75"/>
      </w:tblGrid>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shd w:fill="auto" w:val="clear"/>
            <w:vAlign w:val="bottom"/>
          </w:tcPr>
          <w:p>
            <w:pPr>
              <w:pStyle w:val="TableContents"/>
              <w:spacing w:before="0" w:after="283"/>
              <w:rPr/>
            </w:pPr>
            <w:r>
              <w:rPr/>
              <w:t> </w:t>
            </w:r>
          </w:p>
        </w:tc>
      </w:tr>
      <w:tr>
        <w:trPr/>
        <w:tc>
          <w:tcPr>
            <w:tcW w:w="404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5705" w:type="dxa"/>
            <w:gridSpan w:val="29"/>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r>
      <w:tr>
        <w:trPr/>
        <w:tc>
          <w:tcPr>
            <w:tcW w:w="404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Mar. 31</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June 30</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Sept. 30</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 31</w:t>
            </w:r>
          </w:p>
        </w:tc>
        <w:tc>
          <w:tcPr>
            <w:tcW w:w="60" w:type="dxa"/>
            <w:tcBorders/>
            <w:shd w:fill="auto" w:val="clear"/>
            <w:vAlign w:val="bottom"/>
          </w:tcPr>
          <w:p>
            <w:pPr>
              <w:pStyle w:val="TableContents"/>
              <w:spacing w:before="0" w:after="283"/>
              <w:rPr/>
            </w:pPr>
            <w:r>
              <w:rPr/>
              <w:t> </w:t>
            </w:r>
          </w:p>
        </w:tc>
        <w:tc>
          <w:tcPr>
            <w:tcW w:w="110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w:t>
            </w:r>
          </w:p>
        </w:tc>
      </w:tr>
      <w:tr>
        <w:trPr/>
        <w:tc>
          <w:tcPr>
            <w:tcW w:w="40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9,213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9,775</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9,611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9,982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38,581</w:t>
            </w:r>
          </w:p>
        </w:tc>
        <w:tc>
          <w:tcPr>
            <w:tcW w:w="75" w:type="dxa"/>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Gross Profit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2,851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3,065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11,834</w:t>
            </w:r>
          </w:p>
        </w:tc>
        <w:tc>
          <w:tcPr>
            <w:tcW w:w="75" w:type="dxa"/>
            <w:tcBorders/>
            <w:shd w:fill="auto" w:val="cle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Net income attributable to Honeywell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1,116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1,194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1,264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1,194</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4,768</w:t>
            </w:r>
          </w:p>
        </w:tc>
        <w:tc>
          <w:tcPr>
            <w:tcW w:w="75" w:type="dxa"/>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sharebasic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6.11</w:t>
            </w:r>
          </w:p>
        </w:tc>
        <w:tc>
          <w:tcPr>
            <w:tcW w:w="75" w:type="dxa"/>
            <w:tcBorders/>
            <w:shd w:fill="auto" w:val="cle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shareassuming dilution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1.60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1.53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6.04</w:t>
            </w:r>
          </w:p>
        </w:tc>
        <w:tc>
          <w:tcPr>
            <w:tcW w:w="75" w:type="dxa"/>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Dividends paid per share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0.5175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0.5175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0.5175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0.5950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2.15</w:t>
            </w:r>
          </w:p>
        </w:tc>
        <w:tc>
          <w:tcPr>
            <w:tcW w:w="75" w:type="dxa"/>
            <w:tcBorders/>
            <w:shd w:fill="auto" w:val="cle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Market Price per share</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5" w:type="dxa"/>
            <w:gridSpan w:val="5"/>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High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101.76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104.17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104.29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101.65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104.29</w:t>
            </w:r>
          </w:p>
        </w:tc>
        <w:tc>
          <w:tcPr>
            <w:tcW w:w="75" w:type="dxa"/>
            <w:tcBorders/>
            <w:shd w:fill="auto" w:val="cle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Low</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98.78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102.87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101.72</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92.93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92.93</w:t>
            </w:r>
          </w:p>
        </w:tc>
        <w:tc>
          <w:tcPr>
            <w:tcW w:w="75" w:type="dxa"/>
            <w:tcBorders/>
            <w:shd w:fill="E5FFFF" w:val="clear"/>
            <w:vAlign w:val="bottom"/>
          </w:tcPr>
          <w:p>
            <w:pPr>
              <w:pStyle w:val="TableContents"/>
              <w:spacing w:before="0" w:after="283"/>
              <w:rPr/>
            </w:pPr>
            <w:r>
              <w:rPr/>
              <w:t> </w:t>
            </w:r>
          </w:p>
        </w:tc>
      </w:tr>
    </w:tbl>
    <w:tbl>
      <w:tblPr>
        <w:tblW w:w="9805" w:type="dxa"/>
        <w:jc w:val="left"/>
        <w:tblInd w:w="0" w:type="dxa"/>
        <w:tblCellMar>
          <w:top w:w="0" w:type="dxa"/>
          <w:left w:w="0" w:type="dxa"/>
          <w:bottom w:w="0" w:type="dxa"/>
          <w:right w:w="0" w:type="dxa"/>
        </w:tblCellMar>
      </w:tblPr>
      <w:tblGrid>
        <w:gridCol w:w="4040"/>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755"/>
        <w:gridCol w:w="60"/>
        <w:gridCol w:w="60"/>
        <w:gridCol w:w="60"/>
        <w:gridCol w:w="155"/>
        <w:gridCol w:w="60"/>
        <w:gridCol w:w="755"/>
        <w:gridCol w:w="75"/>
      </w:tblGrid>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0" w:type="dxa"/>
            <w:gridSpan w:val="5"/>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5"/>
            <w:tcBorders/>
            <w:shd w:fill="auto" w:val="clear"/>
            <w:vAlign w:val="bottom"/>
          </w:tcPr>
          <w:p>
            <w:pPr>
              <w:pStyle w:val="TableContents"/>
              <w:spacing w:before="0" w:after="283"/>
              <w:rPr/>
            </w:pPr>
            <w:r>
              <w:rPr/>
              <w:t> </w:t>
            </w:r>
          </w:p>
        </w:tc>
      </w:tr>
      <w:tr>
        <w:trPr/>
        <w:tc>
          <w:tcPr>
            <w:tcW w:w="4040" w:type="dxa"/>
            <w:vMerge w:val="restart"/>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5705" w:type="dxa"/>
            <w:gridSpan w:val="29"/>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r>
      <w:tr>
        <w:trPr/>
        <w:tc>
          <w:tcPr>
            <w:tcW w:w="404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Mar. 31</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June 30</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Sept. 30</w:t>
            </w:r>
          </w:p>
        </w:tc>
        <w:tc>
          <w:tcPr>
            <w:tcW w:w="60" w:type="dxa"/>
            <w:tcBorders/>
            <w:shd w:fill="auto" w:val="clear"/>
            <w:vAlign w:val="bottom"/>
          </w:tcPr>
          <w:p>
            <w:pPr>
              <w:pStyle w:val="TableContents"/>
              <w:spacing w:before="0" w:after="283"/>
              <w:rPr/>
            </w:pPr>
            <w:r>
              <w:rPr/>
              <w:t> </w:t>
            </w:r>
          </w:p>
        </w:tc>
        <w:tc>
          <w:tcPr>
            <w:tcW w:w="1090"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Dec. 31</w:t>
            </w:r>
          </w:p>
        </w:tc>
        <w:tc>
          <w:tcPr>
            <w:tcW w:w="60" w:type="dxa"/>
            <w:tcBorders/>
            <w:shd w:fill="auto" w:val="clear"/>
            <w:vAlign w:val="bottom"/>
          </w:tcPr>
          <w:p>
            <w:pPr>
              <w:pStyle w:val="TableContents"/>
              <w:spacing w:before="0" w:after="283"/>
              <w:rPr/>
            </w:pPr>
            <w:r>
              <w:rPr/>
              <w:t> </w:t>
            </w:r>
          </w:p>
        </w:tc>
        <w:tc>
          <w:tcPr>
            <w:tcW w:w="1105" w:type="dxa"/>
            <w:gridSpan w:val="5"/>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Year</w:t>
            </w:r>
          </w:p>
        </w:tc>
      </w:tr>
      <w:tr>
        <w:trPr/>
        <w:tc>
          <w:tcPr>
            <w:tcW w:w="40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Net Sales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9,679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10,253</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10,108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10,266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40,306</w:t>
            </w:r>
          </w:p>
        </w:tc>
        <w:tc>
          <w:tcPr>
            <w:tcW w:w="75" w:type="dxa"/>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Gross Profit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2,980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2,700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11,349</w:t>
            </w:r>
          </w:p>
        </w:tc>
        <w:tc>
          <w:tcPr>
            <w:tcW w:w="75" w:type="dxa"/>
            <w:tcBorders/>
            <w:shd w:fill="auto" w:val="cle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397" w:right="0" w:hanging="198"/>
              <w:rPr>
                <w:rFonts w:ascii="sans-serif" w:hAnsi="sans-serif"/>
                <w:sz w:val="22"/>
              </w:rPr>
            </w:pPr>
            <w:r>
              <w:rPr>
                <w:rFonts w:ascii="sans-serif" w:hAnsi="sans-serif"/>
                <w:sz w:val="22"/>
              </w:rPr>
              <w:t>Net income attributable to Honeywell</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1,017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1,099</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1,167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956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4,239</w:t>
            </w:r>
          </w:p>
        </w:tc>
        <w:tc>
          <w:tcPr>
            <w:tcW w:w="75" w:type="dxa"/>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sharebasic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1.49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5.40</w:t>
            </w:r>
          </w:p>
        </w:tc>
        <w:tc>
          <w:tcPr>
            <w:tcW w:w="75" w:type="dxa"/>
            <w:tcBorders/>
            <w:shd w:fill="auto" w:val="cle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Earnings per shareassuming dilution</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1.38</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1.47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1.20</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5.33</w:t>
            </w:r>
          </w:p>
        </w:tc>
        <w:tc>
          <w:tcPr>
            <w:tcW w:w="75" w:type="dxa"/>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Dividends paid per share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0.4500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0.4500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0.4500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0.5175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1.87</w:t>
            </w:r>
          </w:p>
        </w:tc>
        <w:tc>
          <w:tcPr>
            <w:tcW w:w="75" w:type="dxa"/>
            <w:tcBorders/>
            <w:shd w:fill="auto" w:val="cle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Market Price per share</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90" w:type="dxa"/>
            <w:gridSpan w:val="5"/>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05" w:type="dxa"/>
            <w:gridSpan w:val="5"/>
            <w:tcBorders/>
            <w:shd w:fill="E5FF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High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95.44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95.81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97.34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101.98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101.98</w:t>
            </w:r>
          </w:p>
        </w:tc>
        <w:tc>
          <w:tcPr>
            <w:tcW w:w="75" w:type="dxa"/>
            <w:tcBorders/>
            <w:shd w:fill="auto" w:val="clear"/>
            <w:vAlign w:val="bottom"/>
          </w:tcPr>
          <w:p>
            <w:pPr>
              <w:pStyle w:val="TableContents"/>
              <w:spacing w:before="0" w:after="283"/>
              <w:rPr/>
            </w:pPr>
            <w:r>
              <w:rPr/>
              <w:t> </w:t>
            </w:r>
          </w:p>
        </w:tc>
      </w:tr>
      <w:tr>
        <w:trPr/>
        <w:tc>
          <w:tcPr>
            <w:tcW w:w="404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Low</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88.47</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90.36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90.56</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85.11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75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85.11</w:t>
            </w:r>
          </w:p>
        </w:tc>
        <w:tc>
          <w:tcPr>
            <w:tcW w:w="75" w:type="dxa"/>
            <w:tcBorders/>
            <w:shd w:fill="E5FFFF" w:val="cle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79</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2"/>
        </w:rPr>
      </w:pPr>
      <w:r>
        <w:rPr>
          <w:rFonts w:ascii="sans-serif" w:hAnsi="sans-serif"/>
          <w:b/>
          <w:sz w:val="22"/>
        </w:rPr>
        <w:t>Report of Independent Registered Public Accounting Firm</w:t>
      </w:r>
    </w:p>
    <w:p>
      <w:pPr>
        <w:pStyle w:val="TextBody"/>
        <w:spacing w:before="238" w:after="238"/>
        <w:ind w:left="238" w:right="238" w:hanging="0"/>
        <w:rPr/>
      </w:pPr>
      <w:r>
        <w:rPr>
          <w:rFonts w:ascii="sans-serif" w:hAnsi="sans-serif"/>
          <w:sz w:val="22"/>
        </w:rPr>
        <w:t>T</w:t>
      </w:r>
      <w:r>
        <w:rPr>
          <w:rFonts w:ascii="sans-serif" w:hAnsi="sans-serif"/>
          <w:sz w:val="16"/>
        </w:rPr>
        <w:t>O</w:t>
      </w:r>
      <w:r>
        <w:rPr/>
        <w:t xml:space="preserve"> </w:t>
      </w:r>
      <w:r>
        <w:rPr>
          <w:rFonts w:ascii="sans-serif" w:hAnsi="sans-serif"/>
          <w:sz w:val="16"/>
        </w:rPr>
        <w:t>THE</w:t>
      </w:r>
      <w:r>
        <w:rPr/>
        <w:t xml:space="preserve"> </w:t>
      </w:r>
      <w:r>
        <w:rPr>
          <w:rFonts w:ascii="sans-serif" w:hAnsi="sans-serif"/>
          <w:sz w:val="22"/>
        </w:rPr>
        <w:t>B</w:t>
      </w:r>
      <w:r>
        <w:rPr>
          <w:rFonts w:ascii="sans-serif" w:hAnsi="sans-serif"/>
          <w:sz w:val="16"/>
        </w:rPr>
        <w:t>OARD</w:t>
      </w:r>
      <w:r>
        <w:rPr/>
        <w:t xml:space="preserve"> </w:t>
      </w:r>
      <w:r>
        <w:rPr>
          <w:rFonts w:ascii="sans-serif" w:hAnsi="sans-serif"/>
          <w:sz w:val="16"/>
        </w:rPr>
        <w:t>OF</w:t>
      </w:r>
      <w:r>
        <w:rPr/>
        <w:t xml:space="preserve"> </w:t>
      </w:r>
      <w:r>
        <w:rPr>
          <w:rFonts w:ascii="sans-serif" w:hAnsi="sans-serif"/>
          <w:sz w:val="22"/>
        </w:rPr>
        <w:t>D</w:t>
      </w:r>
      <w:r>
        <w:rPr>
          <w:rFonts w:ascii="sans-serif" w:hAnsi="sans-serif"/>
          <w:sz w:val="16"/>
        </w:rPr>
        <w:t>IRECTORS</w:t>
      </w:r>
      <w:r>
        <w:rPr/>
        <w:t xml:space="preserve"> </w:t>
      </w:r>
      <w:r>
        <w:rPr>
          <w:rFonts w:ascii="sans-serif" w:hAnsi="sans-serif"/>
          <w:sz w:val="16"/>
        </w:rPr>
        <w:t>AND</w:t>
      </w:r>
      <w:r>
        <w:rPr/>
        <w:t xml:space="preserve"> </w:t>
      </w:r>
      <w:r>
        <w:rPr>
          <w:rFonts w:ascii="sans-serif" w:hAnsi="sans-serif"/>
          <w:sz w:val="22"/>
        </w:rPr>
        <w:t>S</w:t>
      </w:r>
      <w:r>
        <w:rPr>
          <w:rFonts w:ascii="sans-serif" w:hAnsi="sans-serif"/>
          <w:sz w:val="16"/>
        </w:rPr>
        <w:t>HAREHOLDERS</w:t>
      </w:r>
      <w:r>
        <w:rPr/>
        <w:t xml:space="preserve"> </w:t>
      </w:r>
      <w:r>
        <w:rPr>
          <w:rFonts w:ascii="sans-serif" w:hAnsi="sans-serif"/>
          <w:sz w:val="16"/>
        </w:rPr>
        <w:t>OF</w:t>
      </w:r>
      <w:r>
        <w:rPr>
          <w:rFonts w:ascii="sans-serif" w:hAnsi="sans-serif"/>
          <w:sz w:val="22"/>
        </w:rPr>
        <w:br/>
        <w:t>H</w:t>
      </w:r>
      <w:r>
        <w:rPr>
          <w:rFonts w:ascii="sans-serif" w:hAnsi="sans-serif"/>
          <w:sz w:val="16"/>
        </w:rPr>
        <w:t>ONEYWELL</w:t>
      </w:r>
      <w:r>
        <w:rPr/>
        <w:t xml:space="preserve"> </w:t>
      </w:r>
      <w:r>
        <w:rPr>
          <w:rFonts w:ascii="sans-serif" w:hAnsi="sans-serif"/>
          <w:sz w:val="22"/>
        </w:rPr>
        <w:t>I</w:t>
      </w:r>
      <w:r>
        <w:rPr>
          <w:rFonts w:ascii="sans-serif" w:hAnsi="sans-serif"/>
          <w:sz w:val="16"/>
        </w:rPr>
        <w:t>NTERNATIONAL</w:t>
      </w:r>
      <w:r>
        <w:rPr/>
        <w:t xml:space="preserve"> </w:t>
      </w:r>
      <w:r>
        <w:rPr>
          <w:rFonts w:ascii="sans-serif" w:hAnsi="sans-serif"/>
          <w:sz w:val="22"/>
        </w:rPr>
        <w:t>I</w:t>
      </w:r>
      <w:r>
        <w:rPr>
          <w:rFonts w:ascii="sans-serif" w:hAnsi="sans-serif"/>
          <w:sz w:val="16"/>
        </w:rPr>
        <w:t>NC</w:t>
      </w:r>
      <w:r>
        <w:rPr>
          <w:rFonts w:ascii="sans-serif" w:hAnsi="sans-serif"/>
          <w:sz w:val="22"/>
        </w:rPr>
        <w:t>.:</w:t>
      </w:r>
    </w:p>
    <w:p>
      <w:pPr>
        <w:pStyle w:val="TextBody"/>
        <w:spacing w:before="119" w:after="119"/>
        <w:ind w:left="119" w:right="119" w:firstLine="397"/>
        <w:jc w:val="both"/>
        <w:rPr>
          <w:rFonts w:ascii="sans-serif" w:hAnsi="sans-serif"/>
          <w:sz w:val="22"/>
        </w:rPr>
      </w:pPr>
      <w:r>
        <w:rPr>
          <w:rFonts w:ascii="sans-serif" w:hAnsi="sans-serif"/>
          <w:sz w:val="22"/>
        </w:rPr>
        <w:t>We have audited the accompanying consolidated balance sheet of Honeywell International Inc. and subsidiaries (the Company) as of December 31, 2015, and the related consolidated statements of operations, comprehensive income, cash flows and shareowners equity for the year then ended. We also have audited the Companys internal control over financial reporting as of December 31, 2015 based on the criteria established in Internal ControlIntegrated Framework (2013) issued by the Committee of Sponsoring Organizations of the Treadway Commission. As described in Managements Report on Internal Control Over Financial Reporting, management excluded from its assessment the internal control over financial reporting at the Elster Division of Melrose Industries Plc. (Elster), which was acquired on December 29, 2015 and whose financial statements constitute approximately 1.8% of consolidated total assets and a de minimis percentage of total consolidated net sales for the year ended December 31, 2015. Accordingly, our audit did not include the internal control over financial reporting at Elster. The Companys management is responsible for these financial statements, for maintaining effective internal control over financial reporting, and for its assessment of the effectiveness of internal control over financial reporting, including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pStyle w:val="TextBody"/>
        <w:spacing w:before="119" w:after="119"/>
        <w:ind w:left="119" w:right="119" w:firstLine="397"/>
        <w:jc w:val="both"/>
        <w:rPr>
          <w:rFonts w:ascii="sans-serif" w:hAnsi="sans-serif"/>
          <w:sz w:val="22"/>
        </w:rPr>
      </w:pPr>
      <w:r>
        <w:rPr>
          <w:rFonts w:ascii="sans-serif" w:hAnsi="sans-serif"/>
          <w:sz w:val="22"/>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procedures as we considered necessary in the circumstances. We believe that our audits provide a reasonable basis for our opinions.</w:t>
      </w:r>
    </w:p>
    <w:p>
      <w:pPr>
        <w:pStyle w:val="TextBody"/>
        <w:spacing w:before="119" w:after="119"/>
        <w:ind w:left="119" w:right="119" w:firstLine="397"/>
        <w:jc w:val="both"/>
        <w:rPr>
          <w:rFonts w:ascii="sans-serif" w:hAnsi="sans-serif"/>
          <w:sz w:val="22"/>
        </w:rPr>
      </w:pPr>
      <w:r>
        <w:rPr>
          <w:rFonts w:ascii="sans-serif" w:hAnsi="sans-serif"/>
          <w:sz w:val="22"/>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119" w:after="119"/>
        <w:ind w:left="119" w:right="119" w:firstLine="397"/>
        <w:jc w:val="both"/>
        <w:rPr>
          <w:rFonts w:ascii="sans-serif" w:hAnsi="sans-serif"/>
          <w:sz w:val="22"/>
        </w:rPr>
      </w:pPr>
      <w:r>
        <w:rPr>
          <w:rFonts w:ascii="sans-serif" w:hAnsi="sans-serif"/>
          <w:sz w:val="22"/>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pStyle w:val="TextBody"/>
        <w:spacing w:before="119" w:after="119"/>
        <w:ind w:left="119" w:right="119" w:hanging="0"/>
        <w:jc w:val="center"/>
        <w:rPr>
          <w:rFonts w:ascii="sans-serif" w:hAnsi="sans-serif"/>
          <w:sz w:val="22"/>
        </w:rPr>
      </w:pPr>
      <w:r>
        <w:rPr>
          <w:rFonts w:ascii="sans-serif" w:hAnsi="sans-serif"/>
          <w:sz w:val="22"/>
        </w:rPr>
        <w:t>80</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firstLine="397"/>
        <w:jc w:val="both"/>
        <w:rPr>
          <w:rFonts w:ascii="sans-serif" w:hAnsi="sans-serif"/>
          <w:sz w:val="22"/>
        </w:rPr>
      </w:pPr>
      <w:r>
        <w:rPr>
          <w:rFonts w:ascii="sans-serif" w:hAnsi="sans-serif"/>
          <w:sz w:val="22"/>
        </w:rPr>
        <w:t>In our opinion, the consolidated financial statements referred to above present fairly, in all material respects, the financial position of the Company as of December 31, 2015, and the results of their operations and their cash flows for the year then ended, in conformity with accounting principles generally accepted in the United States of America. Also, in our opinion, the Company maintained, in all material respects, effective internal control over financial reporting as of December 31, 2015, based on the criteria established in Internal ControlIntegrated Framework (2013) issued by the Committee of Sponsoring Organizations of the Treadway Commission.</w:t>
      </w:r>
    </w:p>
    <w:p>
      <w:pPr>
        <w:pStyle w:val="TextBody"/>
        <w:spacing w:before="437" w:after="437"/>
        <w:ind w:left="437" w:right="437" w:hanging="0"/>
        <w:rPr>
          <w:rFonts w:ascii="sans-serif" w:hAnsi="sans-serif"/>
          <w:sz w:val="22"/>
        </w:rPr>
      </w:pPr>
      <w:r>
        <w:rPr>
          <w:rFonts w:ascii="sans-serif" w:hAnsi="sans-serif"/>
          <w:sz w:val="22"/>
        </w:rPr>
        <w:t>/s/ Deloitte &amp; Touche LLP</w:t>
        <w:br/>
        <w:t>Parsippany, New Jersey</w:t>
        <w:br/>
        <w:t>February 12, 2016</w:t>
      </w:r>
    </w:p>
    <w:p>
      <w:pPr>
        <w:pStyle w:val="TextBody"/>
        <w:spacing w:before="119" w:after="119"/>
        <w:ind w:left="119" w:right="119" w:hanging="0"/>
        <w:jc w:val="center"/>
        <w:rPr>
          <w:rFonts w:ascii="sans-serif" w:hAnsi="sans-serif"/>
          <w:sz w:val="22"/>
        </w:rPr>
      </w:pPr>
      <w:r>
        <w:rPr>
          <w:rFonts w:ascii="sans-serif" w:hAnsi="sans-serif"/>
          <w:sz w:val="22"/>
        </w:rPr>
        <w:t>81</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2"/>
        </w:rPr>
      </w:pPr>
      <w:r>
        <w:rPr>
          <w:rFonts w:ascii="sans-serif" w:hAnsi="sans-serif"/>
          <w:b/>
          <w:sz w:val="22"/>
        </w:rPr>
        <w:t>Report of Independent Registered Public Accounting Firm</w:t>
      </w:r>
    </w:p>
    <w:p>
      <w:pPr>
        <w:pStyle w:val="TextBody"/>
        <w:spacing w:before="238" w:after="238"/>
        <w:ind w:left="238" w:right="238" w:hanging="0"/>
        <w:rPr/>
      </w:pPr>
      <w:r>
        <w:rPr>
          <w:rFonts w:ascii="sans-serif" w:hAnsi="sans-serif"/>
          <w:sz w:val="22"/>
        </w:rPr>
        <w:t>T</w:t>
      </w:r>
      <w:r>
        <w:rPr>
          <w:rFonts w:ascii="sans-serif" w:hAnsi="sans-serif"/>
          <w:sz w:val="16"/>
        </w:rPr>
        <w:t>O</w:t>
      </w:r>
      <w:r>
        <w:rPr/>
        <w:t xml:space="preserve"> </w:t>
      </w:r>
      <w:r>
        <w:rPr>
          <w:rFonts w:ascii="sans-serif" w:hAnsi="sans-serif"/>
          <w:sz w:val="22"/>
        </w:rPr>
        <w:t>T</w:t>
      </w:r>
      <w:r>
        <w:rPr>
          <w:rFonts w:ascii="sans-serif" w:hAnsi="sans-serif"/>
          <w:sz w:val="16"/>
        </w:rPr>
        <w:t>HE</w:t>
      </w:r>
      <w:r>
        <w:rPr/>
        <w:t xml:space="preserve"> </w:t>
      </w:r>
      <w:r>
        <w:rPr>
          <w:rFonts w:ascii="sans-serif" w:hAnsi="sans-serif"/>
          <w:sz w:val="22"/>
        </w:rPr>
        <w:t>B</w:t>
      </w:r>
      <w:r>
        <w:rPr>
          <w:rFonts w:ascii="sans-serif" w:hAnsi="sans-serif"/>
          <w:sz w:val="16"/>
        </w:rPr>
        <w:t>OARD</w:t>
      </w:r>
      <w:r>
        <w:rPr/>
        <w:t xml:space="preserve"> </w:t>
      </w:r>
      <w:r>
        <w:rPr>
          <w:rFonts w:ascii="sans-serif" w:hAnsi="sans-serif"/>
          <w:sz w:val="16"/>
        </w:rPr>
        <w:t>OF</w:t>
      </w:r>
      <w:r>
        <w:rPr/>
        <w:t xml:space="preserve"> </w:t>
      </w:r>
      <w:r>
        <w:rPr>
          <w:rFonts w:ascii="sans-serif" w:hAnsi="sans-serif"/>
          <w:sz w:val="22"/>
        </w:rPr>
        <w:t>D</w:t>
      </w:r>
      <w:r>
        <w:rPr>
          <w:rFonts w:ascii="sans-serif" w:hAnsi="sans-serif"/>
          <w:sz w:val="16"/>
        </w:rPr>
        <w:t>IRECTORS</w:t>
      </w:r>
      <w:r>
        <w:rPr/>
        <w:t xml:space="preserve"> </w:t>
      </w:r>
      <w:r>
        <w:rPr>
          <w:rFonts w:ascii="sans-serif" w:hAnsi="sans-serif"/>
          <w:sz w:val="16"/>
        </w:rPr>
        <w:t>AND</w:t>
      </w:r>
      <w:r>
        <w:rPr/>
        <w:t xml:space="preserve"> </w:t>
      </w:r>
      <w:r>
        <w:rPr>
          <w:rFonts w:ascii="sans-serif" w:hAnsi="sans-serif"/>
          <w:sz w:val="22"/>
        </w:rPr>
        <w:t>S</w:t>
      </w:r>
      <w:r>
        <w:rPr>
          <w:rFonts w:ascii="sans-serif" w:hAnsi="sans-serif"/>
          <w:sz w:val="16"/>
        </w:rPr>
        <w:t>HAREHOLDERS</w:t>
      </w:r>
      <w:r>
        <w:rPr/>
        <w:t xml:space="preserve"> </w:t>
      </w:r>
      <w:r>
        <w:rPr>
          <w:rFonts w:ascii="sans-serif" w:hAnsi="sans-serif"/>
          <w:sz w:val="16"/>
        </w:rPr>
        <w:t>OF</w:t>
      </w:r>
      <w:r>
        <w:rPr>
          <w:rFonts w:ascii="sans-serif" w:hAnsi="sans-serif"/>
          <w:sz w:val="22"/>
        </w:rPr>
        <w:br/>
        <w:t>H</w:t>
      </w:r>
      <w:r>
        <w:rPr>
          <w:rFonts w:ascii="sans-serif" w:hAnsi="sans-serif"/>
          <w:sz w:val="16"/>
        </w:rPr>
        <w:t>ONEYWELL</w:t>
      </w:r>
      <w:r>
        <w:rPr/>
        <w:t xml:space="preserve"> </w:t>
      </w:r>
      <w:r>
        <w:rPr>
          <w:rFonts w:ascii="sans-serif" w:hAnsi="sans-serif"/>
          <w:sz w:val="22"/>
        </w:rPr>
        <w:t>I</w:t>
      </w:r>
      <w:r>
        <w:rPr>
          <w:rFonts w:ascii="sans-serif" w:hAnsi="sans-serif"/>
          <w:sz w:val="16"/>
        </w:rPr>
        <w:t>NTERNATIONAL</w:t>
      </w:r>
      <w:r>
        <w:rPr/>
        <w:t xml:space="preserve"> </w:t>
      </w:r>
      <w:r>
        <w:rPr>
          <w:rFonts w:ascii="sans-serif" w:hAnsi="sans-serif"/>
          <w:sz w:val="22"/>
        </w:rPr>
        <w:t>I</w:t>
      </w:r>
      <w:r>
        <w:rPr>
          <w:rFonts w:ascii="sans-serif" w:hAnsi="sans-serif"/>
          <w:sz w:val="16"/>
        </w:rPr>
        <w:t>NC</w:t>
      </w:r>
      <w:r>
        <w:rPr>
          <w:rFonts w:ascii="sans-serif" w:hAnsi="sans-serif"/>
          <w:sz w:val="22"/>
        </w:rPr>
        <w:t>.:</w:t>
      </w:r>
    </w:p>
    <w:p>
      <w:pPr>
        <w:pStyle w:val="TextBody"/>
        <w:spacing w:before="119" w:after="119"/>
        <w:ind w:left="119" w:right="119" w:firstLine="397"/>
        <w:jc w:val="both"/>
        <w:rPr>
          <w:rFonts w:ascii="sans-serif" w:hAnsi="sans-serif"/>
          <w:sz w:val="22"/>
        </w:rPr>
      </w:pPr>
      <w:r>
        <w:rPr>
          <w:rFonts w:ascii="sans-serif" w:hAnsi="sans-serif"/>
          <w:sz w:val="22"/>
        </w:rPr>
        <w:t>In our opinion, the accompanying consolidated balance sheet as of December 31, 2014 and the related consolidated statements of income, comprehensive income, shareholders equity and cash flows for each of two years in the period ended December 31, 2014 present fairly, in all material respects, the financial position of Honeywell International Inc. and its subsidiaries at December 31, 2014, and the results of their operations and their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pStyle w:val="TextBody"/>
        <w:spacing w:before="437" w:after="437"/>
        <w:ind w:left="437" w:right="437" w:hanging="0"/>
        <w:rPr>
          <w:rFonts w:ascii="sans-serif" w:hAnsi="sans-serif"/>
          <w:sz w:val="22"/>
        </w:rPr>
      </w:pPr>
      <w:r>
        <w:rPr>
          <w:rFonts w:ascii="sans-serif" w:hAnsi="sans-serif"/>
          <w:sz w:val="22"/>
        </w:rPr>
        <w:t>/s/ PricewaterhouseCoopers LLP</w:t>
        <w:br/>
        <w:t>Florham Park, New Jersey</w:t>
        <w:br/>
        <w:t>February 13, 2015</w:t>
      </w:r>
    </w:p>
    <w:p>
      <w:pPr>
        <w:pStyle w:val="TextBody"/>
        <w:spacing w:before="119" w:after="119"/>
        <w:ind w:left="119" w:right="119" w:hanging="0"/>
        <w:jc w:val="center"/>
        <w:rPr>
          <w:rFonts w:ascii="sans-serif" w:hAnsi="sans-serif"/>
          <w:sz w:val="22"/>
        </w:rPr>
      </w:pPr>
      <w:r>
        <w:rPr>
          <w:rFonts w:ascii="sans-serif" w:hAnsi="sans-serif"/>
          <w:sz w:val="22"/>
        </w:rPr>
        <w:t>82</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879" w:right="238" w:hanging="879"/>
        <w:rPr>
          <w:rFonts w:ascii="sans-serif" w:hAnsi="sans-serif"/>
          <w:b/>
          <w:sz w:val="26"/>
        </w:rPr>
      </w:pPr>
      <w:bookmarkStart w:id="14" w:name="c83288_changes1"/>
      <w:bookmarkEnd w:id="14"/>
      <w:r>
        <w:rPr>
          <w:rFonts w:ascii="sans-serif" w:hAnsi="sans-serif"/>
          <w:b/>
          <w:sz w:val="26"/>
        </w:rPr>
        <w:t>Item 9. Changes in and Disagreements with Accountants on Accounting and Financial Disclosure</w:t>
      </w:r>
    </w:p>
    <w:p>
      <w:pPr>
        <w:pStyle w:val="TextBody"/>
        <w:spacing w:before="119" w:after="119"/>
        <w:ind w:left="119" w:right="119" w:firstLine="397"/>
        <w:jc w:val="both"/>
        <w:rPr>
          <w:rFonts w:ascii="sans-serif" w:hAnsi="sans-serif"/>
          <w:sz w:val="22"/>
        </w:rPr>
      </w:pPr>
      <w:r>
        <w:rPr>
          <w:rFonts w:ascii="sans-serif" w:hAnsi="sans-serif"/>
          <w:sz w:val="22"/>
        </w:rPr>
        <w:t>Not Applicable.</w:t>
      </w:r>
    </w:p>
    <w:p>
      <w:pPr>
        <w:pStyle w:val="TextBody"/>
        <w:spacing w:before="357" w:after="357"/>
        <w:ind w:left="357" w:right="357" w:hanging="0"/>
        <w:rPr>
          <w:rFonts w:ascii="sans-serif" w:hAnsi="sans-serif"/>
          <w:b/>
          <w:sz w:val="26"/>
        </w:rPr>
      </w:pPr>
      <w:bookmarkStart w:id="15" w:name="c83288_controles1"/>
      <w:bookmarkEnd w:id="15"/>
      <w:r>
        <w:rPr>
          <w:rFonts w:ascii="sans-serif" w:hAnsi="sans-serif"/>
          <w:b/>
          <w:sz w:val="26"/>
        </w:rPr>
        <w:t>Item 9A. Controls and Procedures</w:t>
      </w:r>
    </w:p>
    <w:p>
      <w:pPr>
        <w:pStyle w:val="TextBody"/>
        <w:spacing w:before="119" w:after="119"/>
        <w:ind w:left="119" w:right="119" w:firstLine="397"/>
        <w:jc w:val="both"/>
        <w:rPr>
          <w:rFonts w:ascii="sans-serif" w:hAnsi="sans-serif"/>
          <w:sz w:val="22"/>
        </w:rPr>
      </w:pPr>
      <w:r>
        <w:rPr>
          <w:rFonts w:ascii="sans-serif" w:hAnsi="sans-serif"/>
          <w:sz w:val="22"/>
        </w:rPr>
        <w:t>Honeywell management maintains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There have been no changes that have materially affected, or are reasonably likely to materially affect, Honeywells internal control over financial reporting that have occurred during the quarter ended December 31, 2015.</w:t>
      </w:r>
    </w:p>
    <w:p>
      <w:pPr>
        <w:pStyle w:val="TextBody"/>
        <w:spacing w:before="119" w:after="119"/>
        <w:ind w:left="119" w:right="119" w:firstLine="397"/>
        <w:jc w:val="both"/>
        <w:rPr>
          <w:rFonts w:ascii="sans-serif" w:hAnsi="sans-serif"/>
          <w:sz w:val="22"/>
        </w:rPr>
      </w:pPr>
      <w:r>
        <w:rPr>
          <w:rFonts w:ascii="sans-serif" w:hAnsi="sans-serif"/>
          <w:sz w:val="22"/>
        </w:rPr>
        <w:t>Our management, with the participation of our CEO and CFO, evaluated the effectiveness of our disclosure controls and procedures (as defined in Rules 13a-15(e) or 15d-15(e) promulgated under the Exchange Act) at December 31, 2015. Based on these evaluations, our CEO and CFO concluded that our disclosure controls and procedures required by paragraph (b) of Rules 13a-15 or 15d-15 were effective as of December 31, 2015.</w:t>
      </w:r>
    </w:p>
    <w:p>
      <w:pPr>
        <w:pStyle w:val="TextBody"/>
        <w:spacing w:before="357" w:after="357"/>
        <w:ind w:left="357" w:right="357" w:hanging="0"/>
        <w:jc w:val="center"/>
        <w:rPr>
          <w:rFonts w:ascii="sans-serif" w:hAnsi="sans-serif"/>
          <w:b/>
          <w:sz w:val="22"/>
          <w:u w:val="single"/>
        </w:rPr>
      </w:pPr>
      <w:r>
        <w:rPr>
          <w:rFonts w:ascii="sans-serif" w:hAnsi="sans-serif"/>
          <w:b/>
          <w:sz w:val="22"/>
          <w:u w:val="single"/>
        </w:rPr>
        <w:t>Managements Report on Internal Control Over Financial Reporting</w:t>
      </w:r>
    </w:p>
    <w:p>
      <w:pPr>
        <w:pStyle w:val="TextBody"/>
        <w:spacing w:before="119" w:after="119"/>
        <w:ind w:left="119" w:right="119" w:firstLine="397"/>
        <w:jc w:val="both"/>
        <w:rPr>
          <w:rFonts w:ascii="sans-serif" w:hAnsi="sans-serif"/>
          <w:sz w:val="22"/>
        </w:rPr>
      </w:pPr>
      <w:r>
        <w:rPr>
          <w:rFonts w:ascii="sans-serif" w:hAnsi="sans-serif"/>
          <w:sz w:val="22"/>
        </w:rPr>
        <w:t>Honeywell management is responsible for establishing and maintaining adequate internal control over financial reporting and for its assessment of the effectiveness of internal control over financial reporting as defined in Rules 13a-15(f) and 15d-15(f) under the Securities Exchange Act of 1934.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pStyle w:val="TextBody"/>
        <w:spacing w:before="119" w:after="119"/>
        <w:ind w:left="119" w:right="119" w:firstLine="397"/>
        <w:jc w:val="both"/>
        <w:rPr>
          <w:rFonts w:ascii="sans-serif" w:hAnsi="sans-serif"/>
          <w:sz w:val="22"/>
        </w:rPr>
      </w:pPr>
      <w:r>
        <w:rPr>
          <w:rFonts w:ascii="sans-serif" w:hAnsi="sans-serif"/>
          <w:sz w:val="22"/>
        </w:rPr>
        <w:t>Because of its inherent limitations, internal control over financial reporting may not prevent or detect misstatements.</w:t>
      </w:r>
    </w:p>
    <w:p>
      <w:pPr>
        <w:pStyle w:val="TextBody"/>
        <w:spacing w:before="119" w:after="119"/>
        <w:ind w:left="119" w:right="119" w:firstLine="397"/>
        <w:jc w:val="both"/>
        <w:rPr>
          <w:rFonts w:ascii="sans-serif" w:hAnsi="sans-serif"/>
          <w:sz w:val="22"/>
        </w:rPr>
      </w:pPr>
      <w:r>
        <w:rPr>
          <w:rFonts w:ascii="sans-serif" w:hAnsi="sans-serif"/>
          <w:sz w:val="22"/>
        </w:rPr>
        <w:t xml:space="preserve">Management assessed the effectiveness of Honeywells internal control over financial reporting as of December 31, 2015. In making this assessment, management used the criteria set forth by the Committee of Sponsoring Organizations of the Treadway Commission (COSO) in </w:t>
      </w:r>
      <w:r>
        <w:rPr>
          <w:rFonts w:ascii="sans-serif" w:hAnsi="sans-serif"/>
          <w:i/>
          <w:sz w:val="22"/>
        </w:rPr>
        <w:t>Internal ControlIntegrated Framework (2013)</w:t>
      </w:r>
      <w:r>
        <w:rPr>
          <w:rFonts w:ascii="sans-serif" w:hAnsi="sans-serif"/>
          <w:sz w:val="22"/>
        </w:rPr>
        <w:t>. Management excluded the Elster Division of Melrose Industries plc (Elster), acquired on December 29, 2015, from its evaluation of internal control over financial reporting as of December 31, 2015. As of December 31, 2015 Elster represented approximately 1.8% of our consolidated total assets and a de minimus percentage of our total consolidated sales for the year ended December 31, 2015.</w:t>
      </w:r>
    </w:p>
    <w:p>
      <w:pPr>
        <w:pStyle w:val="TextBody"/>
        <w:spacing w:before="119" w:after="119"/>
        <w:ind w:left="119" w:right="119" w:firstLine="397"/>
        <w:jc w:val="both"/>
        <w:rPr>
          <w:rFonts w:ascii="sans-serif" w:hAnsi="sans-serif"/>
          <w:sz w:val="22"/>
        </w:rPr>
      </w:pPr>
      <w:r>
        <w:rPr>
          <w:rFonts w:ascii="sans-serif" w:hAnsi="sans-serif"/>
          <w:sz w:val="22"/>
        </w:rPr>
        <w:t>Based on this assessment, management determined that Honeywell maintained effective internal control over financial reporting as of December 31, 2015.</w:t>
      </w:r>
    </w:p>
    <w:p>
      <w:pPr>
        <w:pStyle w:val="TextBody"/>
        <w:spacing w:before="119" w:after="119"/>
        <w:ind w:left="119" w:right="119" w:firstLine="397"/>
        <w:jc w:val="both"/>
        <w:rPr>
          <w:rFonts w:ascii="sans-serif" w:hAnsi="sans-serif"/>
          <w:sz w:val="22"/>
        </w:rPr>
      </w:pPr>
      <w:r>
        <w:rPr>
          <w:rFonts w:ascii="sans-serif" w:hAnsi="sans-serif"/>
          <w:sz w:val="22"/>
        </w:rPr>
        <w:t>The effectiveness of Honeywells internal control over financial reporting as of December 31, 2015 has been audited by Deloitte &amp; Touche LLP, an independent registered public accounting firm, as stated in their report which is included in Item 8. Financial Statements and Supplementary Data.</w:t>
      </w:r>
    </w:p>
    <w:p>
      <w:pPr>
        <w:pStyle w:val="TextBody"/>
        <w:spacing w:before="357" w:after="357"/>
        <w:ind w:left="1054" w:right="357" w:hanging="1054"/>
        <w:rPr>
          <w:rFonts w:ascii="sans-serif" w:hAnsi="sans-serif"/>
          <w:b/>
          <w:sz w:val="26"/>
        </w:rPr>
      </w:pPr>
      <w:bookmarkStart w:id="16" w:name="c83288_others1"/>
      <w:bookmarkEnd w:id="16"/>
      <w:r>
        <w:rPr>
          <w:rFonts w:ascii="sans-serif" w:hAnsi="sans-serif"/>
          <w:b/>
          <w:sz w:val="26"/>
        </w:rPr>
        <w:t>Item 9B. Other Information</w:t>
      </w:r>
    </w:p>
    <w:p>
      <w:pPr>
        <w:pStyle w:val="TextBody"/>
        <w:spacing w:before="119" w:after="119"/>
        <w:ind w:left="119" w:right="119" w:firstLine="397"/>
        <w:jc w:val="both"/>
        <w:rPr>
          <w:rFonts w:ascii="sans-serif" w:hAnsi="sans-serif"/>
          <w:sz w:val="22"/>
        </w:rPr>
      </w:pPr>
      <w:r>
        <w:rPr>
          <w:rFonts w:ascii="sans-serif" w:hAnsi="sans-serif"/>
          <w:sz w:val="22"/>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w:t>
      </w:r>
    </w:p>
    <w:p>
      <w:pPr>
        <w:pStyle w:val="TextBody"/>
        <w:spacing w:before="119" w:after="119"/>
        <w:ind w:left="119" w:right="119" w:firstLine="397"/>
        <w:jc w:val="both"/>
        <w:rPr>
          <w:rFonts w:ascii="sans-serif" w:hAnsi="sans-serif"/>
          <w:sz w:val="22"/>
        </w:rPr>
      </w:pPr>
      <w:r>
        <w:rPr>
          <w:rFonts w:ascii="sans-serif" w:hAnsi="sans-serif"/>
          <w:sz w:val="22"/>
        </w:rPr>
        <w:t>A non-U.S. wholly-owned subsidiary of Honeywell (the Non-U.S. Subsidiary) inadvertently made four ground shipments of low value, non-U.S. items from Turkey to Uzbekistan from December 2013 to</w:t>
      </w:r>
    </w:p>
    <w:p>
      <w:pPr>
        <w:pStyle w:val="TextBody"/>
        <w:spacing w:before="119" w:after="119"/>
        <w:ind w:left="119" w:right="119" w:hanging="0"/>
        <w:jc w:val="center"/>
        <w:rPr>
          <w:rFonts w:ascii="sans-serif" w:hAnsi="sans-serif"/>
          <w:sz w:val="22"/>
        </w:rPr>
      </w:pPr>
      <w:r>
        <w:rPr>
          <w:rFonts w:ascii="sans-serif" w:hAnsi="sans-serif"/>
          <w:sz w:val="22"/>
        </w:rPr>
        <w:t>83</w:t>
      </w:r>
    </w:p>
    <w:p>
      <w:pPr>
        <w:pStyle w:val="HorizontalLine"/>
        <w:pBdr>
          <w:bottom w:val="single" w:sz="20" w:space="0" w:color="000000"/>
        </w:pBdr>
        <w:rPr/>
      </w:pPr>
      <w:r>
        <w:rPr/>
      </w:r>
      <w:r>
        <w:br w:type="page"/>
      </w:r>
    </w:p>
    <w:p>
      <w:pPr>
        <w:pStyle w:val="TextBody"/>
        <w:spacing w:before="0" w:after="0"/>
        <w:rPr/>
      </w:pPr>
      <w:r>
        <w:rPr/>
        <w:t> </w:t>
      </w:r>
    </w:p>
    <w:p>
      <w:pPr>
        <w:pStyle w:val="TextBody"/>
        <w:spacing w:before="119" w:after="119"/>
        <w:ind w:left="119" w:right="119" w:hanging="0"/>
        <w:jc w:val="both"/>
        <w:rPr>
          <w:rFonts w:ascii="sans-serif" w:hAnsi="sans-serif"/>
          <w:sz w:val="22"/>
        </w:rPr>
      </w:pPr>
      <w:r>
        <w:rPr>
          <w:rFonts w:ascii="sans-serif" w:hAnsi="sans-serif"/>
          <w:sz w:val="22"/>
        </w:rPr>
        <w:t>March 2014 that transited through Iran en route to Uzbekistan on trucks operated by a third party transportation vendor (the Vendor) retained by the Non-U.S. Subsidiary. The Non-U.S. Subsidiary hired the Vendor to facilitate shipment and the Vendor further engaged a trucking company to provide surface transport. The Vendor proposed the transport route for the shipment. The shipment of the items via Iran occurred inadvertently as a result of non-U.S. person employees approving the transport route proposed by the Vendor. Honeywell disclosed these past transactions voluntarily to the U.S. Treasury Departments Office of Foreign Assets Control (OFAC).</w:t>
      </w:r>
    </w:p>
    <w:p>
      <w:pPr>
        <w:pStyle w:val="TextBody"/>
        <w:spacing w:before="119" w:after="119"/>
        <w:ind w:left="119" w:right="119" w:firstLine="397"/>
        <w:jc w:val="both"/>
        <w:rPr>
          <w:rFonts w:ascii="sans-serif" w:hAnsi="sans-serif"/>
          <w:sz w:val="22"/>
        </w:rPr>
      </w:pPr>
      <w:r>
        <w:rPr>
          <w:rFonts w:ascii="sans-serif" w:hAnsi="sans-serif"/>
          <w:sz w:val="22"/>
        </w:rPr>
        <w:t>The Non-U.S. Subsidiary did not pay, directly or indirectly, any duties or taxes to the Government of Iran as a result of these shipments because the shipments were made under TIR (Transports Internationaux Routiers) Carnets, a treaty system which allows for the transport of merchandise through contracting parties from the customs office of departure to the customs office of destination without payment of customs duties/taxes in transiting countries. Further, the Non-U.S. Subsidiary made all payments for shipping services to the Vendor on a flat-fee basis at a rate of $11,800 per shipment, and the Non- U.S. Subsidiary did not reimburse the Vendor for any fees or other expenses incurred in Iran.</w:t>
      </w:r>
    </w:p>
    <w:p>
      <w:pPr>
        <w:pStyle w:val="TextBody"/>
        <w:spacing w:before="119" w:after="119"/>
        <w:ind w:left="119" w:right="119" w:firstLine="397"/>
        <w:jc w:val="both"/>
        <w:rPr>
          <w:rFonts w:ascii="sans-serif" w:hAnsi="sans-serif"/>
          <w:sz w:val="22"/>
        </w:rPr>
      </w:pPr>
      <w:r>
        <w:rPr>
          <w:rFonts w:ascii="sans-serif" w:hAnsi="sans-serif"/>
          <w:sz w:val="22"/>
        </w:rPr>
        <w:t>Neither Honeywell nor the Non-U.S. Subsidiary derived any revenue by inadvertently shipping the items via Iran.</w:t>
      </w:r>
    </w:p>
    <w:p>
      <w:pPr>
        <w:pStyle w:val="TextBody"/>
        <w:spacing w:before="357" w:after="357"/>
        <w:ind w:left="1054" w:right="357" w:hanging="1054"/>
        <w:rPr>
          <w:rFonts w:ascii="sans-serif" w:hAnsi="sans-serif"/>
          <w:b/>
          <w:sz w:val="26"/>
        </w:rPr>
      </w:pPr>
      <w:bookmarkStart w:id="17" w:name="c83288_directors1"/>
      <w:bookmarkEnd w:id="17"/>
      <w:r>
        <w:rPr>
          <w:rFonts w:ascii="sans-serif" w:hAnsi="sans-serif"/>
          <w:b/>
          <w:sz w:val="26"/>
        </w:rPr>
        <w:t>Item 10. Directors and Executive Officers of the Registrant</w:t>
      </w:r>
    </w:p>
    <w:p>
      <w:pPr>
        <w:pStyle w:val="TextBody"/>
        <w:spacing w:before="119" w:after="119"/>
        <w:ind w:left="119" w:right="119" w:firstLine="397"/>
        <w:jc w:val="both"/>
        <w:rPr>
          <w:rFonts w:ascii="sans-serif" w:hAnsi="sans-serif"/>
          <w:sz w:val="22"/>
        </w:rPr>
      </w:pPr>
      <w:r>
        <w:rPr>
          <w:rFonts w:ascii="sans-serif" w:hAnsi="sans-serif"/>
          <w:sz w:val="22"/>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2015, and such information is incorporated herein by reference. Certain other information relating to the Executive Officers of Honeywell appears in Part I of this Annual Report on Form 10-K under the heading Executive Officers of the Registrant.</w:t>
      </w:r>
    </w:p>
    <w:p>
      <w:pPr>
        <w:pStyle w:val="TextBody"/>
        <w:spacing w:before="119" w:after="119"/>
        <w:ind w:left="119" w:right="119" w:firstLine="397"/>
        <w:jc w:val="both"/>
        <w:rPr>
          <w:rFonts w:ascii="sans-serif" w:hAnsi="sans-serif"/>
          <w:sz w:val="22"/>
        </w:rPr>
      </w:pPr>
      <w:r>
        <w:rPr>
          <w:rFonts w:ascii="sans-serif" w:hAnsi="sans-serif"/>
          <w:sz w:val="22"/>
        </w:rPr>
        <w:t>The members of the Audit Committee of our Board of Directors are: George Paz (Chair), Kevin Burke, D. Scott Davis, Linnet Deily, Judd Gregg and Robin L. Washington. The Board has determined that Mr. Paz, Mr. Davis and Ms. Washington are audit committee financial experts as defined by applicable SEC rules and that Mr. Paz, Mr. Burke, Mr. Davis, Ms. Deily and Ms. Washington satisfy the accounting or related financial management expertise criteria established by the NYSE. All members of the Audit Committee are independent as that term is defined in applicable SEC rules and NYSE listing standards.</w:t>
      </w:r>
    </w:p>
    <w:p>
      <w:pPr>
        <w:pStyle w:val="TextBody"/>
        <w:spacing w:before="119" w:after="119"/>
        <w:ind w:left="119" w:right="119" w:firstLine="397"/>
        <w:jc w:val="both"/>
        <w:rPr>
          <w:rFonts w:ascii="sans-serif" w:hAnsi="sans-serif"/>
          <w:sz w:val="22"/>
        </w:rPr>
      </w:pPr>
      <w:r>
        <w:rPr>
          <w:rFonts w:ascii="sans-serif" w:hAnsi="sans-serif"/>
          <w:sz w:val="22"/>
        </w:rPr>
        <w:t>Honeywells corporate governance policies and procedures, including the Code of Business Conduct, Corporate Governance Guidelines and Charters of the Committees of the Board of Directors are available, free of charge, on our website under the heading Investor Relations (see Corporate Governance), or by writing to Honeywell, 115 Tabor Road, Morris Plains, New Jersey 07950,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pStyle w:val="TextBody"/>
        <w:spacing w:before="357" w:after="357"/>
        <w:ind w:left="1054" w:right="357" w:hanging="1054"/>
        <w:rPr>
          <w:rFonts w:ascii="sans-serif" w:hAnsi="sans-serif"/>
          <w:b/>
          <w:sz w:val="26"/>
        </w:rPr>
      </w:pPr>
      <w:bookmarkStart w:id="18" w:name="c83288_executive2"/>
      <w:bookmarkEnd w:id="18"/>
      <w:r>
        <w:rPr>
          <w:rFonts w:ascii="sans-serif" w:hAnsi="sans-serif"/>
          <w:b/>
          <w:sz w:val="26"/>
        </w:rPr>
        <w:t>Item 11. Executive Compensation</w:t>
      </w:r>
    </w:p>
    <w:p>
      <w:pPr>
        <w:pStyle w:val="TextBody"/>
        <w:spacing w:before="119" w:after="119"/>
        <w:ind w:left="119" w:right="119" w:firstLine="397"/>
        <w:jc w:val="both"/>
        <w:rPr>
          <w:rFonts w:ascii="sans-serif" w:hAnsi="sans-serif"/>
          <w:sz w:val="22"/>
        </w:rPr>
      </w:pPr>
      <w:r>
        <w:rPr>
          <w:rFonts w:ascii="sans-serif" w:hAnsi="sans-serif"/>
          <w:sz w:val="22"/>
        </w:rPr>
        <w:t>Information relating to executive compensation is contained in the Proxy Statement referred to above in Item 10. Directors and Executive Officers of the Registrant, and such information is incorporated herein by reference.</w:t>
      </w:r>
    </w:p>
    <w:p>
      <w:pPr>
        <w:pStyle w:val="TextBody"/>
        <w:spacing w:before="119" w:after="119"/>
        <w:ind w:left="119" w:right="119" w:hanging="0"/>
        <w:jc w:val="center"/>
        <w:rPr>
          <w:rFonts w:ascii="sans-serif" w:hAnsi="sans-serif"/>
          <w:sz w:val="22"/>
        </w:rPr>
      </w:pPr>
      <w:r>
        <w:rPr>
          <w:rFonts w:ascii="sans-serif" w:hAnsi="sans-serif"/>
          <w:sz w:val="22"/>
        </w:rPr>
        <w:t>84</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1054" w:right="238" w:hanging="1054"/>
        <w:rPr>
          <w:rFonts w:ascii="sans-serif" w:hAnsi="sans-serif"/>
          <w:b/>
          <w:sz w:val="26"/>
        </w:rPr>
      </w:pPr>
      <w:bookmarkStart w:id="19" w:name="c83288_security1"/>
      <w:bookmarkEnd w:id="19"/>
      <w:r>
        <w:rPr>
          <w:rFonts w:ascii="sans-serif" w:hAnsi="sans-serif"/>
          <w:b/>
          <w:sz w:val="26"/>
        </w:rPr>
        <w:t>Item 12. Security Ownership of Certain Beneficial Owners and Management and Related Stockholder Matters</w:t>
      </w:r>
    </w:p>
    <w:p>
      <w:pPr>
        <w:pStyle w:val="TextBody"/>
        <w:spacing w:before="119" w:after="119"/>
        <w:ind w:left="119" w:right="119" w:firstLine="397"/>
        <w:jc w:val="both"/>
        <w:rPr>
          <w:rFonts w:ascii="sans-serif" w:hAnsi="sans-serif"/>
          <w:sz w:val="22"/>
        </w:rPr>
      </w:pPr>
      <w:r>
        <w:rPr>
          <w:rFonts w:ascii="sans-serif" w:hAnsi="sans-serif"/>
          <w:sz w:val="22"/>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pStyle w:val="TextBody"/>
        <w:spacing w:before="357" w:after="357"/>
        <w:ind w:left="1054" w:right="357" w:hanging="1054"/>
        <w:rPr>
          <w:rFonts w:ascii="sans-serif" w:hAnsi="sans-serif"/>
          <w:b/>
          <w:sz w:val="26"/>
        </w:rPr>
      </w:pPr>
      <w:bookmarkStart w:id="20" w:name="c83288_certain1"/>
      <w:bookmarkEnd w:id="20"/>
      <w:r>
        <w:rPr>
          <w:rFonts w:ascii="sans-serif" w:hAnsi="sans-serif"/>
          <w:b/>
          <w:sz w:val="26"/>
        </w:rPr>
        <w:t>Item 13. Certain Relationships and Related Transactions</w:t>
      </w:r>
    </w:p>
    <w:p>
      <w:pPr>
        <w:pStyle w:val="TextBody"/>
        <w:spacing w:before="119" w:after="119"/>
        <w:ind w:left="119" w:right="119" w:firstLine="397"/>
        <w:jc w:val="both"/>
        <w:rPr>
          <w:rFonts w:ascii="sans-serif" w:hAnsi="sans-serif"/>
          <w:sz w:val="22"/>
        </w:rPr>
      </w:pPr>
      <w:r>
        <w:rPr>
          <w:rFonts w:ascii="sans-serif" w:hAnsi="sans-serif"/>
          <w:sz w:val="22"/>
        </w:rPr>
        <w:t>Information relating to certain relationships and related transactions is contained in the Proxy Statement referred to above in Item 10. Directors and Executive Officers of the Registrant, and such information is incorporated herein by reference.</w:t>
      </w:r>
    </w:p>
    <w:p>
      <w:pPr>
        <w:pStyle w:val="TextBody"/>
        <w:spacing w:before="357" w:after="357"/>
        <w:ind w:left="1054" w:right="357" w:hanging="1054"/>
        <w:rPr>
          <w:rFonts w:ascii="sans-serif" w:hAnsi="sans-serif"/>
          <w:b/>
          <w:sz w:val="26"/>
        </w:rPr>
      </w:pPr>
      <w:bookmarkStart w:id="21" w:name="c83288_principal1"/>
      <w:bookmarkEnd w:id="21"/>
      <w:r>
        <w:rPr>
          <w:rFonts w:ascii="sans-serif" w:hAnsi="sans-serif"/>
          <w:b/>
          <w:sz w:val="26"/>
        </w:rPr>
        <w:t>Item 14. Principal Accounting Fees and Services</w:t>
      </w:r>
    </w:p>
    <w:p>
      <w:pPr>
        <w:pStyle w:val="TextBody"/>
        <w:spacing w:before="119" w:after="119"/>
        <w:ind w:left="119" w:right="119" w:firstLine="397"/>
        <w:jc w:val="both"/>
        <w:rPr>
          <w:rFonts w:ascii="sans-serif" w:hAnsi="sans-serif"/>
          <w:sz w:val="22"/>
        </w:rPr>
      </w:pPr>
      <w:r>
        <w:rPr>
          <w:rFonts w:ascii="sans-serif" w:hAnsi="sans-serif"/>
          <w:sz w:val="22"/>
        </w:rPr>
        <w:t>Information relating to fees paid to and services performed by Deloitte &amp; Touche LLP in 2015 and PricewaterhouseCoopers LLP in 2014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pStyle w:val="TextBody"/>
        <w:spacing w:before="357" w:after="357"/>
        <w:ind w:left="1054" w:right="357" w:hanging="1054"/>
        <w:rPr>
          <w:rFonts w:ascii="sans-serif" w:hAnsi="sans-serif"/>
          <w:b/>
          <w:sz w:val="26"/>
        </w:rPr>
      </w:pPr>
      <w:bookmarkStart w:id="22" w:name="c83288_exhibits1"/>
      <w:bookmarkEnd w:id="22"/>
      <w:r>
        <w:rPr>
          <w:rFonts w:ascii="sans-serif" w:hAnsi="sans-serif"/>
          <w:b/>
          <w:sz w:val="26"/>
        </w:rPr>
        <w:t>Item 15. Exhibits and Financial Statement Schedules</w:t>
      </w:r>
    </w:p>
    <w:tbl>
      <w:tblPr>
        <w:tblW w:w="10205" w:type="dxa"/>
        <w:jc w:val="left"/>
        <w:tblInd w:w="0" w:type="dxa"/>
        <w:tblCellMar>
          <w:top w:w="0" w:type="dxa"/>
          <w:left w:w="0" w:type="dxa"/>
          <w:bottom w:w="0" w:type="dxa"/>
          <w:right w:w="0" w:type="dxa"/>
        </w:tblCellMar>
      </w:tblPr>
      <w:tblGrid>
        <w:gridCol w:w="8858"/>
        <w:gridCol w:w="60"/>
        <w:gridCol w:w="193"/>
        <w:gridCol w:w="75"/>
        <w:gridCol w:w="935"/>
        <w:gridCol w:w="84"/>
      </w:tblGrid>
      <w:tr>
        <w:trPr/>
        <w:tc>
          <w:tcPr>
            <w:tcW w:w="88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7" w:type="dxa"/>
            <w:gridSpan w:val="4"/>
            <w:tcBorders/>
            <w:shd w:fill="auto" w:val="clear"/>
            <w:vAlign w:val="bottom"/>
          </w:tcPr>
          <w:p>
            <w:pPr>
              <w:pStyle w:val="TableContents"/>
              <w:spacing w:before="0" w:after="283"/>
              <w:rPr/>
            </w:pPr>
            <w:r>
              <w:rPr/>
              <w:t> </w:t>
            </w:r>
          </w:p>
        </w:tc>
      </w:tr>
      <w:tr>
        <w:trPr/>
        <w:tc>
          <w:tcPr>
            <w:tcW w:w="8858" w:type="dxa"/>
            <w:tcBorders/>
            <w:shd w:fill="auto" w:val="clear"/>
            <w:vAlign w:val="bottom"/>
          </w:tcPr>
          <w:p>
            <w:pPr>
              <w:pStyle w:val="TableContents"/>
              <w:spacing w:before="0" w:after="283"/>
              <w:ind w:left="1672" w:right="0" w:hanging="1672"/>
              <w:jc w:val="center"/>
              <w:rPr/>
            </w:pPr>
            <w:r>
              <w:rPr/>
              <w:t> </w:t>
            </w:r>
          </w:p>
        </w:tc>
        <w:tc>
          <w:tcPr>
            <w:tcW w:w="60" w:type="dxa"/>
            <w:tcBorders/>
            <w:shd w:fill="auto" w:val="clear"/>
            <w:vAlign w:val="bottom"/>
          </w:tcPr>
          <w:p>
            <w:pPr>
              <w:pStyle w:val="TableContents"/>
              <w:spacing w:before="0" w:after="283"/>
              <w:rPr/>
            </w:pPr>
            <w:r>
              <w:rPr/>
              <w:t> </w:t>
            </w:r>
          </w:p>
        </w:tc>
        <w:tc>
          <w:tcPr>
            <w:tcW w:w="1287"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Page Number</w:t>
              <w:br/>
              <w:t>in Form 10-K</w:t>
            </w:r>
          </w:p>
        </w:tc>
      </w:tr>
      <w:tr>
        <w:trPr/>
        <w:tc>
          <w:tcPr>
            <w:tcW w:w="8858"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(a)(1.) Consolidated Financial Statements:</w:t>
            </w:r>
          </w:p>
        </w:tc>
        <w:tc>
          <w:tcPr>
            <w:tcW w:w="60" w:type="dxa"/>
            <w:tcBorders/>
            <w:shd w:fill="E5FFFF" w:val="clear"/>
            <w:vAlign w:val="bottom"/>
          </w:tcPr>
          <w:p>
            <w:pPr>
              <w:pStyle w:val="TableContents"/>
              <w:spacing w:before="0" w:after="283"/>
              <w:rPr/>
            </w:pPr>
            <w:r>
              <w:rPr/>
              <w:t> </w:t>
            </w:r>
          </w:p>
        </w:tc>
        <w:tc>
          <w:tcPr>
            <w:tcW w:w="1287" w:type="dxa"/>
            <w:gridSpan w:val="4"/>
            <w:tcBorders/>
            <w:shd w:fill="E5FFFF" w:val="clear"/>
            <w:vAlign w:val="bottom"/>
          </w:tcPr>
          <w:p>
            <w:pPr>
              <w:pStyle w:val="TableContents"/>
              <w:spacing w:before="0" w:after="283"/>
              <w:rPr/>
            </w:pPr>
            <w:r>
              <w:rPr/>
              <w:t> </w:t>
            </w:r>
          </w:p>
        </w:tc>
      </w:tr>
      <w:tr>
        <w:trPr/>
        <w:tc>
          <w:tcPr>
            <w:tcW w:w="8858" w:type="dxa"/>
            <w:tcBorders/>
            <w:shd w:fill="auto" w:val="clear"/>
            <w:vAlign w:val="bottom"/>
          </w:tcPr>
          <w:p>
            <w:pPr>
              <w:pStyle w:val="TableContents"/>
              <w:spacing w:before="0" w:after="283"/>
              <w:ind w:left="1672" w:right="0" w:hanging="238"/>
              <w:rPr>
                <w:rFonts w:ascii="sans-serif" w:hAnsi="sans-serif"/>
                <w:sz w:val="22"/>
              </w:rPr>
            </w:pPr>
            <w:r>
              <w:rPr>
                <w:rFonts w:ascii="sans-serif" w:hAnsi="sans-serif"/>
                <w:sz w:val="22"/>
              </w:rPr>
              <w:t>Consolidated Statement of Operations for the years ended December 31, 2015, 2014 and 2013</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w:t>
            </w:r>
          </w:p>
        </w:tc>
        <w:tc>
          <w:tcPr>
            <w:tcW w:w="84" w:type="dxa"/>
            <w:tcBorders/>
            <w:shd w:fill="auto" w:val="clear"/>
            <w:vAlign w:val="bottom"/>
          </w:tcPr>
          <w:p>
            <w:pPr>
              <w:pStyle w:val="TableContents"/>
              <w:spacing w:before="0" w:after="283"/>
              <w:rPr/>
            </w:pPr>
            <w:r>
              <w:rPr/>
              <w:t> </w:t>
            </w:r>
          </w:p>
        </w:tc>
      </w:tr>
      <w:tr>
        <w:trPr/>
        <w:tc>
          <w:tcPr>
            <w:tcW w:w="8858" w:type="dxa"/>
            <w:tcBorders/>
            <w:shd w:fill="E5FFFF" w:val="clear"/>
            <w:vAlign w:val="bottom"/>
          </w:tcPr>
          <w:p>
            <w:pPr>
              <w:pStyle w:val="TableContents"/>
              <w:spacing w:before="0" w:after="283"/>
              <w:ind w:left="1672" w:right="0" w:hanging="238"/>
              <w:rPr>
                <w:rFonts w:ascii="sans-serif" w:hAnsi="sans-serif"/>
                <w:sz w:val="22"/>
              </w:rPr>
            </w:pPr>
            <w:r>
              <w:rPr>
                <w:rFonts w:ascii="sans-serif" w:hAnsi="sans-serif"/>
                <w:sz w:val="22"/>
              </w:rPr>
              <w:t>Consolidated Statement of Comprehensive Income for the years ended December 31, 2015, 2014 and 2013</w:t>
            </w:r>
          </w:p>
        </w:tc>
        <w:tc>
          <w:tcPr>
            <w:tcW w:w="60" w:type="dxa"/>
            <w:tcBorders/>
            <w:shd w:fill="E5FFFF" w:val="clear"/>
            <w:vAlign w:val="bottom"/>
          </w:tcPr>
          <w:p>
            <w:pPr>
              <w:pStyle w:val="TableContents"/>
              <w:spacing w:before="0" w:after="283"/>
              <w:rPr/>
            </w:pPr>
            <w:r>
              <w:rPr/>
              <w:t> </w:t>
            </w:r>
          </w:p>
        </w:tc>
        <w:tc>
          <w:tcPr>
            <w:tcW w:w="193"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93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33</w:t>
            </w:r>
          </w:p>
        </w:tc>
        <w:tc>
          <w:tcPr>
            <w:tcW w:w="84" w:type="dxa"/>
            <w:tcBorders/>
            <w:shd w:fill="E5FFFF" w:val="clear"/>
            <w:vAlign w:val="bottom"/>
          </w:tcPr>
          <w:p>
            <w:pPr>
              <w:pStyle w:val="TableContents"/>
              <w:spacing w:before="0" w:after="283"/>
              <w:rPr/>
            </w:pPr>
            <w:r>
              <w:rPr/>
              <w:t> </w:t>
            </w:r>
          </w:p>
        </w:tc>
      </w:tr>
      <w:tr>
        <w:trPr/>
        <w:tc>
          <w:tcPr>
            <w:tcW w:w="8858" w:type="dxa"/>
            <w:tcBorders/>
            <w:shd w:fill="auto" w:val="clear"/>
            <w:vAlign w:val="bottom"/>
          </w:tcPr>
          <w:p>
            <w:pPr>
              <w:pStyle w:val="TableContents"/>
              <w:spacing w:before="0" w:after="283"/>
              <w:ind w:left="1672" w:right="0" w:hanging="238"/>
              <w:rPr>
                <w:rFonts w:ascii="sans-serif" w:hAnsi="sans-serif"/>
                <w:sz w:val="22"/>
              </w:rPr>
            </w:pPr>
            <w:r>
              <w:rPr>
                <w:rFonts w:ascii="sans-serif" w:hAnsi="sans-serif"/>
                <w:sz w:val="22"/>
              </w:rPr>
              <w:t>Consolidated Balance Sheet at December 31, 2015 and 2014</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34</w:t>
            </w:r>
          </w:p>
        </w:tc>
        <w:tc>
          <w:tcPr>
            <w:tcW w:w="84" w:type="dxa"/>
            <w:tcBorders/>
            <w:shd w:fill="auto" w:val="clear"/>
            <w:vAlign w:val="bottom"/>
          </w:tcPr>
          <w:p>
            <w:pPr>
              <w:pStyle w:val="TableContents"/>
              <w:spacing w:before="0" w:after="283"/>
              <w:rPr/>
            </w:pPr>
            <w:r>
              <w:rPr/>
              <w:t> </w:t>
            </w:r>
          </w:p>
        </w:tc>
      </w:tr>
      <w:tr>
        <w:trPr/>
        <w:tc>
          <w:tcPr>
            <w:tcW w:w="8858" w:type="dxa"/>
            <w:tcBorders/>
            <w:shd w:fill="E5FFFF" w:val="clear"/>
            <w:vAlign w:val="bottom"/>
          </w:tcPr>
          <w:p>
            <w:pPr>
              <w:pStyle w:val="TableContents"/>
              <w:spacing w:before="0" w:after="283"/>
              <w:ind w:left="1672" w:right="0" w:hanging="238"/>
              <w:rPr>
                <w:rFonts w:ascii="sans-serif" w:hAnsi="sans-serif"/>
                <w:sz w:val="22"/>
              </w:rPr>
            </w:pPr>
            <w:r>
              <w:rPr>
                <w:rFonts w:ascii="sans-serif" w:hAnsi="sans-serif"/>
                <w:sz w:val="22"/>
              </w:rPr>
              <w:t>Consolidated Statement of Cash Flows for the years ended December 2015, 2014 and 2013</w:t>
            </w:r>
          </w:p>
        </w:tc>
        <w:tc>
          <w:tcPr>
            <w:tcW w:w="60" w:type="dxa"/>
            <w:tcBorders/>
            <w:shd w:fill="E5FFFF" w:val="clear"/>
            <w:vAlign w:val="bottom"/>
          </w:tcPr>
          <w:p>
            <w:pPr>
              <w:pStyle w:val="TableContents"/>
              <w:spacing w:before="0" w:after="283"/>
              <w:rPr/>
            </w:pPr>
            <w:r>
              <w:rPr/>
              <w:t> </w:t>
            </w:r>
          </w:p>
        </w:tc>
        <w:tc>
          <w:tcPr>
            <w:tcW w:w="193"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93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w:t>
            </w:r>
          </w:p>
        </w:tc>
        <w:tc>
          <w:tcPr>
            <w:tcW w:w="84" w:type="dxa"/>
            <w:tcBorders/>
            <w:shd w:fill="E5FFFF" w:val="clear"/>
            <w:vAlign w:val="bottom"/>
          </w:tcPr>
          <w:p>
            <w:pPr>
              <w:pStyle w:val="TableContents"/>
              <w:spacing w:before="0" w:after="283"/>
              <w:rPr/>
            </w:pPr>
            <w:r>
              <w:rPr/>
              <w:t> </w:t>
            </w:r>
          </w:p>
        </w:tc>
      </w:tr>
      <w:tr>
        <w:trPr/>
        <w:tc>
          <w:tcPr>
            <w:tcW w:w="8858" w:type="dxa"/>
            <w:tcBorders/>
            <w:shd w:fill="auto" w:val="clear"/>
            <w:vAlign w:val="bottom"/>
          </w:tcPr>
          <w:p>
            <w:pPr>
              <w:pStyle w:val="TableContents"/>
              <w:spacing w:before="0" w:after="283"/>
              <w:ind w:left="1672" w:right="0" w:hanging="238"/>
              <w:rPr>
                <w:rFonts w:ascii="sans-serif" w:hAnsi="sans-serif"/>
                <w:sz w:val="22"/>
              </w:rPr>
            </w:pPr>
            <w:r>
              <w:rPr>
                <w:rFonts w:ascii="sans-serif" w:hAnsi="sans-serif"/>
                <w:sz w:val="22"/>
              </w:rPr>
              <w:t>Consolidated Statement of Shareowners Equity for the years ended December 31, 2015, 2014 and 2013</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36</w:t>
            </w:r>
          </w:p>
        </w:tc>
        <w:tc>
          <w:tcPr>
            <w:tcW w:w="84" w:type="dxa"/>
            <w:tcBorders/>
            <w:shd w:fill="auto" w:val="clear"/>
            <w:vAlign w:val="bottom"/>
          </w:tcPr>
          <w:p>
            <w:pPr>
              <w:pStyle w:val="TableContents"/>
              <w:spacing w:before="0" w:after="283"/>
              <w:rPr/>
            </w:pPr>
            <w:r>
              <w:rPr/>
              <w:t> </w:t>
            </w:r>
          </w:p>
        </w:tc>
      </w:tr>
      <w:tr>
        <w:trPr/>
        <w:tc>
          <w:tcPr>
            <w:tcW w:w="8858" w:type="dxa"/>
            <w:tcBorders/>
            <w:shd w:fill="E5FFFF" w:val="clear"/>
            <w:vAlign w:val="bottom"/>
          </w:tcPr>
          <w:p>
            <w:pPr>
              <w:pStyle w:val="TableContents"/>
              <w:spacing w:before="0" w:after="283"/>
              <w:ind w:left="1672" w:right="0" w:hanging="238"/>
              <w:rPr>
                <w:rFonts w:ascii="sans-serif" w:hAnsi="sans-serif"/>
                <w:sz w:val="22"/>
              </w:rPr>
            </w:pPr>
            <w:r>
              <w:rPr>
                <w:rFonts w:ascii="sans-serif" w:hAnsi="sans-serif"/>
                <w:sz w:val="22"/>
              </w:rPr>
              <w:t>Notes to Financial Statements</w:t>
            </w:r>
          </w:p>
        </w:tc>
        <w:tc>
          <w:tcPr>
            <w:tcW w:w="60" w:type="dxa"/>
            <w:tcBorders/>
            <w:shd w:fill="E5FFFF" w:val="clear"/>
            <w:vAlign w:val="bottom"/>
          </w:tcPr>
          <w:p>
            <w:pPr>
              <w:pStyle w:val="TableContents"/>
              <w:spacing w:before="0" w:after="283"/>
              <w:rPr/>
            </w:pPr>
            <w:r>
              <w:rPr/>
              <w:t> </w:t>
            </w:r>
          </w:p>
        </w:tc>
        <w:tc>
          <w:tcPr>
            <w:tcW w:w="193" w:type="dxa"/>
            <w:tcBorders/>
            <w:shd w:fill="E5FFFF" w:val="clear"/>
            <w:vAlign w:val="bottom"/>
          </w:tcPr>
          <w:p>
            <w:pPr>
              <w:pStyle w:val="TableContents"/>
              <w:spacing w:before="0" w:after="283"/>
              <w:rPr/>
            </w:pPr>
            <w:r>
              <w:rPr/>
              <w:t> </w:t>
            </w:r>
          </w:p>
        </w:tc>
        <w:tc>
          <w:tcPr>
            <w:tcW w:w="75" w:type="dxa"/>
            <w:tcBorders/>
            <w:shd w:fill="E5FFFF" w:val="clear"/>
            <w:vAlign w:val="bottom"/>
          </w:tcPr>
          <w:p>
            <w:pPr>
              <w:pStyle w:val="TableContents"/>
              <w:spacing w:before="0" w:after="283"/>
              <w:rPr/>
            </w:pPr>
            <w:r>
              <w:rPr/>
              <w:t> </w:t>
            </w:r>
          </w:p>
        </w:tc>
        <w:tc>
          <w:tcPr>
            <w:tcW w:w="93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w:t>
            </w:r>
          </w:p>
        </w:tc>
        <w:tc>
          <w:tcPr>
            <w:tcW w:w="84" w:type="dxa"/>
            <w:tcBorders/>
            <w:shd w:fill="E5FFFF" w:val="clear"/>
            <w:vAlign w:val="bottom"/>
          </w:tcPr>
          <w:p>
            <w:pPr>
              <w:pStyle w:val="TableContents"/>
              <w:spacing w:before="0" w:after="283"/>
              <w:rPr/>
            </w:pPr>
            <w:r>
              <w:rPr/>
              <w:t> </w:t>
            </w:r>
          </w:p>
        </w:tc>
      </w:tr>
      <w:tr>
        <w:trPr/>
        <w:tc>
          <w:tcPr>
            <w:tcW w:w="8858" w:type="dxa"/>
            <w:tcBorders/>
            <w:shd w:fill="auto" w:val="clear"/>
            <w:vAlign w:val="bottom"/>
          </w:tcPr>
          <w:p>
            <w:pPr>
              <w:pStyle w:val="TableContents"/>
              <w:spacing w:before="0" w:after="283"/>
              <w:ind w:left="1672" w:right="0" w:hanging="238"/>
              <w:rPr>
                <w:rFonts w:ascii="sans-serif" w:hAnsi="sans-serif"/>
                <w:sz w:val="22"/>
              </w:rPr>
            </w:pPr>
            <w:r>
              <w:rPr>
                <w:rFonts w:ascii="sans-serif" w:hAnsi="sans-serif"/>
                <w:sz w:val="22"/>
              </w:rPr>
              <w:t>Report of Independent Registered Public Accounting Firm</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80</w:t>
            </w:r>
          </w:p>
        </w:tc>
        <w:tc>
          <w:tcPr>
            <w:tcW w:w="84" w:type="dxa"/>
            <w:tcBorders/>
            <w:shd w:fill="auto" w:val="clear"/>
            <w:vAlign w:val="bottom"/>
          </w:tcPr>
          <w:p>
            <w:pPr>
              <w:pStyle w:val="TableContents"/>
              <w:spacing w:before="0" w:after="283"/>
              <w:rPr/>
            </w:pPr>
            <w:r>
              <w:rPr/>
              <w:t> </w:t>
            </w:r>
          </w:p>
        </w:tc>
      </w:tr>
    </w:tbl>
    <w:tbl>
      <w:tblPr>
        <w:tblW w:w="7537" w:type="dxa"/>
        <w:jc w:val="left"/>
        <w:tblInd w:w="0" w:type="dxa"/>
        <w:tblCellMar>
          <w:top w:w="0" w:type="dxa"/>
          <w:left w:w="0" w:type="dxa"/>
          <w:bottom w:w="0" w:type="dxa"/>
          <w:right w:w="0" w:type="dxa"/>
        </w:tblCellMar>
      </w:tblPr>
      <w:tblGrid>
        <w:gridCol w:w="6050"/>
        <w:gridCol w:w="60"/>
        <w:gridCol w:w="216"/>
        <w:gridCol w:w="81"/>
        <w:gridCol w:w="1045"/>
        <w:gridCol w:w="85"/>
      </w:tblGrid>
      <w:tr>
        <w:trPr/>
        <w:tc>
          <w:tcPr>
            <w:tcW w:w="60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27" w:type="dxa"/>
            <w:gridSpan w:val="4"/>
            <w:tcBorders/>
            <w:shd w:fill="auto" w:val="clear"/>
            <w:vAlign w:val="bottom"/>
          </w:tcPr>
          <w:p>
            <w:pPr>
              <w:pStyle w:val="TableContents"/>
              <w:spacing w:before="0" w:after="283"/>
              <w:rPr/>
            </w:pPr>
            <w:r>
              <w:rPr/>
              <w:t> </w:t>
            </w:r>
          </w:p>
        </w:tc>
      </w:tr>
      <w:tr>
        <w:trPr/>
        <w:tc>
          <w:tcPr>
            <w:tcW w:w="6050" w:type="dxa"/>
            <w:tcBorders/>
            <w:shd w:fill="auto" w:val="clear"/>
            <w:vAlign w:val="bottom"/>
          </w:tcPr>
          <w:p>
            <w:pPr>
              <w:pStyle w:val="TableContents"/>
              <w:spacing w:before="0" w:after="283"/>
              <w:ind w:left="1672" w:right="0" w:hanging="1672"/>
              <w:jc w:val="center"/>
              <w:rPr/>
            </w:pPr>
            <w:r>
              <w:rPr/>
              <w:t> </w:t>
            </w:r>
          </w:p>
        </w:tc>
        <w:tc>
          <w:tcPr>
            <w:tcW w:w="60" w:type="dxa"/>
            <w:tcBorders/>
            <w:shd w:fill="auto" w:val="clear"/>
            <w:vAlign w:val="bottom"/>
          </w:tcPr>
          <w:p>
            <w:pPr>
              <w:pStyle w:val="TableContents"/>
              <w:spacing w:before="0" w:after="283"/>
              <w:rPr/>
            </w:pPr>
            <w:r>
              <w:rPr/>
              <w:t> </w:t>
            </w:r>
          </w:p>
        </w:tc>
        <w:tc>
          <w:tcPr>
            <w:tcW w:w="1427" w:type="dxa"/>
            <w:gridSpan w:val="4"/>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Page Number</w:t>
              <w:br/>
              <w:t>in Form 10-K</w:t>
            </w:r>
          </w:p>
        </w:tc>
      </w:tr>
      <w:tr>
        <w:trPr/>
        <w:tc>
          <w:tcPr>
            <w:tcW w:w="605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(a)(2.) Exhibits</w:t>
            </w:r>
          </w:p>
        </w:tc>
        <w:tc>
          <w:tcPr>
            <w:tcW w:w="60" w:type="dxa"/>
            <w:tcBorders/>
            <w:shd w:fill="E5FFFF" w:val="clear"/>
            <w:vAlign w:val="bottom"/>
          </w:tcPr>
          <w:p>
            <w:pPr>
              <w:pStyle w:val="TableContents"/>
              <w:spacing w:before="0" w:after="283"/>
              <w:rPr/>
            </w:pPr>
            <w:r>
              <w:rPr/>
              <w:t> </w:t>
            </w:r>
          </w:p>
        </w:tc>
        <w:tc>
          <w:tcPr>
            <w:tcW w:w="1427" w:type="dxa"/>
            <w:gridSpan w:val="4"/>
            <w:tcBorders/>
            <w:shd w:fill="E5FFFF" w:val="clear"/>
            <w:vAlign w:val="bottom"/>
          </w:tcPr>
          <w:p>
            <w:pPr>
              <w:pStyle w:val="TableContents"/>
              <w:spacing w:before="0" w:after="283"/>
              <w:rPr/>
            </w:pPr>
            <w:r>
              <w:rPr/>
              <w:t> </w:t>
            </w:r>
          </w:p>
        </w:tc>
      </w:tr>
      <w:tr>
        <w:trPr/>
        <w:tc>
          <w:tcPr>
            <w:tcW w:w="6050" w:type="dxa"/>
            <w:tcBorders/>
            <w:shd w:fill="auto" w:val="clear"/>
            <w:vAlign w:val="bottom"/>
          </w:tcPr>
          <w:p>
            <w:pPr>
              <w:pStyle w:val="TableContents"/>
              <w:spacing w:before="0" w:after="283"/>
              <w:ind w:left="1672" w:right="0" w:hanging="238"/>
              <w:rPr>
                <w:rFonts w:ascii="sans-serif" w:hAnsi="sans-serif"/>
                <w:sz w:val="22"/>
              </w:rPr>
            </w:pPr>
            <w:r>
              <w:rPr>
                <w:rFonts w:ascii="sans-serif" w:hAnsi="sans-serif"/>
                <w:sz w:val="22"/>
              </w:rPr>
              <w:t>See the Exhibit Index of this Annual Report on Form 10-K</w:t>
            </w:r>
          </w:p>
        </w:tc>
        <w:tc>
          <w:tcPr>
            <w:tcW w:w="6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1" w:type="dxa"/>
            <w:tcBorders/>
            <w:shd w:fill="auto" w:val="clear"/>
            <w:vAlign w:val="bottom"/>
          </w:tcPr>
          <w:p>
            <w:pPr>
              <w:pStyle w:val="TableContents"/>
              <w:spacing w:before="0" w:after="283"/>
              <w:rPr/>
            </w:pPr>
            <w:r>
              <w:rPr/>
              <w:t> </w:t>
            </w:r>
          </w:p>
        </w:tc>
        <w:tc>
          <w:tcPr>
            <w:tcW w:w="104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87</w:t>
            </w:r>
          </w:p>
        </w:tc>
        <w:tc>
          <w:tcPr>
            <w:tcW w:w="85" w:type="dxa"/>
            <w:tcBorders/>
            <w:shd w:fill="auto" w:val="clear"/>
            <w:vAlign w:val="bottom"/>
          </w:tcPr>
          <w:p>
            <w:pPr>
              <w:pStyle w:val="TableContents"/>
              <w:spacing w:before="0" w:after="283"/>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85</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2"/>
        </w:rPr>
      </w:pPr>
      <w:bookmarkStart w:id="23" w:name="c83288_signatures1"/>
      <w:bookmarkEnd w:id="23"/>
      <w:r>
        <w:rPr>
          <w:rFonts w:ascii="sans-serif" w:hAnsi="sans-serif"/>
          <w:b/>
          <w:sz w:val="22"/>
        </w:rPr>
        <w:t>SIGNATURES</w:t>
      </w:r>
    </w:p>
    <w:p>
      <w:pPr>
        <w:pStyle w:val="TextBody"/>
        <w:spacing w:before="198" w:after="198"/>
        <w:ind w:left="198" w:right="198" w:firstLine="397"/>
        <w:rPr>
          <w:rFonts w:ascii="sans-serif" w:hAnsi="sans-serif"/>
          <w:sz w:val="22"/>
        </w:rPr>
      </w:pPr>
      <w:r>
        <w:rPr>
          <w:rFonts w:ascii="sans-serif" w:hAnsi="sans-serif"/>
          <w:sz w:val="22"/>
        </w:rPr>
        <w:t>Pursuant to the requirements of the Securities Exchange Act of 1934, the registrant has duly caused this report to be signed on its behalf by the undersigned thereunto duly authorized.</w:t>
      </w:r>
    </w:p>
    <w:tbl>
      <w:tblPr>
        <w:tblW w:w="6255" w:type="dxa"/>
        <w:jc w:val="left"/>
        <w:tblInd w:w="0" w:type="dxa"/>
        <w:tblCellMar>
          <w:top w:w="0" w:type="dxa"/>
          <w:left w:w="0" w:type="dxa"/>
          <w:bottom w:w="0" w:type="dxa"/>
          <w:right w:w="0" w:type="dxa"/>
        </w:tblCellMar>
      </w:tblPr>
      <w:tblGrid>
        <w:gridCol w:w="2630"/>
        <w:gridCol w:w="60"/>
        <w:gridCol w:w="365"/>
        <w:gridCol w:w="60"/>
        <w:gridCol w:w="3140"/>
      </w:tblGrid>
      <w:tr>
        <w:trPr/>
        <w:tc>
          <w:tcPr>
            <w:tcW w:w="263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rPr/>
            </w:pPr>
            <w:r>
              <w:rPr/>
              <w:t> </w:t>
            </w:r>
          </w:p>
        </w:tc>
      </w:tr>
      <w:tr>
        <w:trPr/>
        <w:tc>
          <w:tcPr>
            <w:tcW w:w="2630"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3565" w:type="dxa"/>
            <w:gridSpan w:val="3"/>
            <w:tcBorders/>
            <w:shd w:fill="auto" w:val="clear"/>
          </w:tcPr>
          <w:p>
            <w:pPr>
              <w:pStyle w:val="TableContents"/>
              <w:spacing w:before="0" w:after="283"/>
              <w:rPr/>
            </w:pPr>
            <w:r>
              <w:rPr/>
              <w:t> </w:t>
            </w:r>
            <w:r>
              <w:rPr>
                <w:rFonts w:ascii="sans-serif" w:hAnsi="sans-serif"/>
                <w:sz w:val="24"/>
              </w:rPr>
              <w:t>H</w:t>
            </w:r>
            <w:r>
              <w:rPr>
                <w:rFonts w:ascii="sans-serif" w:hAnsi="sans-serif"/>
                <w:sz w:val="17"/>
              </w:rPr>
              <w:t>ONEYWELL</w:t>
            </w:r>
            <w:r>
              <w:rPr/>
              <w:t xml:space="preserve"> </w:t>
            </w:r>
            <w:r>
              <w:rPr>
                <w:rFonts w:ascii="sans-serif" w:hAnsi="sans-serif"/>
                <w:sz w:val="24"/>
              </w:rPr>
              <w:t>I</w:t>
            </w:r>
            <w:r>
              <w:rPr>
                <w:rFonts w:ascii="sans-serif" w:hAnsi="sans-serif"/>
                <w:sz w:val="17"/>
              </w:rPr>
              <w:t>NTERNATIONAL</w:t>
            </w:r>
            <w:r>
              <w:rPr/>
              <w:t xml:space="preserve"> </w:t>
            </w:r>
            <w:r>
              <w:rPr>
                <w:rFonts w:ascii="sans-serif" w:hAnsi="sans-serif"/>
                <w:sz w:val="24"/>
              </w:rPr>
              <w:t>I</w:t>
            </w:r>
            <w:r>
              <w:rPr>
                <w:rFonts w:ascii="sans-serif" w:hAnsi="sans-serif"/>
                <w:sz w:val="17"/>
              </w:rPr>
              <w:t>NC</w:t>
            </w:r>
            <w:r>
              <w:rPr>
                <w:rFonts w:ascii="sans-serif" w:hAnsi="sans-serif"/>
                <w:sz w:val="24"/>
              </w:rPr>
              <w:t>.</w:t>
            </w:r>
          </w:p>
        </w:tc>
      </w:tr>
      <w:tr>
        <w:trPr/>
        <w:tc>
          <w:tcPr>
            <w:tcW w:w="2630"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rPr/>
            </w:pPr>
            <w:r>
              <w:rPr/>
              <w:t> </w:t>
            </w:r>
          </w:p>
        </w:tc>
      </w:tr>
      <w:tr>
        <w:trPr/>
        <w:tc>
          <w:tcPr>
            <w:tcW w:w="2630"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Date: February 12, 2016</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rFonts w:ascii="sans-serif" w:hAnsi="sans-serif"/>
                <w:sz w:val="22"/>
              </w:rPr>
            </w:pPr>
            <w:r>
              <w:rPr>
                <w:rFonts w:ascii="sans-serif" w:hAnsi="sans-serif"/>
                <w:sz w:val="22"/>
              </w:rPr>
              <w:t>By:</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rPr>
                <w:rFonts w:ascii="sans-serif" w:hAnsi="sans-serif"/>
                <w:sz w:val="22"/>
              </w:rPr>
            </w:pPr>
            <w:r>
              <w:rPr>
                <w:rFonts w:ascii="sans-serif" w:hAnsi="sans-serif"/>
                <w:sz w:val="22"/>
              </w:rPr>
              <w:t>/s/ Adam M. Matteo</w:t>
            </w:r>
          </w:p>
        </w:tc>
      </w:tr>
      <w:tr>
        <w:trPr/>
        <w:tc>
          <w:tcPr>
            <w:tcW w:w="3055"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140" w:type="dxa"/>
            <w:tcBorders>
              <w:top w:val="single" w:sz="4" w:space="0" w:color="000000"/>
            </w:tcBorders>
            <w:shd w:fill="auto" w:val="clear"/>
            <w:tcMar>
              <w:top w:w="28" w:type="dxa"/>
            </w:tcMar>
          </w:tcPr>
          <w:p>
            <w:pPr>
              <w:pStyle w:val="TableContents"/>
              <w:spacing w:before="0" w:after="283"/>
              <w:jc w:val="center"/>
              <w:rPr/>
            </w:pPr>
            <w:r>
              <w:rPr/>
              <w:t> </w:t>
            </w:r>
          </w:p>
        </w:tc>
      </w:tr>
      <w:tr>
        <w:trPr/>
        <w:tc>
          <w:tcPr>
            <w:tcW w:w="2630"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rPr>
                <w:rFonts w:ascii="sans-serif" w:hAnsi="sans-serif"/>
                <w:sz w:val="22"/>
              </w:rPr>
            </w:pPr>
            <w:r>
              <w:rPr>
                <w:rFonts w:ascii="sans-serif" w:hAnsi="sans-serif"/>
                <w:sz w:val="22"/>
              </w:rPr>
              <w:t>Adam M. Matteo</w:t>
              <w:br/>
              <w:t>Vice President and Controller</w:t>
              <w:br/>
              <w:t>(on behalf of the Registrant</w:t>
              <w:br/>
              <w:t>and as the Registrants</w:t>
              <w:br/>
              <w:t>Principal Accounting Officer)</w:t>
            </w:r>
          </w:p>
        </w:tc>
      </w:tr>
    </w:tbl>
    <w:p>
      <w:pPr>
        <w:pStyle w:val="TextBody"/>
        <w:spacing w:before="238" w:after="238"/>
        <w:ind w:left="238" w:right="238" w:firstLine="397"/>
        <w:rPr>
          <w:rFonts w:ascii="sans-serif" w:hAnsi="sans-serif"/>
          <w:sz w:val="22"/>
        </w:rPr>
      </w:pPr>
      <w:r>
        <w:rPr>
          <w:rFonts w:ascii="sans-serif" w:hAnsi="sans-serif"/>
          <w:sz w:val="22"/>
        </w:rPr>
        <w:t>Pursuant to the requirements of the Securities Exchange Act of 1934, this annual report has been signed below by the following persons on behalf of the Registrant and in the capacities and on the date indicated:</w:t>
      </w:r>
    </w:p>
    <w:tbl>
      <w:tblPr>
        <w:tblW w:w="6190" w:type="dxa"/>
        <w:jc w:val="left"/>
        <w:tblInd w:w="0" w:type="dxa"/>
        <w:tblCellMar>
          <w:top w:w="0" w:type="dxa"/>
          <w:left w:w="0" w:type="dxa"/>
          <w:bottom w:w="0" w:type="dxa"/>
          <w:right w:w="0" w:type="dxa"/>
        </w:tblCellMar>
      </w:tblPr>
      <w:tblGrid>
        <w:gridCol w:w="2990"/>
        <w:gridCol w:w="60"/>
        <w:gridCol w:w="3140"/>
      </w:tblGrid>
      <w:tr>
        <w:trPr/>
        <w:tc>
          <w:tcPr>
            <w:tcW w:w="2990"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pPr>
            <w:r>
              <w:rPr/>
              <w:t> </w:t>
            </w:r>
          </w:p>
        </w:tc>
      </w:tr>
      <w:tr>
        <w:trPr/>
        <w:tc>
          <w:tcPr>
            <w:tcW w:w="2990"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22"/>
              </w:rPr>
            </w:pPr>
            <w:r>
              <w:rPr>
                <w:rFonts w:ascii="sans-serif" w:hAnsi="sans-serif"/>
                <w:b/>
                <w:sz w:val="22"/>
              </w:rPr>
              <w:t>Name</w:t>
            </w:r>
          </w:p>
        </w:tc>
        <w:tc>
          <w:tcPr>
            <w:tcW w:w="60" w:type="dxa"/>
            <w:tcBorders/>
            <w:shd w:fill="auto" w:val="clear"/>
            <w:vAlign w:val="bottom"/>
          </w:tcPr>
          <w:p>
            <w:pPr>
              <w:pStyle w:val="TableContents"/>
              <w:spacing w:before="0" w:after="283"/>
              <w:rPr/>
            </w:pPr>
            <w:r>
              <w:rPr/>
              <w:t> </w:t>
            </w:r>
          </w:p>
        </w:tc>
        <w:tc>
          <w:tcPr>
            <w:tcW w:w="3140"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22"/>
              </w:rPr>
            </w:pPr>
            <w:r>
              <w:rPr>
                <w:rFonts w:ascii="sans-serif" w:hAnsi="sans-serif"/>
                <w:b/>
                <w:sz w:val="22"/>
              </w:rPr>
              <w:t>Name</w:t>
            </w:r>
          </w:p>
        </w:tc>
      </w:tr>
      <w:tr>
        <w:trPr/>
        <w:tc>
          <w:tcPr>
            <w:tcW w:w="299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r>
      <w:tr>
        <w:trPr/>
        <w:tc>
          <w:tcPr>
            <w:tcW w:w="2990" w:type="dxa"/>
            <w:tcBorders/>
            <w:shd w:fill="auto" w:val="clear"/>
          </w:tcPr>
          <w:p>
            <w:pPr>
              <w:pStyle w:val="TableContents"/>
              <w:spacing w:before="0" w:after="283"/>
              <w:jc w:val="center"/>
              <w:rPr>
                <w:rFonts w:ascii="sans-serif" w:hAnsi="sans-serif"/>
                <w:sz w:val="22"/>
              </w:rPr>
            </w:pPr>
            <w:r>
              <w:rPr>
                <w:rFonts w:ascii="sans-serif" w:hAnsi="sans-serif"/>
                <w:sz w:val="22"/>
              </w:rPr>
              <w:t>David M. Cote</w:t>
              <w:br/>
              <w:t>Chairman of the Board,</w:t>
              <w:br/>
              <w:t>Chief Executive Officer</w:t>
              <w:br/>
              <w:t>and Director</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rFonts w:ascii="sans-serif" w:hAnsi="sans-serif"/>
                <w:sz w:val="22"/>
              </w:rPr>
            </w:pPr>
            <w:r>
              <w:rPr>
                <w:rFonts w:ascii="sans-serif" w:hAnsi="sans-serif"/>
                <w:sz w:val="22"/>
              </w:rPr>
              <w:t>Judd Gregg</w:t>
              <w:br/>
              <w:t>Director</w:t>
            </w:r>
          </w:p>
        </w:tc>
      </w:tr>
      <w:tr>
        <w:trPr/>
        <w:tc>
          <w:tcPr>
            <w:tcW w:w="299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r>
      <w:tr>
        <w:trPr/>
        <w:tc>
          <w:tcPr>
            <w:tcW w:w="2990" w:type="dxa"/>
            <w:tcBorders/>
            <w:shd w:fill="auto" w:val="clear"/>
          </w:tcPr>
          <w:p>
            <w:pPr>
              <w:pStyle w:val="TableContents"/>
              <w:spacing w:before="0" w:after="283"/>
              <w:jc w:val="center"/>
              <w:rPr>
                <w:rFonts w:ascii="sans-serif" w:hAnsi="sans-serif"/>
                <w:sz w:val="22"/>
              </w:rPr>
            </w:pPr>
            <w:r>
              <w:rPr>
                <w:rFonts w:ascii="sans-serif" w:hAnsi="sans-serif"/>
                <w:sz w:val="22"/>
              </w:rPr>
              <w:t>William S. Ayer</w:t>
              <w:br/>
              <w:t>Director</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rFonts w:ascii="sans-serif" w:hAnsi="sans-serif"/>
                <w:sz w:val="22"/>
              </w:rPr>
            </w:pPr>
            <w:r>
              <w:rPr>
                <w:rFonts w:ascii="sans-serif" w:hAnsi="sans-serif"/>
                <w:sz w:val="22"/>
              </w:rPr>
              <w:t>Clive Hollick</w:t>
              <w:br/>
              <w:t>Director</w:t>
            </w:r>
          </w:p>
        </w:tc>
      </w:tr>
      <w:tr>
        <w:trPr/>
        <w:tc>
          <w:tcPr>
            <w:tcW w:w="299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r>
      <w:tr>
        <w:trPr/>
        <w:tc>
          <w:tcPr>
            <w:tcW w:w="2990" w:type="dxa"/>
            <w:tcBorders/>
            <w:shd w:fill="auto" w:val="clear"/>
          </w:tcPr>
          <w:p>
            <w:pPr>
              <w:pStyle w:val="TableContents"/>
              <w:spacing w:before="0" w:after="283"/>
              <w:jc w:val="center"/>
              <w:rPr>
                <w:rFonts w:ascii="sans-serif" w:hAnsi="sans-serif"/>
                <w:sz w:val="22"/>
              </w:rPr>
            </w:pPr>
            <w:r>
              <w:rPr>
                <w:rFonts w:ascii="sans-serif" w:hAnsi="sans-serif"/>
                <w:sz w:val="22"/>
              </w:rPr>
              <w:t>Gordon M. Bethune</w:t>
              <w:br/>
              <w:t>Director</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rFonts w:ascii="sans-serif" w:hAnsi="sans-serif"/>
                <w:sz w:val="22"/>
              </w:rPr>
            </w:pPr>
            <w:r>
              <w:rPr>
                <w:rFonts w:ascii="sans-serif" w:hAnsi="sans-serif"/>
                <w:sz w:val="22"/>
              </w:rPr>
              <w:t>Grace D. Lieblein</w:t>
              <w:br/>
              <w:t>Director</w:t>
            </w:r>
          </w:p>
        </w:tc>
      </w:tr>
      <w:tr>
        <w:trPr/>
        <w:tc>
          <w:tcPr>
            <w:tcW w:w="299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r>
      <w:tr>
        <w:trPr/>
        <w:tc>
          <w:tcPr>
            <w:tcW w:w="2990" w:type="dxa"/>
            <w:tcBorders/>
            <w:shd w:fill="auto" w:val="clear"/>
          </w:tcPr>
          <w:p>
            <w:pPr>
              <w:pStyle w:val="TableContents"/>
              <w:spacing w:before="0" w:after="283"/>
              <w:jc w:val="center"/>
              <w:rPr>
                <w:rFonts w:ascii="sans-serif" w:hAnsi="sans-serif"/>
                <w:sz w:val="22"/>
              </w:rPr>
            </w:pPr>
            <w:r>
              <w:rPr>
                <w:rFonts w:ascii="sans-serif" w:hAnsi="sans-serif"/>
                <w:sz w:val="22"/>
              </w:rPr>
              <w:t>Kevin Burke</w:t>
              <w:br/>
              <w:t>Director</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rFonts w:ascii="sans-serif" w:hAnsi="sans-serif"/>
                <w:sz w:val="22"/>
              </w:rPr>
            </w:pPr>
            <w:r>
              <w:rPr>
                <w:rFonts w:ascii="sans-serif" w:hAnsi="sans-serif"/>
                <w:sz w:val="22"/>
              </w:rPr>
              <w:t>George Paz</w:t>
              <w:br/>
              <w:t>Director</w:t>
            </w:r>
          </w:p>
        </w:tc>
      </w:tr>
      <w:tr>
        <w:trPr/>
        <w:tc>
          <w:tcPr>
            <w:tcW w:w="299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r>
      <w:tr>
        <w:trPr/>
        <w:tc>
          <w:tcPr>
            <w:tcW w:w="2990" w:type="dxa"/>
            <w:tcBorders/>
            <w:shd w:fill="auto" w:val="clear"/>
          </w:tcPr>
          <w:p>
            <w:pPr>
              <w:pStyle w:val="TableContents"/>
              <w:spacing w:before="0" w:after="283"/>
              <w:jc w:val="center"/>
              <w:rPr>
                <w:rFonts w:ascii="sans-serif" w:hAnsi="sans-serif"/>
                <w:sz w:val="22"/>
              </w:rPr>
            </w:pPr>
            <w:r>
              <w:rPr>
                <w:rFonts w:ascii="sans-serif" w:hAnsi="sans-serif"/>
                <w:sz w:val="22"/>
              </w:rPr>
              <w:t>Jaime Chico Pardo</w:t>
              <w:br/>
              <w:t>Director</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rFonts w:ascii="sans-serif" w:hAnsi="sans-serif"/>
                <w:sz w:val="22"/>
              </w:rPr>
            </w:pPr>
            <w:r>
              <w:rPr>
                <w:rFonts w:ascii="sans-serif" w:hAnsi="sans-serif"/>
                <w:sz w:val="22"/>
              </w:rPr>
              <w:t>Bradley T. Sheares, Ph.D.</w:t>
              <w:br/>
              <w:t>Director</w:t>
            </w:r>
          </w:p>
        </w:tc>
      </w:tr>
      <w:tr>
        <w:trPr/>
        <w:tc>
          <w:tcPr>
            <w:tcW w:w="299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r>
      <w:tr>
        <w:trPr/>
        <w:tc>
          <w:tcPr>
            <w:tcW w:w="2990" w:type="dxa"/>
            <w:tcBorders/>
            <w:shd w:fill="auto" w:val="clear"/>
          </w:tcPr>
          <w:p>
            <w:pPr>
              <w:pStyle w:val="TableContents"/>
              <w:spacing w:before="0" w:after="283"/>
              <w:jc w:val="center"/>
              <w:rPr>
                <w:rFonts w:ascii="sans-serif" w:hAnsi="sans-serif"/>
                <w:sz w:val="22"/>
              </w:rPr>
            </w:pPr>
            <w:r>
              <w:rPr>
                <w:rFonts w:ascii="sans-serif" w:hAnsi="sans-serif"/>
                <w:sz w:val="22"/>
              </w:rPr>
              <w:t>D. Scott Davis</w:t>
              <w:br/>
              <w:t>Director</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rFonts w:ascii="sans-serif" w:hAnsi="sans-serif"/>
                <w:sz w:val="22"/>
              </w:rPr>
            </w:pPr>
            <w:r>
              <w:rPr>
                <w:rFonts w:ascii="sans-serif" w:hAnsi="sans-serif"/>
                <w:sz w:val="22"/>
              </w:rPr>
              <w:t>Robin L. Washington</w:t>
              <w:br/>
              <w:t>Director</w:t>
            </w:r>
          </w:p>
        </w:tc>
      </w:tr>
      <w:tr>
        <w:trPr/>
        <w:tc>
          <w:tcPr>
            <w:tcW w:w="2990" w:type="dxa"/>
            <w:tcBorders/>
            <w:shd w:fill="auto" w:val="clear"/>
          </w:tcPr>
          <w:p>
            <w:pPr>
              <w:pStyle w:val="TableContents"/>
              <w:spacing w:before="0" w:after="283"/>
              <w:jc w:val="center"/>
              <w:rPr>
                <w:u w:val="single"/>
              </w:rPr>
            </w:pPr>
            <w:r>
              <w:rPr>
                <w:u w:val="single"/>
              </w:rPr>
              <w:t>     </w:t>
            </w:r>
            <w:r>
              <w:rPr>
                <w:rFonts w:ascii="sans-serif" w:hAnsi="sans-serif"/>
                <w:sz w:val="22"/>
                <w:u w:val="single"/>
              </w:rPr>
              <w:t>*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pPr>
            <w:r>
              <w:rPr/>
              <w:t> </w:t>
            </w:r>
          </w:p>
        </w:tc>
      </w:tr>
      <w:tr>
        <w:trPr/>
        <w:tc>
          <w:tcPr>
            <w:tcW w:w="2990" w:type="dxa"/>
            <w:tcBorders/>
            <w:shd w:fill="auto" w:val="clear"/>
          </w:tcPr>
          <w:p>
            <w:pPr>
              <w:pStyle w:val="TableContents"/>
              <w:spacing w:before="0" w:after="283"/>
              <w:jc w:val="center"/>
              <w:rPr>
                <w:rFonts w:ascii="sans-serif" w:hAnsi="sans-serif"/>
                <w:sz w:val="22"/>
              </w:rPr>
            </w:pPr>
            <w:r>
              <w:rPr>
                <w:rFonts w:ascii="sans-serif" w:hAnsi="sans-serif"/>
                <w:sz w:val="22"/>
              </w:rPr>
              <w:t>Linnet F. Deily</w:t>
              <w:br/>
              <w:t>Director</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pPr>
            <w:r>
              <w:rPr/>
              <w:t> </w:t>
            </w:r>
          </w:p>
        </w:tc>
      </w:tr>
      <w:tr>
        <w:trPr/>
        <w:tc>
          <w:tcPr>
            <w:tcW w:w="2990" w:type="dxa"/>
            <w:tcBorders/>
            <w:shd w:fill="auto" w:val="clear"/>
          </w:tcPr>
          <w:p>
            <w:pPr>
              <w:pStyle w:val="TableContents"/>
              <w:spacing w:before="0" w:after="283"/>
              <w:jc w:val="center"/>
              <w:rPr>
                <w:u w:val="single"/>
              </w:rPr>
            </w:pPr>
            <w:r>
              <w:rPr>
                <w:u w:val="single"/>
              </w:rPr>
              <w:t>     </w:t>
            </w:r>
            <w:r>
              <w:rPr>
                <w:rFonts w:ascii="sans-serif" w:hAnsi="sans-serif"/>
                <w:sz w:val="22"/>
                <w:u w:val="single"/>
              </w:rPr>
              <w:t>/s/ Thomas A. Szlosek      </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u w:val="single"/>
              </w:rPr>
            </w:pPr>
            <w:r>
              <w:rPr>
                <w:u w:val="single"/>
              </w:rPr>
              <w:t>     </w:t>
            </w:r>
            <w:r>
              <w:rPr>
                <w:rFonts w:ascii="sans-serif" w:hAnsi="sans-serif"/>
                <w:sz w:val="22"/>
                <w:u w:val="single"/>
              </w:rPr>
              <w:t>/s/ Adam M. Matteo      </w:t>
            </w:r>
          </w:p>
        </w:tc>
      </w:tr>
      <w:tr>
        <w:trPr/>
        <w:tc>
          <w:tcPr>
            <w:tcW w:w="2990" w:type="dxa"/>
            <w:tcBorders/>
            <w:shd w:fill="auto" w:val="clear"/>
          </w:tcPr>
          <w:p>
            <w:pPr>
              <w:pStyle w:val="TableContents"/>
              <w:spacing w:before="0" w:after="283"/>
              <w:jc w:val="center"/>
              <w:rPr>
                <w:rFonts w:ascii="sans-serif" w:hAnsi="sans-serif"/>
                <w:sz w:val="22"/>
              </w:rPr>
            </w:pPr>
            <w:r>
              <w:rPr>
                <w:rFonts w:ascii="sans-serif" w:hAnsi="sans-serif"/>
                <w:sz w:val="22"/>
              </w:rPr>
              <w:t>Thomas A. Szlosek</w:t>
              <w:br/>
              <w:t>Senior Vice President and</w:t>
              <w:br/>
              <w:t>Chief Financial Officer</w:t>
              <w:br/>
              <w:t>(Principal Financial Officer)</w:t>
            </w:r>
          </w:p>
        </w:tc>
        <w:tc>
          <w:tcPr>
            <w:tcW w:w="60" w:type="dxa"/>
            <w:tcBorders/>
            <w:shd w:fill="auto" w:val="clear"/>
          </w:tcPr>
          <w:p>
            <w:pPr>
              <w:pStyle w:val="TableContents"/>
              <w:spacing w:before="0" w:after="283"/>
              <w:rPr/>
            </w:pPr>
            <w:r>
              <w:rPr/>
              <w:t> </w:t>
            </w:r>
          </w:p>
        </w:tc>
        <w:tc>
          <w:tcPr>
            <w:tcW w:w="3140" w:type="dxa"/>
            <w:tcBorders/>
            <w:shd w:fill="auto" w:val="clear"/>
          </w:tcPr>
          <w:p>
            <w:pPr>
              <w:pStyle w:val="TableContents"/>
              <w:spacing w:before="0" w:after="283"/>
              <w:jc w:val="center"/>
              <w:rPr>
                <w:rFonts w:ascii="sans-serif" w:hAnsi="sans-serif"/>
                <w:sz w:val="22"/>
              </w:rPr>
            </w:pPr>
            <w:r>
              <w:rPr>
                <w:rFonts w:ascii="sans-serif" w:hAnsi="sans-serif"/>
                <w:sz w:val="22"/>
              </w:rPr>
              <w:t>Adam M. Matteo</w:t>
              <w:br/>
              <w:t>Vice President and Controller</w:t>
              <w:br/>
              <w:t>(Principal Accounting Officer)</w:t>
            </w:r>
          </w:p>
        </w:tc>
      </w:tr>
    </w:tbl>
    <w:tbl>
      <w:tblPr>
        <w:tblW w:w="2995" w:type="dxa"/>
        <w:jc w:val="left"/>
        <w:tblInd w:w="0" w:type="dxa"/>
        <w:tblCellMar>
          <w:top w:w="0" w:type="dxa"/>
          <w:left w:w="0" w:type="dxa"/>
          <w:bottom w:w="0" w:type="dxa"/>
          <w:right w:w="0" w:type="dxa"/>
        </w:tblCellMar>
      </w:tblPr>
      <w:tblGrid>
        <w:gridCol w:w="485"/>
        <w:gridCol w:w="60"/>
        <w:gridCol w:w="2315"/>
        <w:gridCol w:w="60"/>
        <w:gridCol w:w="75"/>
      </w:tblGrid>
      <w:tr>
        <w:trPr/>
        <w:tc>
          <w:tcPr>
            <w:tcW w:w="485"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pPr>
            <w:r>
              <w:rPr/>
              <w:t> </w:t>
            </w:r>
          </w:p>
        </w:tc>
        <w:tc>
          <w:tcPr>
            <w:tcW w:w="2315"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jc w:val="center"/>
              <w:rPr/>
            </w:pPr>
            <w:r>
              <w:rPr/>
              <w:t> </w:t>
            </w:r>
          </w:p>
        </w:tc>
      </w:tr>
      <w:tr>
        <w:trPr/>
        <w:tc>
          <w:tcPr>
            <w:tcW w:w="485" w:type="dxa"/>
            <w:tcBorders/>
            <w:shd w:fill="auto" w:val="clear"/>
          </w:tcPr>
          <w:p>
            <w:pPr>
              <w:pStyle w:val="TableContents"/>
              <w:spacing w:before="0" w:after="283"/>
              <w:rPr>
                <w:rFonts w:ascii="sans-serif" w:hAnsi="sans-serif"/>
                <w:sz w:val="22"/>
              </w:rPr>
            </w:pPr>
            <w:r>
              <w:rPr>
                <w:rFonts w:ascii="sans-serif" w:hAnsi="sans-serif"/>
                <w:sz w:val="22"/>
              </w:rPr>
              <w:t>*By:</w:t>
            </w:r>
          </w:p>
        </w:tc>
        <w:tc>
          <w:tcPr>
            <w:tcW w:w="60" w:type="dxa"/>
            <w:tcBorders/>
            <w:shd w:fill="auto" w:val="clear"/>
          </w:tcPr>
          <w:p>
            <w:pPr>
              <w:pStyle w:val="TableContents"/>
              <w:spacing w:before="0" w:after="283"/>
              <w:rPr/>
            </w:pPr>
            <w:r>
              <w:rPr/>
              <w:t> </w:t>
            </w:r>
          </w:p>
        </w:tc>
        <w:tc>
          <w:tcPr>
            <w:tcW w:w="2315" w:type="dxa"/>
            <w:tcBorders/>
            <w:shd w:fill="auto" w:val="clear"/>
          </w:tcPr>
          <w:p>
            <w:pPr>
              <w:pStyle w:val="TableContents"/>
              <w:spacing w:before="0" w:after="283"/>
              <w:jc w:val="center"/>
              <w:rPr>
                <w:rFonts w:ascii="sans-serif" w:hAnsi="sans-serif"/>
                <w:sz w:val="22"/>
              </w:rPr>
            </w:pPr>
            <w:r>
              <w:rPr>
                <w:rFonts w:ascii="sans-serif" w:hAnsi="sans-serif"/>
                <w:sz w:val="22"/>
              </w:rPr>
              <w:t>/s/ Thomas A. Szlosek</w:t>
            </w:r>
          </w:p>
        </w:tc>
        <w:tc>
          <w:tcPr>
            <w:tcW w:w="6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jc w:val="center"/>
              <w:rPr/>
            </w:pPr>
            <w:r>
              <w:rPr/>
              <w:t> </w:t>
            </w:r>
          </w:p>
        </w:tc>
      </w:tr>
      <w:tr>
        <w:trPr/>
        <w:tc>
          <w:tcPr>
            <w:tcW w:w="485"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pPr>
            <w:r>
              <w:rPr/>
              <w:t> </w:t>
            </w:r>
          </w:p>
        </w:tc>
        <w:tc>
          <w:tcPr>
            <w:tcW w:w="2315" w:type="dxa"/>
            <w:tcBorders>
              <w:top w:val="single" w:sz="4" w:space="0" w:color="000000"/>
            </w:tcBorders>
            <w:shd w:fill="auto" w:val="clear"/>
            <w:tcMar>
              <w:top w:w="28" w:type="dxa"/>
            </w:tcMar>
          </w:tcPr>
          <w:p>
            <w:pPr>
              <w:pStyle w:val="TableContents"/>
              <w:spacing w:before="0" w:after="283"/>
              <w:jc w:val="center"/>
              <w:rPr/>
            </w:pPr>
            <w:r>
              <w:rPr/>
              <w:t> </w:t>
            </w:r>
          </w:p>
        </w:tc>
        <w:tc>
          <w:tcPr>
            <w:tcW w:w="135" w:type="dxa"/>
            <w:gridSpan w:val="2"/>
            <w:tcBorders/>
            <w:shd w:fill="auto" w:val="clea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jc w:val="center"/>
              <w:rPr/>
            </w:pPr>
            <w:r>
              <w:rPr/>
              <w:t> </w:t>
            </w:r>
          </w:p>
        </w:tc>
        <w:tc>
          <w:tcPr>
            <w:tcW w:w="60" w:type="dxa"/>
            <w:tcBorders/>
            <w:shd w:fill="auto" w:val="clear"/>
          </w:tcPr>
          <w:p>
            <w:pPr>
              <w:pStyle w:val="TableContents"/>
              <w:spacing w:before="0" w:after="283"/>
              <w:rPr/>
            </w:pPr>
            <w:r>
              <w:rPr/>
              <w:t> </w:t>
            </w:r>
          </w:p>
        </w:tc>
        <w:tc>
          <w:tcPr>
            <w:tcW w:w="2315" w:type="dxa"/>
            <w:tcBorders/>
            <w:shd w:fill="auto" w:val="clear"/>
          </w:tcPr>
          <w:p>
            <w:pPr>
              <w:pStyle w:val="TableContents"/>
              <w:spacing w:before="0" w:after="283"/>
              <w:jc w:val="center"/>
              <w:rPr>
                <w:rFonts w:ascii="sans-serif" w:hAnsi="sans-serif"/>
                <w:sz w:val="22"/>
              </w:rPr>
            </w:pPr>
            <w:r>
              <w:rPr>
                <w:rFonts w:ascii="sans-serif" w:hAnsi="sans-serif"/>
                <w:sz w:val="22"/>
              </w:rPr>
              <w:t>(Thomas A. Szlosek</w:t>
              <w:br/>
              <w:t>Attorney-in-fact)</w:t>
            </w:r>
          </w:p>
        </w:tc>
        <w:tc>
          <w:tcPr>
            <w:tcW w:w="60" w:type="dxa"/>
            <w:tcBorders/>
            <w:shd w:fill="auto" w:val="clear"/>
          </w:tcPr>
          <w:p>
            <w:pPr>
              <w:pStyle w:val="TableContents"/>
              <w:spacing w:before="0" w:after="283"/>
              <w:rPr/>
            </w:pPr>
            <w:r>
              <w:rPr/>
              <w:t> </w:t>
            </w:r>
          </w:p>
        </w:tc>
        <w:tc>
          <w:tcPr>
            <w:tcW w:w="75" w:type="dxa"/>
            <w:tcBorders/>
            <w:shd w:fill="auto" w:val="clear"/>
          </w:tcPr>
          <w:p>
            <w:pPr>
              <w:pStyle w:val="TableContents"/>
              <w:spacing w:before="0" w:after="283"/>
              <w:jc w:val="center"/>
              <w:rPr/>
            </w:pPr>
            <w:r>
              <w:rPr/>
              <w:t> </w:t>
            </w:r>
          </w:p>
        </w:tc>
      </w:tr>
    </w:tbl>
    <w:p>
      <w:pPr>
        <w:pStyle w:val="TextBody"/>
        <w:spacing w:before="238" w:after="238"/>
        <w:ind w:left="238" w:right="238" w:hanging="0"/>
        <w:rPr>
          <w:rFonts w:ascii="sans-serif" w:hAnsi="sans-serif"/>
          <w:sz w:val="22"/>
        </w:rPr>
      </w:pPr>
      <w:r>
        <w:rPr>
          <w:rFonts w:ascii="sans-serif" w:hAnsi="sans-serif"/>
          <w:sz w:val="22"/>
        </w:rPr>
        <w:t>February 12, 2016</w:t>
      </w:r>
    </w:p>
    <w:p>
      <w:pPr>
        <w:pStyle w:val="TextBody"/>
        <w:spacing w:before="119" w:after="119"/>
        <w:ind w:left="119" w:right="119" w:hanging="0"/>
        <w:jc w:val="center"/>
        <w:rPr>
          <w:rFonts w:ascii="sans-serif" w:hAnsi="sans-serif"/>
          <w:sz w:val="22"/>
        </w:rPr>
      </w:pPr>
      <w:r>
        <w:rPr>
          <w:rFonts w:ascii="sans-serif" w:hAnsi="sans-serif"/>
          <w:sz w:val="22"/>
        </w:rPr>
        <w:t>86</w:t>
      </w:r>
    </w:p>
    <w:p>
      <w:pPr>
        <w:pStyle w:val="HorizontalLine"/>
        <w:pBdr>
          <w:bottom w:val="single" w:sz="20" w:space="0" w:color="000000"/>
        </w:pBdr>
        <w:rPr/>
      </w:pPr>
      <w:r>
        <w:rPr/>
      </w:r>
      <w:r>
        <w:br w:type="page"/>
      </w:r>
    </w:p>
    <w:p>
      <w:pPr>
        <w:pStyle w:val="TextBody"/>
        <w:spacing w:before="0" w:after="0"/>
        <w:rPr/>
      </w:pPr>
      <w:r>
        <w:rPr/>
        <w:t> </w:t>
      </w:r>
    </w:p>
    <w:p>
      <w:pPr>
        <w:pStyle w:val="TextBody"/>
        <w:spacing w:before="238" w:after="238"/>
        <w:ind w:left="238" w:right="238" w:hanging="0"/>
        <w:jc w:val="center"/>
        <w:rPr>
          <w:rFonts w:ascii="sans-serif" w:hAnsi="sans-serif"/>
          <w:b/>
          <w:sz w:val="22"/>
        </w:rPr>
      </w:pPr>
      <w:r>
        <w:rPr>
          <w:rFonts w:ascii="sans-serif" w:hAnsi="sans-serif"/>
          <w:b/>
          <w:sz w:val="22"/>
        </w:rPr>
        <w:t>EXHIBIT INDEX</w:t>
      </w:r>
    </w:p>
    <w:tbl>
      <w:tblPr>
        <w:tblW w:w="10205" w:type="dxa"/>
        <w:jc w:val="left"/>
        <w:tblInd w:w="0" w:type="dxa"/>
        <w:tblCellMar>
          <w:top w:w="0" w:type="dxa"/>
          <w:left w:w="0" w:type="dxa"/>
          <w:bottom w:w="0" w:type="dxa"/>
          <w:right w:w="0" w:type="dxa"/>
        </w:tblCellMar>
      </w:tblPr>
      <w:tblGrid>
        <w:gridCol w:w="806"/>
        <w:gridCol w:w="60"/>
        <w:gridCol w:w="9339"/>
      </w:tblGrid>
      <w:tr>
        <w:trPr/>
        <w:tc>
          <w:tcPr>
            <w:tcW w:w="806"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rPr/>
            </w:pPr>
            <w:r>
              <w:rPr/>
              <w:t> </w:t>
            </w:r>
          </w:p>
        </w:tc>
      </w:tr>
      <w:tr>
        <w:trPr/>
        <w:tc>
          <w:tcPr>
            <w:tcW w:w="806" w:type="dxa"/>
            <w:tcBorders/>
            <w:shd w:fill="auto" w:val="clear"/>
            <w:vAlign w:val="bottom"/>
          </w:tcPr>
          <w:p>
            <w:pPr>
              <w:pStyle w:val="TableContents"/>
              <w:spacing w:before="0" w:after="283"/>
              <w:rPr>
                <w:rFonts w:ascii="sans-serif" w:hAnsi="sans-serif"/>
                <w:b/>
                <w:sz w:val="18"/>
              </w:rPr>
            </w:pPr>
            <w:r>
              <w:rPr>
                <w:rFonts w:ascii="sans-serif" w:hAnsi="sans-serif"/>
                <w:b/>
                <w:sz w:val="18"/>
              </w:rPr>
              <w:t>Exhibit No.</w:t>
            </w:r>
          </w:p>
        </w:tc>
        <w:tc>
          <w:tcPr>
            <w:tcW w:w="60" w:type="dxa"/>
            <w:tcBorders/>
            <w:shd w:fill="auto" w:val="clear"/>
            <w:vAlign w:val="bottom"/>
          </w:tcPr>
          <w:p>
            <w:pPr>
              <w:pStyle w:val="TableContents"/>
              <w:spacing w:before="0" w:after="283"/>
              <w:rPr/>
            </w:pPr>
            <w:r>
              <w:rPr/>
              <w:t> </w:t>
            </w:r>
          </w:p>
        </w:tc>
        <w:tc>
          <w:tcPr>
            <w:tcW w:w="9339" w:type="dxa"/>
            <w:tcBorders/>
            <w:shd w:fill="auto" w:val="clear"/>
            <w:vAlign w:val="bottom"/>
          </w:tcPr>
          <w:p>
            <w:pPr>
              <w:pStyle w:val="TableContents"/>
              <w:spacing w:before="0" w:after="283"/>
              <w:ind w:left="198" w:right="0" w:hanging="198"/>
              <w:jc w:val="center"/>
              <w:rPr>
                <w:rFonts w:ascii="sans-serif" w:hAnsi="sans-serif"/>
                <w:b/>
                <w:sz w:val="18"/>
              </w:rPr>
            </w:pPr>
            <w:r>
              <w:rPr>
                <w:rFonts w:ascii="sans-serif" w:hAnsi="sans-serif"/>
                <w:b/>
                <w:sz w:val="18"/>
              </w:rPr>
              <w:t>Description</w:t>
            </w:r>
          </w:p>
        </w:tc>
      </w:tr>
      <w:tr>
        <w:trPr/>
        <w:tc>
          <w:tcPr>
            <w:tcW w:w="10205" w:type="dxa"/>
            <w:gridSpan w:val="3"/>
            <w:tcBorders>
              <w:top w:val="single" w:sz="4" w:space="0" w:color="000000"/>
            </w:tcBorders>
            <w:shd w:fill="auto" w:val="clear"/>
            <w:tcMar>
              <w:top w:w="28" w:type="dxa"/>
            </w:tcMar>
          </w:tcPr>
          <w:p>
            <w:pPr>
              <w:pStyle w:val="TableContents"/>
              <w:spacing w:before="0" w:after="283"/>
              <w:jc w:val="center"/>
              <w:rPr/>
            </w:pPr>
            <w:r>
              <w:rPr/>
              <w:t> </w:t>
            </w:r>
          </w:p>
        </w:tc>
      </w:tr>
      <w:tr>
        <w:trPr/>
        <w:tc>
          <w:tcPr>
            <w:tcW w:w="806" w:type="dxa"/>
            <w:tcBorders/>
            <w:shd w:fill="auto" w:val="clear"/>
          </w:tcPr>
          <w:p>
            <w:pPr>
              <w:pStyle w:val="TableContents"/>
              <w:spacing w:before="0" w:after="283"/>
              <w:rPr/>
            </w:pPr>
            <w:r>
              <w:rPr/>
              <w:t xml:space="preserve">   </w:t>
            </w:r>
            <w:r>
              <w:rPr>
                <w:rFonts w:ascii="sans-serif" w:hAnsi="sans-serif"/>
                <w:sz w:val="22"/>
              </w:rPr>
              <w:t>3(i)</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Amended and Restated Certificate of Incorporation of Honeywell International Inc., as amended April 26, 2010 (incorporated by reference to Exhibit 3(i) to Honeywells Form 8-K filed April 27, 2010)</w:t>
            </w:r>
          </w:p>
        </w:tc>
      </w:tr>
      <w:tr>
        <w:trPr/>
        <w:tc>
          <w:tcPr>
            <w:tcW w:w="806" w:type="dxa"/>
            <w:tcBorders/>
            <w:shd w:fill="auto" w:val="clear"/>
          </w:tcPr>
          <w:p>
            <w:pPr>
              <w:pStyle w:val="TableContents"/>
              <w:spacing w:before="0" w:after="283"/>
              <w:rPr/>
            </w:pPr>
            <w:r>
              <w:rPr/>
              <w:t xml:space="preserve">   </w:t>
            </w:r>
            <w:r>
              <w:rPr>
                <w:rFonts w:ascii="sans-serif" w:hAnsi="sans-serif"/>
                <w:sz w:val="22"/>
              </w:rPr>
              <w:t>3(ii)</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By-laws of Honeywell International Inc., as amended December 11, 2015 (incorporated by reference to Exhibit 3(ii) to Honeywells Form 8-K filed December 14, 2015)</w:t>
            </w:r>
          </w:p>
        </w:tc>
      </w:tr>
      <w:tr>
        <w:trPr/>
        <w:tc>
          <w:tcPr>
            <w:tcW w:w="806" w:type="dxa"/>
            <w:tcBorders/>
            <w:shd w:fill="auto" w:val="clear"/>
          </w:tcPr>
          <w:p>
            <w:pPr>
              <w:pStyle w:val="TableContents"/>
              <w:spacing w:before="0" w:after="283"/>
              <w:rPr/>
            </w:pPr>
            <w:r>
              <w:rPr/>
              <w:t xml:space="preserve">   </w:t>
            </w:r>
            <w:r>
              <w:rPr>
                <w:rFonts w:ascii="sans-serif" w:hAnsi="sans-serif"/>
                <w:sz w:val="22"/>
              </w:rPr>
              <w:t>4</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Honeywell International Inc. is a party to several long-term debt instruments under which, in each case, the total amount of securities authorized does not exceed 10% of the total assets of Honeywell and its subsidiaries on a consolidated basis. Pursuant to paragraph 4(iii)(A) of Item 601(b) of Regulation S-K, Honeywell agrees to furnish a copy of such instruments to the Securities and Exchange Commission upon request.</w:t>
            </w:r>
          </w:p>
        </w:tc>
      </w:tr>
      <w:tr>
        <w:trPr/>
        <w:tc>
          <w:tcPr>
            <w:tcW w:w="806" w:type="dxa"/>
            <w:tcBorders/>
            <w:shd w:fill="auto" w:val="clear"/>
          </w:tcPr>
          <w:p>
            <w:pPr>
              <w:pStyle w:val="TableContents"/>
              <w:spacing w:before="0" w:after="283"/>
              <w:rPr>
                <w:rFonts w:ascii="sans-serif" w:hAnsi="sans-serif"/>
                <w:sz w:val="22"/>
              </w:rPr>
            </w:pPr>
            <w:r>
              <w:rPr>
                <w:rFonts w:ascii="sans-serif" w:hAnsi="sans-serif"/>
                <w:sz w:val="22"/>
              </w:rPr>
              <w:t>10.1*</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2003 Stock Incentive Plan of Honeywell International Inc. and its Affiliates (incorporated by reference to Honeywells Proxy Statement, dated March 17, 2003, filed pursuant to Rule 14a-6 of the Securities Exchange Act of 1934), and amended by Exhibit 10.1 to Honeywells Form 8-K filed December 21, 2004, Exhibit 10.1 to Honeywells Form 10-K for the year ended December 31, 2006 and Exhibit 10.1 to Honeywells Form 10-K for the year ended December 31, 2008</w:t>
            </w:r>
          </w:p>
        </w:tc>
      </w:tr>
      <w:tr>
        <w:trPr/>
        <w:tc>
          <w:tcPr>
            <w:tcW w:w="806" w:type="dxa"/>
            <w:tcBorders/>
            <w:shd w:fill="auto" w:val="clear"/>
          </w:tcPr>
          <w:p>
            <w:pPr>
              <w:pStyle w:val="TableContents"/>
              <w:spacing w:before="0" w:after="283"/>
              <w:rPr>
                <w:rFonts w:ascii="sans-serif" w:hAnsi="sans-serif"/>
                <w:sz w:val="22"/>
              </w:rPr>
            </w:pPr>
            <w:r>
              <w:rPr>
                <w:rFonts w:ascii="sans-serif" w:hAnsi="sans-serif"/>
                <w:sz w:val="22"/>
              </w:rPr>
              <w:t>10.2*</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Deferred Compensation Plan for Non-Employee Directors of Honeywell International Inc., as amended and restated (incorporated by reference to Exhibit 10.2 to Honeywells Form 10-Q for quarter ended June 30, 2003), and amended by Exhibit 10.1 to Honeywells Form 8-K filed December 21, 2004 and Exhibit 10.2 to Honeywells Form 10-K for the year ended December 31, 2005</w:t>
            </w:r>
          </w:p>
        </w:tc>
      </w:tr>
      <w:tr>
        <w:trPr/>
        <w:tc>
          <w:tcPr>
            <w:tcW w:w="806" w:type="dxa"/>
            <w:tcBorders/>
            <w:shd w:fill="auto" w:val="clear"/>
          </w:tcPr>
          <w:p>
            <w:pPr>
              <w:pStyle w:val="TableContents"/>
              <w:spacing w:before="0" w:after="283"/>
              <w:rPr>
                <w:rFonts w:ascii="sans-serif" w:hAnsi="sans-serif"/>
                <w:sz w:val="22"/>
              </w:rPr>
            </w:pPr>
            <w:r>
              <w:rPr>
                <w:rFonts w:ascii="sans-serif" w:hAnsi="sans-serif"/>
                <w:sz w:val="22"/>
              </w:rPr>
              <w:t>10.3*</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Honeywell International Inc. Incentive Compensation Plan for Executive Employees, as amended and restated (incorporated by reference to Exhibit 10.4 to Honeywells Form 10-K for the year ended December 31, 2013)</w:t>
            </w:r>
          </w:p>
        </w:tc>
      </w:tr>
      <w:tr>
        <w:trPr/>
        <w:tc>
          <w:tcPr>
            <w:tcW w:w="806" w:type="dxa"/>
            <w:tcBorders/>
            <w:shd w:fill="auto" w:val="clear"/>
          </w:tcPr>
          <w:p>
            <w:pPr>
              <w:pStyle w:val="TableContents"/>
              <w:spacing w:before="0" w:after="283"/>
              <w:rPr>
                <w:rFonts w:ascii="sans-serif" w:hAnsi="sans-serif"/>
                <w:sz w:val="22"/>
              </w:rPr>
            </w:pPr>
            <w:r>
              <w:rPr>
                <w:rFonts w:ascii="sans-serif" w:hAnsi="sans-serif"/>
                <w:sz w:val="22"/>
              </w:rPr>
              <w:t>10.4*</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Supplemental Non-Qualified Savings Plan for Highly Compensated Employees of Honeywell International Inc. and its Subsidiaries, as amended and restated (incorporated by reference to Exhibit 10.6 to Honeywells Form 10-K for the year ended December 31, 2008), and amended by Exhibit 10.5 to Honeywells Form 10-K for the year ended December 31, 2010, Exhibit 10.1 to Honeywells Form 10-Q for the quarter ended June 30, 2012, Exhibit 10.5 to Honeywells Form 10-K for the year ended December 31, 2013 and Exhibit 10.1 to Honeywells Form 10-Q for the quarter ended June 30, 2015</w:t>
            </w:r>
          </w:p>
        </w:tc>
      </w:tr>
      <w:tr>
        <w:trPr/>
        <w:tc>
          <w:tcPr>
            <w:tcW w:w="806" w:type="dxa"/>
            <w:tcBorders/>
            <w:shd w:fill="auto" w:val="clear"/>
          </w:tcPr>
          <w:p>
            <w:pPr>
              <w:pStyle w:val="TableContents"/>
              <w:spacing w:before="0" w:after="283"/>
              <w:rPr>
                <w:rFonts w:ascii="sans-serif" w:hAnsi="sans-serif"/>
                <w:sz w:val="22"/>
              </w:rPr>
            </w:pPr>
            <w:r>
              <w:rPr>
                <w:rFonts w:ascii="sans-serif" w:hAnsi="sans-serif"/>
                <w:sz w:val="22"/>
              </w:rPr>
              <w:t>10.5*</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Honeywell International Inc. Severance Plan for Designated Officers, as amended and restated (incorporated by reference to Exhibit 10.6 to Honeywells Form 10-K for the year ended December 31, 2013)</w:t>
            </w:r>
          </w:p>
        </w:tc>
      </w:tr>
      <w:tr>
        <w:trPr/>
        <w:tc>
          <w:tcPr>
            <w:tcW w:w="806" w:type="dxa"/>
            <w:tcBorders/>
            <w:shd w:fill="auto" w:val="clear"/>
          </w:tcPr>
          <w:p>
            <w:pPr>
              <w:pStyle w:val="TableContents"/>
              <w:spacing w:before="0" w:after="283"/>
              <w:rPr>
                <w:rFonts w:ascii="sans-serif" w:hAnsi="sans-serif"/>
                <w:sz w:val="22"/>
              </w:rPr>
            </w:pPr>
            <w:r>
              <w:rPr>
                <w:rFonts w:ascii="sans-serif" w:hAnsi="sans-serif"/>
                <w:sz w:val="22"/>
              </w:rPr>
              <w:t>10.6*</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Salary and Incentive Award Deferral Plan for Selected Employees of Honeywell International Inc. and its Affiliates, as amended and restated (incorporated by reference to Exhibit 10.8 to Honeywells Form 10-K for the year ended December 31, 2008), and amended by Exhibit 10.7 to Honeywells Form 10-K for the year ended December 31, 2013</w:t>
            </w:r>
          </w:p>
        </w:tc>
      </w:tr>
      <w:tr>
        <w:trPr/>
        <w:tc>
          <w:tcPr>
            <w:tcW w:w="806" w:type="dxa"/>
            <w:tcBorders/>
            <w:shd w:fill="auto" w:val="clear"/>
          </w:tcPr>
          <w:p>
            <w:pPr>
              <w:pStyle w:val="TableContents"/>
              <w:spacing w:before="0" w:after="283"/>
              <w:rPr>
                <w:rFonts w:ascii="sans-serif" w:hAnsi="sans-serif"/>
                <w:sz w:val="22"/>
              </w:rPr>
            </w:pPr>
            <w:r>
              <w:rPr>
                <w:rFonts w:ascii="sans-serif" w:hAnsi="sans-serif"/>
                <w:sz w:val="22"/>
              </w:rPr>
              <w:t>10.7*</w:t>
            </w:r>
          </w:p>
        </w:tc>
        <w:tc>
          <w:tcPr>
            <w:tcW w:w="60" w:type="dxa"/>
            <w:tcBorders/>
            <w:shd w:fill="auto" w:val="clear"/>
          </w:tcPr>
          <w:p>
            <w:pPr>
              <w:pStyle w:val="TableContents"/>
              <w:spacing w:before="0" w:after="283"/>
              <w:rPr/>
            </w:pPr>
            <w:r>
              <w:rPr/>
              <w:t> </w:t>
            </w:r>
          </w:p>
        </w:tc>
        <w:tc>
          <w:tcPr>
            <w:tcW w:w="9339" w:type="dxa"/>
            <w:tcBorders/>
            <w:shd w:fill="auto" w:val="clear"/>
          </w:tcPr>
          <w:p>
            <w:pPr>
              <w:pStyle w:val="TableContents"/>
              <w:ind w:left="198" w:right="0" w:hanging="198"/>
              <w:jc w:val="both"/>
              <w:rPr>
                <w:rFonts w:ascii="sans-serif" w:hAnsi="sans-serif"/>
                <w:sz w:val="22"/>
              </w:rPr>
            </w:pPr>
            <w:r>
              <w:rPr>
                <w:rFonts w:ascii="sans-serif" w:hAnsi="sans-serif"/>
                <w:sz w:val="22"/>
              </w:rPr>
              <w:t>Honeywell International Inc. Supplemental Pension Plan, as amended and restated (incorporated by reference to Exhibit 10.10 to Honeywells Form 10-K for the year ended December 31, 2008), and amended by Exhibit 10.10 to Honeywells Form 10-K for the year ended December 31, 2009 and the attached amendment (filed herewith)</w:t>
            </w:r>
          </w:p>
          <w:p>
            <w:pPr>
              <w:pStyle w:val="TableContents"/>
              <w:spacing w:before="0" w:after="283"/>
              <w:ind w:left="198" w:right="0" w:hanging="198"/>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87</w:t>
      </w:r>
    </w:p>
    <w:p>
      <w:pPr>
        <w:pStyle w:val="HorizontalLine"/>
        <w:pBdr>
          <w:bottom w:val="single" w:sz="20" w:space="0" w:color="000000"/>
        </w:pBdr>
        <w:rPr/>
      </w:pPr>
      <w:r>
        <w:rPr/>
      </w:r>
      <w:r>
        <w:br w:type="page"/>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820"/>
        <w:gridCol w:w="60"/>
        <w:gridCol w:w="9325"/>
      </w:tblGrid>
      <w:tr>
        <w:trPr/>
        <w:tc>
          <w:tcPr>
            <w:tcW w:w="82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rPr/>
            </w:pPr>
            <w:r>
              <w:rPr/>
              <w:t> </w:t>
            </w:r>
          </w:p>
        </w:tc>
      </w:tr>
      <w:tr>
        <w:trPr/>
        <w:tc>
          <w:tcPr>
            <w:tcW w:w="820" w:type="dxa"/>
            <w:tcBorders/>
            <w:shd w:fill="auto" w:val="clear"/>
            <w:vAlign w:val="bottom"/>
          </w:tcPr>
          <w:p>
            <w:pPr>
              <w:pStyle w:val="TableContents"/>
              <w:spacing w:before="0" w:after="283"/>
              <w:rPr>
                <w:rFonts w:ascii="sans-serif" w:hAnsi="sans-serif"/>
                <w:b/>
                <w:sz w:val="18"/>
              </w:rPr>
            </w:pPr>
            <w:r>
              <w:rPr>
                <w:rFonts w:ascii="sans-serif" w:hAnsi="sans-serif"/>
                <w:b/>
                <w:sz w:val="18"/>
              </w:rPr>
              <w:t>Exhibit No.</w:t>
            </w:r>
          </w:p>
        </w:tc>
        <w:tc>
          <w:tcPr>
            <w:tcW w:w="60" w:type="dxa"/>
            <w:tcBorders/>
            <w:shd w:fill="auto" w:val="clear"/>
            <w:vAlign w:val="bottom"/>
          </w:tcPr>
          <w:p>
            <w:pPr>
              <w:pStyle w:val="TableContents"/>
              <w:spacing w:before="0" w:after="283"/>
              <w:rPr/>
            </w:pPr>
            <w:r>
              <w:rPr/>
              <w:t> </w:t>
            </w:r>
          </w:p>
        </w:tc>
        <w:tc>
          <w:tcPr>
            <w:tcW w:w="9325" w:type="dxa"/>
            <w:tcBorders/>
            <w:shd w:fill="auto" w:val="clear"/>
            <w:vAlign w:val="bottom"/>
          </w:tcPr>
          <w:p>
            <w:pPr>
              <w:pStyle w:val="TableContents"/>
              <w:spacing w:before="0" w:after="283"/>
              <w:ind w:left="198" w:right="0" w:hanging="198"/>
              <w:jc w:val="center"/>
              <w:rPr>
                <w:rFonts w:ascii="sans-serif" w:hAnsi="sans-serif"/>
                <w:b/>
                <w:sz w:val="18"/>
              </w:rPr>
            </w:pPr>
            <w:r>
              <w:rPr>
                <w:rFonts w:ascii="sans-serif" w:hAnsi="sans-serif"/>
                <w:b/>
                <w:sz w:val="18"/>
              </w:rPr>
              <w:t>Description</w:t>
            </w:r>
          </w:p>
        </w:tc>
      </w:tr>
      <w:tr>
        <w:trPr/>
        <w:tc>
          <w:tcPr>
            <w:tcW w:w="10205" w:type="dxa"/>
            <w:gridSpan w:val="3"/>
            <w:tcBorders>
              <w:top w:val="single" w:sz="4" w:space="0" w:color="000000"/>
            </w:tcBorders>
            <w:shd w:fill="auto" w:val="clear"/>
            <w:tcMar>
              <w:top w:w="28" w:type="dxa"/>
            </w:tcMar>
          </w:tcPr>
          <w:p>
            <w:pPr>
              <w:pStyle w:val="TableContents"/>
              <w:spacing w:before="0" w:after="283"/>
              <w:jc w:val="center"/>
              <w:rPr/>
            </w:pPr>
            <w:r>
              <w:rPr/>
              <w:t> </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10.8*</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Honeywell International Inc. Supplemental Executive Retirement Plan for Executives in Career Band 6 and Above, as amended and restated (incorporated by reference to Exhibit 10.12 to Honeywells Form 10-K for the year ended December 31, 2008), and amended by Exhibit 10.12 to Honeywells Form 10-K for the year ended December 31, 2009, Exhibit 10.9 to Honeywells Form 10-K for the year ended December 31, 2013, and the attached amendment (filed herewith)</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10.9*</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Honeywell Supplemental Defined Benefit Retirement Plan, as amended and restated (incorporated by reference to Exhibit 10.13 to Honeywells Form 10-K for the year ended December 31, 2008), and amended by Exhibit 10.13 to Honeywells Form 10-K for the year ended December 31, 2009 and the attached amendment (filed herewith)</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10.10*</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Letter between David J. Anderson and Honeywell International Inc. dated June 12, 2003 (incorporated by reference to Exhibit 10.26 to Honeywells Form 10-Q for the quarter ended June 30, 2003), and amended by Exhibit 10.14 to Honeywells Form 10-K for the year ended December 31, 2008</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10.11*</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Honeywell International Inc. Severance Plan for Corporate Staff Employees (Involuntary Termination Following a Change in Control), as amended and restated (incorporated by reference to Exhibit 10.12 to Honeywells Form 10-K for the year ended December 31, 2013)</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10.12*</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Employment Agreement dated as of February 18, 2002 between Honeywell and David M. Cote (incorporated by reference to Exhibit 10.24 to Honeywells Form 8-K filed March 4, 2002), and amended by Exhibit 10.3 to Honeywells Form 10-Q for the quarter ended September 30, 2008, Exhibit 10.17 to Honeywells Form 10-K for the year ended December 31, 2008, and Exhibit 10.1 to Honeywells Form 10-Q for the quarter ended March 31, 2013</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10.13*</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2003 Stock Incentive Plan for Employees of Honeywell International Inc. and its Affiliates Award Agreement (incorporated by reference to Exhibit 10.1 to Honeywells Form 8-K filed February 7, 2005)</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10.14*</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Deferred Compensation Agreement dated August 4, 2006 between Honeywell and David M. Cote (incorporated by reference to Exhibit 10.22 to Honeywells Form 10-K for the year ended December 31, 2006) and amended by Exhibit 10.22 to Honeywells Form 10-K for the year ended December 31, 2009</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10.15*</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Honeywell Supplemental Retirement Plan (incorporated by reference to Exhibit 10.24 to Honeywells Form 10-K for the year ended December 31, 2006)</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10.16*</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Pittway Corporation Supplemental Executive Retirement Plan (incorporated by reference to Exhibit 10.25 to Honeywells Form 10-K for the year ended December 31, 2006) and amended by Exhibit 10.25 to Honeywells Form 10-K for the year ended December 31, 2008, Exhibit 10.25 to Honeywells 10-K for the year ended December 31, 2009, and the attached amendment (filed herewith)</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10.17*</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Incentive Plan of Honeywell International Inc. and Its Affiliates, as amended and restated (incorporated by reference to Exhibit 10.26 to Honeywells Form 10-K for the year ended December 31, 2008), and amended by Exhibit 10.1 to Honeywells 10-Q for the quarter ended March 31, 2011</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10.18*</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Incentive Plan of Honeywell International Inc. and Its AffiliatesForm of Option Award Agreement (incorporated by reference to Exhibit 10.2 to Honeywells Form 10-Q for the quarter ended March 31, 2009)</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10.19*</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Incentive Plan of Honeywell International Inc. and Its AffiliatesForm of Restricted Unit Agreement (incorporated by reference to Exhibit 10.1 to Honeywells Form 10-Q for the quarter ended March 31, 2009)</w:t>
            </w:r>
          </w:p>
        </w:tc>
      </w:tr>
      <w:tr>
        <w:trPr/>
        <w:tc>
          <w:tcPr>
            <w:tcW w:w="820" w:type="dxa"/>
            <w:tcBorders/>
            <w:shd w:fill="auto" w:val="clear"/>
          </w:tcPr>
          <w:p>
            <w:pPr>
              <w:pStyle w:val="TableContents"/>
              <w:spacing w:before="0" w:after="283"/>
              <w:rPr>
                <w:rFonts w:ascii="sans-serif" w:hAnsi="sans-serif"/>
                <w:sz w:val="22"/>
              </w:rPr>
            </w:pPr>
            <w:r>
              <w:rPr>
                <w:rFonts w:ascii="sans-serif" w:hAnsi="sans-serif"/>
                <w:sz w:val="22"/>
              </w:rPr>
              <w:t>10.20*</w:t>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Incentive Plan of Honeywell International Inc. and Its AffiliatesForm of Performance Share Agreement (incorporated by reference to Exhibit 10.30 to Honeywells Form 10-K for the year ended December 31, 2006)</w:t>
            </w:r>
          </w:p>
        </w:tc>
      </w:tr>
      <w:tr>
        <w:trPr/>
        <w:tc>
          <w:tcPr>
            <w:tcW w:w="82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pPr>
            <w:r>
              <w:rPr/>
              <w:t> </w:t>
            </w:r>
          </w:p>
        </w:tc>
        <w:tc>
          <w:tcPr>
            <w:tcW w:w="9325" w:type="dxa"/>
            <w:tcBorders/>
            <w:shd w:fill="auto" w:val="clear"/>
          </w:tcPr>
          <w:p>
            <w:pPr>
              <w:pStyle w:val="TableContents"/>
              <w:spacing w:before="0" w:after="283"/>
              <w:ind w:left="198" w:right="0" w:hanging="198"/>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88</w:t>
      </w:r>
    </w:p>
    <w:p>
      <w:pPr>
        <w:pStyle w:val="HorizontalLine"/>
        <w:pBdr>
          <w:bottom w:val="single" w:sz="20" w:space="0" w:color="000000"/>
        </w:pBdr>
        <w:rPr/>
      </w:pPr>
      <w:r>
        <w:rPr/>
      </w:r>
      <w:r>
        <w:br w:type="page"/>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830"/>
        <w:gridCol w:w="60"/>
        <w:gridCol w:w="9315"/>
      </w:tblGrid>
      <w:tr>
        <w:trPr/>
        <w:tc>
          <w:tcPr>
            <w:tcW w:w="83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rPr/>
            </w:pPr>
            <w:r>
              <w:rPr/>
              <w:t> </w:t>
            </w:r>
          </w:p>
        </w:tc>
      </w:tr>
      <w:tr>
        <w:trPr/>
        <w:tc>
          <w:tcPr>
            <w:tcW w:w="830" w:type="dxa"/>
            <w:tcBorders/>
            <w:shd w:fill="auto" w:val="clear"/>
            <w:vAlign w:val="bottom"/>
          </w:tcPr>
          <w:p>
            <w:pPr>
              <w:pStyle w:val="TableContents"/>
              <w:spacing w:before="0" w:after="283"/>
              <w:rPr>
                <w:rFonts w:ascii="sans-serif" w:hAnsi="sans-serif"/>
                <w:b/>
                <w:sz w:val="18"/>
              </w:rPr>
            </w:pPr>
            <w:r>
              <w:rPr>
                <w:rFonts w:ascii="sans-serif" w:hAnsi="sans-serif"/>
                <w:b/>
                <w:sz w:val="18"/>
              </w:rPr>
              <w:t>Exhibit No.</w:t>
            </w:r>
          </w:p>
        </w:tc>
        <w:tc>
          <w:tcPr>
            <w:tcW w:w="60" w:type="dxa"/>
            <w:tcBorders/>
            <w:shd w:fill="auto" w:val="clear"/>
            <w:vAlign w:val="bottom"/>
          </w:tcPr>
          <w:p>
            <w:pPr>
              <w:pStyle w:val="TableContents"/>
              <w:spacing w:before="0" w:after="283"/>
              <w:rPr/>
            </w:pPr>
            <w:r>
              <w:rPr/>
              <w:t> </w:t>
            </w:r>
          </w:p>
        </w:tc>
        <w:tc>
          <w:tcPr>
            <w:tcW w:w="9315" w:type="dxa"/>
            <w:tcBorders/>
            <w:shd w:fill="auto" w:val="clear"/>
            <w:vAlign w:val="bottom"/>
          </w:tcPr>
          <w:p>
            <w:pPr>
              <w:pStyle w:val="TableContents"/>
              <w:spacing w:before="0" w:after="283"/>
              <w:ind w:left="198" w:right="0" w:hanging="198"/>
              <w:jc w:val="center"/>
              <w:rPr>
                <w:rFonts w:ascii="sans-serif" w:hAnsi="sans-serif"/>
                <w:b/>
                <w:sz w:val="18"/>
              </w:rPr>
            </w:pPr>
            <w:r>
              <w:rPr>
                <w:rFonts w:ascii="sans-serif" w:hAnsi="sans-serif"/>
                <w:b/>
                <w:sz w:val="18"/>
              </w:rPr>
              <w:t>Description</w:t>
            </w:r>
          </w:p>
        </w:tc>
      </w:tr>
      <w:tr>
        <w:trPr/>
        <w:tc>
          <w:tcPr>
            <w:tcW w:w="10205" w:type="dxa"/>
            <w:gridSpan w:val="3"/>
            <w:tcBorders>
              <w:top w:val="single" w:sz="4" w:space="0" w:color="000000"/>
            </w:tcBorders>
            <w:shd w:fill="auto" w:val="clear"/>
            <w:tcMar>
              <w:top w:w="28" w:type="dxa"/>
            </w:tcMar>
          </w:tcPr>
          <w:p>
            <w:pPr>
              <w:pStyle w:val="TableContents"/>
              <w:spacing w:before="0" w:after="283"/>
              <w:jc w:val="center"/>
              <w:rPr/>
            </w:pPr>
            <w:r>
              <w:rPr/>
              <w:t> </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10.21*</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Plan for Non-Employee Directors of Honeywell International Inc., as amended and restated (incorporated by reference to Exhibit 10.31 to Honeywells Form 10-K for the year ended December 31, 2008), and amended by Exhibit 10.27 to Honeywells Form 10-K for the year ended December 31, 2011 and Exhibit 10.24 to Honeywells Form 10-K for the year ended December 31, 2014</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10.22*</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Plan for Non-Employee Directors of Honeywell International Inc.Form of Option Agreement (incorporated by reference to Exhibit 10.3 to Honeywells Form 10-Q for the quarter ended March 31, 2012)</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10.23*</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Plan for Non-Employee Directors of Honeywell International Inc.Form of Restricted Unit Agreement (incorporated by reference to Exhibit 10.4 to Honeywells Form 10-Q for the quarter ended March 31, 2012)</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10.24*</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2007 Honeywell Global Employee Stock Plan (incorporated by reference to Honeywells Proxy Statement, dated March 12, 2007, filed pursuant to Rule 14a-6 of the Securities Exchange Act of 1934)</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10.25*</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Letter Agreement dated July 20, 2007 between Honeywell and Roger Fradin (incorporated by reference to Exhibit 10.1 to Honeywells Form 10-Q for the quarter ended September 30, 2007) and amended by Exhibit 10.36 to Honeywells Form 10-K for the year ended December 31, 2009</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10.26*</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Letter Agreement dated October 6, 2010 between Honeywell and Roger Fradin (incorporated by reference to Exhibit 10.34 to Honeywells Form 10-K for the year ended December 31, 2010) and amended by Exhibit 10.1 to Honeywells Form 10-Q for the quarter ended September 30, 2012</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10.27*</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Employee Non-Competition Agreement dated October 26, 2010 for Andreas Kramvis (incorporated by reference to Exhibit 10.35 to Honeywells Form 10-K for the year ended December 31, 2010)</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10.28*</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Incentive Plan of Honeywell International Inc. and its AffiliatesForm of Restricted Unit Agreement, Form 2 (incorporated by reference to Exhibit 10.2 to Honeywells Form 10-Q for the quarter ended June 30, 2010)</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10.29*</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2006 Stock Incentive Plan of Honeywell International Inc. and Its AffiliatesForm of Option Award Agreement, Form 2 (incorporated by reference to Exhibit 10.37 to Honeywells Form 10-K for the year ended December 31, 2010)</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10.30*</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Letter Agreement dated September 3, 2009 between Honeywell and Timothy Mahoney (incorporated by reference to Exhibit 10.38 to Honeywells Form 10-K for the year ended December 31, 2010)</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10.31*</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Form of Honeywell International Inc. Noncompete Agreement for Senior Executives (incorporated by reference to Exhibit 10.39 to Honeywells Form 10-K for the year ended December 31, 2010)</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10.32*</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2011 Stock Incentive Plan of Honeywell International Inc. and its Affiliates (incorporated by reference to Honeywells Proxy Statement, dated March 10, 2011, filed pursuant to Rule 14a-6 of the Securities Exchange Act of 1934), and amended by Exhibit 10.36 to Honeywells Form 10-K for the year ended December 31, 2012 and Exhibit 10.1 to Honeywells Form 10-Q for the quarter ended March 31, 2014</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10.33*</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2011 Stock Incentive Plan of Honeywell International Inc. and its AffiliatesForm of Restricted Unit Agreement (incorporated by reference to Exhibit 10.2 to Honeywells Form 10-Q for the quarter ended March 31, 2014)</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10.34*</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2011 Stock Incentive Plan of Honeywell International Inc. and its AffiliatesForm of Restricted Unit Agreement, Form 2 (incorporated by reference to Exhibit 10.3 to Honeywells Form 10-Q for the quarter ended March 31, 2014)</w:t>
            </w:r>
          </w:p>
        </w:tc>
      </w:tr>
      <w:tr>
        <w:trPr/>
        <w:tc>
          <w:tcPr>
            <w:tcW w:w="830" w:type="dxa"/>
            <w:tcBorders/>
            <w:shd w:fill="auto" w:val="clear"/>
          </w:tcPr>
          <w:p>
            <w:pPr>
              <w:pStyle w:val="TableContents"/>
              <w:spacing w:before="0" w:after="283"/>
              <w:rPr>
                <w:rFonts w:ascii="sans-serif" w:hAnsi="sans-serif"/>
                <w:sz w:val="22"/>
              </w:rPr>
            </w:pPr>
            <w:r>
              <w:rPr>
                <w:rFonts w:ascii="sans-serif" w:hAnsi="sans-serif"/>
                <w:sz w:val="22"/>
              </w:rPr>
              <w:t>10.35*</w:t>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2011 Stock Incentive Plan of Honeywell International Inc. and Its AffiliatesForm of Stock Option Award Agreement (incorporated by reference to Exhibit 10.4 to Honeywells Form 10-Q for the quarter ended March 31, 2014)</w:t>
            </w:r>
          </w:p>
        </w:tc>
      </w:tr>
      <w:tr>
        <w:trPr/>
        <w:tc>
          <w:tcPr>
            <w:tcW w:w="830"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pPr>
            <w:r>
              <w:rPr/>
              <w:t> </w:t>
            </w:r>
          </w:p>
        </w:tc>
        <w:tc>
          <w:tcPr>
            <w:tcW w:w="9315" w:type="dxa"/>
            <w:tcBorders/>
            <w:shd w:fill="auto" w:val="clear"/>
          </w:tcPr>
          <w:p>
            <w:pPr>
              <w:pStyle w:val="TableContents"/>
              <w:spacing w:before="0" w:after="283"/>
              <w:ind w:left="198" w:right="0" w:hanging="198"/>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89</w:t>
      </w:r>
    </w:p>
    <w:p>
      <w:pPr>
        <w:pStyle w:val="HorizontalLine"/>
        <w:pBdr>
          <w:bottom w:val="single" w:sz="20" w:space="0" w:color="000000"/>
        </w:pBdr>
        <w:rPr/>
      </w:pPr>
      <w:r>
        <w:rPr/>
      </w:r>
      <w:r>
        <w:br w:type="page"/>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92"/>
        <w:gridCol w:w="60"/>
        <w:gridCol w:w="9353"/>
      </w:tblGrid>
      <w:tr>
        <w:trPr/>
        <w:tc>
          <w:tcPr>
            <w:tcW w:w="792"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rPr/>
            </w:pPr>
            <w:r>
              <w:rPr/>
              <w:t> </w:t>
            </w:r>
          </w:p>
        </w:tc>
      </w:tr>
      <w:tr>
        <w:trPr/>
        <w:tc>
          <w:tcPr>
            <w:tcW w:w="792" w:type="dxa"/>
            <w:tcBorders/>
            <w:shd w:fill="auto" w:val="clear"/>
            <w:vAlign w:val="bottom"/>
          </w:tcPr>
          <w:p>
            <w:pPr>
              <w:pStyle w:val="TableContents"/>
              <w:spacing w:before="0" w:after="283"/>
              <w:rPr>
                <w:rFonts w:ascii="sans-serif" w:hAnsi="sans-serif"/>
                <w:b/>
                <w:sz w:val="18"/>
              </w:rPr>
            </w:pPr>
            <w:r>
              <w:rPr>
                <w:rFonts w:ascii="sans-serif" w:hAnsi="sans-serif"/>
                <w:b/>
                <w:sz w:val="18"/>
              </w:rPr>
              <w:t>Exhibit No.</w:t>
            </w:r>
          </w:p>
        </w:tc>
        <w:tc>
          <w:tcPr>
            <w:tcW w:w="60" w:type="dxa"/>
            <w:tcBorders/>
            <w:shd w:fill="auto" w:val="clear"/>
            <w:vAlign w:val="bottom"/>
          </w:tcPr>
          <w:p>
            <w:pPr>
              <w:pStyle w:val="TableContents"/>
              <w:spacing w:before="0" w:after="283"/>
              <w:rPr/>
            </w:pPr>
            <w:r>
              <w:rPr/>
              <w:t> </w:t>
            </w:r>
          </w:p>
        </w:tc>
        <w:tc>
          <w:tcPr>
            <w:tcW w:w="9353" w:type="dxa"/>
            <w:tcBorders/>
            <w:shd w:fill="auto" w:val="clear"/>
            <w:vAlign w:val="bottom"/>
          </w:tcPr>
          <w:p>
            <w:pPr>
              <w:pStyle w:val="TableContents"/>
              <w:spacing w:before="0" w:after="283"/>
              <w:ind w:left="198" w:right="0" w:hanging="198"/>
              <w:jc w:val="center"/>
              <w:rPr>
                <w:rFonts w:ascii="sans-serif" w:hAnsi="sans-serif"/>
                <w:b/>
                <w:sz w:val="18"/>
              </w:rPr>
            </w:pPr>
            <w:r>
              <w:rPr>
                <w:rFonts w:ascii="sans-serif" w:hAnsi="sans-serif"/>
                <w:b/>
                <w:sz w:val="18"/>
              </w:rPr>
              <w:t>Description</w:t>
            </w:r>
          </w:p>
        </w:tc>
      </w:tr>
      <w:tr>
        <w:trPr/>
        <w:tc>
          <w:tcPr>
            <w:tcW w:w="10205" w:type="dxa"/>
            <w:gridSpan w:val="3"/>
            <w:tcBorders>
              <w:top w:val="single" w:sz="4" w:space="0" w:color="000000"/>
            </w:tcBorders>
            <w:shd w:fill="auto" w:val="clear"/>
            <w:tcMar>
              <w:top w:w="28" w:type="dxa"/>
            </w:tcMar>
          </w:tcPr>
          <w:p>
            <w:pPr>
              <w:pStyle w:val="TableContents"/>
              <w:spacing w:before="0" w:after="283"/>
              <w:jc w:val="center"/>
              <w:rPr/>
            </w:pPr>
            <w:r>
              <w:rPr/>
              <w:t> </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10.36*</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2011 Stock Incentive Plan of Honeywell International Inc. and Its AffiliatesForm of Stock Option Award Agreement, Form 2 (incorporated by reference to Exhibit 10.39 to Honeywells Form 10-K for the year ended December 31, 2014)</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10.37*</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2011 Stock Incentive Plan of Honeywell International Inc. and Its AffiliatesForm of Growth Plan Agreement (incorporated by reference to Exhibit 10.5 to Honeywells Form 10-Q for the quarter ended March 31, 2014)</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10.38*</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Letter Agreement dated August 4, 2011 between Honeywell International Inc. and David M. Cote (incorporated by reference to Exhibit 10.1 to Honeywells Form 10-Q for the quarter ended September 30, 2011)</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10.39*</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Transition Agreement dated April 7, 2014 between Honeywell International Inc. and David J. Anderson (incorporated by reference to Exhibit 10.6 to Honeywells Form 10-Q for the quarter ended March 31, 2014)</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10.40*</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Consulting Agreement effective as of June 1, 2014 between Honeywell International Inc. and David J. Anderson (incorporated by reference to Exhibit 10.7 to Honeywells Form 10-Q for the quarter ended March 31, 2014)</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10.41*</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Letter Agreement dated April 7, 2014 between Honeywell International Inc. and Roger Fradin (incorporated by reference to Exhibit 10.8 to Honeywells Form 10-Q for the quarter ended March 31, 2014)</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10.42*</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Letter Agreement dated April 7, 2014 between Honeywell International Inc. and Andreas Kramvis (incorporated by reference to Exhibit 10.9 to Honeywells Form 10-Q for the quarter ended March 31, 2014)</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10.43*</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Letter Agreement dated April 7, 2014 between Honeywell International Inc. and Thomas A. Szlosek (incorporated by reference to Exhibit 10.10 to Honeywells Form 10-Q for the quarter ended March 31, 2014)</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10.44*</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CEO Retention Agreement, as approved by the Board of Directors of Honeywell International Inc. on October 31, 2014 and agreed to by David M. Cote on December 11, 2014 (incorporated by reference to Exhibit 99.2 to Honeywells Form 8-K filed December 12, 2014)</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10.45</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Amended and Restated Five Year Credit Agreement dated as of July 10, 2015 among Honeywell International Inc., the banks, financial institutions and other institutional lenders parties thereto, Citibank, N.A., as administrative agent, Citibank International Limited, as swing line agent, JPMorgan Chase Bank, N.A., as syndication agent, Bank of America, N.A., Barclays Bank PLC, Deutsche Bank Securities Inc., Goldman Sachs Bank USA, Morgan Stanley MUFG Loan Partners, LLC and Wells Fargo Bank, National Association, as documentation agents, and Citigroup Global Markets Inc., and J.P. Morgan Securities LLC, as joint lead arrangers and co-book managers (incorporated by reference to Exhibit 10.1 to Honeywells Form 8-K filed July 10, 2015)</w:t>
            </w:r>
          </w:p>
        </w:tc>
      </w:tr>
      <w:tr>
        <w:trPr/>
        <w:tc>
          <w:tcPr>
            <w:tcW w:w="792" w:type="dxa"/>
            <w:tcBorders/>
            <w:shd w:fill="auto" w:val="clear"/>
          </w:tcPr>
          <w:p>
            <w:pPr>
              <w:pStyle w:val="TableContents"/>
              <w:spacing w:before="0" w:after="283"/>
              <w:rPr>
                <w:rFonts w:ascii="sans-serif" w:hAnsi="sans-serif"/>
                <w:sz w:val="22"/>
              </w:rPr>
            </w:pPr>
            <w:r>
              <w:rPr>
                <w:rFonts w:ascii="sans-serif" w:hAnsi="sans-serif"/>
                <w:sz w:val="22"/>
              </w:rPr>
              <w:t>10.46</w:t>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Amendment No. 1, dated as of September 30, 2015, to the $4.0 billion Amended and Restated Five Year Credit Agreement dated as of July 10, 2015 among Honeywell International Inc., the banks, financial institutions and other institutional lenders parties thereto, Citibank, N.A., as administrative agent, Citibank International Limited, as swing line agent, JPMorgan Chase Bank, N.A., as syndication agent, Bank of America, N.A., Barclays Bank PLC, Deutsche Bank Securities Inc., Goldman Sachs Bank USA, Morgan Stanley MUFG Loan Partners, LLC and Wells Fargo Bank, National Association, as documentation agents, and Citigroup Global Markets Inc. and J.P. Morgan Securities LLC, as joint lead arrangers and co-book managers. (incorporated by reference to Exhibit 10.1 to Honeywells Form 8-K filed October 1, 2015)</w:t>
            </w:r>
          </w:p>
        </w:tc>
      </w:tr>
      <w:tr>
        <w:trPr/>
        <w:tc>
          <w:tcPr>
            <w:tcW w:w="792"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pPr>
            <w:r>
              <w:rPr/>
              <w:t> </w:t>
            </w:r>
          </w:p>
        </w:tc>
        <w:tc>
          <w:tcPr>
            <w:tcW w:w="9353" w:type="dxa"/>
            <w:tcBorders/>
            <w:shd w:fill="auto" w:val="clear"/>
          </w:tcPr>
          <w:p>
            <w:pPr>
              <w:pStyle w:val="TableContents"/>
              <w:spacing w:before="0" w:after="283"/>
              <w:ind w:left="198" w:right="0" w:hanging="198"/>
              <w:rPr/>
            </w:pPr>
            <w:r>
              <w:rPr/>
              <w:t> </w:t>
            </w:r>
          </w:p>
        </w:tc>
      </w:tr>
    </w:tbl>
    <w:p>
      <w:pPr>
        <w:pStyle w:val="TextBody"/>
        <w:spacing w:before="119" w:after="119"/>
        <w:ind w:left="119" w:right="119" w:hanging="0"/>
        <w:jc w:val="center"/>
        <w:rPr>
          <w:rFonts w:ascii="sans-serif" w:hAnsi="sans-serif"/>
          <w:sz w:val="22"/>
        </w:rPr>
      </w:pPr>
      <w:r>
        <w:rPr>
          <w:rFonts w:ascii="sans-serif" w:hAnsi="sans-serif"/>
          <w:sz w:val="22"/>
        </w:rPr>
        <w:t>90</w:t>
      </w:r>
    </w:p>
    <w:p>
      <w:pPr>
        <w:pStyle w:val="HorizontalLine"/>
        <w:pBdr>
          <w:bottom w:val="single" w:sz="20" w:space="0" w:color="000000"/>
        </w:pBdr>
        <w:rPr/>
      </w:pPr>
      <w:r>
        <w:rPr/>
      </w:r>
      <w:r>
        <w:br w:type="page"/>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800"/>
        <w:gridCol w:w="60"/>
        <w:gridCol w:w="9345"/>
      </w:tblGrid>
      <w:tr>
        <w:trPr/>
        <w:tc>
          <w:tcPr>
            <w:tcW w:w="80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rPr/>
            </w:pPr>
            <w:r>
              <w:rPr/>
              <w:t> </w:t>
            </w:r>
          </w:p>
        </w:tc>
      </w:tr>
      <w:tr>
        <w:trPr/>
        <w:tc>
          <w:tcPr>
            <w:tcW w:w="800" w:type="dxa"/>
            <w:tcBorders/>
            <w:shd w:fill="auto" w:val="clear"/>
            <w:vAlign w:val="bottom"/>
          </w:tcPr>
          <w:p>
            <w:pPr>
              <w:pStyle w:val="TableContents"/>
              <w:spacing w:before="0" w:after="283"/>
              <w:rPr>
                <w:rFonts w:ascii="sans-serif" w:hAnsi="sans-serif"/>
                <w:b/>
                <w:sz w:val="18"/>
              </w:rPr>
            </w:pPr>
            <w:r>
              <w:rPr>
                <w:rFonts w:ascii="sans-serif" w:hAnsi="sans-serif"/>
                <w:b/>
                <w:sz w:val="18"/>
              </w:rPr>
              <w:t>Exhibit No.</w:t>
            </w:r>
          </w:p>
        </w:tc>
        <w:tc>
          <w:tcPr>
            <w:tcW w:w="60" w:type="dxa"/>
            <w:tcBorders/>
            <w:shd w:fill="auto" w:val="clear"/>
            <w:vAlign w:val="bottom"/>
          </w:tcPr>
          <w:p>
            <w:pPr>
              <w:pStyle w:val="TableContents"/>
              <w:spacing w:before="0" w:after="283"/>
              <w:rPr/>
            </w:pPr>
            <w:r>
              <w:rPr/>
              <w:t> </w:t>
            </w:r>
          </w:p>
        </w:tc>
        <w:tc>
          <w:tcPr>
            <w:tcW w:w="9345" w:type="dxa"/>
            <w:tcBorders/>
            <w:shd w:fill="auto" w:val="clear"/>
            <w:vAlign w:val="bottom"/>
          </w:tcPr>
          <w:p>
            <w:pPr>
              <w:pStyle w:val="TableContents"/>
              <w:spacing w:before="0" w:after="283"/>
              <w:ind w:left="198" w:right="0" w:hanging="198"/>
              <w:jc w:val="center"/>
              <w:rPr>
                <w:rFonts w:ascii="sans-serif" w:hAnsi="sans-serif"/>
                <w:b/>
                <w:sz w:val="18"/>
              </w:rPr>
            </w:pPr>
            <w:r>
              <w:rPr>
                <w:rFonts w:ascii="sans-serif" w:hAnsi="sans-serif"/>
                <w:b/>
                <w:sz w:val="18"/>
              </w:rPr>
              <w:t>Description</w:t>
            </w:r>
          </w:p>
        </w:tc>
      </w:tr>
      <w:tr>
        <w:trPr/>
        <w:tc>
          <w:tcPr>
            <w:tcW w:w="10205" w:type="dxa"/>
            <w:gridSpan w:val="3"/>
            <w:tcBorders>
              <w:top w:val="single" w:sz="4" w:space="0" w:color="000000"/>
            </w:tcBorders>
            <w:shd w:fill="auto" w:val="clear"/>
            <w:tcMar>
              <w:top w:w="28" w:type="dxa"/>
            </w:tcMar>
          </w:tcPr>
          <w:p>
            <w:pPr>
              <w:pStyle w:val="TableContents"/>
              <w:spacing w:before="0" w:after="283"/>
              <w:jc w:val="center"/>
              <w:rPr/>
            </w:pPr>
            <w:r>
              <w:rPr/>
              <w:t> </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10.47</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364-Day Credit Agreement, dated as of September 30, 2015, among Honeywell International Inc., the banks, financial institutions and other institutional lenders parties thereto, Citibank, N.A., as administrative agent and Bank of America, N.A., Barclays Bank PLC and Goldman Sachs Bank USA, as documentation agents and Citigroup Global Markets Inc., Merrill Lynch, Pierce, Fenner &amp; Smith Incorporated, Barclays Bank PLC and Goldman Sachs Bank USA, as joint lead arrangers and co-book managers. (incorporated by reference to Exhibit 10.1 to Honeywells Form 8-K filed October 1, 2015)</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12</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Statement re: Computation of Ratio of Earnings to Fixed Charges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21</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Subsidiaries of the Registrant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23.1</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Consent of Deloitte &amp; Touche LLP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23.2</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Consent of PricewaterhouseCoopers LLC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24</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Powers of Attorney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31.1</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Certification of Principal Executive Officer Pursuant to Section 302 of the Sarbanes-Oxley Act of 2002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31.2</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Certification of Principal Financial Officer Pursuant to Section 302 of the Sarbanes-Oxley Act of 2002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32.1</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Certification of Principal Executive Officer Pursuant to 18 U.S.C. Section 1350, as Adopted Pursuant to Section 906 of the Sarbanes-Oxley Act of 2002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32.2</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Certification of Principal Financial Officer Pursuant to 18 U.S.C. Section 1350, as Adopted Pursuant to Section 906 of the Sarbanes-Oxley Act of 2002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101.INS</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XBRL Instance Document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101.SCH</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XBRL Taxonomy Extension Schema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101.CAL</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XBRL Taxonomy Extension Calculation Linkbase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101.DEF</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XBRL Taxonomy Extension Definition Linkbase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101.LAB</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XBRL Taxonomy Extension Label Linkbase (filed herewith)</w:t>
            </w:r>
          </w:p>
        </w:tc>
      </w:tr>
      <w:tr>
        <w:trPr/>
        <w:tc>
          <w:tcPr>
            <w:tcW w:w="800" w:type="dxa"/>
            <w:tcBorders/>
            <w:shd w:fill="auto" w:val="clear"/>
          </w:tcPr>
          <w:p>
            <w:pPr>
              <w:pStyle w:val="TableContents"/>
              <w:spacing w:before="0" w:after="283"/>
              <w:rPr>
                <w:rFonts w:ascii="sans-serif" w:hAnsi="sans-serif"/>
                <w:sz w:val="22"/>
              </w:rPr>
            </w:pPr>
            <w:r>
              <w:rPr>
                <w:rFonts w:ascii="sans-serif" w:hAnsi="sans-serif"/>
                <w:sz w:val="22"/>
              </w:rPr>
              <w:t>101.PRE</w:t>
            </w:r>
          </w:p>
        </w:tc>
        <w:tc>
          <w:tcPr>
            <w:tcW w:w="60" w:type="dxa"/>
            <w:tcBorders/>
            <w:shd w:fill="auto" w:val="clear"/>
          </w:tcPr>
          <w:p>
            <w:pPr>
              <w:pStyle w:val="TableContents"/>
              <w:spacing w:before="0" w:after="283"/>
              <w:rPr/>
            </w:pPr>
            <w:r>
              <w:rPr/>
              <w:t> </w:t>
            </w:r>
          </w:p>
        </w:tc>
        <w:tc>
          <w:tcPr>
            <w:tcW w:w="9345" w:type="dxa"/>
            <w:tcBorders/>
            <w:shd w:fill="auto" w:val="clear"/>
          </w:tcPr>
          <w:p>
            <w:pPr>
              <w:pStyle w:val="TableContents"/>
              <w:spacing w:before="0" w:after="283"/>
              <w:ind w:left="198" w:right="0" w:hanging="198"/>
              <w:jc w:val="both"/>
              <w:rPr>
                <w:rFonts w:ascii="sans-serif" w:hAnsi="sans-serif"/>
                <w:sz w:val="22"/>
              </w:rPr>
            </w:pPr>
            <w:r>
              <w:rPr>
                <w:rFonts w:ascii="sans-serif" w:hAnsi="sans-serif"/>
                <w:sz w:val="22"/>
              </w:rPr>
              <w:t>XBRL Taxonomy Extension Presentation Linkbase (filed herewith)</w:t>
            </w:r>
          </w:p>
        </w:tc>
      </w:tr>
    </w:tbl>
    <w:p>
      <w:pPr>
        <w:pStyle w:val="TextBody"/>
        <w:pBdr>
          <w:top w:val="single" w:sz="4" w:space="1" w:color="000000"/>
        </w:pBdr>
        <w:spacing w:before="176" w:after="176"/>
        <w:rPr/>
      </w:pPr>
      <w:r>
        <w:rPr/>
        <w:t> </w:t>
      </w:r>
    </w:p>
    <w:p>
      <w:pPr>
        <w:pStyle w:val="TextBody"/>
        <w:spacing w:before="119" w:after="119"/>
        <w:ind w:left="119" w:right="119" w:firstLine="397"/>
        <w:rPr>
          <w:rFonts w:ascii="sans-serif" w:hAnsi="sans-serif"/>
          <w:sz w:val="22"/>
        </w:rPr>
      </w:pPr>
      <w:r>
        <w:rPr>
          <w:rFonts w:ascii="sans-serif" w:hAnsi="sans-serif"/>
          <w:sz w:val="22"/>
        </w:rPr>
        <w:t>The Exhibits identified above with an asterisk (*) are management contracts or compensatory plans or arrangements.</w:t>
      </w:r>
    </w:p>
    <w:p>
      <w:pPr>
        <w:pStyle w:val="TextBody"/>
        <w:spacing w:before="119" w:after="119"/>
        <w:ind w:left="119" w:right="119" w:hanging="0"/>
        <w:jc w:val="center"/>
        <w:rPr>
          <w:rFonts w:ascii="sans-serif" w:hAnsi="sans-serif"/>
          <w:sz w:val="22"/>
        </w:rPr>
      </w:pPr>
      <w:r>
        <w:rPr>
          <w:rFonts w:ascii="sans-serif" w:hAnsi="sans-serif"/>
          <w:sz w:val="22"/>
        </w:rPr>
        <w:t>91</w:t>
      </w:r>
    </w:p>
    <w:p>
      <w:pPr>
        <w:pStyle w:val="HorizontalLine"/>
        <w:pBdr>
          <w:bottom w:val="single" w:sz="20" w:space="0" w:color="000000"/>
        </w:pBdr>
        <w:rPr/>
      </w:pPr>
      <w:r>
        <w:rPr/>
      </w:r>
      <w:r>
        <w:br w:type="page"/>
      </w:r>
    </w:p>
    <w:p>
      <w:pPr>
        <w:pStyle w:val="TextBody"/>
        <w:ind w:left="7200" w:right="0" w:firstLine="720"/>
        <w:jc w:val="center"/>
        <w:rPr>
          <w:rFonts w:ascii="Times New Roman;Times;Serif" w:hAnsi="Times New Roman;Times;Serif"/>
          <w:b w:val="false"/>
          <w:i w:val="false"/>
          <w:caps w:val="false"/>
          <w:smallCaps w:val="false"/>
          <w:sz w:val="24"/>
          <w:u w:val="single"/>
        </w:rPr>
      </w:pPr>
      <w:bookmarkStart w:id="24" w:name="c83288_ex10-7.htm"/>
      <w:bookmarkStart w:id="25" w:name="ksc83288_ex107"/>
      <w:bookmarkEnd w:id="24"/>
      <w:bookmarkEnd w:id="25"/>
      <w:r>
        <w:rPr>
          <w:rFonts w:ascii="Times New Roman;Times;Serif" w:hAnsi="Times New Roman;Times;Serif"/>
          <w:b w:val="false"/>
          <w:i w:val="false"/>
          <w:caps w:val="false"/>
          <w:smallCaps w:val="false"/>
          <w:sz w:val="24"/>
          <w:u w:val="single"/>
        </w:rPr>
        <w:t>Exhibit 10.7</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 THE</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HONEYWELL INTERNATIONAL INC.</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SUPPLEMENTAL PENSION PLAN</w:t>
      </w:r>
    </w:p>
    <w:p>
      <w:pPr>
        <w:pStyle w:val="TextBody"/>
        <w:jc w:val="center"/>
        <w:rPr>
          <w:caps w:val="false"/>
          <w:smallCaps w:val="false"/>
        </w:rPr>
      </w:pPr>
      <w:r>
        <w:rPr>
          <w:caps w:val="false"/>
          <w:smallCaps w:val="false"/>
        </w:rPr>
        <w:t> </w:t>
      </w:r>
    </w:p>
    <w:p>
      <w:pPr>
        <w:pStyle w:val="TextBody"/>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Honeywell International Inc. Supplemental Pension Plan shall be, and hereby is, amended by inserting the following new Section 4.01(i) immediately following Section 4.01(h):</w:t>
      </w:r>
    </w:p>
    <w:p>
      <w:pPr>
        <w:pStyle w:val="TextBody"/>
        <w:jc w:val="left"/>
        <w:rPr>
          <w:caps w:val="false"/>
          <w:smallCaps w:val="false"/>
        </w:rPr>
      </w:pPr>
      <w:r>
        <w:rPr>
          <w:caps w:val="false"/>
          <w:smallCaps w:val="false"/>
        </w:rPr>
        <w:t> </w:t>
      </w:r>
    </w:p>
    <w:p>
      <w:pPr>
        <w:pStyle w:val="TextBody"/>
        <w:ind w:left="72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b/>
        <w:t>“(i)</w:t>
        <w:tab/>
        <w:t>  Notwithstanding any provision of this Plan to the contrary, the Supplemental Benefit for a Participant who is accruing a benefit as of December 31, 2015 under a Pension Plan formula that includes a traditional final average pay or career average benefit formula shall be calculated by taking into account the amendments that were made to the corresponding Pension Plan formula definitions of compensation, final average pay, and Social Security benefit, as applicable. For the avoidance of doubt, for traditional final average pay formulas, final average pay shall be frozen as of December 31, 2015 and no amounts earned or paid, or deemed earned or paid, after December 31, 2015 shall be included in compensation; provided, however, that amounts earned in 2015 and paid in March 2016 under the Honeywell Management Incentive Plan, the Honeywell International Inc. Incentive Compensation Plan for Executive Employees, or the Honeywell Capital Management Incentive Compensation Plan shall be included in 2015 compensation for purposes of the formulas that include such incentive compensation in the year earned. For career average formulas, earnings for a year beginning after December 31, 2015 shall be limited to the lesser of actual earnings for that year or 2015 earnings.”</w:t>
      </w:r>
    </w:p>
    <w:p>
      <w:pPr>
        <w:pStyle w:val="TextBody"/>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7200" w:right="0" w:firstLine="720"/>
        <w:jc w:val="center"/>
        <w:rPr>
          <w:rFonts w:ascii="Times New Roman;Times;Serif" w:hAnsi="Times New Roman;Times;Serif"/>
          <w:b w:val="false"/>
          <w:i w:val="false"/>
          <w:caps w:val="false"/>
          <w:smallCaps w:val="false"/>
          <w:sz w:val="24"/>
          <w:u w:val="single"/>
        </w:rPr>
      </w:pPr>
      <w:r>
        <w:br w:type="page"/>
      </w:r>
      <w:bookmarkStart w:id="26" w:name="c83288_ex10-8.htm"/>
      <w:bookmarkStart w:id="27" w:name="ksc83288_ex108"/>
      <w:bookmarkEnd w:id="26"/>
      <w:bookmarkEnd w:id="27"/>
      <w:r>
        <w:rPr>
          <w:rFonts w:ascii="Times New Roman;Times;Serif" w:hAnsi="Times New Roman;Times;Serif"/>
          <w:b w:val="false"/>
          <w:i w:val="false"/>
          <w:caps w:val="false"/>
          <w:smallCaps w:val="false"/>
          <w:sz w:val="24"/>
          <w:u w:val="single"/>
        </w:rPr>
        <w:t>Exhibit 10.8</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 THE</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HONEYWELL INTERNATIONAL INC.</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RETIREMENT PLAN FOR EXECUTIVES IN CAREER BAND 6 AND ABOVE</w:t>
      </w:r>
    </w:p>
    <w:p>
      <w:pPr>
        <w:pStyle w:val="TextBody"/>
        <w:jc w:val="center"/>
        <w:rPr>
          <w:caps w:val="false"/>
          <w:smallCaps w:val="false"/>
        </w:rPr>
      </w:pPr>
      <w:r>
        <w:rPr>
          <w:caps w:val="false"/>
          <w:smallCaps w:val="false"/>
        </w:rPr>
        <w:t> </w:t>
      </w:r>
    </w:p>
    <w:p>
      <w:pPr>
        <w:pStyle w:val="TextBody"/>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Honeywell International Inc. Retirement Plan for Executives in Career Band 6 and Above shall be, and hereby is, amended by inserting the following new paragraph at the end of Section 4.1:</w:t>
      </w:r>
    </w:p>
    <w:p>
      <w:pPr>
        <w:pStyle w:val="TextBody"/>
        <w:jc w:val="left"/>
        <w:rPr>
          <w:caps w:val="false"/>
          <w:smallCaps w:val="false"/>
        </w:rPr>
      </w:pPr>
      <w:r>
        <w:rPr>
          <w:caps w:val="false"/>
          <w:smallCaps w:val="false"/>
        </w:rPr>
        <w:t> </w:t>
      </w:r>
    </w:p>
    <w:p>
      <w:pPr>
        <w:pStyle w:val="TextBody"/>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4"/>
        </w:rPr>
        <w:t>Notwithstanding any provision of this Plan to the contrary, the Supplemental Benefit for a Participant who is accruing a benefit in this Plan as of December 31, 2015 shall be calculated by taking into account the amendments that were made to the Retirement Program definitions of Compensation, Final Average Compensation, and Social Security Benefit (as defined in the Retirement Program). For the avoidance of doubt, Final Average Compensation shall be frozen as of December 31, 2015 and no amounts earned or paid, or deemed earned or paid, after December 31, 2015 shall be included in Compensation; provided, however, that amounts earned in 2015 and paid in March 2016 under the Honeywell Management Incentive Plan, the Honeywell International Inc. Incentive Compensation Plan for Executive Employees, or the Honeywell Capital Management Incentive Compensation Plan shall be included in 2015 Compensation.”</w:t>
      </w:r>
    </w:p>
    <w:p>
      <w:pPr>
        <w:pStyle w:val="TextBody"/>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6480" w:right="0" w:firstLine="720"/>
        <w:jc w:val="center"/>
        <w:rPr>
          <w:rFonts w:ascii="Times New Roman;Times;Serif" w:hAnsi="Times New Roman;Times;Serif"/>
          <w:b w:val="false"/>
          <w:i w:val="false"/>
          <w:caps w:val="false"/>
          <w:smallCaps w:val="false"/>
          <w:sz w:val="24"/>
          <w:u w:val="single"/>
        </w:rPr>
      </w:pPr>
      <w:r>
        <w:br w:type="page"/>
      </w:r>
      <w:bookmarkStart w:id="28" w:name="c83288_ex10-9.htm"/>
      <w:bookmarkStart w:id="29" w:name="ksc83288_ex109"/>
      <w:bookmarkEnd w:id="28"/>
      <w:bookmarkEnd w:id="29"/>
      <w:r>
        <w:rPr>
          <w:rFonts w:ascii="Times New Roman;Times;Serif" w:hAnsi="Times New Roman;Times;Serif"/>
          <w:b w:val="false"/>
          <w:i w:val="false"/>
          <w:caps w:val="false"/>
          <w:smallCaps w:val="false"/>
          <w:sz w:val="24"/>
          <w:u w:val="single"/>
        </w:rPr>
        <w:t>Exhibit 10.9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 THE</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HONEYWELL SUPPLEMENTAL DEFINED BENEFIT RETIREMENT PLAN</w:t>
      </w:r>
    </w:p>
    <w:p>
      <w:pPr>
        <w:pStyle w:val="TextBody"/>
        <w:jc w:val="center"/>
        <w:rPr>
          <w:caps w:val="false"/>
          <w:smallCaps w:val="false"/>
        </w:rPr>
      </w:pPr>
      <w:r>
        <w:rPr>
          <w:caps w:val="false"/>
          <w:smallCaps w:val="false"/>
        </w:rPr>
        <w:t> </w:t>
      </w:r>
    </w:p>
    <w:p>
      <w:pPr>
        <w:pStyle w:val="TextBody"/>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Honeywell Supplemental Defined Benefit Retirement Plan shall be, and hereby is, amended by inserting the following new Section 3.1.4 immediately following Section 3.1.3:</w:t>
      </w:r>
    </w:p>
    <w:p>
      <w:pPr>
        <w:pStyle w:val="TextBody"/>
        <w:jc w:val="left"/>
        <w:rPr>
          <w:caps w:val="false"/>
          <w:smallCaps w:val="false"/>
        </w:rPr>
      </w:pPr>
      <w:r>
        <w:rPr>
          <w:caps w:val="false"/>
          <w:smallCaps w:val="false"/>
        </w:rPr>
        <w:t> </w:t>
      </w:r>
    </w:p>
    <w:p>
      <w:pPr>
        <w:pStyle w:val="TextBody"/>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4"/>
        </w:rPr>
        <w:t>Participants as of December 31, 2015. Notwithstanding any provision of this Plan to the contrary, the benefits for a Participant who is accruing a benefit in this Plan as of December 31, 2015 shall be calculated by taking into account the amendments that were made to the Base Plan definitions of Covered Earnings Base, Earnings, and Final Average Earnings (as defined in the Base Plan). For the avoidance of doubt, Final Average Earnings shall be frozen as of December 31, 2015 and no amounts earned or paid, or deemed earned or paid, after December 31, 2015 shall be included in Earnings.”</w:t>
      </w:r>
    </w:p>
    <w:p>
      <w:pPr>
        <w:pStyle w:val="TextBody"/>
        <w:ind w:left="720" w:right="0" w:hanging="0"/>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ind w:left="5760" w:right="0" w:firstLine="720"/>
        <w:jc w:val="center"/>
        <w:rPr>
          <w:rFonts w:ascii="Times New Roman;Times;Serif" w:hAnsi="Times New Roman;Times;Serif"/>
          <w:b w:val="false"/>
          <w:i w:val="false"/>
          <w:caps w:val="false"/>
          <w:smallCaps w:val="false"/>
          <w:sz w:val="24"/>
          <w:u w:val="single"/>
        </w:rPr>
      </w:pPr>
      <w:r>
        <w:br w:type="page"/>
      </w:r>
      <w:bookmarkStart w:id="30" w:name="c83288_ex10-16.htm"/>
      <w:bookmarkStart w:id="31" w:name="ksc83288_ex1016"/>
      <w:bookmarkEnd w:id="30"/>
      <w:bookmarkEnd w:id="31"/>
      <w:r>
        <w:rPr>
          <w:rFonts w:ascii="Times New Roman;Times;Serif" w:hAnsi="Times New Roman;Times;Serif"/>
          <w:b w:val="false"/>
          <w:i w:val="false"/>
          <w:caps w:val="false"/>
          <w:smallCaps w:val="false"/>
          <w:sz w:val="24"/>
          <w:u w:val="single"/>
        </w:rPr>
        <w:t>Exhibit 10.16</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 THE</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PITTWAY CORPORATION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SUPPLEMENTAL EXECUTIVE RETIREMENT PLAN</w:t>
      </w:r>
    </w:p>
    <w:p>
      <w:pPr>
        <w:pStyle w:val="TextBody"/>
        <w:jc w:val="center"/>
        <w:rPr>
          <w:caps w:val="false"/>
          <w:smallCaps w:val="false"/>
        </w:rPr>
      </w:pPr>
      <w:r>
        <w:rPr>
          <w:caps w:val="false"/>
          <w:smallCaps w:val="false"/>
        </w:rPr>
        <w:t> </w:t>
      </w:r>
    </w:p>
    <w:p>
      <w:pPr>
        <w:pStyle w:val="TextBody"/>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Pittway Corporation Supplemental Executive Retirement Plan shall be, and hereby is, amended by inserting the following new paragraph at the end of Section 2.3:</w:t>
      </w:r>
    </w:p>
    <w:p>
      <w:pPr>
        <w:pStyle w:val="TextBody"/>
        <w:jc w:val="left"/>
        <w:rPr>
          <w:caps w:val="false"/>
          <w:smallCaps w:val="false"/>
        </w:rPr>
      </w:pPr>
      <w:r>
        <w:rPr>
          <w:caps w:val="false"/>
          <w:smallCaps w:val="false"/>
        </w:rPr>
        <w:t> </w:t>
      </w:r>
    </w:p>
    <w:p>
      <w:pPr>
        <w:pStyle w:val="TextBody"/>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4"/>
        </w:rPr>
        <w:t>Notwithstanding any provision of this plan to the contrary, the benefit for a participant who is accruing a benefit in this plan as of December 31, 2015 shall be calculated by taking into account the amendments that were made to the definition of Earnings in Supplement DD of the Honeywell Retirement Earnings Plan. For the avoidance of doubt, earnings for any year beginning after December 31, 2015 shall equal the lesser of the participant’s earnings for that year or the participant’s earnings for the 2015 year.”</w:t>
      </w:r>
    </w:p>
    <w:p>
      <w:pPr>
        <w:pStyle w:val="TextBody"/>
        <w:jc w:val="both"/>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238" w:after="238"/>
        <w:ind w:left="238" w:right="238" w:hanging="0"/>
        <w:jc w:val="right"/>
        <w:rPr>
          <w:rFonts w:ascii="sans-serif" w:hAnsi="sans-serif"/>
          <w:b/>
          <w:sz w:val="22"/>
        </w:rPr>
      </w:pPr>
      <w:r>
        <w:br w:type="page"/>
      </w:r>
      <w:bookmarkStart w:id="32" w:name="c83288_ex12.htm"/>
      <w:bookmarkStart w:id="33" w:name="ksc83288_ex12"/>
      <w:bookmarkEnd w:id="32"/>
      <w:bookmarkEnd w:id="33"/>
      <w:r>
        <w:rPr>
          <w:rFonts w:ascii="sans-serif" w:hAnsi="sans-serif"/>
          <w:b/>
          <w:sz w:val="22"/>
        </w:rPr>
        <w:t>EXHIBIT 12</w:t>
      </w:r>
    </w:p>
    <w:p>
      <w:pPr>
        <w:pStyle w:val="TextBody"/>
        <w:spacing w:before="357" w:after="357"/>
        <w:ind w:left="357" w:right="357" w:hanging="0"/>
        <w:jc w:val="center"/>
        <w:rPr/>
      </w:pPr>
      <w:r>
        <w:rPr>
          <w:rFonts w:ascii="sans-serif" w:hAnsi="sans-serif"/>
          <w:b/>
          <w:sz w:val="26"/>
        </w:rPr>
        <w:t>HONEYWELL INTERNATIONAL INC.</w:t>
      </w:r>
      <w:r>
        <w:rPr>
          <w:rFonts w:ascii="sans-serif" w:hAnsi="sans-serif"/>
          <w:b/>
          <w:sz w:val="22"/>
        </w:rPr>
        <w:br/>
        <w:t>STATEMENT RE: COMPUTATION OF RATIO OF EARNINGS TO FIXED CHARGES</w:t>
      </w:r>
      <w:r>
        <w:rPr>
          <w:rFonts w:ascii="sans-serif" w:hAnsi="sans-serif"/>
          <w:b/>
          <w:sz w:val="18"/>
        </w:rPr>
        <w:br/>
        <w:t>(Dollars in millions)</w:t>
      </w:r>
    </w:p>
    <w:tbl>
      <w:tblPr>
        <w:tblW w:w="10025" w:type="dxa"/>
        <w:jc w:val="left"/>
        <w:tblInd w:w="0" w:type="dxa"/>
        <w:tblCellMar>
          <w:top w:w="0" w:type="dxa"/>
          <w:left w:w="0" w:type="dxa"/>
          <w:bottom w:w="0" w:type="dxa"/>
          <w:right w:w="0" w:type="dxa"/>
        </w:tblCellMar>
      </w:tblPr>
      <w:tblGrid>
        <w:gridCol w:w="4160"/>
        <w:gridCol w:w="60"/>
        <w:gridCol w:w="60"/>
        <w:gridCol w:w="155"/>
        <w:gridCol w:w="60"/>
        <w:gridCol w:w="695"/>
        <w:gridCol w:w="95"/>
        <w:gridCol w:w="60"/>
        <w:gridCol w:w="60"/>
        <w:gridCol w:w="60"/>
        <w:gridCol w:w="155"/>
        <w:gridCol w:w="60"/>
        <w:gridCol w:w="695"/>
        <w:gridCol w:w="95"/>
        <w:gridCol w:w="60"/>
        <w:gridCol w:w="60"/>
        <w:gridCol w:w="60"/>
        <w:gridCol w:w="155"/>
        <w:gridCol w:w="60"/>
        <w:gridCol w:w="695"/>
        <w:gridCol w:w="95"/>
        <w:gridCol w:w="60"/>
        <w:gridCol w:w="60"/>
        <w:gridCol w:w="60"/>
        <w:gridCol w:w="155"/>
        <w:gridCol w:w="60"/>
        <w:gridCol w:w="695"/>
        <w:gridCol w:w="95"/>
        <w:gridCol w:w="60"/>
        <w:gridCol w:w="60"/>
        <w:gridCol w:w="60"/>
        <w:gridCol w:w="155"/>
        <w:gridCol w:w="60"/>
        <w:gridCol w:w="620"/>
        <w:gridCol w:w="95"/>
        <w:gridCol w:w="75"/>
      </w:tblGrid>
      <w:tr>
        <w:trPr/>
        <w:tc>
          <w:tcPr>
            <w:tcW w:w="41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98" w:right="0" w:hanging="198"/>
              <w:jc w:val="center"/>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2015</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2014</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2013</w:t>
            </w:r>
          </w:p>
        </w:tc>
        <w:tc>
          <w:tcPr>
            <w:tcW w:w="60" w:type="dxa"/>
            <w:tcBorders/>
            <w:shd w:fill="auto" w:val="clear"/>
            <w:vAlign w:val="bottom"/>
          </w:tcPr>
          <w:p>
            <w:pPr>
              <w:pStyle w:val="TableContents"/>
              <w:spacing w:before="0" w:after="283"/>
              <w:rPr/>
            </w:pPr>
            <w:r>
              <w:rPr/>
              <w:t> </w:t>
            </w:r>
          </w:p>
        </w:tc>
        <w:tc>
          <w:tcPr>
            <w:tcW w:w="112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2012</w:t>
            </w:r>
          </w:p>
        </w:tc>
        <w:tc>
          <w:tcPr>
            <w:tcW w:w="60" w:type="dxa"/>
            <w:tcBorders/>
            <w:shd w:fill="auto" w:val="clear"/>
            <w:vAlign w:val="bottom"/>
          </w:tcPr>
          <w:p>
            <w:pPr>
              <w:pStyle w:val="TableContents"/>
              <w:spacing w:before="0" w:after="283"/>
              <w:rPr/>
            </w:pPr>
            <w:r>
              <w:rPr/>
              <w:t> </w:t>
            </w:r>
          </w:p>
        </w:tc>
        <w:tc>
          <w:tcPr>
            <w:tcW w:w="1065" w:type="dxa"/>
            <w:gridSpan w:val="6"/>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2011</w:t>
            </w:r>
          </w:p>
        </w:tc>
      </w:tr>
      <w:tr>
        <w:trPr/>
        <w:tc>
          <w:tcPr>
            <w:tcW w:w="4160" w:type="dxa"/>
            <w:tcBorders/>
            <w:shd w:fill="E5FFFF" w:val="clear"/>
            <w:vAlign w:val="bottom"/>
          </w:tcPr>
          <w:p>
            <w:pPr>
              <w:pStyle w:val="TableContents"/>
              <w:spacing w:before="0" w:after="283"/>
              <w:ind w:left="198" w:right="0" w:hanging="198"/>
              <w:rPr>
                <w:rFonts w:ascii="sans-serif" w:hAnsi="sans-serif"/>
                <w:b/>
                <w:sz w:val="22"/>
              </w:rPr>
            </w:pPr>
            <w:r>
              <w:rPr>
                <w:rFonts w:ascii="sans-serif" w:hAnsi="sans-serif"/>
                <w:b/>
                <w:sz w:val="22"/>
              </w:rPr>
              <w:t>Determination of Earnings:</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Income before taxes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6,586</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5,818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5,412</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3,875</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2,282</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Add (Deduct):</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125" w:type="dxa"/>
            <w:gridSpan w:val="6"/>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065" w:type="dxa"/>
            <w:gridSpan w:val="6"/>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998" w:right="0" w:hanging="198"/>
              <w:rPr>
                <w:rFonts w:ascii="sans-serif" w:hAnsi="sans-serif"/>
                <w:sz w:val="22"/>
              </w:rPr>
            </w:pPr>
            <w:r>
              <w:rPr>
                <w:rFonts w:ascii="sans-serif" w:hAnsi="sans-serif"/>
                <w:sz w:val="22"/>
              </w:rPr>
              <w:t>Amortization of capitalized 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998" w:right="0" w:hanging="198"/>
              <w:rPr>
                <w:rFonts w:ascii="sans-serif" w:hAnsi="sans-serif"/>
                <w:sz w:val="22"/>
              </w:rPr>
            </w:pPr>
            <w:r>
              <w:rPr>
                <w:rFonts w:ascii="sans-serif" w:hAnsi="sans-serif"/>
                <w:sz w:val="22"/>
              </w:rPr>
              <w:t>Fixed charges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432</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998" w:right="0" w:hanging="198"/>
              <w:rPr>
                <w:rFonts w:ascii="sans-serif" w:hAnsi="sans-serif"/>
                <w:sz w:val="22"/>
              </w:rPr>
            </w:pPr>
            <w:r>
              <w:rPr>
                <w:rFonts w:ascii="sans-serif" w:hAnsi="sans-serif"/>
                <w:sz w:val="22"/>
              </w:rPr>
              <w:t>Equity income, net of distributions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(30</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(36</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(45</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(51</w:t>
            </w:r>
          </w:p>
        </w:tc>
        <w:tc>
          <w:tcPr>
            <w:tcW w:w="95" w:type="dxa"/>
            <w:tcBorders/>
            <w:shd w:fill="auto" w:val="clear"/>
            <w:vAlign w:val="bottom"/>
          </w:tcPr>
          <w:p>
            <w:pPr>
              <w:pStyle w:val="TableContents"/>
              <w:spacing w:before="0" w:after="283"/>
              <w:rPr>
                <w:rFonts w:ascii="sans-serif" w:hAnsi="sans-serif"/>
                <w:sz w:val="22"/>
              </w:rPr>
            </w:pPr>
            <w:r>
              <w:rPr>
                <w:rFonts w:ascii="sans-serif" w:hAnsi="sans-serif"/>
                <w:sz w:val="22"/>
              </w:rPr>
              <w:t>)</w:t>
            </w:r>
          </w:p>
        </w:tc>
        <w:tc>
          <w:tcPr>
            <w:tcW w:w="75" w:type="dxa"/>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395" w:right="0" w:hanging="198"/>
              <w:rPr>
                <w:rFonts w:ascii="sans-serif" w:hAnsi="sans-serif"/>
                <w:b/>
                <w:sz w:val="22"/>
              </w:rPr>
            </w:pPr>
            <w:r>
              <w:rPr>
                <w:rFonts w:ascii="sans-serif" w:hAnsi="sans-serif"/>
                <w:b/>
                <w:sz w:val="22"/>
              </w:rPr>
              <w:t>Total earnings, as defined</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6,931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6,165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5,767</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4,254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2,683</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98" w:right="0" w:hanging="198"/>
              <w:rPr>
                <w:rFonts w:ascii="sans-serif" w:hAnsi="sans-serif"/>
                <w:b/>
                <w:sz w:val="22"/>
              </w:rPr>
            </w:pPr>
            <w:r>
              <w:rPr>
                <w:rFonts w:ascii="sans-serif" w:hAnsi="sans-serif"/>
                <w:b/>
                <w:sz w:val="22"/>
              </w:rPr>
              <w:t>Fixed Charges:</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shd w:fill="auto" w:val="cle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595" w:right="0" w:hanging="198"/>
              <w:rPr>
                <w:rFonts w:ascii="sans-serif" w:hAnsi="sans-serif"/>
                <w:sz w:val="22"/>
              </w:rPr>
            </w:pPr>
            <w:r>
              <w:rPr>
                <w:rFonts w:ascii="sans-serif" w:hAnsi="sans-serif"/>
                <w:sz w:val="22"/>
              </w:rPr>
              <w:t>Rents(1)</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53</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56</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Interest and other financial charges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327</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351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376</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98" w:right="0" w:hanging="198"/>
              <w:rPr>
                <w:sz w:val="4"/>
                <w:szCs w:val="4"/>
              </w:rPr>
            </w:pPr>
            <w:r>
              <w:rPr>
                <w:sz w:val="4"/>
                <w:szCs w:val="4"/>
              </w:rPr>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356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364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371</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404</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215" w:type="dxa"/>
            <w:gridSpan w:val="2"/>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432</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595" w:right="0" w:hanging="198"/>
              <w:rPr>
                <w:rFonts w:ascii="sans-serif" w:hAnsi="sans-serif"/>
                <w:sz w:val="22"/>
              </w:rPr>
            </w:pPr>
            <w:r>
              <w:rPr>
                <w:rFonts w:ascii="sans-serif" w:hAnsi="sans-serif"/>
                <w:sz w:val="22"/>
              </w:rPr>
              <w:t>Capitalized 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20</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21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sz w:val="22"/>
              </w:rPr>
            </w:pPr>
            <w:r>
              <w:rPr>
                <w:rFonts w:ascii="sans-serif" w:hAnsi="sans-serif"/>
                <w:sz w:val="22"/>
              </w:rPr>
              <w:t>13</w:t>
            </w:r>
          </w:p>
        </w:tc>
        <w:tc>
          <w:tcPr>
            <w:tcW w:w="170" w:type="dxa"/>
            <w:gridSpan w:val="2"/>
            <w:tcBorders/>
            <w:shd w:fill="auto"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single" w:sz="4"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single" w:sz="4" w:space="0" w:color="000000"/>
            </w:tcBorders>
            <w:shd w:fill="auto" w:val="clear"/>
            <w:tcMar>
              <w:top w:w="28" w:type="dxa"/>
            </w:tcMar>
            <w:vAlign w:val="bottom"/>
          </w:tcPr>
          <w:p>
            <w:pPr>
              <w:pStyle w:val="TableContents"/>
              <w:spacing w:before="0" w:after="283"/>
              <w:rPr/>
            </w:pPr>
            <w:r>
              <w:rPr/>
              <w:t> </w:t>
            </w:r>
          </w:p>
        </w:tc>
      </w:tr>
      <w:tr>
        <w:trPr/>
        <w:tc>
          <w:tcPr>
            <w:tcW w:w="4160" w:type="dxa"/>
            <w:tcBorders/>
            <w:shd w:fill="E5FFFF" w:val="clear"/>
            <w:vAlign w:val="bottom"/>
          </w:tcPr>
          <w:p>
            <w:pPr>
              <w:pStyle w:val="TableContents"/>
              <w:spacing w:before="0" w:after="283"/>
              <w:ind w:left="1395" w:right="0" w:hanging="198"/>
              <w:rPr>
                <w:rFonts w:ascii="sans-serif" w:hAnsi="sans-serif"/>
                <w:b/>
                <w:sz w:val="22"/>
              </w:rPr>
            </w:pPr>
            <w:r>
              <w:rPr>
                <w:rFonts w:ascii="sans-serif" w:hAnsi="sans-serif"/>
                <w:b/>
                <w:sz w:val="22"/>
              </w:rPr>
              <w:t>Total fixed charges</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376</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385</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390</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95"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422</w:t>
            </w:r>
          </w:p>
        </w:tc>
        <w:tc>
          <w:tcPr>
            <w:tcW w:w="155" w:type="dxa"/>
            <w:gridSpan w:val="2"/>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60" w:type="dxa"/>
            <w:tcBorders/>
            <w:shd w:fill="E5FFFF" w:val="clear"/>
            <w:vAlign w:val="bottom"/>
          </w:tcPr>
          <w:p>
            <w:pPr>
              <w:pStyle w:val="TableContents"/>
              <w:spacing w:before="0" w:after="283"/>
              <w:rPr/>
            </w:pPr>
            <w:r>
              <w:rPr/>
              <w:t> </w:t>
            </w:r>
          </w:p>
        </w:tc>
        <w:tc>
          <w:tcPr>
            <w:tcW w:w="155" w:type="dxa"/>
            <w:tcBorders/>
            <w:shd w:fill="E5FFFF" w:val="clear"/>
            <w:vAlign w:val="bottom"/>
          </w:tcPr>
          <w:p>
            <w:pPr>
              <w:pStyle w:val="TableContents"/>
              <w:spacing w:before="0" w:after="283"/>
              <w:rPr>
                <w:rFonts w:ascii="sans-serif" w:hAnsi="sans-serif"/>
                <w:sz w:val="22"/>
              </w:rPr>
            </w:pPr>
            <w:r>
              <w:rPr>
                <w:rFonts w:ascii="sans-serif" w:hAnsi="sans-serif"/>
                <w:sz w:val="22"/>
              </w:rPr>
              <w:t>$</w:t>
            </w:r>
          </w:p>
        </w:tc>
        <w:tc>
          <w:tcPr>
            <w:tcW w:w="60" w:type="dxa"/>
            <w:tcBorders/>
            <w:shd w:fill="E5FFFF" w:val="clear"/>
            <w:vAlign w:val="bottom"/>
          </w:tcPr>
          <w:p>
            <w:pPr>
              <w:pStyle w:val="TableContents"/>
              <w:spacing w:before="0" w:after="283"/>
              <w:rPr/>
            </w:pPr>
            <w:r>
              <w:rPr/>
              <w:t> </w:t>
            </w:r>
          </w:p>
        </w:tc>
        <w:tc>
          <w:tcPr>
            <w:tcW w:w="620" w:type="dxa"/>
            <w:tcBorders/>
            <w:shd w:fill="E5FFFF" w:val="clear"/>
            <w:vAlign w:val="bottom"/>
          </w:tcPr>
          <w:p>
            <w:pPr>
              <w:pStyle w:val="TableContents"/>
              <w:spacing w:before="0" w:after="283"/>
              <w:jc w:val="right"/>
              <w:rPr>
                <w:rFonts w:ascii="sans-serif" w:hAnsi="sans-serif"/>
                <w:sz w:val="22"/>
              </w:rPr>
            </w:pPr>
            <w:r>
              <w:rPr>
                <w:rFonts w:ascii="sans-serif" w:hAnsi="sans-serif"/>
                <w:sz w:val="22"/>
              </w:rPr>
              <w:t>445</w:t>
            </w:r>
          </w:p>
        </w:tc>
        <w:tc>
          <w:tcPr>
            <w:tcW w:w="170" w:type="dxa"/>
            <w:gridSpan w:val="2"/>
            <w:tcBorders/>
            <w:shd w:fill="E5FFFF" w:val="cle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98" w:right="0" w:hanging="198"/>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5" w:type="dxa"/>
            <w:gridSpan w:val="6"/>
            <w:tcBorders>
              <w:top w:val="double" w:sz="2" w:space="0" w:color="000000"/>
            </w:tcBorders>
            <w:shd w:fill="auto" w:val="clear"/>
            <w:tcMar>
              <w:top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5" w:type="dxa"/>
            <w:gridSpan w:val="6"/>
            <w:tcBorders>
              <w:top w:val="double" w:sz="2" w:space="0" w:color="000000"/>
            </w:tcBorders>
            <w:shd w:fill="auto" w:val="clear"/>
            <w:tcMar>
              <w:top w:w="28" w:type="dxa"/>
            </w:tcMar>
            <w:vAlign w:val="bottom"/>
          </w:tcPr>
          <w:p>
            <w:pPr>
              <w:pStyle w:val="TableContents"/>
              <w:spacing w:before="0" w:after="283"/>
              <w:rPr/>
            </w:pPr>
            <w:r>
              <w:rPr/>
              <w:t> </w:t>
            </w:r>
          </w:p>
        </w:tc>
      </w:tr>
      <w:tr>
        <w:trPr/>
        <w:tc>
          <w:tcPr>
            <w:tcW w:w="4160" w:type="dxa"/>
            <w:tcBorders/>
            <w:shd w:fill="auto" w:val="clear"/>
            <w:vAlign w:val="bottom"/>
          </w:tcPr>
          <w:p>
            <w:pPr>
              <w:pStyle w:val="TableContents"/>
              <w:spacing w:before="0" w:after="283"/>
              <w:ind w:left="198" w:right="0" w:hanging="198"/>
              <w:rPr>
                <w:rFonts w:ascii="sans-serif" w:hAnsi="sans-serif"/>
                <w:b/>
                <w:sz w:val="22"/>
              </w:rPr>
            </w:pPr>
            <w:r>
              <w:rPr>
                <w:rFonts w:ascii="sans-serif" w:hAnsi="sans-serif"/>
                <w:b/>
                <w:sz w:val="22"/>
              </w:rPr>
              <w:t>Ratio of Earnings to Fixed Charges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b/>
                <w:sz w:val="22"/>
              </w:rPr>
            </w:pPr>
            <w:r>
              <w:rPr>
                <w:rFonts w:ascii="sans-serif" w:hAnsi="sans-serif"/>
                <w:b/>
                <w:sz w:val="22"/>
              </w:rPr>
              <w:t>18.43</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b/>
                <w:sz w:val="22"/>
              </w:rPr>
            </w:pPr>
            <w:r>
              <w:rPr>
                <w:rFonts w:ascii="sans-serif" w:hAnsi="sans-serif"/>
                <w:b/>
                <w:sz w:val="22"/>
              </w:rPr>
              <w:t>16.01</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b/>
                <w:sz w:val="22"/>
              </w:rPr>
            </w:pPr>
            <w:r>
              <w:rPr>
                <w:rFonts w:ascii="sans-serif" w:hAnsi="sans-serif"/>
                <w:b/>
                <w:sz w:val="22"/>
              </w:rPr>
              <w:t>14.79</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sans-serif" w:hAnsi="sans-serif"/>
                <w:b/>
                <w:sz w:val="22"/>
              </w:rPr>
            </w:pPr>
            <w:r>
              <w:rPr>
                <w:rFonts w:ascii="sans-serif" w:hAnsi="sans-serif"/>
                <w:b/>
                <w:sz w:val="22"/>
              </w:rPr>
              <w:t>10.08</w:t>
            </w:r>
          </w:p>
        </w:tc>
        <w:tc>
          <w:tcPr>
            <w:tcW w:w="15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gridSpan w:val="2"/>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sans-serif" w:hAnsi="sans-serif"/>
                <w:b/>
                <w:sz w:val="22"/>
              </w:rPr>
            </w:pPr>
            <w:r>
              <w:rPr>
                <w:rFonts w:ascii="sans-serif" w:hAnsi="sans-serif"/>
                <w:b/>
                <w:sz w:val="22"/>
              </w:rPr>
              <w:t>6.03</w:t>
            </w:r>
          </w:p>
        </w:tc>
        <w:tc>
          <w:tcPr>
            <w:tcW w:w="170" w:type="dxa"/>
            <w:gridSpan w:val="2"/>
            <w:tcBorders/>
            <w:shd w:fill="auto" w:val="clear"/>
            <w:vAlign w:val="bottom"/>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75"/>
        <w:gridCol w:w="275"/>
        <w:gridCol w:w="87"/>
        <w:gridCol w:w="9729"/>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87" w:type="dxa"/>
            <w:tcBorders/>
            <w:shd w:fill="auto" w:val="clear"/>
          </w:tcPr>
          <w:p>
            <w:pPr>
              <w:pStyle w:val="TableContents"/>
              <w:spacing w:before="0" w:after="283"/>
              <w:rPr/>
            </w:pPr>
            <w:r>
              <w:rPr/>
              <w:t> </w:t>
            </w:r>
          </w:p>
        </w:tc>
        <w:tc>
          <w:tcPr>
            <w:tcW w:w="9729" w:type="dxa"/>
            <w:tcBorders/>
            <w:shd w:fill="auto" w:val="clear"/>
          </w:tcPr>
          <w:p>
            <w:pPr>
              <w:pStyle w:val="TableContents"/>
              <w:spacing w:before="0" w:after="283"/>
              <w:rPr>
                <w:rFonts w:ascii="sans-serif" w:hAnsi="sans-serif"/>
                <w:sz w:val="22"/>
              </w:rPr>
            </w:pPr>
            <w:r>
              <w:rPr>
                <w:rFonts w:ascii="sans-serif" w:hAnsi="sans-serif"/>
                <w:sz w:val="22"/>
              </w:rPr>
              <w:t>Denotes the equivalent of an appropriate portion of rentals representative of the interest factor on all rentals other than for capitalized leases.</w:t>
            </w:r>
          </w:p>
        </w:tc>
        <w:tc>
          <w:tcPr>
            <w:tcW w:w="39" w:type="dxa"/>
            <w:tcBorders/>
            <w:shd w:fill="auto" w:val="clear"/>
          </w:tcPr>
          <w:p>
            <w:pPr>
              <w:pStyle w:val="TableContents"/>
              <w:spacing w:before="0" w:after="283"/>
              <w:rPr>
                <w:sz w:val="4"/>
                <w:szCs w:val="4"/>
              </w:rPr>
            </w:pPr>
            <w:r>
              <w:rPr>
                <w:sz w:val="4"/>
                <w:szCs w:val="4"/>
              </w:rPr>
            </w:r>
          </w:p>
        </w:tc>
      </w:tr>
    </w:tbl>
    <w:p>
      <w:pPr>
        <w:pStyle w:val="HorizontalLine"/>
        <w:pBdr>
          <w:bottom w:val="single" w:sz="20" w:space="0" w:color="000000"/>
        </w:pBdr>
        <w:rPr/>
      </w:pPr>
      <w:r>
        <w:rPr/>
      </w:r>
      <w:r>
        <w:br w:type="page"/>
      </w:r>
    </w:p>
    <w:p>
      <w:pPr>
        <w:pStyle w:val="TextBody"/>
        <w:spacing w:before="238" w:after="238"/>
        <w:ind w:left="238" w:right="238" w:hanging="0"/>
        <w:jc w:val="right"/>
        <w:rPr>
          <w:rFonts w:ascii="sans-serif" w:hAnsi="sans-serif"/>
          <w:b/>
          <w:sz w:val="22"/>
        </w:rPr>
      </w:pPr>
      <w:bookmarkStart w:id="34" w:name="c83288_ex21.htm"/>
      <w:bookmarkStart w:id="35" w:name="ksc83288_ex21"/>
      <w:bookmarkEnd w:id="34"/>
      <w:bookmarkEnd w:id="35"/>
      <w:r>
        <w:rPr>
          <w:rFonts w:ascii="sans-serif" w:hAnsi="sans-serif"/>
          <w:b/>
          <w:sz w:val="22"/>
        </w:rPr>
        <w:t>EXHIBIT 21</w:t>
      </w:r>
    </w:p>
    <w:p>
      <w:pPr>
        <w:pStyle w:val="TextBody"/>
        <w:spacing w:before="357" w:after="357"/>
        <w:ind w:left="357" w:right="357" w:hanging="0"/>
        <w:jc w:val="center"/>
        <w:rPr/>
      </w:pPr>
      <w:r>
        <w:rPr>
          <w:rFonts w:ascii="sans-serif" w:hAnsi="sans-serif"/>
          <w:b/>
          <w:sz w:val="26"/>
        </w:rPr>
        <w:t>HONEYWELL INTERNATIONAL INC.</w:t>
      </w:r>
      <w:r>
        <w:rPr>
          <w:rFonts w:ascii="sans-serif" w:hAnsi="sans-serif"/>
          <w:b/>
          <w:sz w:val="22"/>
        </w:rPr>
        <w:br/>
        <w:t>SUBSIDIARIES OF THE REGISTRANT</w:t>
      </w:r>
    </w:p>
    <w:tbl>
      <w:tblPr>
        <w:tblW w:w="9090" w:type="dxa"/>
        <w:jc w:val="left"/>
        <w:tblInd w:w="0" w:type="dxa"/>
        <w:tblCellMar>
          <w:top w:w="0" w:type="dxa"/>
          <w:left w:w="0" w:type="dxa"/>
          <w:bottom w:w="0" w:type="dxa"/>
          <w:right w:w="0" w:type="dxa"/>
        </w:tblCellMar>
      </w:tblPr>
      <w:tblGrid>
        <w:gridCol w:w="6110"/>
        <w:gridCol w:w="60"/>
        <w:gridCol w:w="1730"/>
        <w:gridCol w:w="60"/>
        <w:gridCol w:w="1130"/>
      </w:tblGrid>
      <w:tr>
        <w:trPr/>
        <w:tc>
          <w:tcPr>
            <w:tcW w:w="61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pPr>
            <w:r>
              <w:rPr/>
              <w:t> </w:t>
            </w:r>
          </w:p>
        </w:tc>
      </w:tr>
      <w:tr>
        <w:trPr/>
        <w:tc>
          <w:tcPr>
            <w:tcW w:w="6110" w:type="dxa"/>
            <w:tcBorders>
              <w:bottom w:val="single" w:sz="4" w:space="0" w:color="000000"/>
            </w:tcBorders>
            <w:shd w:fill="auto" w:val="clear"/>
            <w:tcMar>
              <w:bottom w:w="28" w:type="dxa"/>
            </w:tcMar>
            <w:vAlign w:val="bottom"/>
          </w:tcPr>
          <w:p>
            <w:pPr>
              <w:pStyle w:val="TableContents"/>
              <w:spacing w:before="0" w:after="283"/>
              <w:ind w:left="198" w:right="0" w:hanging="198"/>
              <w:jc w:val="center"/>
              <w:rPr>
                <w:rFonts w:ascii="sans-serif" w:hAnsi="sans-serif"/>
                <w:b/>
                <w:sz w:val="18"/>
              </w:rPr>
            </w:pPr>
            <w:r>
              <w:rPr>
                <w:rFonts w:ascii="sans-serif" w:hAnsi="sans-serif"/>
                <w:b/>
                <w:sz w:val="18"/>
              </w:rPr>
              <w:t>Name</w:t>
            </w:r>
          </w:p>
        </w:tc>
        <w:tc>
          <w:tcPr>
            <w:tcW w:w="60" w:type="dxa"/>
            <w:tcBorders/>
            <w:shd w:fill="auto" w:val="clear"/>
            <w:vAlign w:val="bottom"/>
          </w:tcPr>
          <w:p>
            <w:pPr>
              <w:pStyle w:val="TableContents"/>
              <w:spacing w:before="0" w:after="283"/>
              <w:rPr/>
            </w:pPr>
            <w:r>
              <w:rPr/>
              <w:t> </w:t>
            </w:r>
          </w:p>
        </w:tc>
        <w:tc>
          <w:tcPr>
            <w:tcW w:w="1730"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Country or State</w:t>
              <w:br/>
              <w:t>of Incorporation</w:t>
            </w:r>
          </w:p>
        </w:tc>
        <w:tc>
          <w:tcPr>
            <w:tcW w:w="60" w:type="dxa"/>
            <w:tcBorders/>
            <w:shd w:fill="auto" w:val="clear"/>
            <w:vAlign w:val="bottom"/>
          </w:tcPr>
          <w:p>
            <w:pPr>
              <w:pStyle w:val="TableContents"/>
              <w:spacing w:before="0" w:after="283"/>
              <w:rPr/>
            </w:pPr>
            <w:r>
              <w:rPr/>
              <w:t> </w:t>
            </w:r>
          </w:p>
        </w:tc>
        <w:tc>
          <w:tcPr>
            <w:tcW w:w="1130" w:type="dxa"/>
            <w:tcBorders>
              <w:bottom w:val="single" w:sz="4" w:space="0" w:color="000000"/>
            </w:tcBorders>
            <w:shd w:fill="auto" w:val="clear"/>
            <w:tcMar>
              <w:bottom w:w="28" w:type="dxa"/>
            </w:tcMar>
            <w:vAlign w:val="bottom"/>
          </w:tcPr>
          <w:p>
            <w:pPr>
              <w:pStyle w:val="TableContents"/>
              <w:spacing w:before="0" w:after="283"/>
              <w:jc w:val="center"/>
              <w:rPr>
                <w:rFonts w:ascii="sans-serif" w:hAnsi="sans-serif"/>
                <w:b/>
                <w:sz w:val="18"/>
              </w:rPr>
            </w:pPr>
            <w:r>
              <w:rPr>
                <w:rFonts w:ascii="sans-serif" w:hAnsi="sans-serif"/>
                <w:b/>
                <w:sz w:val="18"/>
              </w:rPr>
              <w:t>Percent</w:t>
              <w:br/>
              <w:t>Ownership</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ADI-Gardiner Limited</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United Kingdom</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AlliedSignal Aerospace Service Corporation</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Elster GmbH</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Germany</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Elster s.r.o.</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Slovakia</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Grimes Aerospace Company</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Hand Held Products, Inc</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Aerospace de México, S. de R.L. de C.V.</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Mexico</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Automation India Limited</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India</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75%</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Automotive Parts Services (Shanghai) Co., Ltd.</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China</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Aerospace Avionics Malaysia Sdn Bhd.</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Malaysia</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Aerospace UK</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United Kingdom</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Co., Ltd.</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Korea</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Control Systems Limited</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United Kingdom</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Deutschland GmbH</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Germany</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Electronic Materials, Inc.</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Washington</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Europe NV</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Belgium</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Finance LP</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Holdings Pty. Ltd.</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Australia</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International Sàrl</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Switzerland</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International Services SRL</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Romania</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Japan Inc.</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Japan</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Korea Ltd.</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Korea</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Limited</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Australia</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LIMITED / HONEYWELL LIMITÉE</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Canada</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Luxembourg Holding S.a.r.l.</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Luxembourg</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Resins &amp; Chemicals LLC</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Safety Products Europe SAS</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France</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Safety Products USA, Inc.</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Specialty Chemicals Seelze GmbH</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Germany</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spol. s r.o.</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Czech Republic</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TECHNOLOGIES Sàrl</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Switzerland</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Technology Solutions Inc.</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Honeywell Technology Solutions Lab Pvt. Ltd.</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India</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Honeywell UK Limited</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United Kingdom</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Intermec Technologies Corporation</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Washington</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Life Safety Distribution AG</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Switzerland</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Metrologic Instruments, Inc.</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New Jersey</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Novar ED&amp;S Limited</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United Kingdom</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Sigma-Aldrich Laborchemikalien GmbH</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Germany</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auto" w:val="clear"/>
            <w:vAlign w:val="bottom"/>
          </w:tcPr>
          <w:p>
            <w:pPr>
              <w:pStyle w:val="TableContents"/>
              <w:spacing w:before="0" w:after="283"/>
              <w:ind w:left="198" w:right="0" w:hanging="198"/>
              <w:rPr>
                <w:rFonts w:ascii="sans-serif" w:hAnsi="sans-serif"/>
                <w:sz w:val="22"/>
              </w:rPr>
            </w:pPr>
            <w:r>
              <w:rPr>
                <w:rFonts w:ascii="sans-serif" w:hAnsi="sans-serif"/>
                <w:sz w:val="22"/>
              </w:rPr>
              <w:t>UOP LLC</w:t>
            </w:r>
          </w:p>
        </w:tc>
        <w:tc>
          <w:tcPr>
            <w:tcW w:w="60" w:type="dxa"/>
            <w:tcBorders/>
            <w:shd w:fill="auto" w:val="clear"/>
            <w:vAlign w:val="bottom"/>
          </w:tcPr>
          <w:p>
            <w:pPr>
              <w:pStyle w:val="TableContents"/>
              <w:spacing w:before="0" w:after="283"/>
              <w:rPr/>
            </w:pPr>
            <w:r>
              <w:rPr/>
              <w:t> </w:t>
            </w:r>
          </w:p>
        </w:tc>
        <w:tc>
          <w:tcPr>
            <w:tcW w:w="17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auto" w:val="clear"/>
            <w:vAlign w:val="bottom"/>
          </w:tcPr>
          <w:p>
            <w:pPr>
              <w:pStyle w:val="TableContents"/>
              <w:spacing w:before="0" w:after="283"/>
              <w:rPr/>
            </w:pPr>
            <w:r>
              <w:rPr/>
              <w:t> </w:t>
            </w:r>
          </w:p>
        </w:tc>
        <w:tc>
          <w:tcPr>
            <w:tcW w:w="1130" w:type="dxa"/>
            <w:tcBorders/>
            <w:shd w:fill="auto" w:val="clear"/>
            <w:vAlign w:val="bottom"/>
          </w:tcPr>
          <w:p>
            <w:pPr>
              <w:pStyle w:val="TableContents"/>
              <w:spacing w:before="0" w:after="283"/>
              <w:jc w:val="center"/>
              <w:rPr>
                <w:rFonts w:ascii="sans-serif" w:hAnsi="sans-serif"/>
                <w:sz w:val="22"/>
              </w:rPr>
            </w:pPr>
            <w:r>
              <w:rPr>
                <w:rFonts w:ascii="sans-serif" w:hAnsi="sans-serif"/>
                <w:sz w:val="22"/>
              </w:rPr>
              <w:t>100%</w:t>
            </w:r>
          </w:p>
        </w:tc>
      </w:tr>
      <w:tr>
        <w:trPr/>
        <w:tc>
          <w:tcPr>
            <w:tcW w:w="6110" w:type="dxa"/>
            <w:tcBorders/>
            <w:shd w:fill="E5FFFF" w:val="clear"/>
            <w:vAlign w:val="bottom"/>
          </w:tcPr>
          <w:p>
            <w:pPr>
              <w:pStyle w:val="TableContents"/>
              <w:spacing w:before="0" w:after="283"/>
              <w:ind w:left="198" w:right="0" w:hanging="198"/>
              <w:rPr>
                <w:rFonts w:ascii="sans-serif" w:hAnsi="sans-serif"/>
                <w:sz w:val="22"/>
              </w:rPr>
            </w:pPr>
            <w:r>
              <w:rPr>
                <w:rFonts w:ascii="sans-serif" w:hAnsi="sans-serif"/>
                <w:sz w:val="22"/>
              </w:rPr>
              <w:t>UOP Russell LLC</w:t>
            </w:r>
          </w:p>
        </w:tc>
        <w:tc>
          <w:tcPr>
            <w:tcW w:w="60" w:type="dxa"/>
            <w:tcBorders/>
            <w:shd w:fill="E5FFFF" w:val="clear"/>
            <w:vAlign w:val="bottom"/>
          </w:tcPr>
          <w:p>
            <w:pPr>
              <w:pStyle w:val="TableContents"/>
              <w:spacing w:before="0" w:after="283"/>
              <w:rPr/>
            </w:pPr>
            <w:r>
              <w:rPr/>
              <w:t> </w:t>
            </w:r>
          </w:p>
        </w:tc>
        <w:tc>
          <w:tcPr>
            <w:tcW w:w="17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Delaware</w:t>
            </w:r>
          </w:p>
        </w:tc>
        <w:tc>
          <w:tcPr>
            <w:tcW w:w="60" w:type="dxa"/>
            <w:tcBorders/>
            <w:shd w:fill="E5FFFF" w:val="clear"/>
            <w:vAlign w:val="bottom"/>
          </w:tcPr>
          <w:p>
            <w:pPr>
              <w:pStyle w:val="TableContents"/>
              <w:spacing w:before="0" w:after="283"/>
              <w:rPr/>
            </w:pPr>
            <w:r>
              <w:rPr/>
              <w:t> </w:t>
            </w:r>
          </w:p>
        </w:tc>
        <w:tc>
          <w:tcPr>
            <w:tcW w:w="1130" w:type="dxa"/>
            <w:tcBorders/>
            <w:shd w:fill="E5FFFF" w:val="clear"/>
            <w:vAlign w:val="bottom"/>
          </w:tcPr>
          <w:p>
            <w:pPr>
              <w:pStyle w:val="TableContents"/>
              <w:spacing w:before="0" w:after="283"/>
              <w:jc w:val="center"/>
              <w:rPr>
                <w:rFonts w:ascii="sans-serif" w:hAnsi="sans-serif"/>
                <w:sz w:val="22"/>
              </w:rPr>
            </w:pPr>
            <w:r>
              <w:rPr>
                <w:rFonts w:ascii="sans-serif" w:hAnsi="sans-serif"/>
                <w:sz w:val="22"/>
              </w:rPr>
              <w:t>70%</w:t>
            </w:r>
          </w:p>
        </w:tc>
      </w:tr>
    </w:tbl>
    <w:p>
      <w:pPr>
        <w:pStyle w:val="HorizontalLine"/>
        <w:pBdr>
          <w:bottom w:val="single" w:sz="20" w:space="0" w:color="000000"/>
        </w:pBdr>
        <w:rPr/>
      </w:pPr>
      <w:r>
        <w:rPr/>
      </w:r>
      <w:r>
        <w:br w:type="page"/>
      </w:r>
    </w:p>
    <w:p>
      <w:pPr>
        <w:pStyle w:val="TextBody"/>
        <w:spacing w:before="238" w:after="238"/>
        <w:ind w:left="238" w:right="238" w:hanging="0"/>
        <w:jc w:val="right"/>
        <w:rPr>
          <w:rFonts w:ascii="sans-serif" w:hAnsi="sans-serif"/>
          <w:b/>
          <w:sz w:val="22"/>
        </w:rPr>
      </w:pPr>
      <w:bookmarkStart w:id="36" w:name="c83288_ex23-1.htm"/>
      <w:bookmarkStart w:id="37" w:name="ksc83288_ex231"/>
      <w:bookmarkEnd w:id="36"/>
      <w:bookmarkEnd w:id="37"/>
      <w:r>
        <w:rPr>
          <w:rFonts w:ascii="sans-serif" w:hAnsi="sans-serif"/>
          <w:b/>
          <w:sz w:val="22"/>
        </w:rPr>
        <w:t>EXHIBIT 23.1</w:t>
      </w:r>
    </w:p>
    <w:p>
      <w:pPr>
        <w:pStyle w:val="TextBody"/>
        <w:spacing w:before="198" w:after="198"/>
        <w:ind w:left="198" w:right="198" w:hanging="0"/>
        <w:jc w:val="center"/>
        <w:rPr>
          <w:rFonts w:ascii="sans-serif" w:hAnsi="sans-serif"/>
          <w:b/>
          <w:sz w:val="22"/>
        </w:rPr>
      </w:pPr>
      <w:r>
        <w:rPr>
          <w:rFonts w:ascii="sans-serif" w:hAnsi="sans-serif"/>
          <w:b/>
          <w:sz w:val="22"/>
        </w:rPr>
        <w:t>CONSENT OF INDEPENDENT REGISTERED PUBLIC ACCOUNTING FIRM</w:t>
      </w:r>
    </w:p>
    <w:p>
      <w:pPr>
        <w:pStyle w:val="TextBody"/>
        <w:spacing w:before="119" w:after="119"/>
        <w:ind w:left="119" w:right="119" w:hanging="0"/>
        <w:jc w:val="both"/>
        <w:rPr>
          <w:rFonts w:ascii="sans-serif" w:hAnsi="sans-serif"/>
          <w:sz w:val="22"/>
        </w:rPr>
      </w:pPr>
      <w:r>
        <w:rPr>
          <w:rFonts w:ascii="sans-serif" w:hAnsi="sans-serif"/>
          <w:sz w:val="22"/>
        </w:rPr>
        <w:t>We consent to the incorporation by reference in the Registration Statement on Form S-3 (No.033-55425, 333-22355, 333-101455 and 333-208501), Form S-8 (No. 033-58347, 333-49280, 333-136083, 333-136086, 333-146932, 333-148995, 333-175260 and 333-195331) and Form S-4 (No. 333-82049) of our report dated February 12, 2016, relating to the consolidated financial statements of Honeywell International Inc. and subsidiaries (the Company) and the effectiveness of the Companys internal control over financial reporting, appearing in this Annual Report on Form 10-K of the Company for the year ended December 31, 2015.</w:t>
      </w:r>
    </w:p>
    <w:p>
      <w:pPr>
        <w:pStyle w:val="TextBody"/>
        <w:spacing w:before="278" w:after="278"/>
        <w:ind w:left="278" w:right="278" w:hanging="0"/>
        <w:rPr>
          <w:rFonts w:ascii="sans-serif" w:hAnsi="sans-serif"/>
          <w:sz w:val="22"/>
        </w:rPr>
      </w:pPr>
      <w:r>
        <w:rPr>
          <w:rFonts w:ascii="sans-serif" w:hAnsi="sans-serif"/>
          <w:sz w:val="22"/>
        </w:rPr>
        <w:t>/s/ Deloitte &amp; Touche LLP</w:t>
      </w:r>
    </w:p>
    <w:p>
      <w:pPr>
        <w:pStyle w:val="TextBody"/>
        <w:spacing w:before="278" w:after="278"/>
        <w:ind w:left="278" w:right="278" w:hanging="0"/>
        <w:rPr>
          <w:rFonts w:ascii="sans-serif" w:hAnsi="sans-serif"/>
          <w:sz w:val="22"/>
        </w:rPr>
      </w:pPr>
      <w:r>
        <w:rPr>
          <w:rFonts w:ascii="sans-serif" w:hAnsi="sans-serif"/>
          <w:sz w:val="22"/>
        </w:rPr>
        <w:t>Parsippany, New Jersey</w:t>
        <w:br/>
        <w:t>February 12, 2016</w:t>
      </w:r>
    </w:p>
    <w:p>
      <w:pPr>
        <w:pStyle w:val="HorizontalLine"/>
        <w:pBdr>
          <w:bottom w:val="single" w:sz="20" w:space="0" w:color="000000"/>
        </w:pBdr>
        <w:rPr/>
      </w:pPr>
      <w:r>
        <w:rPr/>
      </w:r>
      <w:r>
        <w:br w:type="page"/>
      </w:r>
    </w:p>
    <w:p>
      <w:pPr>
        <w:pStyle w:val="TextBody"/>
        <w:spacing w:before="238" w:after="238"/>
        <w:ind w:left="238" w:right="238" w:hanging="0"/>
        <w:jc w:val="right"/>
        <w:rPr>
          <w:rFonts w:ascii="sans-serif" w:hAnsi="sans-serif"/>
          <w:b/>
          <w:sz w:val="22"/>
        </w:rPr>
      </w:pPr>
      <w:bookmarkStart w:id="38" w:name="c83288_ex23-2.htm"/>
      <w:bookmarkStart w:id="39" w:name="ksc83288_ex232"/>
      <w:bookmarkEnd w:id="38"/>
      <w:bookmarkEnd w:id="39"/>
      <w:r>
        <w:rPr>
          <w:rFonts w:ascii="sans-serif" w:hAnsi="sans-serif"/>
          <w:b/>
          <w:sz w:val="22"/>
        </w:rPr>
        <w:t>EXHIBIT 23.2</w:t>
      </w:r>
    </w:p>
    <w:p>
      <w:pPr>
        <w:pStyle w:val="TextBody"/>
        <w:spacing w:before="198" w:after="198"/>
        <w:ind w:left="198" w:right="198" w:hanging="0"/>
        <w:jc w:val="center"/>
        <w:rPr>
          <w:rFonts w:ascii="sans-serif" w:hAnsi="sans-serif"/>
          <w:b/>
          <w:sz w:val="22"/>
        </w:rPr>
      </w:pPr>
      <w:r>
        <w:rPr>
          <w:rFonts w:ascii="sans-serif" w:hAnsi="sans-serif"/>
          <w:b/>
          <w:sz w:val="22"/>
        </w:rPr>
        <w:t>CONSENT OF INDEPENDENT REGISTERED PUBLIC ACCOUNTING FIRM</w:t>
      </w:r>
    </w:p>
    <w:p>
      <w:pPr>
        <w:pStyle w:val="TextBody"/>
        <w:spacing w:before="119" w:after="119"/>
        <w:ind w:left="119" w:right="119" w:hanging="0"/>
        <w:jc w:val="both"/>
        <w:rPr>
          <w:rFonts w:ascii="sans-serif" w:hAnsi="sans-serif"/>
          <w:sz w:val="22"/>
        </w:rPr>
      </w:pPr>
      <w:r>
        <w:rPr>
          <w:rFonts w:ascii="sans-serif" w:hAnsi="sans-serif"/>
          <w:sz w:val="22"/>
        </w:rPr>
        <w:t>We hereby consent to the incorporation by reference in the Registration Statement on Form S-3 (No.033-55425, 333-22355, 333-101455 and 333-208501), Form S-8 (No. 033-58347, 333-49280, 333-136083, 333-136086, 333-146932, 333-148995, 333-175260 and 333-195331) and Form S-4 (No. 333-82049) of Honeywell International Inc. of our report dated February 13, 2015 relating to the financial statements which appears in this Form 10-K.</w:t>
      </w:r>
    </w:p>
    <w:p>
      <w:pPr>
        <w:pStyle w:val="TextBody"/>
        <w:spacing w:before="278" w:after="278"/>
        <w:ind w:left="278" w:right="278" w:hanging="0"/>
        <w:rPr>
          <w:rFonts w:ascii="sans-serif" w:hAnsi="sans-serif"/>
          <w:sz w:val="22"/>
        </w:rPr>
      </w:pPr>
      <w:r>
        <w:rPr>
          <w:rFonts w:ascii="sans-serif" w:hAnsi="sans-serif"/>
          <w:sz w:val="22"/>
        </w:rPr>
        <w:t>/s/ PricewaterhouseCoopers LLP</w:t>
      </w:r>
    </w:p>
    <w:p>
      <w:pPr>
        <w:pStyle w:val="TextBody"/>
        <w:spacing w:before="278" w:after="278"/>
        <w:ind w:left="278" w:right="278" w:hanging="0"/>
        <w:rPr>
          <w:rFonts w:ascii="sans-serif" w:hAnsi="sans-serif"/>
          <w:sz w:val="22"/>
        </w:rPr>
      </w:pPr>
      <w:r>
        <w:rPr>
          <w:rFonts w:ascii="sans-serif" w:hAnsi="sans-serif"/>
          <w:sz w:val="22"/>
        </w:rPr>
        <w:t>Florham Park, New Jersey</w:t>
        <w:br/>
        <w:t>February 12, 2016</w:t>
      </w:r>
    </w:p>
    <w:p>
      <w:pPr>
        <w:pStyle w:val="HorizontalLine"/>
        <w:pBdr>
          <w:bottom w:val="single" w:sz="20" w:space="0" w:color="000000"/>
        </w:pBdr>
        <w:rPr/>
      </w:pPr>
      <w:r>
        <w:rPr/>
      </w:r>
      <w:r>
        <w:br w:type="page"/>
      </w:r>
    </w:p>
    <w:p>
      <w:pPr>
        <w:pStyle w:val="TextBody"/>
        <w:ind w:left="7200" w:right="0" w:firstLine="720"/>
        <w:jc w:val="center"/>
        <w:rPr>
          <w:rFonts w:ascii="Times New Roman;Times;Serif" w:hAnsi="Times New Roman;Times;Serif"/>
          <w:b w:val="false"/>
          <w:i w:val="false"/>
          <w:caps w:val="false"/>
          <w:smallCaps w:val="false"/>
          <w:sz w:val="24"/>
        </w:rPr>
      </w:pPr>
      <w:bookmarkStart w:id="40" w:name="c83288_ex24.htm"/>
      <w:bookmarkStart w:id="41" w:name="ksc83288_ex24"/>
      <w:bookmarkEnd w:id="40"/>
      <w:bookmarkEnd w:id="41"/>
      <w:r>
        <w:rPr>
          <w:rFonts w:ascii="Times New Roman;Times;Serif" w:hAnsi="Times New Roman;Times;Serif"/>
          <w:b w:val="false"/>
          <w:i w:val="false"/>
          <w:caps w:val="false"/>
          <w:smallCaps w:val="false"/>
          <w:sz w:val="24"/>
        </w:rPr>
        <w:t>Exhibit 24</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POWER OF ATTORNEY</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as a director of Honeywell International Inc. (the “Company”), a Delaware corporation, hereby appoints David M. Cote, Katherine L. Adams, Adam M. Matteo, Jeffrey N. Neuman, Thomas A. Szlosek and John J. Tus, each with power to act without the other and with power of substitution and resubstitution, as my attorney-in-fact and agent for me and in my name, place and stead in any and all capacities,</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sign the Company’s Annual Report on Form 10-K under the Securities Exchange Act of 1934 for the year ended December 31, 2015,</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sign any amendment to the Annual Report referred to in (i) above, and</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file the documents described in (i) and (ii) above and all exhibits thereto and any and all other documents in connection therewith,</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may be signed in any number of counterparts, each of which shall be an original, with the same effect as if the signatures thereto and hereto were upon the same instrument.</w:t>
      </w:r>
    </w:p>
    <w:p>
      <w:pPr>
        <w:pStyle w:val="TextBody"/>
        <w:rPr>
          <w:caps w:val="false"/>
          <w:smallCaps w:val="false"/>
        </w:rPr>
      </w:pPr>
      <w:r>
        <w:rPr>
          <w:caps w:val="false"/>
          <w:smallCaps w:val="false"/>
        </w:rPr>
        <w:t> </w:t>
      </w:r>
    </w:p>
    <w:tbl>
      <w:tblPr>
        <w:tblW w:w="5605" w:type="dxa"/>
        <w:jc w:val="left"/>
        <w:tblInd w:w="0" w:type="dxa"/>
        <w:tblCellMar>
          <w:top w:w="0" w:type="dxa"/>
          <w:left w:w="0" w:type="dxa"/>
          <w:bottom w:w="0" w:type="dxa"/>
          <w:right w:w="0" w:type="dxa"/>
        </w:tblCellMar>
      </w:tblPr>
      <w:tblGrid>
        <w:gridCol w:w="2855"/>
        <w:gridCol w:w="2750"/>
      </w:tblGrid>
      <w:tr>
        <w:trPr/>
        <w:tc>
          <w:tcPr>
            <w:tcW w:w="2855" w:type="dxa"/>
            <w:tcBorders/>
            <w:shd w:fill="auto" w:val="clear"/>
            <w:vAlign w:val="center"/>
          </w:tcPr>
          <w:p>
            <w:pPr>
              <w:pStyle w:val="TableContents"/>
              <w:spacing w:before="0" w:after="283"/>
              <w:rPr>
                <w:u w:val="single"/>
              </w:rPr>
            </w:pPr>
            <w:r>
              <w:rPr>
                <w:u w:val="single"/>
              </w:rPr>
              <w:t>/s/ William S. Ayer</w:t>
            </w:r>
          </w:p>
        </w:tc>
        <w:tc>
          <w:tcPr>
            <w:tcW w:w="2750" w:type="dxa"/>
            <w:tcBorders/>
            <w:shd w:fill="auto" w:val="clear"/>
            <w:vAlign w:val="center"/>
          </w:tcPr>
          <w:p>
            <w:pPr>
              <w:pStyle w:val="TableContents"/>
              <w:spacing w:before="0" w:after="283"/>
              <w:rPr>
                <w:u w:val="single"/>
              </w:rPr>
            </w:pPr>
            <w:r>
              <w:rPr>
                <w:u w:val="single"/>
              </w:rPr>
              <w:t>/s/ Judd Gregg</w:t>
            </w:r>
          </w:p>
        </w:tc>
      </w:tr>
      <w:tr>
        <w:trPr/>
        <w:tc>
          <w:tcPr>
            <w:tcW w:w="2855" w:type="dxa"/>
            <w:tcBorders/>
            <w:shd w:fill="auto" w:val="clear"/>
            <w:vAlign w:val="center"/>
          </w:tcPr>
          <w:p>
            <w:pPr>
              <w:pStyle w:val="TableContents"/>
              <w:spacing w:before="0" w:after="283"/>
              <w:rPr/>
            </w:pPr>
            <w:r>
              <w:rPr/>
              <w:t>William S. Ayer, Director</w:t>
            </w:r>
          </w:p>
        </w:tc>
        <w:tc>
          <w:tcPr>
            <w:tcW w:w="2750" w:type="dxa"/>
            <w:tcBorders/>
            <w:shd w:fill="auto" w:val="clear"/>
            <w:vAlign w:val="center"/>
          </w:tcPr>
          <w:p>
            <w:pPr>
              <w:pStyle w:val="TableContents"/>
              <w:spacing w:before="0" w:after="283"/>
              <w:rPr/>
            </w:pPr>
            <w:r>
              <w:rPr/>
              <w:t>Judd Gregg,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Gordon M. Bethune</w:t>
            </w:r>
          </w:p>
        </w:tc>
        <w:tc>
          <w:tcPr>
            <w:tcW w:w="2750" w:type="dxa"/>
            <w:tcBorders/>
            <w:shd w:fill="auto" w:val="clear"/>
            <w:vAlign w:val="center"/>
          </w:tcPr>
          <w:p>
            <w:pPr>
              <w:pStyle w:val="TableContents"/>
              <w:spacing w:before="0" w:after="283"/>
              <w:rPr>
                <w:u w:val="single"/>
              </w:rPr>
            </w:pPr>
            <w:r>
              <w:rPr>
                <w:u w:val="single"/>
              </w:rPr>
              <w:t>/s/ Clive R. Hollick</w:t>
            </w:r>
          </w:p>
        </w:tc>
      </w:tr>
      <w:tr>
        <w:trPr/>
        <w:tc>
          <w:tcPr>
            <w:tcW w:w="2855" w:type="dxa"/>
            <w:tcBorders/>
            <w:shd w:fill="auto" w:val="clear"/>
            <w:vAlign w:val="center"/>
          </w:tcPr>
          <w:p>
            <w:pPr>
              <w:pStyle w:val="TableContents"/>
              <w:spacing w:before="0" w:after="283"/>
              <w:rPr/>
            </w:pPr>
            <w:r>
              <w:rPr/>
              <w:t>Gordon M. Bethune, Director</w:t>
            </w:r>
          </w:p>
        </w:tc>
        <w:tc>
          <w:tcPr>
            <w:tcW w:w="2750" w:type="dxa"/>
            <w:tcBorders/>
            <w:shd w:fill="auto" w:val="clear"/>
            <w:vAlign w:val="center"/>
          </w:tcPr>
          <w:p>
            <w:pPr>
              <w:pStyle w:val="TableContents"/>
              <w:spacing w:before="0" w:after="283"/>
              <w:rPr/>
            </w:pPr>
            <w:r>
              <w:rPr/>
              <w:t>Clive R. Hollick,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Kevin Burke</w:t>
            </w:r>
          </w:p>
        </w:tc>
        <w:tc>
          <w:tcPr>
            <w:tcW w:w="2750" w:type="dxa"/>
            <w:tcBorders/>
            <w:shd w:fill="auto" w:val="clear"/>
            <w:vAlign w:val="center"/>
          </w:tcPr>
          <w:p>
            <w:pPr>
              <w:pStyle w:val="TableContents"/>
              <w:spacing w:before="0" w:after="283"/>
              <w:rPr>
                <w:u w:val="single"/>
              </w:rPr>
            </w:pPr>
            <w:r>
              <w:rPr>
                <w:u w:val="single"/>
              </w:rPr>
              <w:t>/s/ Grace Lieblein</w:t>
            </w:r>
          </w:p>
        </w:tc>
      </w:tr>
      <w:tr>
        <w:trPr/>
        <w:tc>
          <w:tcPr>
            <w:tcW w:w="2855" w:type="dxa"/>
            <w:tcBorders/>
            <w:shd w:fill="auto" w:val="clear"/>
            <w:vAlign w:val="center"/>
          </w:tcPr>
          <w:p>
            <w:pPr>
              <w:pStyle w:val="TableContents"/>
              <w:spacing w:before="0" w:after="283"/>
              <w:rPr/>
            </w:pPr>
            <w:r>
              <w:rPr/>
              <w:t>Kevin Burke, Director</w:t>
            </w:r>
          </w:p>
        </w:tc>
        <w:tc>
          <w:tcPr>
            <w:tcW w:w="2750" w:type="dxa"/>
            <w:tcBorders/>
            <w:shd w:fill="auto" w:val="clear"/>
            <w:vAlign w:val="center"/>
          </w:tcPr>
          <w:p>
            <w:pPr>
              <w:pStyle w:val="TableContents"/>
              <w:spacing w:before="0" w:after="283"/>
              <w:rPr/>
            </w:pPr>
            <w:r>
              <w:rPr/>
              <w:t>Grace Lieblein,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Jaime Chico Pardo</w:t>
            </w:r>
          </w:p>
        </w:tc>
        <w:tc>
          <w:tcPr>
            <w:tcW w:w="2750" w:type="dxa"/>
            <w:tcBorders/>
            <w:shd w:fill="auto" w:val="clear"/>
            <w:vAlign w:val="center"/>
          </w:tcPr>
          <w:p>
            <w:pPr>
              <w:pStyle w:val="TableContents"/>
              <w:spacing w:before="0" w:after="283"/>
              <w:rPr>
                <w:u w:val="single"/>
              </w:rPr>
            </w:pPr>
            <w:r>
              <w:rPr>
                <w:u w:val="single"/>
              </w:rPr>
              <w:t>/s/ George Paz</w:t>
            </w:r>
          </w:p>
        </w:tc>
      </w:tr>
      <w:tr>
        <w:trPr/>
        <w:tc>
          <w:tcPr>
            <w:tcW w:w="2855" w:type="dxa"/>
            <w:tcBorders/>
            <w:shd w:fill="auto" w:val="clear"/>
            <w:vAlign w:val="center"/>
          </w:tcPr>
          <w:p>
            <w:pPr>
              <w:pStyle w:val="TableContents"/>
              <w:spacing w:before="0" w:after="283"/>
              <w:rPr/>
            </w:pPr>
            <w:r>
              <w:rPr/>
              <w:t>Jaime Chico Pardo, Director</w:t>
            </w:r>
          </w:p>
        </w:tc>
        <w:tc>
          <w:tcPr>
            <w:tcW w:w="2750" w:type="dxa"/>
            <w:tcBorders/>
            <w:shd w:fill="auto" w:val="clear"/>
            <w:vAlign w:val="center"/>
          </w:tcPr>
          <w:p>
            <w:pPr>
              <w:pStyle w:val="TableContents"/>
              <w:spacing w:before="0" w:after="283"/>
              <w:rPr/>
            </w:pPr>
            <w:r>
              <w:rPr/>
              <w:t>George Paz,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D. Scott Davis</w:t>
            </w:r>
          </w:p>
        </w:tc>
        <w:tc>
          <w:tcPr>
            <w:tcW w:w="2750" w:type="dxa"/>
            <w:tcBorders/>
            <w:shd w:fill="auto" w:val="clear"/>
            <w:vAlign w:val="center"/>
          </w:tcPr>
          <w:p>
            <w:pPr>
              <w:pStyle w:val="TableContents"/>
              <w:spacing w:before="0" w:after="283"/>
              <w:rPr>
                <w:u w:val="single"/>
              </w:rPr>
            </w:pPr>
            <w:r>
              <w:rPr>
                <w:u w:val="single"/>
              </w:rPr>
              <w:t>/s/ Bradley T. Sheares</w:t>
            </w:r>
          </w:p>
        </w:tc>
      </w:tr>
      <w:tr>
        <w:trPr/>
        <w:tc>
          <w:tcPr>
            <w:tcW w:w="2855" w:type="dxa"/>
            <w:tcBorders/>
            <w:shd w:fill="auto" w:val="clear"/>
            <w:vAlign w:val="center"/>
          </w:tcPr>
          <w:p>
            <w:pPr>
              <w:pStyle w:val="TableContents"/>
              <w:spacing w:before="0" w:after="283"/>
              <w:rPr/>
            </w:pPr>
            <w:r>
              <w:rPr/>
              <w:t>D. Scott Davis, Director</w:t>
            </w:r>
          </w:p>
        </w:tc>
        <w:tc>
          <w:tcPr>
            <w:tcW w:w="2750" w:type="dxa"/>
            <w:tcBorders/>
            <w:shd w:fill="auto" w:val="clear"/>
            <w:vAlign w:val="center"/>
          </w:tcPr>
          <w:p>
            <w:pPr>
              <w:pStyle w:val="TableContents"/>
              <w:spacing w:before="0" w:after="283"/>
              <w:rPr/>
            </w:pPr>
            <w:r>
              <w:rPr/>
              <w:t>Bradley T. Sheares,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Linnet F. Deily</w:t>
            </w:r>
          </w:p>
        </w:tc>
        <w:tc>
          <w:tcPr>
            <w:tcW w:w="2750" w:type="dxa"/>
            <w:tcBorders/>
            <w:shd w:fill="auto" w:val="clear"/>
            <w:vAlign w:val="center"/>
          </w:tcPr>
          <w:p>
            <w:pPr>
              <w:pStyle w:val="TableContents"/>
              <w:spacing w:before="0" w:after="283"/>
              <w:rPr>
                <w:u w:val="single"/>
              </w:rPr>
            </w:pPr>
            <w:r>
              <w:rPr>
                <w:u w:val="single"/>
              </w:rPr>
              <w:t>/s/ Robin Washington</w:t>
            </w:r>
          </w:p>
        </w:tc>
      </w:tr>
      <w:tr>
        <w:trPr/>
        <w:tc>
          <w:tcPr>
            <w:tcW w:w="2855" w:type="dxa"/>
            <w:tcBorders/>
            <w:shd w:fill="auto" w:val="clear"/>
            <w:vAlign w:val="center"/>
          </w:tcPr>
          <w:p>
            <w:pPr>
              <w:pStyle w:val="TableContents"/>
              <w:spacing w:before="0" w:after="283"/>
              <w:rPr/>
            </w:pPr>
            <w:r>
              <w:rPr/>
              <w:t>Linnet F. Deily, Director</w:t>
            </w:r>
          </w:p>
        </w:tc>
        <w:tc>
          <w:tcPr>
            <w:tcW w:w="2750" w:type="dxa"/>
            <w:tcBorders/>
            <w:shd w:fill="auto" w:val="clear"/>
            <w:vAlign w:val="center"/>
          </w:tcPr>
          <w:p>
            <w:pPr>
              <w:pStyle w:val="TableContents"/>
              <w:spacing w:before="0" w:after="283"/>
              <w:rPr/>
            </w:pPr>
            <w:r>
              <w:rPr/>
              <w:t>Robin Washington,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pPr>
            <w:r>
              <w:rPr/>
              <w:t>Dated: December 11, 2015</w:t>
            </w:r>
          </w:p>
        </w:tc>
        <w:tc>
          <w:tcPr>
            <w:tcW w:w="275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POWER OF ATTORNEY</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as a director of Honeywell International Inc. (the “Company”), a Delaware corporation, hereby appoints David M. Cote, Katherine L. Adams, Adam M. Matteo, Jeffrey N. Neuman, Thomas A. Szlosek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2016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or the 2011 Stock Incentive Plan of Honeywell International Inc. and its Affiliates, and any plan which is a successor to such plans or is a validly authorized new plan pursuant to which securities of the Company are issued to employees or non-employee directors.</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revoke any or all prior appointments of attorneys-in-fact to sign the above-described documents.</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may be signed in any number of counterparts, each of which shall be an original, with the same effect as if the signatures thereto and hereto were upon the same instrument.</w:t>
      </w:r>
    </w:p>
    <w:p>
      <w:pPr>
        <w:pStyle w:val="TextBody"/>
        <w:rPr>
          <w:caps w:val="false"/>
          <w:smallCaps w:val="false"/>
        </w:rPr>
      </w:pPr>
      <w:r>
        <w:rPr>
          <w:caps w:val="false"/>
          <w:smallCaps w:val="false"/>
        </w:rPr>
        <w:t> </w:t>
      </w:r>
    </w:p>
    <w:tbl>
      <w:tblPr>
        <w:tblW w:w="5605" w:type="dxa"/>
        <w:jc w:val="left"/>
        <w:tblInd w:w="0" w:type="dxa"/>
        <w:tblCellMar>
          <w:top w:w="0" w:type="dxa"/>
          <w:left w:w="0" w:type="dxa"/>
          <w:bottom w:w="0" w:type="dxa"/>
          <w:right w:w="0" w:type="dxa"/>
        </w:tblCellMar>
      </w:tblPr>
      <w:tblGrid>
        <w:gridCol w:w="2855"/>
        <w:gridCol w:w="2750"/>
      </w:tblGrid>
      <w:tr>
        <w:trPr/>
        <w:tc>
          <w:tcPr>
            <w:tcW w:w="2855" w:type="dxa"/>
            <w:tcBorders/>
            <w:shd w:fill="auto" w:val="clear"/>
            <w:vAlign w:val="center"/>
          </w:tcPr>
          <w:p>
            <w:pPr>
              <w:pStyle w:val="TableContents"/>
              <w:spacing w:before="0" w:after="283"/>
              <w:rPr>
                <w:u w:val="single"/>
              </w:rPr>
            </w:pPr>
            <w:r>
              <w:rPr>
                <w:u w:val="single"/>
              </w:rPr>
              <w:t>/s/ William S. Ayer</w:t>
            </w:r>
          </w:p>
        </w:tc>
        <w:tc>
          <w:tcPr>
            <w:tcW w:w="2750" w:type="dxa"/>
            <w:tcBorders/>
            <w:shd w:fill="auto" w:val="clear"/>
            <w:vAlign w:val="center"/>
          </w:tcPr>
          <w:p>
            <w:pPr>
              <w:pStyle w:val="TableContents"/>
              <w:spacing w:before="0" w:after="283"/>
              <w:rPr>
                <w:u w:val="single"/>
              </w:rPr>
            </w:pPr>
            <w:r>
              <w:rPr>
                <w:u w:val="single"/>
              </w:rPr>
              <w:t>/s/ Judd Gregg</w:t>
            </w:r>
          </w:p>
        </w:tc>
      </w:tr>
      <w:tr>
        <w:trPr/>
        <w:tc>
          <w:tcPr>
            <w:tcW w:w="2855" w:type="dxa"/>
            <w:tcBorders/>
            <w:shd w:fill="auto" w:val="clear"/>
            <w:vAlign w:val="center"/>
          </w:tcPr>
          <w:p>
            <w:pPr>
              <w:pStyle w:val="TableContents"/>
              <w:spacing w:before="0" w:after="283"/>
              <w:rPr/>
            </w:pPr>
            <w:r>
              <w:rPr/>
              <w:t>William S. Ayer, Director</w:t>
            </w:r>
          </w:p>
        </w:tc>
        <w:tc>
          <w:tcPr>
            <w:tcW w:w="2750" w:type="dxa"/>
            <w:tcBorders/>
            <w:shd w:fill="auto" w:val="clear"/>
            <w:vAlign w:val="center"/>
          </w:tcPr>
          <w:p>
            <w:pPr>
              <w:pStyle w:val="TableContents"/>
              <w:spacing w:before="0" w:after="283"/>
              <w:rPr/>
            </w:pPr>
            <w:r>
              <w:rPr/>
              <w:t>Judd Gregg,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Gordon M. Bethune</w:t>
            </w:r>
          </w:p>
        </w:tc>
        <w:tc>
          <w:tcPr>
            <w:tcW w:w="2750" w:type="dxa"/>
            <w:tcBorders/>
            <w:shd w:fill="auto" w:val="clear"/>
            <w:vAlign w:val="center"/>
          </w:tcPr>
          <w:p>
            <w:pPr>
              <w:pStyle w:val="TableContents"/>
              <w:spacing w:before="0" w:after="283"/>
              <w:rPr>
                <w:u w:val="single"/>
              </w:rPr>
            </w:pPr>
            <w:r>
              <w:rPr>
                <w:u w:val="single"/>
              </w:rPr>
              <w:t>/s/ Clive R. Hollick</w:t>
            </w:r>
          </w:p>
        </w:tc>
      </w:tr>
      <w:tr>
        <w:trPr/>
        <w:tc>
          <w:tcPr>
            <w:tcW w:w="2855" w:type="dxa"/>
            <w:tcBorders/>
            <w:shd w:fill="auto" w:val="clear"/>
            <w:vAlign w:val="center"/>
          </w:tcPr>
          <w:p>
            <w:pPr>
              <w:pStyle w:val="TableContents"/>
              <w:spacing w:before="0" w:after="283"/>
              <w:rPr/>
            </w:pPr>
            <w:r>
              <w:rPr/>
              <w:t>Gordon M. Bethune, Director</w:t>
            </w:r>
          </w:p>
        </w:tc>
        <w:tc>
          <w:tcPr>
            <w:tcW w:w="2750" w:type="dxa"/>
            <w:tcBorders/>
            <w:shd w:fill="auto" w:val="clear"/>
            <w:vAlign w:val="center"/>
          </w:tcPr>
          <w:p>
            <w:pPr>
              <w:pStyle w:val="TableContents"/>
              <w:spacing w:before="0" w:after="283"/>
              <w:rPr/>
            </w:pPr>
            <w:r>
              <w:rPr/>
              <w:t>Clive R. Hollick,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Kevin Burke</w:t>
            </w:r>
          </w:p>
        </w:tc>
        <w:tc>
          <w:tcPr>
            <w:tcW w:w="2750" w:type="dxa"/>
            <w:tcBorders/>
            <w:shd w:fill="auto" w:val="clear"/>
            <w:vAlign w:val="center"/>
          </w:tcPr>
          <w:p>
            <w:pPr>
              <w:pStyle w:val="TableContents"/>
              <w:spacing w:before="0" w:after="283"/>
              <w:rPr>
                <w:u w:val="single"/>
              </w:rPr>
            </w:pPr>
            <w:r>
              <w:rPr>
                <w:u w:val="single"/>
              </w:rPr>
              <w:t>/s/ Grace Lieblein</w:t>
            </w:r>
          </w:p>
        </w:tc>
      </w:tr>
      <w:tr>
        <w:trPr/>
        <w:tc>
          <w:tcPr>
            <w:tcW w:w="2855" w:type="dxa"/>
            <w:tcBorders/>
            <w:shd w:fill="auto" w:val="clear"/>
            <w:vAlign w:val="center"/>
          </w:tcPr>
          <w:p>
            <w:pPr>
              <w:pStyle w:val="TableContents"/>
              <w:spacing w:before="0" w:after="283"/>
              <w:rPr/>
            </w:pPr>
            <w:r>
              <w:rPr/>
              <w:t>Kevin Burke, Director</w:t>
            </w:r>
          </w:p>
        </w:tc>
        <w:tc>
          <w:tcPr>
            <w:tcW w:w="2750" w:type="dxa"/>
            <w:tcBorders/>
            <w:shd w:fill="auto" w:val="clear"/>
            <w:vAlign w:val="center"/>
          </w:tcPr>
          <w:p>
            <w:pPr>
              <w:pStyle w:val="TableContents"/>
              <w:spacing w:before="0" w:after="283"/>
              <w:rPr/>
            </w:pPr>
            <w:r>
              <w:rPr/>
              <w:t>Grace Lieblein,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Jaime Chico Pardo</w:t>
            </w:r>
          </w:p>
        </w:tc>
        <w:tc>
          <w:tcPr>
            <w:tcW w:w="2750" w:type="dxa"/>
            <w:tcBorders/>
            <w:shd w:fill="auto" w:val="clear"/>
            <w:vAlign w:val="center"/>
          </w:tcPr>
          <w:p>
            <w:pPr>
              <w:pStyle w:val="TableContents"/>
              <w:spacing w:before="0" w:after="283"/>
              <w:rPr>
                <w:u w:val="single"/>
              </w:rPr>
            </w:pPr>
            <w:r>
              <w:rPr>
                <w:u w:val="single"/>
              </w:rPr>
              <w:t>/s/ George Paz</w:t>
            </w:r>
          </w:p>
        </w:tc>
      </w:tr>
      <w:tr>
        <w:trPr/>
        <w:tc>
          <w:tcPr>
            <w:tcW w:w="2855" w:type="dxa"/>
            <w:tcBorders/>
            <w:shd w:fill="auto" w:val="clear"/>
            <w:vAlign w:val="center"/>
          </w:tcPr>
          <w:p>
            <w:pPr>
              <w:pStyle w:val="TableContents"/>
              <w:spacing w:before="0" w:after="283"/>
              <w:rPr/>
            </w:pPr>
            <w:r>
              <w:rPr/>
              <w:t>Jaime Chico Pardo, Director</w:t>
            </w:r>
          </w:p>
        </w:tc>
        <w:tc>
          <w:tcPr>
            <w:tcW w:w="2750" w:type="dxa"/>
            <w:tcBorders/>
            <w:shd w:fill="auto" w:val="clear"/>
            <w:vAlign w:val="center"/>
          </w:tcPr>
          <w:p>
            <w:pPr>
              <w:pStyle w:val="TableContents"/>
              <w:spacing w:before="0" w:after="283"/>
              <w:rPr/>
            </w:pPr>
            <w:r>
              <w:rPr/>
              <w:t>George Paz,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D. Scott Davis</w:t>
            </w:r>
          </w:p>
        </w:tc>
        <w:tc>
          <w:tcPr>
            <w:tcW w:w="2750" w:type="dxa"/>
            <w:tcBorders/>
            <w:shd w:fill="auto" w:val="clear"/>
            <w:vAlign w:val="center"/>
          </w:tcPr>
          <w:p>
            <w:pPr>
              <w:pStyle w:val="TableContents"/>
              <w:spacing w:before="0" w:after="283"/>
              <w:rPr>
                <w:u w:val="single"/>
              </w:rPr>
            </w:pPr>
            <w:r>
              <w:rPr>
                <w:u w:val="single"/>
              </w:rPr>
              <w:t>/s/ Bradley T. Sheares</w:t>
            </w:r>
          </w:p>
        </w:tc>
      </w:tr>
      <w:tr>
        <w:trPr/>
        <w:tc>
          <w:tcPr>
            <w:tcW w:w="2855" w:type="dxa"/>
            <w:tcBorders/>
            <w:shd w:fill="auto" w:val="clear"/>
            <w:vAlign w:val="center"/>
          </w:tcPr>
          <w:p>
            <w:pPr>
              <w:pStyle w:val="TableContents"/>
              <w:spacing w:before="0" w:after="283"/>
              <w:rPr/>
            </w:pPr>
            <w:r>
              <w:rPr/>
              <w:t>D. Scott Davis, Director</w:t>
            </w:r>
          </w:p>
        </w:tc>
        <w:tc>
          <w:tcPr>
            <w:tcW w:w="2750" w:type="dxa"/>
            <w:tcBorders/>
            <w:shd w:fill="auto" w:val="clear"/>
            <w:vAlign w:val="center"/>
          </w:tcPr>
          <w:p>
            <w:pPr>
              <w:pStyle w:val="TableContents"/>
              <w:spacing w:before="0" w:after="283"/>
              <w:rPr/>
            </w:pPr>
            <w:r>
              <w:rPr/>
              <w:t>Bradley T. Sheares,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u w:val="single"/>
              </w:rPr>
            </w:pPr>
            <w:r>
              <w:rPr>
                <w:u w:val="single"/>
              </w:rPr>
              <w:t>/s/ Linnet F. Deily</w:t>
            </w:r>
          </w:p>
        </w:tc>
        <w:tc>
          <w:tcPr>
            <w:tcW w:w="2750" w:type="dxa"/>
            <w:tcBorders/>
            <w:shd w:fill="auto" w:val="clear"/>
            <w:vAlign w:val="center"/>
          </w:tcPr>
          <w:p>
            <w:pPr>
              <w:pStyle w:val="TableContents"/>
              <w:spacing w:before="0" w:after="283"/>
              <w:rPr>
                <w:u w:val="single"/>
              </w:rPr>
            </w:pPr>
            <w:r>
              <w:rPr>
                <w:u w:val="single"/>
              </w:rPr>
              <w:t>/s/ Robin Washington</w:t>
            </w:r>
          </w:p>
        </w:tc>
      </w:tr>
      <w:tr>
        <w:trPr/>
        <w:tc>
          <w:tcPr>
            <w:tcW w:w="2855" w:type="dxa"/>
            <w:tcBorders/>
            <w:shd w:fill="auto" w:val="clear"/>
            <w:vAlign w:val="center"/>
          </w:tcPr>
          <w:p>
            <w:pPr>
              <w:pStyle w:val="TableContents"/>
              <w:spacing w:before="0" w:after="283"/>
              <w:rPr/>
            </w:pPr>
            <w:r>
              <w:rPr/>
              <w:t>Linnet F. Deily, Director</w:t>
            </w:r>
          </w:p>
        </w:tc>
        <w:tc>
          <w:tcPr>
            <w:tcW w:w="2750" w:type="dxa"/>
            <w:tcBorders/>
            <w:shd w:fill="auto" w:val="clear"/>
            <w:vAlign w:val="center"/>
          </w:tcPr>
          <w:p>
            <w:pPr>
              <w:pStyle w:val="TableContents"/>
              <w:spacing w:before="0" w:after="283"/>
              <w:rPr/>
            </w:pPr>
            <w:r>
              <w:rPr/>
              <w:t>Robin Washington, Director</w:t>
            </w:r>
          </w:p>
        </w:tc>
      </w:tr>
      <w:tr>
        <w:trPr/>
        <w:tc>
          <w:tcPr>
            <w:tcW w:w="2855" w:type="dxa"/>
            <w:tcBorders/>
            <w:shd w:fill="auto" w:val="clear"/>
            <w:vAlign w:val="center"/>
          </w:tcPr>
          <w:p>
            <w:pPr>
              <w:pStyle w:val="TableContents"/>
              <w:spacing w:before="0" w:after="283"/>
              <w:rPr/>
            </w:pPr>
            <w:r>
              <w:rPr/>
              <w:t> </w:t>
            </w:r>
          </w:p>
        </w:tc>
        <w:tc>
          <w:tcPr>
            <w:tcW w:w="275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pPr>
            <w:r>
              <w:rPr/>
              <w:t>Dated: December 11, 2015</w:t>
            </w:r>
          </w:p>
        </w:tc>
        <w:tc>
          <w:tcPr>
            <w:tcW w:w="2750"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POWER OF ATTORNEY</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as a director of Honeywell International Inc. (the “Company”), a Delaware corporation, hereby appoints David M. Cote, Katherine L. Adams, Adam M. Matteo, Jeffrey N. Neuman, Thomas A. Szlosek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2016, and to file the same together with all exhibits thereto, under the Securities Act of 1933, including any amendment or supplement thereto or to any registration statement heretofore filed by the Company for the registration of sales or resales of:</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shares of the Company’s common stock, par value, $1.00 per share, including shares of common stock to be offered under the Dividend Reinvestment and Share Purchase Plan of the Company and any successor or new plan for such purposes;</w:t>
      </w:r>
    </w:p>
    <w:p>
      <w:pPr>
        <w:pStyle w:val="TextBody"/>
        <w:ind w:left="0" w:right="0" w:firstLine="547"/>
        <w:rPr>
          <w:caps w:val="false"/>
          <w:smallCaps w:val="false"/>
        </w:rPr>
      </w:pPr>
      <w:r>
        <w:rPr>
          <w:caps w:val="false"/>
          <w:smallCaps w:val="false"/>
        </w:rPr>
        <w:t> </w:t>
      </w:r>
    </w:p>
    <w:p>
      <w:pPr>
        <w:pStyle w:val="TextBody"/>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shares of the Company’s preferred stock, without par value;</w:t>
      </w:r>
    </w:p>
    <w:p>
      <w:pPr>
        <w:pStyle w:val="TextBody"/>
        <w:ind w:left="720" w:right="0" w:hanging="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debt securities of the Company, with such terms as may be from time to time specified in such registration statement or any amendment, post-effective amendment or supplement thereto; and</w:t>
      </w:r>
    </w:p>
    <w:p>
      <w:pPr>
        <w:pStyle w:val="TextBody"/>
        <w:ind w:left="720" w:right="0" w:hanging="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pStyle w:val="TextBody"/>
        <w:ind w:left="0" w:right="0" w:firstLine="547"/>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revoke any or all prior appointments of attorneys-in-fact to the extent that they confer authority to sign the above-described documents.</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may be signed in any number of counterparts, each of which shall be an original, with the same effect as if the signatures thereto and hereto were upon the same instrument.</w:t>
      </w:r>
    </w:p>
    <w:p>
      <w:pPr>
        <w:pStyle w:val="TextBody"/>
        <w:rPr>
          <w:caps w:val="false"/>
          <w:smallCaps w:val="false"/>
        </w:rPr>
      </w:pPr>
      <w:r>
        <w:rPr>
          <w:caps w:val="false"/>
          <w:smallCaps w:val="false"/>
        </w:rPr>
        <w:t> </w:t>
      </w:r>
    </w:p>
    <w:tbl>
      <w:tblPr>
        <w:tblW w:w="5725" w:type="dxa"/>
        <w:jc w:val="left"/>
        <w:tblInd w:w="0" w:type="dxa"/>
        <w:tblCellMar>
          <w:top w:w="28" w:type="dxa"/>
          <w:left w:w="0" w:type="dxa"/>
          <w:bottom w:w="0" w:type="dxa"/>
          <w:right w:w="0" w:type="dxa"/>
        </w:tblCellMar>
      </w:tblPr>
      <w:tblGrid>
        <w:gridCol w:w="2855"/>
        <w:gridCol w:w="60"/>
        <w:gridCol w:w="2735"/>
        <w:gridCol w:w="75"/>
      </w:tblGrid>
      <w:tr>
        <w:trPr/>
        <w:tc>
          <w:tcPr>
            <w:tcW w:w="2855" w:type="dxa"/>
            <w:tcBorders>
              <w:top w:val="single" w:sz="2" w:space="0" w:color="000000"/>
            </w:tcBorders>
            <w:shd w:fill="auto" w:val="clear"/>
            <w:vAlign w:val="center"/>
          </w:tcPr>
          <w:p>
            <w:pPr>
              <w:pStyle w:val="TableContents"/>
              <w:spacing w:before="0" w:after="283"/>
              <w:rPr>
                <w:u w:val="single"/>
              </w:rPr>
            </w:pPr>
            <w:r>
              <w:rPr>
                <w:u w:val="single"/>
              </w:rPr>
              <w:t>/s/ William S. Ayer</w:t>
            </w:r>
          </w:p>
        </w:tc>
        <w:tc>
          <w:tcPr>
            <w:tcW w:w="60" w:type="dxa"/>
            <w:tcBorders/>
            <w:shd w:fill="auto" w:val="clear"/>
            <w:tcMar>
              <w:top w:w="0" w:type="dxa"/>
            </w:tcMar>
            <w:vAlign w:val="center"/>
          </w:tcPr>
          <w:p>
            <w:pPr>
              <w:pStyle w:val="TableContents"/>
              <w:spacing w:before="0" w:after="283"/>
              <w:rPr/>
            </w:pPr>
            <w:r>
              <w:rPr/>
              <w:t> </w:t>
            </w:r>
          </w:p>
        </w:tc>
        <w:tc>
          <w:tcPr>
            <w:tcW w:w="2735" w:type="dxa"/>
            <w:tcBorders>
              <w:top w:val="single" w:sz="2" w:space="0" w:color="000000"/>
            </w:tcBorders>
            <w:shd w:fill="auto" w:val="clear"/>
            <w:vAlign w:val="center"/>
          </w:tcPr>
          <w:p>
            <w:pPr>
              <w:pStyle w:val="TableContents"/>
              <w:spacing w:before="0" w:after="283"/>
              <w:rPr>
                <w:u w:val="single"/>
              </w:rPr>
            </w:pPr>
            <w:r>
              <w:rPr>
                <w:u w:val="single"/>
              </w:rPr>
              <w:t>/s/ Judd Gregg</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William S. Ayer, Director</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Judd Gregg, Director</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 </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 </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u w:val="single"/>
              </w:rPr>
            </w:pPr>
            <w:r>
              <w:rPr>
                <w:u w:val="single"/>
              </w:rPr>
              <w:t>/s/ Gordon M. Bethune</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u w:val="single"/>
              </w:rPr>
            </w:pPr>
            <w:r>
              <w:rPr>
                <w:u w:val="single"/>
              </w:rPr>
              <w:t>/s/ Clive R. Hollick</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Gordon M. Bethune, Director</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Clive R. Hollick, Director</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 </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 </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u w:val="single"/>
              </w:rPr>
            </w:pPr>
            <w:r>
              <w:rPr>
                <w:u w:val="single"/>
              </w:rPr>
              <w:t>/s/ Kevin Burke</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u w:val="single"/>
              </w:rPr>
            </w:pPr>
            <w:r>
              <w:rPr>
                <w:u w:val="single"/>
              </w:rPr>
              <w:t>/s/ Grace Lieblein</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Kevin Burke, Director</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Grace Lieblein, Director</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 </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 </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u w:val="single"/>
              </w:rPr>
            </w:pPr>
            <w:r>
              <w:rPr>
                <w:u w:val="single"/>
              </w:rPr>
              <w:t>/s/ Jaime Chico Pardo</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u w:val="single"/>
              </w:rPr>
            </w:pPr>
            <w:r>
              <w:rPr>
                <w:u w:val="single"/>
              </w:rPr>
              <w:t>/s/ George Paz</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Jaime Chico Pardo, Director</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George Paz, Director</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 </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 </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u w:val="single"/>
              </w:rPr>
            </w:pPr>
            <w:r>
              <w:rPr>
                <w:u w:val="single"/>
              </w:rPr>
              <w:t>/s/ D. Scott Davis</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u w:val="single"/>
              </w:rPr>
            </w:pPr>
            <w:r>
              <w:rPr>
                <w:u w:val="single"/>
              </w:rPr>
              <w:t>/s/ Bradley T. Sheares</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D. Scott Davis, Director</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Bradley T. Sheares, Director</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 </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 </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u w:val="single"/>
              </w:rPr>
            </w:pPr>
            <w:r>
              <w:rPr>
                <w:u w:val="single"/>
              </w:rPr>
              <w:t>/s/ Linnet F. Deily</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u w:val="single"/>
              </w:rPr>
            </w:pPr>
            <w:r>
              <w:rPr>
                <w:u w:val="single"/>
              </w:rPr>
              <w:t>/s/ Robin Washington</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Linnet F. Deily, Director</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Robin Washington, Director</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 </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 </w:t>
            </w:r>
          </w:p>
        </w:tc>
        <w:tc>
          <w:tcPr>
            <w:tcW w:w="75" w:type="dxa"/>
            <w:tcBorders/>
            <w:shd w:fill="auto" w:val="clear"/>
            <w:tcMar>
              <w:top w:w="0" w:type="dxa"/>
            </w:tcMar>
            <w:vAlign w:val="center"/>
          </w:tcPr>
          <w:p>
            <w:pPr>
              <w:pStyle w:val="TableContents"/>
              <w:spacing w:before="0" w:after="283"/>
              <w:rPr/>
            </w:pPr>
            <w:r>
              <w:rPr/>
              <w:t> </w:t>
            </w:r>
          </w:p>
        </w:tc>
      </w:tr>
      <w:tr>
        <w:trPr/>
        <w:tc>
          <w:tcPr>
            <w:tcW w:w="2855" w:type="dxa"/>
            <w:tcBorders/>
            <w:shd w:fill="auto" w:val="clear"/>
            <w:tcMar>
              <w:top w:w="0" w:type="dxa"/>
            </w:tcMar>
            <w:vAlign w:val="center"/>
          </w:tcPr>
          <w:p>
            <w:pPr>
              <w:pStyle w:val="TableContents"/>
              <w:spacing w:before="0" w:after="283"/>
              <w:rPr/>
            </w:pPr>
            <w:r>
              <w:rPr/>
              <w:t>Dated: December 11, 2015</w:t>
            </w:r>
          </w:p>
        </w:tc>
        <w:tc>
          <w:tcPr>
            <w:tcW w:w="60" w:type="dxa"/>
            <w:tcBorders/>
            <w:shd w:fill="auto" w:val="clear"/>
            <w:tcMar>
              <w:top w:w="0" w:type="dxa"/>
            </w:tcMar>
            <w:vAlign w:val="center"/>
          </w:tcPr>
          <w:p>
            <w:pPr>
              <w:pStyle w:val="TableContents"/>
              <w:spacing w:before="0" w:after="283"/>
              <w:rPr/>
            </w:pPr>
            <w:r>
              <w:rPr/>
              <w:t> </w:t>
            </w:r>
          </w:p>
        </w:tc>
        <w:tc>
          <w:tcPr>
            <w:tcW w:w="2735" w:type="dxa"/>
            <w:tcBorders/>
            <w:shd w:fill="auto" w:val="clear"/>
            <w:tcMar>
              <w:top w:w="0" w:type="dxa"/>
            </w:tcMar>
            <w:vAlign w:val="center"/>
          </w:tcPr>
          <w:p>
            <w:pPr>
              <w:pStyle w:val="TableContents"/>
              <w:spacing w:before="0" w:after="283"/>
              <w:rPr/>
            </w:pPr>
            <w:r>
              <w:rPr/>
              <w:t> </w:t>
            </w:r>
          </w:p>
        </w:tc>
        <w:tc>
          <w:tcPr>
            <w:tcW w:w="75" w:type="dxa"/>
            <w:tcBorders/>
            <w:shd w:fill="auto" w:val="clear"/>
            <w:tcMar>
              <w:top w:w="0" w:type="dxa"/>
            </w:tcM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POWER OF ATTORNEY</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M. Cote, a director of Honeywell International Inc. (the “Company”), a Delaware corporation, hereby appoint Katherine L. Adams, Adam M. Matteo, Jeffrey N. Neuman, Thomas A. Szlosek and John J. Tus, each with power to act without the other and with power of substitution and resubstitution, as my attorney-in-fact and agent for me and in my name, place and stead in any and all capacities,</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sign the Company’s Annual Report on Form 10-K under the Securities Exchange Act of 1934 for the year ended December 31, 2015,</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sign any amendment to the Annual Report referred to in (i) above, and</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file the documents described in (i) and (ii) above and all exhibits thereto and any and all other documents in connection therewith,</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pStyle w:val="TextBody"/>
        <w:rPr>
          <w:caps w:val="false"/>
          <w:smallCaps w:val="false"/>
        </w:rPr>
      </w:pPr>
      <w:r>
        <w:rPr>
          <w:caps w:val="false"/>
          <w:smallCaps w:val="false"/>
        </w:rPr>
        <w:t> </w:t>
      </w:r>
    </w:p>
    <w:tbl>
      <w:tblPr>
        <w:tblW w:w="4390" w:type="dxa"/>
        <w:jc w:val="left"/>
        <w:tblInd w:w="0" w:type="dxa"/>
        <w:tblCellMar>
          <w:top w:w="0" w:type="dxa"/>
          <w:left w:w="0" w:type="dxa"/>
          <w:bottom w:w="0" w:type="dxa"/>
          <w:right w:w="0" w:type="dxa"/>
        </w:tblCellMar>
      </w:tblPr>
      <w:tblGrid>
        <w:gridCol w:w="2600"/>
        <w:gridCol w:w="1715"/>
        <w:gridCol w:w="75"/>
      </w:tblGrid>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u w:val="single"/>
              </w:rPr>
            </w:pPr>
            <w:r>
              <w:rPr>
                <w:u w:val="single"/>
              </w:rPr>
              <w:t>/s/ David M. Cote</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pPr>
            <w:r>
              <w:rPr/>
              <w:t>David M. Cote</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Dated: December 11, 2015</w:t>
            </w:r>
          </w:p>
        </w:tc>
        <w:tc>
          <w:tcPr>
            <w:tcW w:w="17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POWER OF ATTORNEY</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M. Cote, a director of Honeywell International Inc. (the “Company”), a Delaware corporation, hereby appoint Katherine L. Adams, Adam M. Matteo, Jeffrey N. Neuman, Thomas A. Szlosek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2016,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or the 2011 Stock Incentive Plan of Honeywell International Inc. and its Affiliates, and any plan which is a successor to such plans or is a validly authorized new plan pursuant to which securities of the Company are issued to employees or non-employee directors.</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revoke any or all prior appointments of attorneys-in-fact to sign the above-described documents.</w:t>
      </w:r>
    </w:p>
    <w:p>
      <w:pPr>
        <w:pStyle w:val="TextBody"/>
        <w:rPr>
          <w:caps w:val="false"/>
          <w:smallCaps w:val="false"/>
        </w:rPr>
      </w:pPr>
      <w:r>
        <w:rPr>
          <w:caps w:val="false"/>
          <w:smallCaps w:val="false"/>
        </w:rPr>
        <w:t> </w:t>
      </w:r>
    </w:p>
    <w:tbl>
      <w:tblPr>
        <w:tblW w:w="4390" w:type="dxa"/>
        <w:jc w:val="left"/>
        <w:tblInd w:w="0" w:type="dxa"/>
        <w:tblCellMar>
          <w:top w:w="0" w:type="dxa"/>
          <w:left w:w="0" w:type="dxa"/>
          <w:bottom w:w="0" w:type="dxa"/>
          <w:right w:w="0" w:type="dxa"/>
        </w:tblCellMar>
      </w:tblPr>
      <w:tblGrid>
        <w:gridCol w:w="2600"/>
        <w:gridCol w:w="1715"/>
        <w:gridCol w:w="75"/>
      </w:tblGrid>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u w:val="single"/>
              </w:rPr>
            </w:pPr>
            <w:r>
              <w:rPr>
                <w:u w:val="single"/>
              </w:rPr>
              <w:t>/s/ David M. Cote</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pPr>
            <w:r>
              <w:rPr/>
              <w:t>David M. Cote</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Dated: December 11, 2015</w:t>
            </w:r>
          </w:p>
        </w:tc>
        <w:tc>
          <w:tcPr>
            <w:tcW w:w="17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53" w:type="dxa"/>
        <w:jc w:val="left"/>
        <w:tblInd w:w="0" w:type="dxa"/>
        <w:tblCellMar>
          <w:top w:w="0" w:type="dxa"/>
          <w:left w:w="0" w:type="dxa"/>
          <w:bottom w:w="0" w:type="dxa"/>
          <w:right w:w="0" w:type="dxa"/>
        </w:tblCellMar>
      </w:tblPr>
      <w:tblGrid>
        <w:gridCol w:w="53"/>
      </w:tblGrid>
      <w:tr>
        <w:trPr/>
        <w:tc>
          <w:tcPr>
            <w:tcW w:w="53" w:type="dxa"/>
            <w:tcBorders/>
            <w:shd w:fill="auto" w:val="clear"/>
            <w:vAlign w:val="cente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POWER OF ATTORNEY</w:t>
      </w:r>
    </w:p>
    <w:p>
      <w:pPr>
        <w:pStyle w:val="TextBody"/>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M. Cote, a director of Honeywell International Inc. (the “Company”), a Delaware corporation, hereby appoint Katherine L. Adams, Adam M. Matteo, Jeffrey N. Neuman, Thomas A. Szlosek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2016, and to file the same together with all exhibits thereto, under the Securities Act of 1933, including any amendment or supplement thereto or to any registration statement heretofore filed by the Company for the registration of sales or resales of:</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shares of the Company’s common stock, par value, $1.00 per share, including shares of common stock to be offered under the Dividend Reinvestment and Share Purchase Plan of the Company and any successor or new plan for such purposes;</w:t>
      </w:r>
    </w:p>
    <w:p>
      <w:pPr>
        <w:pStyle w:val="TextBody"/>
        <w:ind w:left="720" w:right="0" w:hanging="0"/>
        <w:rPr>
          <w:caps w:val="false"/>
          <w:smallCaps w:val="false"/>
        </w:rPr>
      </w:pPr>
      <w:r>
        <w:rPr>
          <w:caps w:val="false"/>
          <w:smallCaps w:val="false"/>
        </w:rPr>
        <w:t> </w:t>
      </w:r>
    </w:p>
    <w:p>
      <w:pPr>
        <w:pStyle w:val="TextBody"/>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shares of the Company’s preferred stock, without par value;</w:t>
      </w:r>
    </w:p>
    <w:p>
      <w:pPr>
        <w:pStyle w:val="TextBody"/>
        <w:ind w:left="720" w:right="0" w:hanging="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debt securities of the Company, with such terms as may be from time to time specified in such registration statement or any amendment, post-effective amendment or supplement thereto; and</w:t>
      </w:r>
    </w:p>
    <w:p>
      <w:pPr>
        <w:pStyle w:val="TextBody"/>
        <w:ind w:left="720" w:right="0" w:hanging="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pStyle w:val="TextBody"/>
        <w:ind w:left="0" w:right="0" w:firstLine="547"/>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revoke any or all prior appointments of attorneys-in-fact to the extent that they confer authority to sign the above-described documents.</w:t>
      </w:r>
    </w:p>
    <w:p>
      <w:pPr>
        <w:pStyle w:val="TextBody"/>
        <w:ind w:left="0" w:right="0" w:hanging="0"/>
        <w:rPr>
          <w:caps w:val="false"/>
          <w:smallCaps w:val="false"/>
        </w:rPr>
      </w:pPr>
      <w:r>
        <w:rPr>
          <w:caps w:val="false"/>
          <w:smallCaps w:val="false"/>
        </w:rPr>
        <w:t> </w:t>
      </w:r>
    </w:p>
    <w:tbl>
      <w:tblPr>
        <w:tblW w:w="4390" w:type="dxa"/>
        <w:jc w:val="left"/>
        <w:tblInd w:w="0" w:type="dxa"/>
        <w:tblCellMar>
          <w:top w:w="0" w:type="dxa"/>
          <w:left w:w="0" w:type="dxa"/>
          <w:bottom w:w="0" w:type="dxa"/>
          <w:right w:w="0" w:type="dxa"/>
        </w:tblCellMar>
      </w:tblPr>
      <w:tblGrid>
        <w:gridCol w:w="2600"/>
        <w:gridCol w:w="1715"/>
        <w:gridCol w:w="75"/>
      </w:tblGrid>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u w:val="single"/>
              </w:rPr>
            </w:pPr>
            <w:r>
              <w:rPr>
                <w:u w:val="single"/>
              </w:rPr>
              <w:t>/s/ David M. Cote</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pPr>
            <w:r>
              <w:rPr/>
              <w:t>David M. Cote</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 </w:t>
            </w:r>
          </w:p>
        </w:tc>
        <w:tc>
          <w:tcPr>
            <w:tcW w:w="17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283"/>
              <w:rPr/>
            </w:pPr>
            <w:r>
              <w:rPr/>
              <w:t>Dated: December 11, 2015</w:t>
            </w:r>
          </w:p>
        </w:tc>
        <w:tc>
          <w:tcPr>
            <w:tcW w:w="171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238" w:after="238"/>
        <w:ind w:left="238" w:right="238" w:hanging="0"/>
        <w:jc w:val="right"/>
        <w:rPr>
          <w:rFonts w:ascii="sans-serif" w:hAnsi="sans-serif"/>
          <w:b/>
          <w:sz w:val="22"/>
        </w:rPr>
      </w:pPr>
      <w:r>
        <w:br w:type="page"/>
      </w:r>
      <w:bookmarkStart w:id="42" w:name="c83288_ex31-1.htm"/>
      <w:bookmarkStart w:id="43" w:name="ksc83288_ex311"/>
      <w:bookmarkEnd w:id="42"/>
      <w:bookmarkEnd w:id="43"/>
      <w:r>
        <w:rPr>
          <w:rFonts w:ascii="sans-serif" w:hAnsi="sans-serif"/>
          <w:b/>
          <w:sz w:val="22"/>
        </w:rPr>
        <w:t>EXHIBIT 31.1</w:t>
      </w:r>
    </w:p>
    <w:p>
      <w:pPr>
        <w:pStyle w:val="TextBody"/>
        <w:spacing w:before="198" w:after="198"/>
        <w:ind w:left="198" w:right="198" w:hanging="0"/>
        <w:jc w:val="center"/>
        <w:rPr>
          <w:rFonts w:ascii="sans-serif" w:hAnsi="sans-serif"/>
          <w:b/>
          <w:sz w:val="22"/>
        </w:rPr>
      </w:pPr>
      <w:r>
        <w:rPr>
          <w:rFonts w:ascii="sans-serif" w:hAnsi="sans-serif"/>
          <w:b/>
          <w:sz w:val="22"/>
        </w:rPr>
        <w:t>CERTIFICATION PURSUANT TO</w:t>
        <w:br/>
        <w:t>SECTION 302</w:t>
        <w:br/>
        <w:t>OF THE SARBANES-OXLEY ACT OF 2002</w:t>
      </w:r>
    </w:p>
    <w:p>
      <w:pPr>
        <w:pStyle w:val="TextBody"/>
        <w:spacing w:before="119" w:after="119"/>
        <w:ind w:left="119" w:right="119" w:hanging="0"/>
        <w:jc w:val="both"/>
        <w:rPr>
          <w:rFonts w:ascii="sans-serif" w:hAnsi="sans-serif"/>
          <w:sz w:val="22"/>
        </w:rPr>
      </w:pPr>
      <w:r>
        <w:rPr>
          <w:rFonts w:ascii="sans-serif" w:hAnsi="sans-serif"/>
          <w:sz w:val="22"/>
        </w:rPr>
        <w:t>I, David M. Cote, Chief Executive Officer, certify that:</w:t>
      </w:r>
    </w:p>
    <w:tbl>
      <w:tblPr>
        <w:tblW w:w="10205" w:type="dxa"/>
        <w:jc w:val="left"/>
        <w:tblInd w:w="0" w:type="dxa"/>
        <w:tblCellMar>
          <w:top w:w="0" w:type="dxa"/>
          <w:left w:w="0" w:type="dxa"/>
          <w:bottom w:w="0" w:type="dxa"/>
          <w:right w:w="0" w:type="dxa"/>
        </w:tblCellMar>
      </w:tblPr>
      <w:tblGrid>
        <w:gridCol w:w="75"/>
        <w:gridCol w:w="271"/>
        <w:gridCol w:w="71"/>
        <w:gridCol w:w="9748"/>
        <w:gridCol w:w="40"/>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71"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jc w:val="both"/>
              <w:rPr>
                <w:rFonts w:ascii="sans-serif" w:hAnsi="sans-serif"/>
                <w:sz w:val="22"/>
              </w:rPr>
            </w:pPr>
            <w:r>
              <w:rPr>
                <w:rFonts w:ascii="sans-serif" w:hAnsi="sans-serif"/>
                <w:sz w:val="22"/>
              </w:rPr>
              <w:t>I have reviewed this Annual Report on Form 10-K of Honeywell International Inc.;</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1"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71"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1"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3.</w:t>
            </w:r>
          </w:p>
        </w:tc>
        <w:tc>
          <w:tcPr>
            <w:tcW w:w="71"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1"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4.</w:t>
            </w:r>
          </w:p>
        </w:tc>
        <w:tc>
          <w:tcPr>
            <w:tcW w:w="71"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c>
          <w:tcPr>
            <w:tcW w:w="40"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75"/>
        <w:gridCol w:w="273"/>
        <w:gridCol w:w="70"/>
        <w:gridCol w:w="9748"/>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3" w:type="dxa"/>
            <w:tcBorders/>
            <w:shd w:fill="auto" w:val="clear"/>
          </w:tcPr>
          <w:p>
            <w:pPr>
              <w:pStyle w:val="TableContents"/>
              <w:spacing w:before="0" w:after="283"/>
              <w:jc w:val="right"/>
              <w:rPr>
                <w:rFonts w:ascii="sans-serif" w:hAnsi="sans-serif"/>
                <w:sz w:val="22"/>
              </w:rPr>
            </w:pPr>
            <w:r>
              <w:rPr>
                <w:rFonts w:ascii="sans-serif" w:hAnsi="sans-serif"/>
                <w:sz w:val="22"/>
              </w:rPr>
              <w:t>a)</w:t>
            </w:r>
          </w:p>
        </w:tc>
        <w:tc>
          <w:tcPr>
            <w:tcW w:w="70"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jc w:val="both"/>
              <w:rPr>
                <w:rFonts w:ascii="sans-serif" w:hAnsi="sans-serif"/>
                <w:sz w:val="22"/>
              </w:rPr>
            </w:pPr>
            <w:r>
              <w:rPr>
                <w:rFonts w:ascii="sans-serif" w:hAnsi="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3"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b)</w:t>
            </w:r>
          </w:p>
        </w:tc>
        <w:tc>
          <w:tcPr>
            <w:tcW w:w="70"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3"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c)</w:t>
            </w:r>
          </w:p>
        </w:tc>
        <w:tc>
          <w:tcPr>
            <w:tcW w:w="70"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3"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d)</w:t>
            </w:r>
          </w:p>
        </w:tc>
        <w:tc>
          <w:tcPr>
            <w:tcW w:w="70"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c>
          <w:tcPr>
            <w:tcW w:w="39"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75"/>
        <w:gridCol w:w="173"/>
        <w:gridCol w:w="73"/>
        <w:gridCol w:w="9845"/>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173" w:type="dxa"/>
            <w:tcBorders/>
            <w:shd w:fill="auto" w:val="clear"/>
          </w:tcPr>
          <w:p>
            <w:pPr>
              <w:pStyle w:val="TableContents"/>
              <w:spacing w:before="0" w:after="283"/>
              <w:jc w:val="right"/>
              <w:rPr>
                <w:rFonts w:ascii="sans-serif" w:hAnsi="sans-serif"/>
                <w:sz w:val="22"/>
              </w:rPr>
            </w:pPr>
            <w:r>
              <w:rPr>
                <w:rFonts w:ascii="sans-serif" w:hAnsi="sans-serif"/>
                <w:sz w:val="22"/>
              </w:rPr>
              <w:t>5.</w:t>
            </w:r>
          </w:p>
        </w:tc>
        <w:tc>
          <w:tcPr>
            <w:tcW w:w="73" w:type="dxa"/>
            <w:tcBorders/>
            <w:shd w:fill="auto" w:val="clear"/>
          </w:tcPr>
          <w:p>
            <w:pPr>
              <w:pStyle w:val="TableContents"/>
              <w:spacing w:before="0" w:after="283"/>
              <w:rPr/>
            </w:pPr>
            <w:r>
              <w:rPr/>
              <w:t> </w:t>
            </w:r>
          </w:p>
        </w:tc>
        <w:tc>
          <w:tcPr>
            <w:tcW w:w="9845" w:type="dxa"/>
            <w:tcBorders/>
            <w:shd w:fill="auto" w:val="clear"/>
          </w:tcPr>
          <w:p>
            <w:pPr>
              <w:pStyle w:val="TableContents"/>
              <w:spacing w:before="0" w:after="283"/>
              <w:jc w:val="both"/>
              <w:rPr>
                <w:rFonts w:ascii="sans-serif" w:hAnsi="sans-serif"/>
                <w:sz w:val="22"/>
              </w:rPr>
            </w:pPr>
            <w:r>
              <w:rPr>
                <w:rFonts w:ascii="sans-serif" w:hAnsi="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c>
          <w:tcPr>
            <w:tcW w:w="39"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75"/>
        <w:gridCol w:w="280"/>
        <w:gridCol w:w="74"/>
        <w:gridCol w:w="9737"/>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0" w:type="dxa"/>
            <w:tcBorders/>
            <w:shd w:fill="auto" w:val="clear"/>
          </w:tcPr>
          <w:p>
            <w:pPr>
              <w:pStyle w:val="TableContents"/>
              <w:spacing w:before="0" w:after="283"/>
              <w:jc w:val="right"/>
              <w:rPr>
                <w:rFonts w:ascii="sans-serif" w:hAnsi="sans-serif"/>
                <w:sz w:val="22"/>
              </w:rPr>
            </w:pPr>
            <w:r>
              <w:rPr>
                <w:rFonts w:ascii="sans-serif" w:hAnsi="sans-serif"/>
                <w:sz w:val="22"/>
              </w:rPr>
              <w:t>a)</w:t>
            </w:r>
          </w:p>
        </w:tc>
        <w:tc>
          <w:tcPr>
            <w:tcW w:w="74" w:type="dxa"/>
            <w:tcBorders/>
            <w:shd w:fill="auto" w:val="clear"/>
          </w:tcPr>
          <w:p>
            <w:pPr>
              <w:pStyle w:val="TableContents"/>
              <w:spacing w:before="0" w:after="283"/>
              <w:rPr/>
            </w:pPr>
            <w:r>
              <w:rPr/>
              <w:t> </w:t>
            </w:r>
          </w:p>
        </w:tc>
        <w:tc>
          <w:tcPr>
            <w:tcW w:w="9737" w:type="dxa"/>
            <w:tcBorders/>
            <w:shd w:fill="auto" w:val="clear"/>
          </w:tcPr>
          <w:p>
            <w:pPr>
              <w:pStyle w:val="TableContents"/>
              <w:spacing w:before="0" w:after="283"/>
              <w:jc w:val="both"/>
              <w:rPr>
                <w:rFonts w:ascii="sans-serif" w:hAnsi="sans-serif"/>
                <w:sz w:val="22"/>
              </w:rPr>
            </w:pPr>
            <w:r>
              <w:rPr>
                <w:rFonts w:ascii="sans-serif" w:hAnsi="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0"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b)</w:t>
            </w:r>
          </w:p>
        </w:tc>
        <w:tc>
          <w:tcPr>
            <w:tcW w:w="74" w:type="dxa"/>
            <w:tcBorders/>
            <w:shd w:fill="auto" w:val="clear"/>
          </w:tcPr>
          <w:p>
            <w:pPr>
              <w:pStyle w:val="TableContents"/>
              <w:spacing w:before="0" w:after="283"/>
              <w:rPr/>
            </w:pPr>
            <w:r>
              <w:rPr/>
              <w:t> </w:t>
            </w:r>
          </w:p>
        </w:tc>
        <w:tc>
          <w:tcPr>
            <w:tcW w:w="9737"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any fraud, whether or not material, that involves management or other employees who have a significant role in the registrants internal control over financial reporting.</w:t>
            </w:r>
          </w:p>
        </w:tc>
        <w:tc>
          <w:tcPr>
            <w:tcW w:w="39" w:type="dxa"/>
            <w:tcBorders/>
            <w:shd w:fill="auto" w:val="clear"/>
          </w:tcPr>
          <w:p>
            <w:pPr>
              <w:pStyle w:val="TableContents"/>
              <w:spacing w:before="0" w:after="283"/>
              <w:rPr>
                <w:sz w:val="4"/>
                <w:szCs w:val="4"/>
              </w:rPr>
            </w:pPr>
            <w:r>
              <w:rPr>
                <w:sz w:val="4"/>
                <w:szCs w:val="4"/>
              </w:rPr>
            </w:r>
          </w:p>
        </w:tc>
      </w:tr>
    </w:tbl>
    <w:tbl>
      <w:tblPr>
        <w:tblW w:w="5580" w:type="dxa"/>
        <w:jc w:val="left"/>
        <w:tblInd w:w="0" w:type="dxa"/>
        <w:tblCellMar>
          <w:top w:w="0" w:type="dxa"/>
          <w:left w:w="0" w:type="dxa"/>
          <w:bottom w:w="0" w:type="dxa"/>
          <w:right w:w="0" w:type="dxa"/>
        </w:tblCellMar>
      </w:tblPr>
      <w:tblGrid>
        <w:gridCol w:w="2630"/>
        <w:gridCol w:w="60"/>
        <w:gridCol w:w="365"/>
        <w:gridCol w:w="60"/>
        <w:gridCol w:w="2465"/>
      </w:tblGrid>
      <w:tr>
        <w:trPr/>
        <w:tc>
          <w:tcPr>
            <w:tcW w:w="263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465" w:type="dxa"/>
            <w:tcBorders/>
            <w:shd w:fill="auto" w:val="clear"/>
          </w:tcPr>
          <w:p>
            <w:pPr>
              <w:pStyle w:val="TableContents"/>
              <w:spacing w:before="0" w:after="283"/>
              <w:rPr/>
            </w:pPr>
            <w:r>
              <w:rPr/>
              <w:t> </w:t>
            </w:r>
          </w:p>
        </w:tc>
      </w:tr>
      <w:tr>
        <w:trPr/>
        <w:tc>
          <w:tcPr>
            <w:tcW w:w="2630"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Date: February 12, 2016</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rFonts w:ascii="sans-serif" w:hAnsi="sans-serif"/>
                <w:sz w:val="22"/>
              </w:rPr>
            </w:pPr>
            <w:r>
              <w:rPr>
                <w:rFonts w:ascii="sans-serif" w:hAnsi="sans-serif"/>
                <w:sz w:val="22"/>
              </w:rPr>
              <w:t>By:</w:t>
            </w:r>
          </w:p>
        </w:tc>
        <w:tc>
          <w:tcPr>
            <w:tcW w:w="60" w:type="dxa"/>
            <w:tcBorders/>
            <w:shd w:fill="auto" w:val="clear"/>
          </w:tcPr>
          <w:p>
            <w:pPr>
              <w:pStyle w:val="TableContents"/>
              <w:spacing w:before="0" w:after="283"/>
              <w:rPr/>
            </w:pPr>
            <w:r>
              <w:rPr/>
              <w:t> </w:t>
            </w:r>
          </w:p>
        </w:tc>
        <w:tc>
          <w:tcPr>
            <w:tcW w:w="2465" w:type="dxa"/>
            <w:tcBorders/>
            <w:shd w:fill="auto" w:val="clear"/>
          </w:tcPr>
          <w:p>
            <w:pPr>
              <w:pStyle w:val="TableContents"/>
              <w:spacing w:before="0" w:after="283"/>
              <w:rPr>
                <w:rFonts w:ascii="sans-serif" w:hAnsi="sans-serif"/>
                <w:sz w:val="22"/>
              </w:rPr>
            </w:pPr>
            <w:r>
              <w:rPr>
                <w:rFonts w:ascii="sans-serif" w:hAnsi="sans-serif"/>
                <w:sz w:val="22"/>
              </w:rPr>
              <w:t>/s/ David M. Cote</w:t>
            </w:r>
          </w:p>
        </w:tc>
      </w:tr>
      <w:tr>
        <w:trPr/>
        <w:tc>
          <w:tcPr>
            <w:tcW w:w="3055"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465" w:type="dxa"/>
            <w:tcBorders>
              <w:top w:val="single" w:sz="4" w:space="0" w:color="000000"/>
            </w:tcBorders>
            <w:shd w:fill="auto" w:val="clear"/>
            <w:tcMar>
              <w:top w:w="28" w:type="dxa"/>
            </w:tcMar>
          </w:tcPr>
          <w:p>
            <w:pPr>
              <w:pStyle w:val="TableContents"/>
              <w:spacing w:before="0" w:after="283"/>
              <w:jc w:val="center"/>
              <w:rPr/>
            </w:pPr>
            <w:r>
              <w:rPr/>
              <w:t> </w:t>
            </w:r>
          </w:p>
        </w:tc>
      </w:tr>
      <w:tr>
        <w:trPr/>
        <w:tc>
          <w:tcPr>
            <w:tcW w:w="2630"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465" w:type="dxa"/>
            <w:tcBorders/>
            <w:shd w:fill="auto" w:val="clear"/>
          </w:tcPr>
          <w:p>
            <w:pPr>
              <w:pStyle w:val="TableContents"/>
              <w:spacing w:before="0" w:after="283"/>
              <w:rPr>
                <w:rFonts w:ascii="sans-serif" w:hAnsi="sans-serif"/>
                <w:sz w:val="22"/>
              </w:rPr>
            </w:pPr>
            <w:r>
              <w:rPr>
                <w:rFonts w:ascii="sans-serif" w:hAnsi="sans-serif"/>
                <w:sz w:val="22"/>
              </w:rPr>
              <w:t>David M. Cote</w:t>
              <w:br/>
              <w:t>Chief Executive Officer</w:t>
            </w:r>
          </w:p>
        </w:tc>
      </w:tr>
    </w:tbl>
    <w:p>
      <w:pPr>
        <w:pStyle w:val="HorizontalLine"/>
        <w:pBdr>
          <w:bottom w:val="single" w:sz="20" w:space="0" w:color="000000"/>
        </w:pBdr>
        <w:rPr/>
      </w:pPr>
      <w:r>
        <w:rPr/>
      </w:r>
      <w:r>
        <w:br w:type="page"/>
      </w:r>
    </w:p>
    <w:p>
      <w:pPr>
        <w:pStyle w:val="TextBody"/>
        <w:spacing w:before="238" w:after="238"/>
        <w:ind w:left="238" w:right="238" w:hanging="0"/>
        <w:jc w:val="right"/>
        <w:rPr>
          <w:rFonts w:ascii="sans-serif" w:hAnsi="sans-serif"/>
          <w:b/>
          <w:sz w:val="22"/>
        </w:rPr>
      </w:pPr>
      <w:bookmarkStart w:id="44" w:name="c83288_ex31-2.htm"/>
      <w:bookmarkStart w:id="45" w:name="ksc83288_ex312"/>
      <w:bookmarkEnd w:id="44"/>
      <w:bookmarkEnd w:id="45"/>
      <w:r>
        <w:rPr>
          <w:rFonts w:ascii="sans-serif" w:hAnsi="sans-serif"/>
          <w:b/>
          <w:sz w:val="22"/>
        </w:rPr>
        <w:t>EXHIBIT 31.2</w:t>
      </w:r>
    </w:p>
    <w:p>
      <w:pPr>
        <w:pStyle w:val="TextBody"/>
        <w:spacing w:before="198" w:after="198"/>
        <w:ind w:left="198" w:right="198" w:hanging="0"/>
        <w:jc w:val="center"/>
        <w:rPr>
          <w:rFonts w:ascii="sans-serif" w:hAnsi="sans-serif"/>
          <w:b/>
          <w:sz w:val="22"/>
        </w:rPr>
      </w:pPr>
      <w:r>
        <w:rPr>
          <w:rFonts w:ascii="sans-serif" w:hAnsi="sans-serif"/>
          <w:b/>
          <w:sz w:val="22"/>
        </w:rPr>
        <w:t>CERTIFICATION PURSUANT TO</w:t>
        <w:br/>
        <w:t>SECTION 302</w:t>
        <w:br/>
        <w:t>OF THE SARBANES-OXLEY ACT OF 2002</w:t>
      </w:r>
    </w:p>
    <w:p>
      <w:pPr>
        <w:pStyle w:val="TextBody"/>
        <w:spacing w:before="119" w:after="119"/>
        <w:ind w:left="119" w:right="119" w:hanging="0"/>
        <w:jc w:val="both"/>
        <w:rPr>
          <w:rFonts w:ascii="sans-serif" w:hAnsi="sans-serif"/>
          <w:sz w:val="22"/>
        </w:rPr>
      </w:pPr>
      <w:r>
        <w:rPr>
          <w:rFonts w:ascii="sans-serif" w:hAnsi="sans-serif"/>
          <w:sz w:val="22"/>
        </w:rPr>
        <w:t>I, Thomas A. Szlosek, Chief Financial Officer, certify that:</w:t>
      </w:r>
    </w:p>
    <w:tbl>
      <w:tblPr>
        <w:tblW w:w="10205" w:type="dxa"/>
        <w:jc w:val="left"/>
        <w:tblInd w:w="0" w:type="dxa"/>
        <w:tblCellMar>
          <w:top w:w="0" w:type="dxa"/>
          <w:left w:w="0" w:type="dxa"/>
          <w:bottom w:w="0" w:type="dxa"/>
          <w:right w:w="0" w:type="dxa"/>
        </w:tblCellMar>
      </w:tblPr>
      <w:tblGrid>
        <w:gridCol w:w="75"/>
        <w:gridCol w:w="271"/>
        <w:gridCol w:w="71"/>
        <w:gridCol w:w="9748"/>
        <w:gridCol w:w="40"/>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71"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jc w:val="both"/>
              <w:rPr>
                <w:rFonts w:ascii="sans-serif" w:hAnsi="sans-serif"/>
                <w:sz w:val="22"/>
              </w:rPr>
            </w:pPr>
            <w:r>
              <w:rPr>
                <w:rFonts w:ascii="sans-serif" w:hAnsi="sans-serif"/>
                <w:sz w:val="22"/>
              </w:rPr>
              <w:t>I have reviewed this Annual Report on Form 10-K of Honeywell International Inc.;</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1"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71"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1"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3.</w:t>
            </w:r>
          </w:p>
        </w:tc>
        <w:tc>
          <w:tcPr>
            <w:tcW w:w="71"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c>
          <w:tcPr>
            <w:tcW w:w="40"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1"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4.</w:t>
            </w:r>
          </w:p>
        </w:tc>
        <w:tc>
          <w:tcPr>
            <w:tcW w:w="71"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c>
          <w:tcPr>
            <w:tcW w:w="40"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75"/>
        <w:gridCol w:w="273"/>
        <w:gridCol w:w="70"/>
        <w:gridCol w:w="9748"/>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3" w:type="dxa"/>
            <w:tcBorders/>
            <w:shd w:fill="auto" w:val="clear"/>
          </w:tcPr>
          <w:p>
            <w:pPr>
              <w:pStyle w:val="TableContents"/>
              <w:spacing w:before="0" w:after="283"/>
              <w:jc w:val="right"/>
              <w:rPr>
                <w:rFonts w:ascii="sans-serif" w:hAnsi="sans-serif"/>
                <w:sz w:val="22"/>
              </w:rPr>
            </w:pPr>
            <w:r>
              <w:rPr>
                <w:rFonts w:ascii="sans-serif" w:hAnsi="sans-serif"/>
                <w:sz w:val="22"/>
              </w:rPr>
              <w:t>a)</w:t>
            </w:r>
          </w:p>
        </w:tc>
        <w:tc>
          <w:tcPr>
            <w:tcW w:w="70" w:type="dxa"/>
            <w:tcBorders/>
            <w:shd w:fill="auto" w:val="clear"/>
          </w:tcPr>
          <w:p>
            <w:pPr>
              <w:pStyle w:val="TableContents"/>
              <w:spacing w:before="0" w:after="283"/>
              <w:rPr/>
            </w:pPr>
            <w:r>
              <w:rPr/>
              <w:t> </w:t>
            </w:r>
          </w:p>
        </w:tc>
        <w:tc>
          <w:tcPr>
            <w:tcW w:w="9748" w:type="dxa"/>
            <w:tcBorders/>
            <w:shd w:fill="auto" w:val="clear"/>
          </w:tcPr>
          <w:p>
            <w:pPr>
              <w:pStyle w:val="TableContents"/>
              <w:spacing w:before="0" w:after="283"/>
              <w:jc w:val="both"/>
              <w:rPr>
                <w:rFonts w:ascii="sans-serif" w:hAnsi="sans-serif"/>
                <w:sz w:val="22"/>
              </w:rPr>
            </w:pPr>
            <w:r>
              <w:rPr>
                <w:rFonts w:ascii="sans-serif" w:hAnsi="san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3"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b)</w:t>
            </w:r>
          </w:p>
        </w:tc>
        <w:tc>
          <w:tcPr>
            <w:tcW w:w="70"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3"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c)</w:t>
            </w:r>
          </w:p>
        </w:tc>
        <w:tc>
          <w:tcPr>
            <w:tcW w:w="70"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73"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d)</w:t>
            </w:r>
          </w:p>
        </w:tc>
        <w:tc>
          <w:tcPr>
            <w:tcW w:w="70" w:type="dxa"/>
            <w:tcBorders/>
            <w:shd w:fill="auto" w:val="clear"/>
          </w:tcPr>
          <w:p>
            <w:pPr>
              <w:pStyle w:val="TableContents"/>
              <w:spacing w:before="0" w:after="283"/>
              <w:rPr/>
            </w:pPr>
            <w:r>
              <w:rPr/>
              <w:t> </w:t>
            </w:r>
          </w:p>
        </w:tc>
        <w:tc>
          <w:tcPr>
            <w:tcW w:w="9748"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c>
          <w:tcPr>
            <w:tcW w:w="39"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75"/>
        <w:gridCol w:w="173"/>
        <w:gridCol w:w="73"/>
        <w:gridCol w:w="9845"/>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173" w:type="dxa"/>
            <w:tcBorders/>
            <w:shd w:fill="auto" w:val="clear"/>
          </w:tcPr>
          <w:p>
            <w:pPr>
              <w:pStyle w:val="TableContents"/>
              <w:spacing w:before="0" w:after="283"/>
              <w:jc w:val="right"/>
              <w:rPr>
                <w:rFonts w:ascii="sans-serif" w:hAnsi="sans-serif"/>
                <w:sz w:val="22"/>
              </w:rPr>
            </w:pPr>
            <w:r>
              <w:rPr>
                <w:rFonts w:ascii="sans-serif" w:hAnsi="sans-serif"/>
                <w:sz w:val="22"/>
              </w:rPr>
              <w:t>5.</w:t>
            </w:r>
          </w:p>
        </w:tc>
        <w:tc>
          <w:tcPr>
            <w:tcW w:w="73" w:type="dxa"/>
            <w:tcBorders/>
            <w:shd w:fill="auto" w:val="clear"/>
          </w:tcPr>
          <w:p>
            <w:pPr>
              <w:pStyle w:val="TableContents"/>
              <w:spacing w:before="0" w:after="283"/>
              <w:rPr/>
            </w:pPr>
            <w:r>
              <w:rPr/>
              <w:t> </w:t>
            </w:r>
          </w:p>
        </w:tc>
        <w:tc>
          <w:tcPr>
            <w:tcW w:w="9845" w:type="dxa"/>
            <w:tcBorders/>
            <w:shd w:fill="auto" w:val="clear"/>
          </w:tcPr>
          <w:p>
            <w:pPr>
              <w:pStyle w:val="TableContents"/>
              <w:spacing w:before="0" w:after="283"/>
              <w:jc w:val="both"/>
              <w:rPr>
                <w:rFonts w:ascii="sans-serif" w:hAnsi="sans-serif"/>
                <w:sz w:val="22"/>
              </w:rPr>
            </w:pPr>
            <w:r>
              <w:rPr>
                <w:rFonts w:ascii="sans-serif" w:hAnsi="san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c>
          <w:tcPr>
            <w:tcW w:w="39" w:type="dxa"/>
            <w:tcBorders/>
            <w:shd w:fill="auto" w:val="clear"/>
          </w:tcPr>
          <w:p>
            <w:pPr>
              <w:pStyle w:val="TableContents"/>
              <w:spacing w:before="0" w:after="283"/>
              <w:rPr>
                <w:sz w:val="4"/>
                <w:szCs w:val="4"/>
              </w:rPr>
            </w:pPr>
            <w:r>
              <w:rPr>
                <w:sz w:val="4"/>
                <w:szCs w:val="4"/>
              </w:rPr>
            </w:r>
          </w:p>
        </w:tc>
      </w:tr>
    </w:tbl>
    <w:tbl>
      <w:tblPr>
        <w:tblW w:w="10205" w:type="dxa"/>
        <w:jc w:val="left"/>
        <w:tblInd w:w="0" w:type="dxa"/>
        <w:tblCellMar>
          <w:top w:w="0" w:type="dxa"/>
          <w:left w:w="0" w:type="dxa"/>
          <w:bottom w:w="0" w:type="dxa"/>
          <w:right w:w="0" w:type="dxa"/>
        </w:tblCellMar>
      </w:tblPr>
      <w:tblGrid>
        <w:gridCol w:w="75"/>
        <w:gridCol w:w="280"/>
        <w:gridCol w:w="74"/>
        <w:gridCol w:w="9737"/>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0" w:type="dxa"/>
            <w:tcBorders/>
            <w:shd w:fill="auto" w:val="clear"/>
          </w:tcPr>
          <w:p>
            <w:pPr>
              <w:pStyle w:val="TableContents"/>
              <w:spacing w:before="0" w:after="283"/>
              <w:jc w:val="right"/>
              <w:rPr>
                <w:rFonts w:ascii="sans-serif" w:hAnsi="sans-serif"/>
                <w:sz w:val="22"/>
              </w:rPr>
            </w:pPr>
            <w:r>
              <w:rPr>
                <w:rFonts w:ascii="sans-serif" w:hAnsi="sans-serif"/>
                <w:sz w:val="22"/>
              </w:rPr>
              <w:t>a)</w:t>
            </w:r>
          </w:p>
        </w:tc>
        <w:tc>
          <w:tcPr>
            <w:tcW w:w="74" w:type="dxa"/>
            <w:tcBorders/>
            <w:shd w:fill="auto" w:val="clear"/>
          </w:tcPr>
          <w:p>
            <w:pPr>
              <w:pStyle w:val="TableContents"/>
              <w:spacing w:before="0" w:after="283"/>
              <w:rPr/>
            </w:pPr>
            <w:r>
              <w:rPr/>
              <w:t> </w:t>
            </w:r>
          </w:p>
        </w:tc>
        <w:tc>
          <w:tcPr>
            <w:tcW w:w="9737" w:type="dxa"/>
            <w:tcBorders/>
            <w:shd w:fill="auto" w:val="clear"/>
          </w:tcPr>
          <w:p>
            <w:pPr>
              <w:pStyle w:val="TableContents"/>
              <w:spacing w:before="0" w:after="283"/>
              <w:jc w:val="both"/>
              <w:rPr>
                <w:rFonts w:ascii="sans-serif" w:hAnsi="sans-serif"/>
                <w:sz w:val="22"/>
              </w:rPr>
            </w:pPr>
            <w:r>
              <w:rPr>
                <w:rFonts w:ascii="sans-serif" w:hAnsi="san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280"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b)</w:t>
            </w:r>
          </w:p>
        </w:tc>
        <w:tc>
          <w:tcPr>
            <w:tcW w:w="74" w:type="dxa"/>
            <w:tcBorders/>
            <w:shd w:fill="auto" w:val="clear"/>
          </w:tcPr>
          <w:p>
            <w:pPr>
              <w:pStyle w:val="TableContents"/>
              <w:spacing w:before="0" w:after="283"/>
              <w:rPr/>
            </w:pPr>
            <w:r>
              <w:rPr/>
              <w:t> </w:t>
            </w:r>
          </w:p>
        </w:tc>
        <w:tc>
          <w:tcPr>
            <w:tcW w:w="9737"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any fraud, whether or not material, that involves management or other employees who have a significant role in the registrants internal control over financial reporting.</w:t>
            </w:r>
          </w:p>
        </w:tc>
        <w:tc>
          <w:tcPr>
            <w:tcW w:w="39" w:type="dxa"/>
            <w:tcBorders/>
            <w:shd w:fill="auto" w:val="clear"/>
          </w:tcPr>
          <w:p>
            <w:pPr>
              <w:pStyle w:val="TableContents"/>
              <w:spacing w:before="0" w:after="283"/>
              <w:rPr>
                <w:sz w:val="4"/>
                <w:szCs w:val="4"/>
              </w:rPr>
            </w:pPr>
            <w:r>
              <w:rPr>
                <w:sz w:val="4"/>
                <w:szCs w:val="4"/>
              </w:rPr>
            </w:r>
          </w:p>
        </w:tc>
      </w:tr>
    </w:tbl>
    <w:tbl>
      <w:tblPr>
        <w:tblW w:w="5505" w:type="dxa"/>
        <w:jc w:val="left"/>
        <w:tblInd w:w="0" w:type="dxa"/>
        <w:tblCellMar>
          <w:top w:w="0" w:type="dxa"/>
          <w:left w:w="0" w:type="dxa"/>
          <w:bottom w:w="0" w:type="dxa"/>
          <w:right w:w="0" w:type="dxa"/>
        </w:tblCellMar>
      </w:tblPr>
      <w:tblGrid>
        <w:gridCol w:w="2630"/>
        <w:gridCol w:w="60"/>
        <w:gridCol w:w="365"/>
        <w:gridCol w:w="60"/>
        <w:gridCol w:w="2390"/>
      </w:tblGrid>
      <w:tr>
        <w:trPr/>
        <w:tc>
          <w:tcPr>
            <w:tcW w:w="263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390" w:type="dxa"/>
            <w:tcBorders/>
            <w:shd w:fill="auto" w:val="clear"/>
          </w:tcPr>
          <w:p>
            <w:pPr>
              <w:pStyle w:val="TableContents"/>
              <w:spacing w:before="0" w:after="283"/>
              <w:rPr/>
            </w:pPr>
            <w:r>
              <w:rPr/>
              <w:t> </w:t>
            </w:r>
          </w:p>
        </w:tc>
      </w:tr>
      <w:tr>
        <w:trPr/>
        <w:tc>
          <w:tcPr>
            <w:tcW w:w="2630"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Date: February 12, 2016</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rFonts w:ascii="sans-serif" w:hAnsi="sans-serif"/>
                <w:sz w:val="22"/>
              </w:rPr>
            </w:pPr>
            <w:r>
              <w:rPr>
                <w:rFonts w:ascii="sans-serif" w:hAnsi="sans-serif"/>
                <w:sz w:val="22"/>
              </w:rPr>
              <w:t>By:</w:t>
            </w:r>
          </w:p>
        </w:tc>
        <w:tc>
          <w:tcPr>
            <w:tcW w:w="60" w:type="dxa"/>
            <w:tcBorders/>
            <w:shd w:fill="auto" w:val="clear"/>
          </w:tcPr>
          <w:p>
            <w:pPr>
              <w:pStyle w:val="TableContents"/>
              <w:spacing w:before="0" w:after="283"/>
              <w:rPr/>
            </w:pPr>
            <w:r>
              <w:rPr/>
              <w:t> </w:t>
            </w:r>
          </w:p>
        </w:tc>
        <w:tc>
          <w:tcPr>
            <w:tcW w:w="2390" w:type="dxa"/>
            <w:tcBorders/>
            <w:shd w:fill="auto" w:val="clear"/>
          </w:tcPr>
          <w:p>
            <w:pPr>
              <w:pStyle w:val="TableContents"/>
              <w:spacing w:before="0" w:after="283"/>
              <w:rPr>
                <w:rFonts w:ascii="sans-serif" w:hAnsi="sans-serif"/>
                <w:sz w:val="22"/>
              </w:rPr>
            </w:pPr>
            <w:r>
              <w:rPr>
                <w:rFonts w:ascii="sans-serif" w:hAnsi="sans-serif"/>
                <w:sz w:val="22"/>
              </w:rPr>
              <w:t>/s/ Thomas A. Szlosek</w:t>
            </w:r>
          </w:p>
        </w:tc>
      </w:tr>
      <w:tr>
        <w:trPr/>
        <w:tc>
          <w:tcPr>
            <w:tcW w:w="3055"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390" w:type="dxa"/>
            <w:tcBorders>
              <w:top w:val="single" w:sz="4" w:space="0" w:color="000000"/>
            </w:tcBorders>
            <w:shd w:fill="auto" w:val="clear"/>
            <w:tcMar>
              <w:top w:w="28" w:type="dxa"/>
            </w:tcMar>
          </w:tcPr>
          <w:p>
            <w:pPr>
              <w:pStyle w:val="TableContents"/>
              <w:spacing w:before="0" w:after="283"/>
              <w:jc w:val="center"/>
              <w:rPr/>
            </w:pPr>
            <w:r>
              <w:rPr/>
              <w:t> </w:t>
            </w:r>
          </w:p>
        </w:tc>
      </w:tr>
      <w:tr>
        <w:trPr/>
        <w:tc>
          <w:tcPr>
            <w:tcW w:w="2630"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390" w:type="dxa"/>
            <w:tcBorders/>
            <w:shd w:fill="auto" w:val="clear"/>
          </w:tcPr>
          <w:p>
            <w:pPr>
              <w:pStyle w:val="TableContents"/>
              <w:spacing w:before="0" w:after="283"/>
              <w:rPr>
                <w:rFonts w:ascii="sans-serif" w:hAnsi="sans-serif"/>
                <w:sz w:val="22"/>
              </w:rPr>
            </w:pPr>
            <w:r>
              <w:rPr>
                <w:rFonts w:ascii="sans-serif" w:hAnsi="sans-serif"/>
                <w:sz w:val="22"/>
              </w:rPr>
              <w:t>Thomas A. Szlosek</w:t>
              <w:br/>
              <w:t>Chief Financial Officer</w:t>
            </w:r>
          </w:p>
        </w:tc>
      </w:tr>
    </w:tbl>
    <w:p>
      <w:pPr>
        <w:pStyle w:val="HorizontalLine"/>
        <w:pBdr>
          <w:bottom w:val="single" w:sz="20" w:space="0" w:color="000000"/>
        </w:pBdr>
        <w:rPr/>
      </w:pPr>
      <w:r>
        <w:rPr/>
      </w:r>
      <w:r>
        <w:br w:type="page"/>
      </w:r>
    </w:p>
    <w:p>
      <w:pPr>
        <w:pStyle w:val="TextBody"/>
        <w:spacing w:before="238" w:after="238"/>
        <w:ind w:left="238" w:right="238" w:hanging="0"/>
        <w:jc w:val="right"/>
        <w:rPr>
          <w:rFonts w:ascii="sans-serif" w:hAnsi="sans-serif"/>
          <w:b/>
          <w:sz w:val="22"/>
        </w:rPr>
      </w:pPr>
      <w:bookmarkStart w:id="46" w:name="c83288_ex32-1.htm"/>
      <w:bookmarkStart w:id="47" w:name="ksc83288_ex321"/>
      <w:bookmarkEnd w:id="46"/>
      <w:bookmarkEnd w:id="47"/>
      <w:r>
        <w:rPr>
          <w:rFonts w:ascii="sans-serif" w:hAnsi="sans-serif"/>
          <w:b/>
          <w:sz w:val="22"/>
        </w:rPr>
        <w:t>EXHIBIT 32.1</w:t>
      </w:r>
    </w:p>
    <w:p>
      <w:pPr>
        <w:pStyle w:val="TextBody"/>
        <w:spacing w:before="198" w:after="198"/>
        <w:ind w:left="198" w:right="198" w:hanging="0"/>
        <w:jc w:val="center"/>
        <w:rPr>
          <w:rFonts w:ascii="sans-serif" w:hAnsi="sans-serif"/>
          <w:b/>
          <w:sz w:val="22"/>
        </w:rPr>
      </w:pPr>
      <w:r>
        <w:rPr>
          <w:rFonts w:ascii="sans-serif" w:hAnsi="sans-serif"/>
          <w:b/>
          <w:sz w:val="22"/>
        </w:rPr>
        <w:t>CERTIFICATION PURSUANT TO</w:t>
        <w:br/>
        <w:t>18 U.S.C. SECTION 1350,</w:t>
        <w:br/>
        <w:t>AS ADOPTED PURSUANT TO</w:t>
        <w:br/>
        <w:t>SECTION 906 OF THE SARBANES-OXLEY ACT OF 2002</w:t>
      </w:r>
    </w:p>
    <w:p>
      <w:pPr>
        <w:pStyle w:val="TextBody"/>
        <w:spacing w:before="119" w:after="119"/>
        <w:ind w:left="119" w:right="119" w:hanging="0"/>
        <w:jc w:val="both"/>
        <w:rPr>
          <w:rFonts w:ascii="sans-serif" w:hAnsi="sans-serif"/>
          <w:sz w:val="22"/>
        </w:rPr>
      </w:pPr>
      <w:r>
        <w:rPr>
          <w:rFonts w:ascii="sans-serif" w:hAnsi="sans-serif"/>
          <w:sz w:val="22"/>
        </w:rPr>
        <w:t>In connection with the Annual Report of Honeywell International Inc. (the Company) on Form 10-K for the period ending December 31, 2015 as filed with the Securities and Exchange Commission on the date hereof (the Report), I, David M. Cote, Chief Executive Officer of the Company, certify, pursuant to 18 U.S.C. Section 1350, as adopted pursuant to Section 906 of the Sarbanes-Oxley Act of 2002, that:</w:t>
      </w:r>
    </w:p>
    <w:tbl>
      <w:tblPr>
        <w:tblW w:w="10205" w:type="dxa"/>
        <w:jc w:val="left"/>
        <w:tblInd w:w="0" w:type="dxa"/>
        <w:tblCellMar>
          <w:top w:w="0" w:type="dxa"/>
          <w:left w:w="0" w:type="dxa"/>
          <w:bottom w:w="0" w:type="dxa"/>
          <w:right w:w="0" w:type="dxa"/>
        </w:tblCellMar>
      </w:tblPr>
      <w:tblGrid>
        <w:gridCol w:w="75"/>
        <w:gridCol w:w="375"/>
        <w:gridCol w:w="86"/>
        <w:gridCol w:w="9630"/>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7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86" w:type="dxa"/>
            <w:tcBorders/>
            <w:shd w:fill="auto" w:val="clear"/>
          </w:tcPr>
          <w:p>
            <w:pPr>
              <w:pStyle w:val="TableContents"/>
              <w:spacing w:before="0" w:after="283"/>
              <w:rPr/>
            </w:pPr>
            <w:r>
              <w:rPr/>
              <w:t> </w:t>
            </w:r>
          </w:p>
        </w:tc>
        <w:tc>
          <w:tcPr>
            <w:tcW w:w="9630" w:type="dxa"/>
            <w:tcBorders/>
            <w:shd w:fill="auto" w:val="clear"/>
          </w:tcPr>
          <w:p>
            <w:pPr>
              <w:pStyle w:val="TableContents"/>
              <w:spacing w:before="0" w:after="283"/>
              <w:jc w:val="both"/>
              <w:rPr>
                <w:rFonts w:ascii="sans-serif" w:hAnsi="sans-serif"/>
                <w:sz w:val="22"/>
              </w:rPr>
            </w:pPr>
            <w:r>
              <w:rPr>
                <w:rFonts w:ascii="sans-serif" w:hAnsi="sans-serif"/>
                <w:sz w:val="22"/>
              </w:rPr>
              <w:t>The Report fully complies with the requirements of Section 13(a) or 15(d) of the Securities Exchange Act of 1934; and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75"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86" w:type="dxa"/>
            <w:tcBorders/>
            <w:shd w:fill="auto" w:val="clear"/>
          </w:tcPr>
          <w:p>
            <w:pPr>
              <w:pStyle w:val="TableContents"/>
              <w:spacing w:before="0" w:after="283"/>
              <w:rPr/>
            </w:pPr>
            <w:r>
              <w:rPr/>
              <w:t> </w:t>
            </w:r>
          </w:p>
        </w:tc>
        <w:tc>
          <w:tcPr>
            <w:tcW w:w="963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information contained in the Report fairly presents, in all material respects, the financial condition and results of operations of the Company.</w:t>
            </w:r>
          </w:p>
        </w:tc>
        <w:tc>
          <w:tcPr>
            <w:tcW w:w="39" w:type="dxa"/>
            <w:tcBorders/>
            <w:shd w:fill="auto" w:val="clear"/>
          </w:tcPr>
          <w:p>
            <w:pPr>
              <w:pStyle w:val="TableContents"/>
              <w:spacing w:before="0" w:after="283"/>
              <w:rPr>
                <w:sz w:val="4"/>
                <w:szCs w:val="4"/>
              </w:rPr>
            </w:pPr>
            <w:r>
              <w:rPr>
                <w:sz w:val="4"/>
                <w:szCs w:val="4"/>
              </w:rPr>
            </w:r>
          </w:p>
        </w:tc>
      </w:tr>
    </w:tbl>
    <w:tbl>
      <w:tblPr>
        <w:tblW w:w="5580" w:type="dxa"/>
        <w:jc w:val="left"/>
        <w:tblInd w:w="0" w:type="dxa"/>
        <w:tblCellMar>
          <w:top w:w="0" w:type="dxa"/>
          <w:left w:w="0" w:type="dxa"/>
          <w:bottom w:w="0" w:type="dxa"/>
          <w:right w:w="0" w:type="dxa"/>
        </w:tblCellMar>
      </w:tblPr>
      <w:tblGrid>
        <w:gridCol w:w="2630"/>
        <w:gridCol w:w="60"/>
        <w:gridCol w:w="365"/>
        <w:gridCol w:w="60"/>
        <w:gridCol w:w="2465"/>
      </w:tblGrid>
      <w:tr>
        <w:trPr/>
        <w:tc>
          <w:tcPr>
            <w:tcW w:w="263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465" w:type="dxa"/>
            <w:tcBorders/>
            <w:shd w:fill="auto" w:val="clear"/>
          </w:tcPr>
          <w:p>
            <w:pPr>
              <w:pStyle w:val="TableContents"/>
              <w:spacing w:before="0" w:after="283"/>
              <w:rPr/>
            </w:pPr>
            <w:r>
              <w:rPr/>
              <w:t> </w:t>
            </w:r>
          </w:p>
        </w:tc>
      </w:tr>
      <w:tr>
        <w:trPr/>
        <w:tc>
          <w:tcPr>
            <w:tcW w:w="2630"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Date: February 12, 2016</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rFonts w:ascii="sans-serif" w:hAnsi="sans-serif"/>
                <w:sz w:val="22"/>
              </w:rPr>
            </w:pPr>
            <w:r>
              <w:rPr>
                <w:rFonts w:ascii="sans-serif" w:hAnsi="sans-serif"/>
                <w:sz w:val="22"/>
              </w:rPr>
              <w:t>By:</w:t>
            </w:r>
          </w:p>
        </w:tc>
        <w:tc>
          <w:tcPr>
            <w:tcW w:w="60" w:type="dxa"/>
            <w:tcBorders/>
            <w:shd w:fill="auto" w:val="clear"/>
          </w:tcPr>
          <w:p>
            <w:pPr>
              <w:pStyle w:val="TableContents"/>
              <w:spacing w:before="0" w:after="283"/>
              <w:rPr/>
            </w:pPr>
            <w:r>
              <w:rPr/>
              <w:t> </w:t>
            </w:r>
          </w:p>
        </w:tc>
        <w:tc>
          <w:tcPr>
            <w:tcW w:w="2465" w:type="dxa"/>
            <w:tcBorders/>
            <w:shd w:fill="auto" w:val="clear"/>
          </w:tcPr>
          <w:p>
            <w:pPr>
              <w:pStyle w:val="TableContents"/>
              <w:spacing w:before="0" w:after="283"/>
              <w:rPr>
                <w:rFonts w:ascii="sans-serif" w:hAnsi="sans-serif"/>
                <w:sz w:val="22"/>
              </w:rPr>
            </w:pPr>
            <w:r>
              <w:rPr>
                <w:rFonts w:ascii="sans-serif" w:hAnsi="sans-serif"/>
                <w:sz w:val="22"/>
              </w:rPr>
              <w:t>/s/ David M. Cote</w:t>
            </w:r>
          </w:p>
        </w:tc>
      </w:tr>
      <w:tr>
        <w:trPr/>
        <w:tc>
          <w:tcPr>
            <w:tcW w:w="3055"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465" w:type="dxa"/>
            <w:tcBorders>
              <w:top w:val="single" w:sz="4" w:space="0" w:color="000000"/>
            </w:tcBorders>
            <w:shd w:fill="auto" w:val="clear"/>
            <w:tcMar>
              <w:top w:w="28" w:type="dxa"/>
            </w:tcMar>
          </w:tcPr>
          <w:p>
            <w:pPr>
              <w:pStyle w:val="TableContents"/>
              <w:spacing w:before="0" w:after="283"/>
              <w:jc w:val="center"/>
              <w:rPr/>
            </w:pPr>
            <w:r>
              <w:rPr/>
              <w:t> </w:t>
            </w:r>
          </w:p>
        </w:tc>
      </w:tr>
      <w:tr>
        <w:trPr/>
        <w:tc>
          <w:tcPr>
            <w:tcW w:w="2630"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465" w:type="dxa"/>
            <w:tcBorders/>
            <w:shd w:fill="auto" w:val="clear"/>
          </w:tcPr>
          <w:p>
            <w:pPr>
              <w:pStyle w:val="TableContents"/>
              <w:spacing w:before="0" w:after="283"/>
              <w:rPr>
                <w:rFonts w:ascii="sans-serif" w:hAnsi="sans-serif"/>
                <w:sz w:val="22"/>
              </w:rPr>
            </w:pPr>
            <w:r>
              <w:rPr>
                <w:rFonts w:ascii="sans-serif" w:hAnsi="sans-serif"/>
                <w:sz w:val="22"/>
              </w:rPr>
              <w:t>David M. Cote</w:t>
              <w:br/>
              <w:t>Chief Executive Officer</w:t>
            </w:r>
          </w:p>
        </w:tc>
      </w:tr>
    </w:tbl>
    <w:p>
      <w:pPr>
        <w:pStyle w:val="HorizontalLine"/>
        <w:pBdr>
          <w:bottom w:val="single" w:sz="20" w:space="0" w:color="000000"/>
        </w:pBdr>
        <w:rPr/>
      </w:pPr>
      <w:r>
        <w:rPr/>
      </w:r>
      <w:r>
        <w:br w:type="page"/>
      </w:r>
    </w:p>
    <w:p>
      <w:pPr>
        <w:pStyle w:val="TextBody"/>
        <w:spacing w:before="238" w:after="238"/>
        <w:ind w:left="238" w:right="238" w:hanging="0"/>
        <w:jc w:val="right"/>
        <w:rPr>
          <w:rFonts w:ascii="sans-serif" w:hAnsi="sans-serif"/>
          <w:b/>
          <w:sz w:val="22"/>
        </w:rPr>
      </w:pPr>
      <w:bookmarkStart w:id="48" w:name="c83288_ex32-2.htm"/>
      <w:bookmarkStart w:id="49" w:name="ksc83288_ex322"/>
      <w:bookmarkEnd w:id="48"/>
      <w:bookmarkEnd w:id="49"/>
      <w:r>
        <w:rPr>
          <w:rFonts w:ascii="sans-serif" w:hAnsi="sans-serif"/>
          <w:b/>
          <w:sz w:val="22"/>
        </w:rPr>
        <w:t>EXHIBIT 32.2</w:t>
      </w:r>
    </w:p>
    <w:p>
      <w:pPr>
        <w:pStyle w:val="TextBody"/>
        <w:spacing w:before="198" w:after="198"/>
        <w:ind w:left="198" w:right="198" w:hanging="0"/>
        <w:jc w:val="center"/>
        <w:rPr>
          <w:rFonts w:ascii="sans-serif" w:hAnsi="sans-serif"/>
          <w:b/>
          <w:sz w:val="22"/>
        </w:rPr>
      </w:pPr>
      <w:r>
        <w:rPr>
          <w:rFonts w:ascii="sans-serif" w:hAnsi="sans-serif"/>
          <w:b/>
          <w:sz w:val="22"/>
        </w:rPr>
        <w:t>CERTIFICATION PURSUANT TO</w:t>
        <w:br/>
        <w:t>18 U.S.C. SECTION 1350,</w:t>
        <w:br/>
        <w:t>AS ADOPTED PURSUANT TO</w:t>
        <w:br/>
        <w:t>SECTION 906 OF THE SARBANES-OXLEY ACT OF 2002</w:t>
      </w:r>
    </w:p>
    <w:p>
      <w:pPr>
        <w:pStyle w:val="TextBody"/>
        <w:spacing w:before="119" w:after="119"/>
        <w:ind w:left="119" w:right="119" w:hanging="0"/>
        <w:jc w:val="both"/>
        <w:rPr>
          <w:rFonts w:ascii="sans-serif" w:hAnsi="sans-serif"/>
          <w:sz w:val="22"/>
        </w:rPr>
      </w:pPr>
      <w:r>
        <w:rPr>
          <w:rFonts w:ascii="sans-serif" w:hAnsi="sans-serif"/>
          <w:sz w:val="22"/>
        </w:rPr>
        <w:t>In connection with the Annual Report of Honeywell International Inc. (the Company) on Form 10-K for the period ending December 31, 2015 as filed with the Securities and Exchange Commission on the date hereof (the Report), I, Thomas A. Szlosek, Chief Financial Officer of the Company, certify, pursuant to 18 U.S.C. Section 1350, as adopted pursuant to Section 906 of the Sarbanes-Oxley Act of 2002, that:</w:t>
      </w:r>
    </w:p>
    <w:tbl>
      <w:tblPr>
        <w:tblW w:w="10205" w:type="dxa"/>
        <w:jc w:val="left"/>
        <w:tblInd w:w="0" w:type="dxa"/>
        <w:tblCellMar>
          <w:top w:w="0" w:type="dxa"/>
          <w:left w:w="0" w:type="dxa"/>
          <w:bottom w:w="0" w:type="dxa"/>
          <w:right w:w="0" w:type="dxa"/>
        </w:tblCellMar>
      </w:tblPr>
      <w:tblGrid>
        <w:gridCol w:w="75"/>
        <w:gridCol w:w="375"/>
        <w:gridCol w:w="86"/>
        <w:gridCol w:w="9630"/>
        <w:gridCol w:w="39"/>
      </w:tblGrid>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75" w:type="dxa"/>
            <w:tcBorders/>
            <w:shd w:fill="auto" w:val="clear"/>
          </w:tcPr>
          <w:p>
            <w:pPr>
              <w:pStyle w:val="TableContents"/>
              <w:spacing w:before="0" w:after="283"/>
              <w:jc w:val="right"/>
              <w:rPr>
                <w:rFonts w:ascii="sans-serif" w:hAnsi="sans-serif"/>
                <w:sz w:val="22"/>
              </w:rPr>
            </w:pPr>
            <w:r>
              <w:rPr>
                <w:rFonts w:ascii="sans-serif" w:hAnsi="sans-serif"/>
                <w:sz w:val="22"/>
              </w:rPr>
              <w:t>(1)</w:t>
            </w:r>
          </w:p>
        </w:tc>
        <w:tc>
          <w:tcPr>
            <w:tcW w:w="86" w:type="dxa"/>
            <w:tcBorders/>
            <w:shd w:fill="auto" w:val="clear"/>
          </w:tcPr>
          <w:p>
            <w:pPr>
              <w:pStyle w:val="TableContents"/>
              <w:spacing w:before="0" w:after="283"/>
              <w:rPr/>
            </w:pPr>
            <w:r>
              <w:rPr/>
              <w:t> </w:t>
            </w:r>
          </w:p>
        </w:tc>
        <w:tc>
          <w:tcPr>
            <w:tcW w:w="9630" w:type="dxa"/>
            <w:tcBorders/>
            <w:shd w:fill="auto" w:val="clear"/>
          </w:tcPr>
          <w:p>
            <w:pPr>
              <w:pStyle w:val="TableContents"/>
              <w:spacing w:before="0" w:after="283"/>
              <w:jc w:val="both"/>
              <w:rPr>
                <w:rFonts w:ascii="sans-serif" w:hAnsi="sans-serif"/>
                <w:sz w:val="22"/>
              </w:rPr>
            </w:pPr>
            <w:r>
              <w:rPr>
                <w:rFonts w:ascii="sans-serif" w:hAnsi="sans-serif"/>
                <w:sz w:val="22"/>
              </w:rPr>
              <w:t>The Report fully complies with the requirements of Section 13(a) or 15(d) of the Securities Exchange Act of 1934; and</w:t>
            </w:r>
          </w:p>
        </w:tc>
        <w:tc>
          <w:tcPr>
            <w:tcW w:w="39"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75" w:type="dxa"/>
            <w:tcBorders/>
            <w:shd w:fill="auto" w:val="clear"/>
          </w:tcPr>
          <w:p>
            <w:pPr>
              <w:pStyle w:val="TableContents"/>
              <w:spacing w:before="0" w:after="283"/>
              <w:rPr/>
            </w:pPr>
            <w:r>
              <w:rPr/>
              <w:t> </w:t>
            </w:r>
          </w:p>
        </w:tc>
        <w:tc>
          <w:tcPr>
            <w:tcW w:w="375" w:type="dxa"/>
            <w:tcBorders/>
            <w:shd w:fill="auto" w:val="clear"/>
          </w:tcPr>
          <w:p>
            <w:pPr>
              <w:pStyle w:val="TableContents"/>
              <w:spacing w:before="102" w:after="102"/>
              <w:ind w:left="102" w:right="102" w:hanging="0"/>
              <w:jc w:val="right"/>
              <w:rPr>
                <w:rFonts w:ascii="sans-serif" w:hAnsi="sans-serif"/>
                <w:sz w:val="22"/>
              </w:rPr>
            </w:pPr>
            <w:r>
              <w:rPr>
                <w:rFonts w:ascii="sans-serif" w:hAnsi="sans-serif"/>
                <w:sz w:val="22"/>
              </w:rPr>
              <w:t>(2)</w:t>
            </w:r>
          </w:p>
        </w:tc>
        <w:tc>
          <w:tcPr>
            <w:tcW w:w="86" w:type="dxa"/>
            <w:tcBorders/>
            <w:shd w:fill="auto" w:val="clear"/>
          </w:tcPr>
          <w:p>
            <w:pPr>
              <w:pStyle w:val="TableContents"/>
              <w:spacing w:before="0" w:after="283"/>
              <w:rPr/>
            </w:pPr>
            <w:r>
              <w:rPr/>
              <w:t> </w:t>
            </w:r>
          </w:p>
        </w:tc>
        <w:tc>
          <w:tcPr>
            <w:tcW w:w="9630" w:type="dxa"/>
            <w:tcBorders/>
            <w:shd w:fill="auto" w:val="clear"/>
          </w:tcPr>
          <w:p>
            <w:pPr>
              <w:pStyle w:val="TableContents"/>
              <w:spacing w:before="102" w:after="102"/>
              <w:ind w:left="102" w:right="102" w:hanging="0"/>
              <w:jc w:val="both"/>
              <w:rPr>
                <w:rFonts w:ascii="sans-serif" w:hAnsi="sans-serif"/>
                <w:sz w:val="22"/>
              </w:rPr>
            </w:pPr>
            <w:r>
              <w:rPr>
                <w:rFonts w:ascii="sans-serif" w:hAnsi="sans-serif"/>
                <w:sz w:val="22"/>
              </w:rPr>
              <w:t>The information contained in the Report fairly presents, in all material respects, the financial condition and results of operations of the Company.</w:t>
            </w:r>
          </w:p>
        </w:tc>
        <w:tc>
          <w:tcPr>
            <w:tcW w:w="39" w:type="dxa"/>
            <w:tcBorders/>
            <w:shd w:fill="auto" w:val="clear"/>
          </w:tcPr>
          <w:p>
            <w:pPr>
              <w:pStyle w:val="TableContents"/>
              <w:spacing w:before="0" w:after="283"/>
              <w:rPr>
                <w:sz w:val="4"/>
                <w:szCs w:val="4"/>
              </w:rPr>
            </w:pPr>
            <w:r>
              <w:rPr>
                <w:sz w:val="4"/>
                <w:szCs w:val="4"/>
              </w:rPr>
            </w:r>
          </w:p>
        </w:tc>
      </w:tr>
    </w:tbl>
    <w:tbl>
      <w:tblPr>
        <w:tblW w:w="5505" w:type="dxa"/>
        <w:jc w:val="left"/>
        <w:tblInd w:w="0" w:type="dxa"/>
        <w:tblCellMar>
          <w:top w:w="0" w:type="dxa"/>
          <w:left w:w="0" w:type="dxa"/>
          <w:bottom w:w="0" w:type="dxa"/>
          <w:right w:w="0" w:type="dxa"/>
        </w:tblCellMar>
      </w:tblPr>
      <w:tblGrid>
        <w:gridCol w:w="2630"/>
        <w:gridCol w:w="60"/>
        <w:gridCol w:w="365"/>
        <w:gridCol w:w="60"/>
        <w:gridCol w:w="2390"/>
      </w:tblGrid>
      <w:tr>
        <w:trPr/>
        <w:tc>
          <w:tcPr>
            <w:tcW w:w="2630"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390" w:type="dxa"/>
            <w:tcBorders/>
            <w:shd w:fill="auto" w:val="clear"/>
          </w:tcPr>
          <w:p>
            <w:pPr>
              <w:pStyle w:val="TableContents"/>
              <w:spacing w:before="0" w:after="283"/>
              <w:rPr/>
            </w:pPr>
            <w:r>
              <w:rPr/>
              <w:t> </w:t>
            </w:r>
          </w:p>
        </w:tc>
      </w:tr>
      <w:tr>
        <w:trPr/>
        <w:tc>
          <w:tcPr>
            <w:tcW w:w="2630" w:type="dxa"/>
            <w:tcBorders/>
            <w:shd w:fill="auto" w:val="clear"/>
          </w:tcPr>
          <w:p>
            <w:pPr>
              <w:pStyle w:val="TableContents"/>
              <w:spacing w:before="0" w:after="283"/>
              <w:ind w:left="198" w:right="0" w:hanging="198"/>
              <w:rPr>
                <w:rFonts w:ascii="sans-serif" w:hAnsi="sans-serif"/>
                <w:sz w:val="22"/>
              </w:rPr>
            </w:pPr>
            <w:r>
              <w:rPr>
                <w:rFonts w:ascii="sans-serif" w:hAnsi="sans-serif"/>
                <w:sz w:val="22"/>
              </w:rPr>
              <w:t>Date: February 12, 2016</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rFonts w:ascii="sans-serif" w:hAnsi="sans-serif"/>
                <w:sz w:val="22"/>
              </w:rPr>
            </w:pPr>
            <w:r>
              <w:rPr>
                <w:rFonts w:ascii="sans-serif" w:hAnsi="sans-serif"/>
                <w:sz w:val="22"/>
              </w:rPr>
              <w:t>By:</w:t>
            </w:r>
          </w:p>
        </w:tc>
        <w:tc>
          <w:tcPr>
            <w:tcW w:w="60" w:type="dxa"/>
            <w:tcBorders/>
            <w:shd w:fill="auto" w:val="clear"/>
          </w:tcPr>
          <w:p>
            <w:pPr>
              <w:pStyle w:val="TableContents"/>
              <w:spacing w:before="0" w:after="283"/>
              <w:rPr/>
            </w:pPr>
            <w:r>
              <w:rPr/>
              <w:t> </w:t>
            </w:r>
          </w:p>
        </w:tc>
        <w:tc>
          <w:tcPr>
            <w:tcW w:w="2390" w:type="dxa"/>
            <w:tcBorders/>
            <w:shd w:fill="auto" w:val="clear"/>
          </w:tcPr>
          <w:p>
            <w:pPr>
              <w:pStyle w:val="TableContents"/>
              <w:spacing w:before="0" w:after="283"/>
              <w:rPr>
                <w:rFonts w:ascii="sans-serif" w:hAnsi="sans-serif"/>
                <w:sz w:val="22"/>
              </w:rPr>
            </w:pPr>
            <w:r>
              <w:rPr>
                <w:rFonts w:ascii="sans-serif" w:hAnsi="sans-serif"/>
                <w:sz w:val="22"/>
              </w:rPr>
              <w:t>/s/ Thomas A. Szlosek</w:t>
            </w:r>
          </w:p>
        </w:tc>
      </w:tr>
      <w:tr>
        <w:trPr/>
        <w:tc>
          <w:tcPr>
            <w:tcW w:w="3055" w:type="dxa"/>
            <w:gridSpan w:val="3"/>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390" w:type="dxa"/>
            <w:tcBorders>
              <w:top w:val="single" w:sz="4" w:space="0" w:color="000000"/>
            </w:tcBorders>
            <w:shd w:fill="auto" w:val="clear"/>
            <w:tcMar>
              <w:top w:w="28" w:type="dxa"/>
            </w:tcMar>
          </w:tcPr>
          <w:p>
            <w:pPr>
              <w:pStyle w:val="TableContents"/>
              <w:spacing w:before="0" w:after="283"/>
              <w:jc w:val="center"/>
              <w:rPr/>
            </w:pPr>
            <w:r>
              <w:rPr/>
              <w:t> </w:t>
            </w:r>
          </w:p>
        </w:tc>
      </w:tr>
      <w:tr>
        <w:trPr/>
        <w:tc>
          <w:tcPr>
            <w:tcW w:w="2630" w:type="dxa"/>
            <w:tcBorders/>
            <w:shd w:fill="auto" w:val="clear"/>
          </w:tcPr>
          <w:p>
            <w:pPr>
              <w:pStyle w:val="TableContents"/>
              <w:spacing w:before="0" w:after="283"/>
              <w:ind w:left="198" w:right="0" w:hanging="198"/>
              <w:rPr/>
            </w:pPr>
            <w:r>
              <w:rPr/>
              <w:t> </w:t>
            </w:r>
          </w:p>
        </w:tc>
        <w:tc>
          <w:tcPr>
            <w:tcW w:w="60" w:type="dxa"/>
            <w:tcBorders/>
            <w:shd w:fill="auto" w:val="clear"/>
          </w:tcPr>
          <w:p>
            <w:pPr>
              <w:pStyle w:val="TableContents"/>
              <w:spacing w:before="0" w:after="283"/>
              <w:rPr/>
            </w:pPr>
            <w:r>
              <w:rPr/>
              <w:t> </w:t>
            </w:r>
          </w:p>
        </w:tc>
        <w:tc>
          <w:tcPr>
            <w:tcW w:w="365"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2390" w:type="dxa"/>
            <w:tcBorders/>
            <w:shd w:fill="auto" w:val="clear"/>
          </w:tcPr>
          <w:p>
            <w:pPr>
              <w:pStyle w:val="TableContents"/>
              <w:spacing w:before="0" w:after="283"/>
              <w:rPr>
                <w:rFonts w:ascii="sans-serif" w:hAnsi="sans-serif"/>
                <w:sz w:val="22"/>
              </w:rPr>
            </w:pPr>
            <w:r>
              <w:rPr>
                <w:rFonts w:ascii="sans-serif" w:hAnsi="sans-serif"/>
                <w:sz w:val="22"/>
              </w:rPr>
              <w:t>Thomas A. Szlosek</w:t>
              <w:br/>
              <w:t>Chief Financial Officer</w:t>
            </w:r>
          </w:p>
        </w:tc>
      </w:tr>
    </w:tbl>
    <w:p>
      <w:pPr>
        <w:pStyle w:val="HorizontalLine"/>
        <w:pBdr>
          <w:bottom w:val="single" w:sz="20"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sans-serif">
    <w:altName w:val="Arial"/>
    <w:charset w:val="00"/>
    <w:family w:val="auto"/>
    <w:pitch w:val="default"/>
  </w:font>
  <w:font w:name="Wingdings">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106</Pages>
  <Words>45096</Words>
  <CharactersWithSpaces>298487</CharactersWithSpaces>
  <Paragraphs>23656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3B2 EDGAR HTML -- c83288_ex32.2.htm</dc:title>
</cp:coreProperties>
</file>