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jc w:val="center"/>
        <w:ind w:right="-1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140335</wp:posOffset>
            </wp:positionV>
            <wp:extent cx="728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3260" w:hanging="206"/>
        <w:spacing w:after="0"/>
        <w:tabs>
          <w:tab w:leader="none" w:pos="3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ind w:left="370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2017</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 TRANSITION REPORT PURSUANT TO SECTION 13 OR 15(d)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OF THE SECURITIES EXCHANGE ACT OF 1934</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transition period from ______ to _____</w:t>
      </w:r>
    </w:p>
    <w:p>
      <w:pPr>
        <w:spacing w:after="0" w:line="158"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136"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Honeywell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8" w:lineRule="exact"/>
        <w:rPr>
          <w:sz w:val="24"/>
          <w:szCs w:val="24"/>
          <w:color w:val="auto"/>
        </w:rPr>
      </w:pPr>
    </w:p>
    <w:tbl>
      <w:tblPr>
        <w:tblLayout w:type="fixed"/>
        <w:tblInd w:w="1720" w:type="dxa"/>
        <w:tblCellMar>
          <w:top w:w="0" w:type="dxa"/>
          <w:left w:w="0" w:type="dxa"/>
          <w:bottom w:w="0" w:type="dxa"/>
          <w:right w:w="0" w:type="dxa"/>
        </w:tblCellMar>
      </w:tblPr>
      <w:tr>
        <w:trPr>
          <w:trHeight w:val="217"/>
        </w:trPr>
        <w:tc>
          <w:tcPr>
            <w:tcW w:w="4580" w:type="dxa"/>
            <w:vAlign w:val="bottom"/>
            <w:gridSpan w:val="2"/>
          </w:tcPr>
          <w:p>
            <w:pPr>
              <w:jc w:val="center"/>
              <w:ind w:right="1140"/>
              <w:spacing w:after="0"/>
              <w:rPr>
                <w:sz w:val="20"/>
                <w:szCs w:val="20"/>
                <w:color w:val="auto"/>
              </w:rPr>
            </w:pPr>
            <w:r>
              <w:rPr>
                <w:rFonts w:ascii="Arial" w:cs="Arial" w:eastAsia="Arial" w:hAnsi="Arial"/>
                <w:sz w:val="18"/>
                <w:szCs w:val="18"/>
                <w:color w:val="auto"/>
                <w:w w:val="99"/>
              </w:rPr>
              <w:t>Delaware</w:t>
            </w:r>
          </w:p>
        </w:tc>
        <w:tc>
          <w:tcPr>
            <w:tcW w:w="3420" w:type="dxa"/>
            <w:vAlign w:val="bottom"/>
          </w:tcPr>
          <w:p>
            <w:pPr>
              <w:jc w:val="right"/>
              <w:ind w:right="1130"/>
              <w:spacing w:after="0"/>
              <w:rPr>
                <w:sz w:val="20"/>
                <w:szCs w:val="20"/>
                <w:color w:val="auto"/>
              </w:rPr>
            </w:pPr>
            <w:r>
              <w:rPr>
                <w:rFonts w:ascii="Arial" w:cs="Arial" w:eastAsia="Arial" w:hAnsi="Arial"/>
                <w:sz w:val="18"/>
                <w:szCs w:val="18"/>
                <w:color w:val="auto"/>
              </w:rPr>
              <w:t>22-2640650</w:t>
            </w:r>
          </w:p>
        </w:tc>
      </w:tr>
      <w:tr>
        <w:trPr>
          <w:trHeight w:val="195"/>
        </w:trPr>
        <w:tc>
          <w:tcPr>
            <w:tcW w:w="3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(State or other jurisdiction of</w:t>
            </w:r>
          </w:p>
        </w:tc>
        <w:tc>
          <w:tcPr>
            <w:tcW w:w="114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(I.R.S. Employer</w:t>
            </w:r>
          </w:p>
        </w:tc>
      </w:tr>
      <w:tr>
        <w:trPr>
          <w:trHeight w:val="217"/>
        </w:trPr>
        <w:tc>
          <w:tcPr>
            <w:tcW w:w="4580" w:type="dxa"/>
            <w:vAlign w:val="bottom"/>
            <w:gridSpan w:val="2"/>
          </w:tcPr>
          <w:p>
            <w:pPr>
              <w:jc w:val="center"/>
              <w:ind w:right="1160"/>
              <w:spacing w:after="0"/>
              <w:rPr>
                <w:sz w:val="20"/>
                <w:szCs w:val="20"/>
                <w:color w:val="auto"/>
              </w:rPr>
            </w:pPr>
            <w:r>
              <w:rPr>
                <w:rFonts w:ascii="Arial" w:cs="Arial" w:eastAsia="Arial" w:hAnsi="Arial"/>
                <w:sz w:val="18"/>
                <w:szCs w:val="18"/>
                <w:color w:val="auto"/>
                <w:w w:val="99"/>
              </w:rPr>
              <w:t>incorporation or organization)</w:t>
            </w:r>
          </w:p>
        </w:tc>
        <w:tc>
          <w:tcPr>
            <w:tcW w:w="3420" w:type="dxa"/>
            <w:vAlign w:val="bottom"/>
          </w:tcPr>
          <w:p>
            <w:pPr>
              <w:jc w:val="center"/>
              <w:spacing w:after="0"/>
              <w:rPr>
                <w:sz w:val="20"/>
                <w:szCs w:val="20"/>
                <w:color w:val="auto"/>
              </w:rPr>
            </w:pPr>
            <w:r>
              <w:rPr>
                <w:rFonts w:ascii="Arial" w:cs="Arial" w:eastAsia="Arial" w:hAnsi="Arial"/>
                <w:sz w:val="18"/>
                <w:szCs w:val="18"/>
                <w:color w:val="auto"/>
              </w:rPr>
              <w:t>Identification No.)</w:t>
            </w:r>
          </w:p>
        </w:tc>
      </w:tr>
      <w:tr>
        <w:trPr>
          <w:trHeight w:val="418"/>
        </w:trPr>
        <w:tc>
          <w:tcPr>
            <w:tcW w:w="4580" w:type="dxa"/>
            <w:vAlign w:val="bottom"/>
            <w:gridSpan w:val="2"/>
          </w:tcPr>
          <w:p>
            <w:pPr>
              <w:jc w:val="center"/>
              <w:ind w:right="1140"/>
              <w:spacing w:after="0"/>
              <w:rPr>
                <w:sz w:val="20"/>
                <w:szCs w:val="20"/>
                <w:color w:val="auto"/>
              </w:rPr>
            </w:pPr>
            <w:r>
              <w:rPr>
                <w:rFonts w:ascii="Arial" w:cs="Arial" w:eastAsia="Arial" w:hAnsi="Arial"/>
                <w:sz w:val="18"/>
                <w:szCs w:val="18"/>
                <w:color w:val="auto"/>
                <w:w w:val="98"/>
              </w:rPr>
              <w:t>115 Tabor Road</w:t>
            </w:r>
          </w:p>
        </w:tc>
        <w:tc>
          <w:tcPr>
            <w:tcW w:w="3420" w:type="dxa"/>
            <w:vAlign w:val="bottom"/>
          </w:tcPr>
          <w:p>
            <w:pPr>
              <w:spacing w:after="0"/>
              <w:rPr>
                <w:sz w:val="24"/>
                <w:szCs w:val="24"/>
                <w:color w:val="auto"/>
              </w:rPr>
            </w:pPr>
          </w:p>
        </w:tc>
      </w:tr>
      <w:tr>
        <w:trPr>
          <w:trHeight w:val="203"/>
        </w:trPr>
        <w:tc>
          <w:tcPr>
            <w:tcW w:w="4580" w:type="dxa"/>
            <w:vAlign w:val="bottom"/>
            <w:gridSpan w:val="2"/>
          </w:tcPr>
          <w:p>
            <w:pPr>
              <w:jc w:val="center"/>
              <w:ind w:right="1140"/>
              <w:spacing w:after="0" w:line="203" w:lineRule="exact"/>
              <w:rPr>
                <w:sz w:val="20"/>
                <w:szCs w:val="20"/>
                <w:color w:val="auto"/>
              </w:rPr>
            </w:pPr>
            <w:r>
              <w:rPr>
                <w:rFonts w:ascii="Arial" w:cs="Arial" w:eastAsia="Arial" w:hAnsi="Arial"/>
                <w:sz w:val="18"/>
                <w:szCs w:val="18"/>
                <w:color w:val="auto"/>
                <w:w w:val="99"/>
              </w:rPr>
              <w:t>Morris Plains, New Jersey</w:t>
            </w:r>
          </w:p>
        </w:tc>
        <w:tc>
          <w:tcPr>
            <w:tcW w:w="3420" w:type="dxa"/>
            <w:vAlign w:val="bottom"/>
          </w:tcPr>
          <w:p>
            <w:pPr>
              <w:jc w:val="right"/>
              <w:ind w:right="1370"/>
              <w:spacing w:after="0" w:line="203" w:lineRule="exact"/>
              <w:rPr>
                <w:sz w:val="20"/>
                <w:szCs w:val="20"/>
                <w:color w:val="auto"/>
              </w:rPr>
            </w:pPr>
            <w:r>
              <w:rPr>
                <w:rFonts w:ascii="Arial" w:cs="Arial" w:eastAsia="Arial" w:hAnsi="Arial"/>
                <w:sz w:val="18"/>
                <w:szCs w:val="18"/>
                <w:color w:val="auto"/>
              </w:rPr>
              <w:t>07950</w:t>
            </w:r>
          </w:p>
        </w:tc>
      </w:tr>
      <w:tr>
        <w:trPr>
          <w:trHeight w:val="210"/>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14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(Zip Code)</w:t>
            </w:r>
          </w:p>
        </w:tc>
      </w:tr>
    </w:tbl>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(973) 455-2000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-130175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Not Applicable</w:t>
      </w:r>
    </w:p>
    <w:p>
      <w:pPr>
        <w:spacing w:after="0" w:line="23"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(Former name, former address and former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-130175</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if changed since last report)</w:t>
      </w:r>
    </w:p>
    <w:p>
      <w:pPr>
        <w:spacing w:after="0" w:line="212"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ind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42" w:right="239" w:bottom="1440" w:gutter="0" w:footer="0" w:header="0"/>
        </w:sectPr>
      </w:pP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Accelerated filer o</w:t>
      </w:r>
    </w:p>
    <w:p>
      <w:pPr>
        <w:spacing w:after="0" w:line="27" w:lineRule="exact"/>
        <w:rPr>
          <w:sz w:val="24"/>
          <w:szCs w:val="24"/>
          <w:color w:val="auto"/>
        </w:rPr>
      </w:pPr>
    </w:p>
    <w:p>
      <w:pPr>
        <w:sectPr>
          <w:pgSz w:w="11900" w:h="16838" w:orient="portrait"/>
          <w:cols w:equalWidth="0" w:num="2">
            <w:col w:w="7280" w:space="720"/>
            <w:col w:w="3420"/>
          </w:cols>
          <w:pgMar w:left="240" w:top="242" w:right="239" w:bottom="1440" w:gutter="0" w:footer="0" w:header="0"/>
          <w:type w:val="continuous"/>
        </w:sectPr>
      </w:pPr>
    </w:p>
    <w:p>
      <w:pPr>
        <w:spacing w:after="0"/>
        <w:rPr>
          <w:sz w:val="20"/>
          <w:szCs w:val="20"/>
          <w:color w:val="auto"/>
        </w:rPr>
      </w:pPr>
      <w:r>
        <w:rPr>
          <w:rFonts w:ascii="Arial" w:cs="Arial" w:eastAsia="Arial" w:hAnsi="Arial"/>
          <w:sz w:val="17"/>
          <w:szCs w:val="17"/>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Smaller reporting company o</w:t>
      </w:r>
    </w:p>
    <w:p>
      <w:pPr>
        <w:spacing w:after="0" w:line="1" w:lineRule="exact"/>
        <w:rPr>
          <w:sz w:val="24"/>
          <w:szCs w:val="24"/>
          <w:color w:val="auto"/>
        </w:rPr>
      </w:pPr>
    </w:p>
    <w:p>
      <w:pPr>
        <w:sectPr>
          <w:pgSz w:w="11900" w:h="16838" w:orient="portrait"/>
          <w:cols w:equalWidth="0" w:num="2">
            <w:col w:w="7280" w:space="720"/>
            <w:col w:w="3420"/>
          </w:cols>
          <w:pgMar w:left="240" w:top="242" w:right="239" w:bottom="1440" w:gutter="0" w:footer="0" w:header="0"/>
          <w:type w:val="continuous"/>
        </w:sectPr>
      </w:pPr>
    </w:p>
    <w:p>
      <w:pPr>
        <w:ind w:left="8000"/>
        <w:spacing w:after="0"/>
        <w:rPr>
          <w:sz w:val="20"/>
          <w:szCs w:val="20"/>
          <w:color w:val="auto"/>
        </w:rPr>
      </w:pPr>
      <w:r>
        <w:rPr>
          <w:rFonts w:ascii="Arial" w:cs="Arial" w:eastAsia="Arial" w:hAnsi="Arial"/>
          <w:sz w:val="17"/>
          <w:szCs w:val="17"/>
          <w:color w:val="auto"/>
        </w:rPr>
        <w:t>Emerging growth company o</w:t>
      </w:r>
    </w:p>
    <w:p>
      <w:pPr>
        <w:sectPr>
          <w:pgSz w:w="11900" w:h="16838" w:orient="portrait"/>
          <w:cols w:equalWidth="0" w:num="1">
            <w:col w:w="11420"/>
          </w:cols>
          <w:pgMar w:left="240" w:top="242" w:right="239" w:bottom="1440" w:gutter="0" w:footer="0" w:header="0"/>
          <w:type w:val="continuous"/>
        </w:sectPr>
      </w:pPr>
    </w:p>
    <w:p>
      <w:pPr>
        <w:spacing w:after="0" w:line="222"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pursuant to section 13(a) of the Exchange Act. o</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There were 762,338,156 shares of Common Stock outstanding at March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gridSpan w:val="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64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60" w:type="dxa"/>
            <w:vAlign w:val="bottom"/>
          </w:tcPr>
          <w:p>
            <w:pPr>
              <w:spacing w:after="0"/>
              <w:rPr>
                <w:sz w:val="20"/>
                <w:szCs w:val="20"/>
                <w:color w:val="auto"/>
              </w:rPr>
            </w:pPr>
            <w:r>
              <w:rPr>
                <w:rFonts w:ascii="Arial" w:cs="Arial" w:eastAsia="Arial" w:hAnsi="Arial"/>
                <w:sz w:val="18"/>
                <w:szCs w:val="18"/>
                <w:b w:val="1"/>
                <w:bCs w:val="1"/>
                <w:color w:val="auto"/>
                <w:w w:val="96"/>
              </w:rPr>
              <w:t>Page No.</w:t>
            </w: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bottom w:val="single" w:sz="8" w:color="0000EE"/>
            </w:tcBorders>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Item 1.</w:t>
              </w:r>
            </w:hyperlink>
          </w:p>
        </w:tc>
        <w:tc>
          <w:tcPr>
            <w:tcW w:w="3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Statements:</w:t>
              </w:r>
            </w:hyperlink>
          </w:p>
        </w:tc>
        <w:tc>
          <w:tcPr>
            <w:tcW w:w="6720" w:type="dxa"/>
            <w:vAlign w:val="bottom"/>
            <w:gridSpan w:val="10"/>
          </w:tcPr>
          <w:p>
            <w:pPr>
              <w:spacing w:after="0"/>
              <w:rPr>
                <w:sz w:val="24"/>
                <w:szCs w:val="24"/>
                <w:color w:val="auto"/>
              </w:rPr>
            </w:pPr>
          </w:p>
        </w:tc>
        <w:tc>
          <w:tcPr>
            <w:tcW w:w="760" w:type="dxa"/>
            <w:vAlign w:val="bottom"/>
          </w:tcPr>
          <w:p>
            <w:pPr>
              <w:spacing w:after="0"/>
              <w:rPr>
                <w:sz w:val="24"/>
                <w:szCs w:val="24"/>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Statement of Operations (unaudited) – Three Months Ended March 31, 2017 and 2016</w:t>
              </w:r>
            </w:hyperlink>
          </w:p>
        </w:tc>
        <w:tc>
          <w:tcPr>
            <w:tcW w:w="460" w:type="dxa"/>
            <w:vAlign w:val="bottom"/>
            <w:gridSpan w:val="3"/>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6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Comprehensive Income (unaudited) – Three Months Ended March 31, 2017</w:t>
              </w:r>
            </w:hyperlink>
          </w:p>
        </w:tc>
        <w:tc>
          <w:tcPr>
            <w:tcW w:w="76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and 2016</w:t>
              </w:r>
            </w:hyperlink>
          </w:p>
        </w:tc>
        <w:tc>
          <w:tcPr>
            <w:tcW w:w="7500" w:type="dxa"/>
            <w:vAlign w:val="bottom"/>
            <w:tcBorders>
              <w:top w:val="single" w:sz="8" w:color="0000EE"/>
            </w:tcBorders>
            <w:gridSpan w:val="14"/>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center"/>
              <w:spacing w:after="0" w:line="182" w:lineRule="exact"/>
              <w:rPr>
                <w:sz w:val="20"/>
                <w:szCs w:val="20"/>
                <w:color w:val="auto"/>
              </w:rPr>
            </w:pPr>
            <w:r>
              <w:rPr>
                <w:rFonts w:ascii="Arial" w:cs="Arial" w:eastAsia="Arial" w:hAnsi="Arial"/>
                <w:sz w:val="18"/>
                <w:szCs w:val="18"/>
                <w:color w:val="auto"/>
                <w:w w:val="99"/>
              </w:rPr>
              <w:t>4</w:t>
            </w: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 (unaudited) – March 31, 2017 and December 31, 2016</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 of Cash Flows (unaudited) – Three Months Ended March 31, 2017 and 2016</w:t>
              </w:r>
            </w:hyperlink>
          </w:p>
        </w:tc>
        <w:tc>
          <w:tcPr>
            <w:tcW w:w="400" w:type="dxa"/>
            <w:vAlign w:val="bottom"/>
            <w:gridSpan w:val="2"/>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180" w:type="dxa"/>
            <w:vAlign w:val="bottom"/>
          </w:tcPr>
          <w:p>
            <w:pPr>
              <w:spacing w:after="0"/>
              <w:rPr>
                <w:sz w:val="24"/>
                <w:szCs w:val="24"/>
                <w:color w:val="auto"/>
              </w:rPr>
            </w:pPr>
          </w:p>
        </w:tc>
        <w:tc>
          <w:tcPr>
            <w:tcW w:w="846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9"/>
              </w:rPr>
              <w:t>22</w:t>
            </w: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top w:val="single" w:sz="8" w:color="0000EE"/>
            </w:tcBorders>
            <w:gridSpan w:val="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3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080" w:type="dxa"/>
            <w:vAlign w:val="bottom"/>
            <w:tcBorders>
              <w:top w:val="single" w:sz="8" w:color="0000EE"/>
            </w:tcBorders>
            <w:gridSpan w:val="1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Risks</w:t>
              </w:r>
            </w:hyperlink>
          </w:p>
        </w:tc>
        <w:tc>
          <w:tcPr>
            <w:tcW w:w="1380" w:type="dxa"/>
            <w:vAlign w:val="bottom"/>
            <w:gridSpan w:val="4"/>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29</w:t>
            </w: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top w:val="single" w:sz="8" w:color="0000EE"/>
              <w:bottom w:val="single" w:sz="8" w:color="0000EE"/>
            </w:tcBorders>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Item 4.</w:t>
              </w:r>
            </w:hyperlink>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Controls and Procedures</w:t>
              </w:r>
            </w:hyperlink>
          </w:p>
        </w:tc>
        <w:tc>
          <w:tcPr>
            <w:tcW w:w="2800" w:type="dxa"/>
            <w:vAlign w:val="bottom"/>
            <w:tcBorders>
              <w:top w:val="single" w:sz="8" w:color="0000EE"/>
            </w:tcBorders>
            <w:gridSpan w:val="2"/>
          </w:tcPr>
          <w:p>
            <w:pPr>
              <w:spacing w:after="0"/>
              <w:rPr>
                <w:sz w:val="24"/>
                <w:szCs w:val="24"/>
                <w:color w:val="auto"/>
              </w:rPr>
            </w:pPr>
          </w:p>
        </w:tc>
        <w:tc>
          <w:tcPr>
            <w:tcW w:w="3660" w:type="dxa"/>
            <w:vAlign w:val="bottom"/>
            <w:gridSpan w:val="7"/>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29</w:t>
            </w:r>
          </w:p>
        </w:tc>
      </w:tr>
      <w:tr>
        <w:trPr>
          <w:trHeight w:val="385"/>
        </w:trPr>
        <w:tc>
          <w:tcPr>
            <w:tcW w:w="500" w:type="dxa"/>
            <w:vAlign w:val="bottom"/>
          </w:tcPr>
          <w:p>
            <w:pPr>
              <w:spacing w:after="0"/>
              <w:rPr>
                <w:rFonts w:ascii="Arial" w:cs="Arial" w:eastAsia="Arial" w:hAnsi="Arial"/>
                <w:sz w:val="18"/>
                <w:szCs w:val="18"/>
                <w:b w:val="1"/>
                <w:bCs w:val="1"/>
                <w:color w:val="0000EE"/>
                <w:w w:val="83"/>
              </w:rPr>
            </w:pPr>
            <w:hyperlink w:anchor="page30">
              <w:r>
                <w:rPr>
                  <w:rFonts w:ascii="Arial" w:cs="Arial" w:eastAsia="Arial" w:hAnsi="Arial"/>
                  <w:sz w:val="18"/>
                  <w:szCs w:val="18"/>
                  <w:b w:val="1"/>
                  <w:bCs w:val="1"/>
                  <w:color w:val="0000EE"/>
                  <w:w w:val="83"/>
                </w:rPr>
                <w:t>Part II.</w:t>
              </w:r>
            </w:hyperlink>
          </w:p>
        </w:tc>
        <w:tc>
          <w:tcPr>
            <w:tcW w:w="1340" w:type="dxa"/>
            <w:vAlign w:val="bottom"/>
            <w:gridSpan w:val="5"/>
          </w:tcPr>
          <w:p>
            <w:pPr>
              <w:spacing w:after="0"/>
              <w:rPr>
                <w:sz w:val="24"/>
                <w:szCs w:val="24"/>
                <w:color w:val="auto"/>
              </w:rPr>
            </w:pPr>
          </w:p>
        </w:tc>
        <w:tc>
          <w:tcPr>
            <w:tcW w:w="8640" w:type="dxa"/>
            <w:vAlign w:val="bottom"/>
            <w:gridSpan w:val="18"/>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Other Information</w:t>
              </w:r>
            </w:hyperlink>
          </w:p>
        </w:tc>
        <w:tc>
          <w:tcPr>
            <w:tcW w:w="76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w:t>
              </w:r>
            </w:hyperlink>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Legal Proceedings</w:t>
              </w:r>
            </w:hyperlink>
          </w:p>
        </w:tc>
        <w:tc>
          <w:tcPr>
            <w:tcW w:w="6960" w:type="dxa"/>
            <w:vAlign w:val="bottom"/>
            <w:gridSpan w:val="12"/>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30</w:t>
            </w: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Unregistered Sales of Equity Securities and Use of Proceeds</w:t>
              </w:r>
            </w:hyperlink>
          </w:p>
        </w:tc>
        <w:tc>
          <w:tcPr>
            <w:tcW w:w="3600" w:type="dxa"/>
            <w:vAlign w:val="bottom"/>
            <w:gridSpan w:val="6"/>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30</w:t>
            </w: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5.</w:t>
              </w:r>
            </w:hyperlink>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6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9"/>
              </w:rPr>
              <w:t>30</w:t>
            </w: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top w:val="single" w:sz="8" w:color="0000EE"/>
              <w:bottom w:val="single" w:sz="8" w:color="0000EE"/>
            </w:tcBorders>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Item 6.</w:t>
              </w:r>
            </w:hyperlink>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bottom w:val="single" w:sz="8" w:color="0000EE"/>
            </w:tcBorders>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Exhibits</w:t>
              </w:r>
            </w:hyperlink>
          </w:p>
        </w:tc>
        <w:tc>
          <w:tcPr>
            <w:tcW w:w="760" w:type="dxa"/>
            <w:vAlign w:val="bottom"/>
            <w:tcBorders>
              <w:top w:val="single" w:sz="8" w:color="0000EE"/>
            </w:tcBorders>
            <w:gridSpan w:val="3"/>
          </w:tcPr>
          <w:p>
            <w:pPr>
              <w:spacing w:after="0"/>
              <w:rPr>
                <w:sz w:val="24"/>
                <w:szCs w:val="24"/>
                <w:color w:val="auto"/>
              </w:rPr>
            </w:pPr>
          </w:p>
        </w:tc>
        <w:tc>
          <w:tcPr>
            <w:tcW w:w="7060" w:type="dxa"/>
            <w:vAlign w:val="bottom"/>
            <w:gridSpan w:val="13"/>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31</w:t>
            </w:r>
          </w:p>
        </w:tc>
      </w:tr>
      <w:tr>
        <w:trPr>
          <w:trHeight w:val="385"/>
        </w:trPr>
        <w:tc>
          <w:tcPr>
            <w:tcW w:w="1840" w:type="dxa"/>
            <w:vAlign w:val="bottom"/>
            <w:gridSpan w:val="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32</w:t>
            </w: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Cautionary Statement about Forward-Looking Statements</w:t>
      </w:r>
    </w:p>
    <w:p>
      <w:pPr>
        <w:spacing w:after="0" w:line="198"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may differ from those envisaged by our forward-looking statements. Our forward-looking statements are also subject to risks and uncertainties, which can affect our performance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our 2016 Annual Report on Form 10-K.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color w:val="auto"/>
        </w:rPr>
        <w:t>PART I. FINANCIAL INFORMATION</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financial statements and related footnotes as of March 31, 2017 should be read in conjunction with the financial statements for the year ended December 31, 2016 contained in our 2016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FINANCIAL STATEMENTS</w:t>
      </w: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 of Operations</w:t>
      </w: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1"/>
        </w:trPr>
        <w:tc>
          <w:tcPr>
            <w:tcW w:w="79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(Dollars in millions, except per</w:t>
            </w:r>
          </w:p>
        </w:tc>
        <w:tc>
          <w:tcPr>
            <w:tcW w:w="0" w:type="dxa"/>
            <w:vAlign w:val="bottom"/>
          </w:tcPr>
          <w:p>
            <w:pPr>
              <w:spacing w:after="0"/>
              <w:rPr>
                <w:sz w:val="1"/>
                <w:szCs w:val="1"/>
                <w:color w:val="auto"/>
              </w:rPr>
            </w:pPr>
          </w:p>
        </w:tc>
      </w:tr>
      <w:tr>
        <w:trPr>
          <w:trHeight w:val="175"/>
        </w:trPr>
        <w:tc>
          <w:tcPr>
            <w:tcW w:w="7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share amounts)</w:t>
            </w:r>
          </w:p>
        </w:tc>
        <w:tc>
          <w:tcPr>
            <w:tcW w:w="0" w:type="dxa"/>
            <w:vAlign w:val="bottom"/>
          </w:tcPr>
          <w:p>
            <w:pPr>
              <w:spacing w:after="0"/>
              <w:rPr>
                <w:sz w:val="1"/>
                <w:szCs w:val="1"/>
                <w:color w:val="auto"/>
              </w:rPr>
            </w:pPr>
          </w:p>
        </w:tc>
      </w:tr>
      <w:tr>
        <w:trPr>
          <w:trHeight w:val="203"/>
        </w:trPr>
        <w:tc>
          <w:tcPr>
            <w:tcW w:w="79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Product sales</w:t>
            </w:r>
          </w:p>
        </w:tc>
        <w:tc>
          <w:tcPr>
            <w:tcW w:w="1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7,540</w:t>
            </w:r>
          </w:p>
        </w:tc>
        <w:tc>
          <w:tcPr>
            <w:tcW w:w="28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7,619</w:t>
            </w:r>
          </w:p>
        </w:tc>
        <w:tc>
          <w:tcPr>
            <w:tcW w:w="0" w:type="dxa"/>
            <w:vAlign w:val="bottom"/>
          </w:tcPr>
          <w:p>
            <w:pPr>
              <w:spacing w:after="0"/>
              <w:rPr>
                <w:sz w:val="1"/>
                <w:szCs w:val="1"/>
                <w:color w:val="auto"/>
              </w:rPr>
            </w:pPr>
          </w:p>
        </w:tc>
      </w:tr>
      <w:tr>
        <w:trPr>
          <w:trHeight w:val="216"/>
        </w:trPr>
        <w:tc>
          <w:tcPr>
            <w:tcW w:w="79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Service sales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1,952</w:t>
            </w:r>
          </w:p>
        </w:tc>
        <w:tc>
          <w:tcPr>
            <w:tcW w:w="2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196"/>
        </w:trPr>
        <w:tc>
          <w:tcPr>
            <w:tcW w:w="79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tcBorders>
              <w:bottom w:val="single" w:sz="8" w:color="auto"/>
            </w:tcBorders>
            <w:shd w:val="clear" w:color="auto" w:fill="E5FFFF"/>
          </w:tcPr>
          <w:p>
            <w:pPr>
              <w:spacing w:after="0"/>
              <w:rPr>
                <w:sz w:val="17"/>
                <w:szCs w:val="17"/>
                <w:color w:val="auto"/>
              </w:rPr>
            </w:pPr>
          </w:p>
        </w:tc>
        <w:tc>
          <w:tcPr>
            <w:tcW w:w="940" w:type="dxa"/>
            <w:vAlign w:val="bottom"/>
            <w:tcBorders>
              <w:bottom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9,492</w:t>
            </w:r>
          </w:p>
        </w:tc>
        <w:tc>
          <w:tcPr>
            <w:tcW w:w="28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760" w:type="dxa"/>
            <w:vAlign w:val="bottom"/>
            <w:tcBorders>
              <w:bottom w:val="single" w:sz="8" w:color="auto"/>
            </w:tcBorders>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9,522</w:t>
            </w:r>
          </w:p>
        </w:tc>
        <w:tc>
          <w:tcPr>
            <w:tcW w:w="0" w:type="dxa"/>
            <w:vAlign w:val="bottom"/>
          </w:tcPr>
          <w:p>
            <w:pPr>
              <w:spacing w:after="0"/>
              <w:rPr>
                <w:sz w:val="1"/>
                <w:szCs w:val="1"/>
                <w:color w:val="auto"/>
              </w:rPr>
            </w:pPr>
          </w:p>
        </w:tc>
      </w:tr>
      <w:tr>
        <w:trPr>
          <w:trHeight w:val="426"/>
        </w:trPr>
        <w:tc>
          <w:tcPr>
            <w:tcW w:w="7920" w:type="dxa"/>
            <w:vAlign w:val="bottom"/>
          </w:tcPr>
          <w:p>
            <w:pPr>
              <w:spacing w:after="0"/>
              <w:rPr>
                <w:sz w:val="20"/>
                <w:szCs w:val="20"/>
                <w:color w:val="auto"/>
              </w:rPr>
            </w:pPr>
            <w:r>
              <w:rPr>
                <w:rFonts w:ascii="Arial" w:cs="Arial" w:eastAsia="Arial" w:hAnsi="Arial"/>
                <w:sz w:val="18"/>
                <w:szCs w:val="18"/>
                <w:color w:val="auto"/>
              </w:rPr>
              <w:t>Costs, expenses and other</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9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Cost of products sold</w:t>
            </w:r>
          </w:p>
        </w:tc>
        <w:tc>
          <w:tcPr>
            <w:tcW w:w="10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5,237</w:t>
            </w:r>
          </w:p>
        </w:tc>
        <w:tc>
          <w:tcPr>
            <w:tcW w:w="2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5,349</w:t>
            </w:r>
          </w:p>
        </w:tc>
        <w:tc>
          <w:tcPr>
            <w:tcW w:w="0" w:type="dxa"/>
            <w:vAlign w:val="bottom"/>
          </w:tcPr>
          <w:p>
            <w:pPr>
              <w:spacing w:after="0"/>
              <w:rPr>
                <w:sz w:val="1"/>
                <w:szCs w:val="1"/>
                <w:color w:val="auto"/>
              </w:rPr>
            </w:pPr>
          </w:p>
        </w:tc>
      </w:tr>
      <w:tr>
        <w:trPr>
          <w:trHeight w:val="216"/>
        </w:trPr>
        <w:tc>
          <w:tcPr>
            <w:tcW w:w="792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Cost of services sold</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1,119</w:t>
            </w:r>
          </w:p>
        </w:tc>
        <w:tc>
          <w:tcPr>
            <w:tcW w:w="2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196"/>
        </w:trPr>
        <w:tc>
          <w:tcPr>
            <w:tcW w:w="79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6,356</w:t>
            </w:r>
          </w:p>
        </w:tc>
        <w:tc>
          <w:tcPr>
            <w:tcW w:w="2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60" w:type="dxa"/>
            <w:vAlign w:val="bottom"/>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03"/>
        </w:trPr>
        <w:tc>
          <w:tcPr>
            <w:tcW w:w="7920" w:type="dxa"/>
            <w:vAlign w:val="bottom"/>
          </w:tcPr>
          <w:p>
            <w:pPr>
              <w:ind w:left="18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7"/>
                <w:szCs w:val="17"/>
                <w:color w:val="auto"/>
              </w:rPr>
            </w:pPr>
          </w:p>
        </w:tc>
        <w:tc>
          <w:tcPr>
            <w:tcW w:w="9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1,349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03"/>
        </w:trPr>
        <w:tc>
          <w:tcPr>
            <w:tcW w:w="79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w:t>
            </w:r>
          </w:p>
        </w:tc>
        <w:tc>
          <w:tcPr>
            <w:tcW w:w="2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Interest and other financial charges</w:t>
            </w:r>
          </w:p>
        </w:tc>
        <w:tc>
          <w:tcPr>
            <w:tcW w:w="10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7920" w:type="dxa"/>
            <w:vAlign w:val="bottom"/>
            <w:shd w:val="clear" w:color="auto" w:fill="E5FF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7,768</w:t>
            </w:r>
          </w:p>
        </w:tc>
        <w:tc>
          <w:tcPr>
            <w:tcW w:w="2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7,894</w:t>
            </w:r>
          </w:p>
        </w:tc>
        <w:tc>
          <w:tcPr>
            <w:tcW w:w="0" w:type="dxa"/>
            <w:vAlign w:val="bottom"/>
          </w:tcPr>
          <w:p>
            <w:pPr>
              <w:spacing w:after="0"/>
              <w:rPr>
                <w:sz w:val="1"/>
                <w:szCs w:val="1"/>
                <w:color w:val="auto"/>
              </w:rPr>
            </w:pPr>
          </w:p>
        </w:tc>
      </w:tr>
      <w:tr>
        <w:trPr>
          <w:trHeight w:val="412"/>
        </w:trPr>
        <w:tc>
          <w:tcPr>
            <w:tcW w:w="7920" w:type="dxa"/>
            <w:vAlign w:val="bottom"/>
          </w:tcPr>
          <w:p>
            <w:pPr>
              <w:spacing w:after="0"/>
              <w:rPr>
                <w:sz w:val="20"/>
                <w:szCs w:val="20"/>
                <w:color w:val="auto"/>
              </w:rPr>
            </w:pPr>
            <w:r>
              <w:rPr>
                <w:rFonts w:ascii="Arial" w:cs="Arial" w:eastAsia="Arial" w:hAnsi="Arial"/>
                <w:sz w:val="18"/>
                <w:szCs w:val="18"/>
                <w:color w:val="auto"/>
              </w:rPr>
              <w:t>Income before taxes</w:t>
            </w:r>
          </w:p>
        </w:tc>
        <w:tc>
          <w:tcPr>
            <w:tcW w:w="100" w:type="dxa"/>
            <w:vAlign w:val="bottom"/>
          </w:tcPr>
          <w:p>
            <w:pPr>
              <w:spacing w:after="0"/>
              <w:rPr>
                <w:sz w:val="24"/>
                <w:szCs w:val="24"/>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1,724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16"/>
        </w:trPr>
        <w:tc>
          <w:tcPr>
            <w:tcW w:w="7920" w:type="dxa"/>
            <w:vAlign w:val="bottom"/>
            <w:shd w:val="clear" w:color="auto" w:fill="E5FFFF"/>
          </w:tcPr>
          <w:p>
            <w:pPr>
              <w:spacing w:after="0"/>
              <w:rPr>
                <w:sz w:val="20"/>
                <w:szCs w:val="20"/>
                <w:color w:val="auto"/>
              </w:rPr>
            </w:pPr>
            <w:r>
              <w:rPr>
                <w:rFonts w:ascii="Arial" w:cs="Arial" w:eastAsia="Arial" w:hAnsi="Arial"/>
                <w:sz w:val="18"/>
                <w:szCs w:val="18"/>
                <w:color w:val="auto"/>
              </w:rPr>
              <w:t>Tax expense</w:t>
            </w:r>
          </w:p>
        </w:tc>
        <w:tc>
          <w:tcPr>
            <w:tcW w:w="100" w:type="dxa"/>
            <w:vAlign w:val="bottom"/>
            <w:tcBorders>
              <w:bottom w:val="single" w:sz="8" w:color="auto"/>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392</w:t>
            </w:r>
          </w:p>
        </w:tc>
        <w:tc>
          <w:tcPr>
            <w:tcW w:w="2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1,332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02"/>
        </w:trPr>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Less: Net income attributable to the noncontrolling interest</w:t>
            </w:r>
          </w:p>
        </w:tc>
        <w:tc>
          <w:tcPr>
            <w:tcW w:w="10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6</w:t>
            </w:r>
          </w:p>
        </w:tc>
        <w:tc>
          <w:tcPr>
            <w:tcW w:w="2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920" w:type="dxa"/>
            <w:vAlign w:val="bottom"/>
            <w:vMerge w:val="restart"/>
          </w:tcPr>
          <w:p>
            <w:pPr>
              <w:spacing w:after="0"/>
              <w:rPr>
                <w:sz w:val="20"/>
                <w:szCs w:val="20"/>
                <w:color w:val="auto"/>
              </w:rPr>
            </w:pPr>
            <w:r>
              <w:rPr>
                <w:rFonts w:ascii="Arial" w:cs="Arial" w:eastAsia="Arial" w:hAnsi="Arial"/>
                <w:sz w:val="18"/>
                <w:szCs w:val="18"/>
                <w:color w:val="auto"/>
              </w:rPr>
              <w:t>Net income attributable to Honeywell</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1,326</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Earnings per share of common stock - basic</w:t>
            </w: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1.74</w:t>
            </w:r>
          </w:p>
        </w:tc>
        <w:tc>
          <w:tcPr>
            <w:tcW w:w="280" w:type="dxa"/>
            <w:vAlign w:val="bottom"/>
            <w:tcBorders>
              <w:bottom w:val="single" w:sz="8" w:color="E5FFFF"/>
            </w:tcBorders>
            <w:shd w:val="clear" w:color="auto" w:fill="E5FFFF"/>
          </w:tcPr>
          <w:p>
            <w:pPr>
              <w:spacing w:after="0"/>
              <w:rPr>
                <w:sz w:val="19"/>
                <w:szCs w:val="19"/>
                <w:color w:val="auto"/>
              </w:rPr>
            </w:pPr>
          </w:p>
        </w:tc>
        <w:tc>
          <w:tcPr>
            <w:tcW w:w="260" w:type="dxa"/>
            <w:vAlign w:val="bottom"/>
            <w:tcBorders>
              <w:bottom w:val="single" w:sz="8" w:color="auto"/>
            </w:tcBorders>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20" w:type="dxa"/>
            <w:vAlign w:val="bottom"/>
            <w:tcBorders>
              <w:bottom w:val="single" w:sz="8" w:color="E5FFFF"/>
            </w:tcBorders>
            <w:vMerge w:val="continue"/>
          </w:tcPr>
          <w:p>
            <w:pPr>
              <w:spacing w:after="0"/>
              <w:rPr>
                <w:sz w:val="19"/>
                <w:szCs w:val="19"/>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4"/>
              <w:spacing w:after="0" w:line="183" w:lineRule="exact"/>
              <w:rPr>
                <w:sz w:val="20"/>
                <w:szCs w:val="20"/>
                <w:color w:val="auto"/>
              </w:rPr>
            </w:pPr>
            <w:r>
              <w:rPr>
                <w:rFonts w:ascii="Arial" w:cs="Arial" w:eastAsia="Arial" w:hAnsi="Arial"/>
                <w:sz w:val="18"/>
                <w:szCs w:val="18"/>
                <w:color w:val="auto"/>
              </w:rPr>
              <w:t>1.71</w:t>
            </w:r>
          </w:p>
        </w:tc>
        <w:tc>
          <w:tcPr>
            <w:tcW w:w="280" w:type="dxa"/>
            <w:vAlign w:val="bottom"/>
            <w:tcBorders>
              <w:bottom w:val="single" w:sz="8" w:color="E5FFFF"/>
            </w:tcBorders>
          </w:tcPr>
          <w:p>
            <w:pPr>
              <w:spacing w:after="0"/>
              <w:rPr>
                <w:sz w:val="19"/>
                <w:szCs w:val="19"/>
                <w:color w:val="auto"/>
              </w:rPr>
            </w:pPr>
          </w:p>
        </w:tc>
        <w:tc>
          <w:tcPr>
            <w:tcW w:w="260" w:type="dxa"/>
            <w:vAlign w:val="bottom"/>
            <w:tcBorders>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ind w:right="100"/>
              <w:spacing w:after="0" w:line="183"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83"/>
        </w:trPr>
        <w:tc>
          <w:tcPr>
            <w:tcW w:w="7920" w:type="dxa"/>
            <w:vAlign w:val="bottom"/>
            <w:tcBorders>
              <w:bottom w:val="single" w:sz="8" w:color="E5FFFF"/>
            </w:tcBorders>
            <w:shd w:val="clear" w:color="auto" w:fill="E5FFFF"/>
          </w:tcPr>
          <w:p>
            <w:pPr>
              <w:spacing w:after="0" w:line="177" w:lineRule="exact"/>
              <w:rPr>
                <w:sz w:val="20"/>
                <w:szCs w:val="20"/>
                <w:color w:val="auto"/>
              </w:rPr>
            </w:pPr>
            <w:r>
              <w:rPr>
                <w:rFonts w:ascii="Arial" w:cs="Arial" w:eastAsia="Arial" w:hAnsi="Arial"/>
                <w:sz w:val="18"/>
                <w:szCs w:val="18"/>
                <w:color w:val="auto"/>
              </w:rPr>
              <w:t>Cash dividends per share of common stock</w:t>
            </w:r>
          </w:p>
        </w:tc>
        <w:tc>
          <w:tcPr>
            <w:tcW w:w="100" w:type="dxa"/>
            <w:vAlign w:val="bottom"/>
            <w:tcBorders>
              <w:bottom w:val="single" w:sz="8" w:color="auto"/>
            </w:tcBorders>
            <w:shd w:val="clear" w:color="auto" w:fill="E5FFFF"/>
          </w:tcPr>
          <w:p>
            <w:pPr>
              <w:jc w:val="right"/>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E5FFFF"/>
          </w:tcPr>
          <w:p>
            <w:pPr>
              <w:jc w:val="right"/>
              <w:ind w:right="14"/>
              <w:spacing w:after="0" w:line="183" w:lineRule="exact"/>
              <w:rPr>
                <w:sz w:val="20"/>
                <w:szCs w:val="20"/>
                <w:color w:val="auto"/>
              </w:rPr>
            </w:pPr>
            <w:r>
              <w:rPr>
                <w:rFonts w:ascii="Arial" w:cs="Arial" w:eastAsia="Arial" w:hAnsi="Arial"/>
                <w:sz w:val="18"/>
                <w:szCs w:val="18"/>
                <w:color w:val="auto"/>
              </w:rPr>
              <w:t>0.6650</w:t>
            </w:r>
          </w:p>
        </w:tc>
        <w:tc>
          <w:tcPr>
            <w:tcW w:w="280" w:type="dxa"/>
            <w:vAlign w:val="bottom"/>
            <w:tcBorders>
              <w:bottom w:val="single" w:sz="8" w:color="E5FFFF"/>
            </w:tcBorders>
            <w:shd w:val="clear" w:color="auto" w:fill="E5FFFF"/>
          </w:tcPr>
          <w:p>
            <w:pPr>
              <w:spacing w:after="0"/>
              <w:rPr>
                <w:sz w:val="15"/>
                <w:szCs w:val="15"/>
                <w:color w:val="auto"/>
              </w:rPr>
            </w:pPr>
          </w:p>
        </w:tc>
        <w:tc>
          <w:tcPr>
            <w:tcW w:w="260" w:type="dxa"/>
            <w:vAlign w:val="bottom"/>
            <w:tcBorders>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E5FFFF"/>
          </w:tcPr>
          <w:p>
            <w:pPr>
              <w:jc w:val="right"/>
              <w:ind w:right="100"/>
              <w:spacing w:after="0" w:line="183" w:lineRule="exact"/>
              <w:rPr>
                <w:sz w:val="20"/>
                <w:szCs w:val="20"/>
                <w:color w:val="auto"/>
              </w:rPr>
            </w:pPr>
            <w:r>
              <w:rPr>
                <w:rFonts w:ascii="Arial" w:cs="Arial" w:eastAsia="Arial" w:hAnsi="Arial"/>
                <w:sz w:val="18"/>
                <w:szCs w:val="18"/>
                <w:color w:val="auto"/>
              </w:rPr>
              <w:t>0.5950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00"/>
          </w:cols>
          <w:pgMar w:left="240" w:top="422" w:right="559" w:bottom="1440" w:gutter="0" w:footer="0" w:header="0"/>
        </w:sectPr>
      </w:pPr>
    </w:p>
    <w:bookmarkStart w:id="3" w:name="page4"/>
    <w:bookmarkEnd w:id="3"/>
    <w:p>
      <w:pPr>
        <w:jc w:val="center"/>
        <w:ind w:right="160"/>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Consolidated Statement of Comprehensive Income</w:t>
      </w: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5022850</wp:posOffset>
            </wp:positionH>
            <wp:positionV relativeFrom="paragraph">
              <wp:posOffset>-1905</wp:posOffset>
            </wp:positionV>
            <wp:extent cx="14922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r>
      <w:tr>
        <w:trPr>
          <w:trHeight w:val="412"/>
        </w:trPr>
        <w:tc>
          <w:tcPr>
            <w:tcW w:w="7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(Dollars in millions)</w:t>
            </w:r>
          </w:p>
        </w:tc>
      </w:tr>
      <w:tr>
        <w:trPr>
          <w:trHeight w:val="203"/>
        </w:trPr>
        <w:tc>
          <w:tcPr>
            <w:tcW w:w="79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1,332</w:t>
            </w:r>
          </w:p>
        </w:tc>
        <w:tc>
          <w:tcPr>
            <w:tcW w:w="28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1,226</w:t>
            </w:r>
          </w:p>
        </w:tc>
      </w:tr>
      <w:tr>
        <w:trPr>
          <w:trHeight w:val="446"/>
        </w:trPr>
        <w:tc>
          <w:tcPr>
            <w:tcW w:w="7920" w:type="dxa"/>
            <w:vAlign w:val="bottom"/>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7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792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Foreign exchange translation adjustment</w:t>
            </w:r>
          </w:p>
        </w:tc>
        <w:tc>
          <w:tcPr>
            <w:tcW w:w="22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248</w:t>
            </w:r>
          </w:p>
        </w:tc>
        <w:tc>
          <w:tcPr>
            <w:tcW w:w="2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122</w:t>
            </w:r>
          </w:p>
        </w:tc>
      </w:tr>
      <w:tr>
        <w:trPr>
          <w:trHeight w:val="419"/>
        </w:trPr>
        <w:tc>
          <w:tcPr>
            <w:tcW w:w="7920" w:type="dxa"/>
            <w:vAlign w:val="bottom"/>
          </w:tcPr>
          <w:p>
            <w:pPr>
              <w:ind w:left="540"/>
              <w:spacing w:after="0"/>
              <w:rPr>
                <w:sz w:val="20"/>
                <w:szCs w:val="20"/>
                <w:color w:val="auto"/>
              </w:rPr>
            </w:pPr>
            <w:r>
              <w:rPr>
                <w:rFonts w:ascii="Arial" w:cs="Arial" w:eastAsia="Arial" w:hAnsi="Arial"/>
                <w:sz w:val="18"/>
                <w:szCs w:val="18"/>
                <w:color w:val="auto"/>
              </w:rPr>
              <w:t>Prior service credit (cost)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03"/>
        </w:trPr>
        <w:tc>
          <w:tcPr>
            <w:tcW w:w="7920" w:type="dxa"/>
            <w:vAlign w:val="bottom"/>
            <w:shd w:val="clear" w:color="auto" w:fill="E5FFFF"/>
          </w:tcPr>
          <w:p>
            <w:pPr>
              <w:ind w:left="540"/>
              <w:spacing w:after="0" w:line="202" w:lineRule="exact"/>
              <w:rPr>
                <w:sz w:val="20"/>
                <w:szCs w:val="20"/>
                <w:color w:val="auto"/>
              </w:rPr>
            </w:pPr>
            <w:r>
              <w:rPr>
                <w:rFonts w:ascii="Arial" w:cs="Arial" w:eastAsia="Arial" w:hAnsi="Arial"/>
                <w:sz w:val="18"/>
                <w:szCs w:val="18"/>
                <w:color w:val="auto"/>
              </w:rPr>
              <w:t>Actuarial losses (gains) recognized</w:t>
            </w:r>
          </w:p>
        </w:tc>
        <w:tc>
          <w:tcPr>
            <w:tcW w:w="22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w:t>
            </w:r>
          </w:p>
        </w:tc>
        <w:tc>
          <w:tcPr>
            <w:tcW w:w="2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w:t>
            </w:r>
          </w:p>
        </w:tc>
      </w:tr>
      <w:tr>
        <w:trPr>
          <w:trHeight w:val="216"/>
        </w:trPr>
        <w:tc>
          <w:tcPr>
            <w:tcW w:w="7920" w:type="dxa"/>
            <w:vAlign w:val="bottom"/>
            <w:tcBorders>
              <w:bottom w:val="single" w:sz="8" w:color="E5FFFF"/>
            </w:tcBorders>
          </w:tcPr>
          <w:p>
            <w:pPr>
              <w:ind w:left="540"/>
              <w:spacing w:after="0"/>
              <w:rPr>
                <w:sz w:val="20"/>
                <w:szCs w:val="20"/>
                <w:color w:val="auto"/>
              </w:rPr>
            </w:pPr>
            <w:r>
              <w:rPr>
                <w:rFonts w:ascii="Arial" w:cs="Arial" w:eastAsia="Arial" w:hAnsi="Arial"/>
                <w:sz w:val="18"/>
                <w:szCs w:val="18"/>
                <w:color w:val="auto"/>
              </w:rPr>
              <w:t>Prior service (credit) cost recognized</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7920" w:type="dxa"/>
            <w:vAlign w:val="bottom"/>
            <w:shd w:val="clear" w:color="auto" w:fill="E5FFFF"/>
          </w:tcPr>
          <w:p>
            <w:pPr>
              <w:ind w:left="360"/>
              <w:spacing w:after="0" w:line="196" w:lineRule="exact"/>
              <w:rPr>
                <w:sz w:val="20"/>
                <w:szCs w:val="20"/>
                <w:color w:val="auto"/>
              </w:rPr>
            </w:pPr>
            <w:r>
              <w:rPr>
                <w:rFonts w:ascii="Arial" w:cs="Arial" w:eastAsia="Arial" w:hAnsi="Arial"/>
                <w:sz w:val="18"/>
                <w:szCs w:val="18"/>
                <w:color w:val="auto"/>
              </w:rPr>
              <w:t>Pension and other postretirement benefits adjustments</w:t>
            </w:r>
          </w:p>
        </w:tc>
        <w:tc>
          <w:tcPr>
            <w:tcW w:w="22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(60)</w:t>
            </w:r>
          </w:p>
        </w:tc>
        <w:tc>
          <w:tcPr>
            <w:tcW w:w="2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(16)</w:t>
            </w:r>
          </w:p>
        </w:tc>
      </w:tr>
      <w:tr>
        <w:trPr>
          <w:trHeight w:val="419"/>
        </w:trPr>
        <w:tc>
          <w:tcPr>
            <w:tcW w:w="7920" w:type="dxa"/>
            <w:vAlign w:val="bottom"/>
          </w:tcPr>
          <w:p>
            <w:pPr>
              <w:ind w:left="540"/>
              <w:spacing w:after="0"/>
              <w:rPr>
                <w:sz w:val="20"/>
                <w:szCs w:val="20"/>
                <w:color w:val="auto"/>
              </w:rPr>
            </w:pPr>
            <w:r>
              <w:rPr>
                <w:rFonts w:ascii="Arial" w:cs="Arial" w:eastAsia="Arial" w:hAnsi="Arial"/>
                <w:sz w:val="18"/>
                <w:szCs w:val="18"/>
                <w:color w:val="auto"/>
              </w:rPr>
              <w:t>Effective portion of cash flow hedges recognized in other comprehensive income (loss)</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920" w:type="dxa"/>
            <w:vAlign w:val="bottom"/>
            <w:shd w:val="clear" w:color="auto" w:fill="E5FFFF"/>
          </w:tcPr>
          <w:p>
            <w:pPr>
              <w:ind w:left="540"/>
              <w:spacing w:after="0"/>
              <w:rPr>
                <w:sz w:val="20"/>
                <w:szCs w:val="20"/>
                <w:color w:val="auto"/>
              </w:rPr>
            </w:pPr>
            <w:r>
              <w:rPr>
                <w:rFonts w:ascii="Arial" w:cs="Arial" w:eastAsia="Arial" w:hAnsi="Arial"/>
                <w:sz w:val="18"/>
                <w:szCs w:val="18"/>
                <w:color w:val="auto"/>
              </w:rPr>
              <w:t>Less: Reclassification adjustment for gains (losses) included in net income</w:t>
            </w:r>
          </w:p>
        </w:tc>
        <w:tc>
          <w:tcPr>
            <w:tcW w:w="22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23</w:t>
            </w:r>
          </w:p>
        </w:tc>
        <w:tc>
          <w:tcPr>
            <w:tcW w:w="28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w:t>
            </w:r>
          </w:p>
        </w:tc>
      </w:tr>
      <w:tr>
        <w:trPr>
          <w:trHeight w:val="196"/>
        </w:trPr>
        <w:tc>
          <w:tcPr>
            <w:tcW w:w="7920" w:type="dxa"/>
            <w:vAlign w:val="bottom"/>
            <w:tcBorders>
              <w:bottom w:val="single" w:sz="8" w:color="E5FFFF"/>
            </w:tcBorders>
          </w:tcPr>
          <w:p>
            <w:pPr>
              <w:ind w:left="360"/>
              <w:spacing w:after="0" w:line="196" w:lineRule="exact"/>
              <w:rPr>
                <w:sz w:val="20"/>
                <w:szCs w:val="20"/>
                <w:color w:val="auto"/>
              </w:rPr>
            </w:pPr>
            <w:r>
              <w:rPr>
                <w:rFonts w:ascii="Arial" w:cs="Arial" w:eastAsia="Arial" w:hAnsi="Arial"/>
                <w:sz w:val="18"/>
                <w:szCs w:val="18"/>
                <w:color w:val="auto"/>
              </w:rPr>
              <w:t>Changes in fair value of effective cash flow hedges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w:t>
            </w:r>
          </w:p>
        </w:tc>
        <w:tc>
          <w:tcPr>
            <w:tcW w:w="28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792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bottom w:val="single" w:sz="8" w:color="auto"/>
            </w:tcBorders>
            <w:shd w:val="clear" w:color="auto" w:fill="E5FFFF"/>
          </w:tcPr>
          <w:p>
            <w:pPr>
              <w:spacing w:after="0"/>
              <w:rPr>
                <w:sz w:val="17"/>
                <w:szCs w:val="17"/>
                <w:color w:val="auto"/>
              </w:rPr>
            </w:pPr>
          </w:p>
        </w:tc>
        <w:tc>
          <w:tcPr>
            <w:tcW w:w="82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152</w:t>
            </w:r>
          </w:p>
        </w:tc>
        <w:tc>
          <w:tcPr>
            <w:tcW w:w="28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80</w:t>
            </w:r>
          </w:p>
        </w:tc>
      </w:tr>
      <w:tr>
        <w:trPr>
          <w:trHeight w:val="412"/>
        </w:trPr>
        <w:tc>
          <w:tcPr>
            <w:tcW w:w="7920" w:type="dxa"/>
            <w:vAlign w:val="bottom"/>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1,484</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1,306</w:t>
            </w:r>
          </w:p>
        </w:tc>
      </w:tr>
      <w:tr>
        <w:trPr>
          <w:trHeight w:val="216"/>
        </w:trPr>
        <w:tc>
          <w:tcPr>
            <w:tcW w:w="7920" w:type="dxa"/>
            <w:vAlign w:val="bottom"/>
            <w:shd w:val="clear" w:color="auto" w:fill="E5FFFF"/>
          </w:tcPr>
          <w:p>
            <w:pPr>
              <w:ind w:left="540"/>
              <w:spacing w:after="0"/>
              <w:rPr>
                <w:sz w:val="20"/>
                <w:szCs w:val="20"/>
                <w:color w:val="auto"/>
              </w:rPr>
            </w:pPr>
            <w:r>
              <w:rPr>
                <w:rFonts w:ascii="Arial" w:cs="Arial" w:eastAsia="Arial" w:hAnsi="Arial"/>
                <w:sz w:val="18"/>
                <w:szCs w:val="18"/>
                <w:color w:val="auto"/>
              </w:rPr>
              <w:t>Less: Comprehensive income attributable to the noncontrolling interest</w:t>
            </w:r>
          </w:p>
        </w:tc>
        <w:tc>
          <w:tcPr>
            <w:tcW w:w="22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9</w:t>
            </w:r>
          </w:p>
        </w:tc>
        <w:tc>
          <w:tcPr>
            <w:tcW w:w="28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10</w:t>
            </w:r>
          </w:p>
        </w:tc>
      </w:tr>
      <w:tr>
        <w:trPr>
          <w:trHeight w:val="210"/>
        </w:trPr>
        <w:tc>
          <w:tcPr>
            <w:tcW w:w="7920" w:type="dxa"/>
            <w:vAlign w:val="bottom"/>
          </w:tcPr>
          <w:p>
            <w:pPr>
              <w:spacing w:after="0" w:line="197" w:lineRule="exact"/>
              <w:rPr>
                <w:sz w:val="20"/>
                <w:szCs w:val="20"/>
                <w:color w:val="auto"/>
              </w:rPr>
            </w:pPr>
            <w:r>
              <w:rPr>
                <w:rFonts w:ascii="Arial" w:cs="Arial" w:eastAsia="Arial" w:hAnsi="Arial"/>
                <w:sz w:val="18"/>
                <w:szCs w:val="18"/>
                <w:color w:val="auto"/>
              </w:rPr>
              <w:t>Comprehensive income attributable to Honeywell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1,475</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1,296</w:t>
            </w: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135255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60"/>
          </w:cols>
          <w:pgMar w:left="900" w:top="391" w:right="7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51"/>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12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50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7,710</w:t>
            </w:r>
          </w:p>
        </w:tc>
        <w:tc>
          <w:tcPr>
            <w:tcW w:w="580" w:type="dxa"/>
            <w:vAlign w:val="bottom"/>
            <w:gridSpan w:val="2"/>
            <w:shd w:val="clear" w:color="auto" w:fill="E5FFFF"/>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160"/>
              <w:spacing w:after="0" w:line="202" w:lineRule="exact"/>
              <w:rPr>
                <w:sz w:val="20"/>
                <w:szCs w:val="20"/>
                <w:color w:val="auto"/>
              </w:rPr>
            </w:pPr>
            <w:r>
              <w:rPr>
                <w:rFonts w:ascii="Arial" w:cs="Arial" w:eastAsia="Arial" w:hAnsi="Arial"/>
                <w:sz w:val="18"/>
                <w:szCs w:val="18"/>
                <w:color w:val="auto"/>
              </w:rPr>
              <w:t>Short-term investments</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1,885</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Accounts receivable - net</w:t>
            </w: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8,155</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8,177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160"/>
              <w:spacing w:after="0" w:line="202" w:lineRule="exact"/>
              <w:rPr>
                <w:sz w:val="20"/>
                <w:szCs w:val="20"/>
                <w:color w:val="auto"/>
              </w:rPr>
            </w:pPr>
            <w:r>
              <w:rPr>
                <w:rFonts w:ascii="Arial" w:cs="Arial" w:eastAsia="Arial" w:hAnsi="Arial"/>
                <w:sz w:val="18"/>
                <w:szCs w:val="18"/>
                <w:color w:val="auto"/>
              </w:rPr>
              <w:t>Inventories</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4,652</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 current assets</w:t>
            </w:r>
          </w:p>
        </w:tc>
        <w:tc>
          <w:tcPr>
            <w:tcW w:w="134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1,178</w:t>
            </w:r>
          </w:p>
        </w:tc>
        <w:tc>
          <w:tcPr>
            <w:tcW w:w="34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23,580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23,058</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Investments and long-term receivables</w:t>
            </w: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533</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 net</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5,816</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5,793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Goodwill</w:t>
            </w: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17,827</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17,707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Other intangible assets - net</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4,592</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Insurance recoveries for asbestos related liabilities</w:t>
            </w: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407</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337</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FFFF"/>
          </w:tcPr>
          <w:p>
            <w:pPr>
              <w:spacing w:after="0"/>
              <w:rPr>
                <w:sz w:val="20"/>
                <w:szCs w:val="20"/>
                <w:color w:val="auto"/>
              </w:rPr>
            </w:pPr>
            <w:r>
              <w:rPr>
                <w:rFonts w:ascii="Arial" w:cs="Arial" w:eastAsia="Arial" w:hAnsi="Arial"/>
                <w:sz w:val="18"/>
                <w:szCs w:val="18"/>
                <w:color w:val="auto"/>
              </w:rPr>
              <w:t>Other assets</w:t>
            </w:r>
          </w:p>
        </w:tc>
        <w:tc>
          <w:tcPr>
            <w:tcW w:w="134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1,687</w:t>
            </w:r>
          </w:p>
        </w:tc>
        <w:tc>
          <w:tcPr>
            <w:tcW w:w="34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160"/>
              <w:spacing w:after="0" w:line="197" w:lineRule="exact"/>
              <w:rPr>
                <w:sz w:val="20"/>
                <w:szCs w:val="20"/>
                <w:color w:val="auto"/>
              </w:rPr>
            </w:pPr>
            <w:r>
              <w:rPr>
                <w:rFonts w:ascii="Arial" w:cs="Arial" w:eastAsia="Arial" w:hAnsi="Arial"/>
                <w:sz w:val="18"/>
                <w:szCs w:val="18"/>
                <w:color w:val="auto"/>
              </w:rPr>
              <w:t>Total assets</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54,779</w:t>
            </w:r>
          </w:p>
        </w:tc>
        <w:tc>
          <w:tcPr>
            <w:tcW w:w="5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50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5,805</w:t>
            </w:r>
          </w:p>
        </w:tc>
        <w:tc>
          <w:tcPr>
            <w:tcW w:w="580" w:type="dxa"/>
            <w:vAlign w:val="bottom"/>
            <w:gridSpan w:val="2"/>
            <w:shd w:val="clear" w:color="auto" w:fill="E5FFFF"/>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5,690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160"/>
              <w:spacing w:after="0" w:line="202" w:lineRule="exact"/>
              <w:rPr>
                <w:sz w:val="20"/>
                <w:szCs w:val="20"/>
                <w:color w:val="auto"/>
              </w:rPr>
            </w:pPr>
            <w:r>
              <w:rPr>
                <w:rFonts w:ascii="Arial" w:cs="Arial" w:eastAsia="Arial" w:hAnsi="Arial"/>
                <w:sz w:val="18"/>
                <w:szCs w:val="18"/>
                <w:color w:val="auto"/>
              </w:rPr>
              <w:t>Commercial paper and other short-term borrowings</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3,415</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Current maturities of long-term debt</w:t>
            </w: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1,271</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Accrued liabilities</w:t>
            </w:r>
          </w:p>
        </w:tc>
        <w:tc>
          <w:tcPr>
            <w:tcW w:w="134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6,790</w:t>
            </w:r>
          </w:p>
        </w:tc>
        <w:tc>
          <w:tcPr>
            <w:tcW w:w="34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E5FFFF"/>
          </w:tcPr>
          <w:p>
            <w:pPr>
              <w:ind w:left="340"/>
              <w:spacing w:after="0" w:line="196" w:lineRule="exact"/>
              <w:rPr>
                <w:sz w:val="20"/>
                <w:szCs w:val="20"/>
                <w:color w:val="auto"/>
              </w:rPr>
            </w:pPr>
            <w:r>
              <w:rPr>
                <w:rFonts w:ascii="Arial" w:cs="Arial" w:eastAsia="Arial" w:hAnsi="Arial"/>
                <w:sz w:val="18"/>
                <w:szCs w:val="18"/>
                <w:color w:val="auto"/>
              </w:rPr>
              <w:t>Total current liabilities</w:t>
            </w: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17,281</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16,331</w:t>
            </w:r>
          </w:p>
        </w:tc>
        <w:tc>
          <w:tcPr>
            <w:tcW w:w="0" w:type="dxa"/>
            <w:vAlign w:val="bottom"/>
          </w:tcPr>
          <w:p>
            <w:pPr>
              <w:spacing w:after="0"/>
              <w:rPr>
                <w:sz w:val="1"/>
                <w:szCs w:val="1"/>
                <w:color w:val="auto"/>
              </w:rPr>
            </w:pPr>
          </w:p>
        </w:tc>
      </w:tr>
      <w:tr>
        <w:trPr>
          <w:trHeight w:val="405"/>
        </w:trPr>
        <w:tc>
          <w:tcPr>
            <w:tcW w:w="74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11,181</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12,182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Deferred income taxes</w:t>
            </w: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414</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Postretirement benefit obligations other than pensions</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546</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Asbestos related liabilities</w:t>
            </w: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1,002</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liabilities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3,877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Redeemable noncontrolling interest</w:t>
            </w: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05"/>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SHAREOWNERS’ EQUITY</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Capital - common stock issued</w:t>
            </w: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958</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600"/>
              <w:spacing w:after="0" w:line="202" w:lineRule="exact"/>
              <w:rPr>
                <w:sz w:val="20"/>
                <w:szCs w:val="20"/>
                <w:color w:val="auto"/>
              </w:rPr>
            </w:pPr>
            <w:r>
              <w:rPr>
                <w:rFonts w:ascii="Arial" w:cs="Arial" w:eastAsia="Arial" w:hAnsi="Arial"/>
                <w:sz w:val="18"/>
                <w:szCs w:val="18"/>
                <w:color w:val="auto"/>
              </w:rPr>
              <w:t>- additional paid-in capital</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5,927</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Common stock held in treasury, at cost</w:t>
            </w: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(13,526)</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(13,366)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(2,562)</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FFFF"/>
          </w:tcPr>
          <w:p>
            <w:pPr>
              <w:spacing w:after="0"/>
              <w:rPr>
                <w:sz w:val="20"/>
                <w:szCs w:val="20"/>
                <w:color w:val="auto"/>
              </w:rPr>
            </w:pPr>
            <w:r>
              <w:rPr>
                <w:rFonts w:ascii="Arial" w:cs="Arial" w:eastAsia="Arial" w:hAnsi="Arial"/>
                <w:sz w:val="18"/>
                <w:szCs w:val="18"/>
                <w:color w:val="auto"/>
              </w:rPr>
              <w:t>Retained earnings</w:t>
            </w:r>
          </w:p>
        </w:tc>
        <w:tc>
          <w:tcPr>
            <w:tcW w:w="134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29,526</w:t>
            </w:r>
          </w:p>
        </w:tc>
        <w:tc>
          <w:tcPr>
            <w:tcW w:w="34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28,710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Pr>
          <w:p>
            <w:pPr>
              <w:ind w:left="160"/>
              <w:spacing w:after="0" w:line="196" w:lineRule="exact"/>
              <w:rPr>
                <w:sz w:val="20"/>
                <w:szCs w:val="20"/>
                <w:color w:val="auto"/>
              </w:rPr>
            </w:pPr>
            <w:r>
              <w:rPr>
                <w:rFonts w:ascii="Arial" w:cs="Arial" w:eastAsia="Arial" w:hAnsi="Arial"/>
                <w:sz w:val="18"/>
                <w:szCs w:val="18"/>
                <w:color w:val="auto"/>
              </w:rPr>
              <w:t>Total Honeywell shareowners’ equity</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20,323</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134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Borders>
              <w:bottom w:val="single" w:sz="8" w:color="E5FFFF"/>
            </w:tcBorders>
          </w:tcPr>
          <w:p>
            <w:pPr>
              <w:ind w:left="160"/>
              <w:spacing w:after="0" w:line="196" w:lineRule="exact"/>
              <w:rPr>
                <w:sz w:val="20"/>
                <w:szCs w:val="20"/>
                <w:color w:val="auto"/>
              </w:rPr>
            </w:pPr>
            <w:r>
              <w:rPr>
                <w:rFonts w:ascii="Arial" w:cs="Arial" w:eastAsia="Arial" w:hAnsi="Arial"/>
                <w:sz w:val="18"/>
                <w:szCs w:val="18"/>
                <w:color w:val="auto"/>
              </w:rPr>
              <w:t>Total shareowners’ equity</w:t>
            </w:r>
          </w:p>
        </w:tc>
        <w:tc>
          <w:tcPr>
            <w:tcW w:w="134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20,475</w:t>
            </w:r>
          </w:p>
        </w:tc>
        <w:tc>
          <w:tcPr>
            <w:tcW w:w="34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19,547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E5FFFF"/>
          </w:tcPr>
          <w:p>
            <w:pPr>
              <w:ind w:left="160"/>
              <w:spacing w:after="0" w:line="197" w:lineRule="exact"/>
              <w:rPr>
                <w:sz w:val="20"/>
                <w:szCs w:val="20"/>
                <w:color w:val="auto"/>
              </w:rPr>
            </w:pPr>
            <w:r>
              <w:rPr>
                <w:rFonts w:ascii="Arial" w:cs="Arial" w:eastAsia="Arial" w:hAnsi="Arial"/>
                <w:sz w:val="18"/>
                <w:szCs w:val="18"/>
                <w:color w:val="auto"/>
              </w:rPr>
              <w:t>Total liabilities, redeemable noncontrolling interest and shareowners’ equity</w:t>
            </w:r>
          </w:p>
        </w:tc>
        <w:tc>
          <w:tcPr>
            <w:tcW w:w="15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54,779</w:t>
            </w:r>
          </w:p>
        </w:tc>
        <w:tc>
          <w:tcPr>
            <w:tcW w:w="580" w:type="dxa"/>
            <w:vAlign w:val="bottom"/>
            <w:gridSpan w:val="2"/>
            <w:shd w:val="clear" w:color="auto" w:fill="E5FFFF"/>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54,146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E5FFFF"/>
            </w:tcBorders>
          </w:tcPr>
          <w:p>
            <w:pPr>
              <w:spacing w:after="0" w:line="20" w:lineRule="exact"/>
              <w:rPr>
                <w:sz w:val="1"/>
                <w:szCs w:val="1"/>
                <w:color w:val="auto"/>
              </w:rPr>
            </w:pPr>
          </w:p>
        </w:tc>
        <w:tc>
          <w:tcPr>
            <w:tcW w:w="13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-1905</wp:posOffset>
            </wp:positionV>
            <wp:extent cx="1655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4"/>
          </w:tcPr>
          <w:p>
            <w:pPr>
              <w:jc w:val="right"/>
              <w:ind w:right="55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1,332</w:t>
            </w:r>
          </w:p>
        </w:tc>
        <w:tc>
          <w:tcPr>
            <w:tcW w:w="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E5FFFF"/>
          </w:tcPr>
          <w:p>
            <w:pPr>
              <w:ind w:left="160"/>
              <w:spacing w:after="0"/>
              <w:rPr>
                <w:sz w:val="20"/>
                <w:szCs w:val="20"/>
                <w:color w:val="auto"/>
              </w:rPr>
            </w:pPr>
            <w:r>
              <w:rPr>
                <w:rFonts w:ascii="Arial" w:cs="Arial" w:eastAsia="Arial" w:hAnsi="Arial"/>
                <w:sz w:val="18"/>
                <w:szCs w:val="18"/>
                <w:color w:val="auto"/>
              </w:rPr>
              <w:t>Less: Net income attributable to the noncontrolling interest</w:t>
            </w:r>
          </w:p>
        </w:tc>
        <w:tc>
          <w:tcPr>
            <w:tcW w:w="50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6</w:t>
            </w:r>
          </w:p>
        </w:tc>
        <w:tc>
          <w:tcPr>
            <w:tcW w:w="34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00" w:type="dxa"/>
            <w:vAlign w:val="bottom"/>
          </w:tcPr>
          <w:p>
            <w:pPr>
              <w:ind w:left="160"/>
              <w:spacing w:after="0" w:line="195" w:lineRule="exact"/>
              <w:rPr>
                <w:sz w:val="20"/>
                <w:szCs w:val="20"/>
                <w:color w:val="auto"/>
              </w:rPr>
            </w:pPr>
            <w:r>
              <w:rPr>
                <w:rFonts w:ascii="Arial" w:cs="Arial" w:eastAsia="Arial" w:hAnsi="Arial"/>
                <w:sz w:val="18"/>
                <w:szCs w:val="18"/>
                <w:color w:val="auto"/>
              </w:rPr>
              <w:t>Net income attributable to Honeywell</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1"/>
              <w:spacing w:after="0" w:line="195" w:lineRule="exact"/>
              <w:rPr>
                <w:sz w:val="20"/>
                <w:szCs w:val="20"/>
                <w:color w:val="auto"/>
              </w:rPr>
            </w:pPr>
            <w:r>
              <w:rPr>
                <w:rFonts w:ascii="Arial" w:cs="Arial" w:eastAsia="Arial" w:hAnsi="Arial"/>
                <w:sz w:val="18"/>
                <w:szCs w:val="18"/>
                <w:color w:val="auto"/>
              </w:rPr>
              <w:t>1,326</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Adjustments to reconcile net income attributable to Honeywell to net cash provided by operating</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60"/>
              <w:spacing w:after="0" w:line="203" w:lineRule="exact"/>
              <w:rPr>
                <w:sz w:val="20"/>
                <w:szCs w:val="20"/>
                <w:color w:val="auto"/>
              </w:rPr>
            </w:pPr>
            <w:r>
              <w:rPr>
                <w:rFonts w:ascii="Arial" w:cs="Arial" w:eastAsia="Arial" w:hAnsi="Arial"/>
                <w:sz w:val="18"/>
                <w:szCs w:val="18"/>
                <w:color w:val="auto"/>
              </w:rPr>
              <w:t>activities:</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Depreciation</w:t>
            </w:r>
          </w:p>
        </w:tc>
        <w:tc>
          <w:tcPr>
            <w:tcW w:w="5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170</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340"/>
              <w:spacing w:after="0" w:line="202" w:lineRule="exact"/>
              <w:rPr>
                <w:sz w:val="20"/>
                <w:szCs w:val="20"/>
                <w:color w:val="auto"/>
              </w:rPr>
            </w:pPr>
            <w:r>
              <w:rPr>
                <w:rFonts w:ascii="Arial" w:cs="Arial" w:eastAsia="Arial" w:hAnsi="Arial"/>
                <w:sz w:val="18"/>
                <w:szCs w:val="18"/>
                <w:color w:val="auto"/>
              </w:rPr>
              <w:t>Amortization</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101</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Repositioning and other charges</w:t>
            </w:r>
          </w:p>
        </w:tc>
        <w:tc>
          <w:tcPr>
            <w:tcW w:w="5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129</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340"/>
              <w:spacing w:after="0" w:line="202" w:lineRule="exact"/>
              <w:rPr>
                <w:sz w:val="20"/>
                <w:szCs w:val="20"/>
                <w:color w:val="auto"/>
              </w:rPr>
            </w:pPr>
            <w:r>
              <w:rPr>
                <w:rFonts w:ascii="Arial" w:cs="Arial" w:eastAsia="Arial" w:hAnsi="Arial"/>
                <w:sz w:val="18"/>
                <w:szCs w:val="18"/>
                <w:color w:val="auto"/>
              </w:rPr>
              <w:t>Net payments for repositioning and other charges</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Pension and other postretirement income</w:t>
            </w:r>
          </w:p>
        </w:tc>
        <w:tc>
          <w:tcPr>
            <w:tcW w:w="5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(183)</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340"/>
              <w:spacing w:after="0" w:line="202" w:lineRule="exact"/>
              <w:rPr>
                <w:sz w:val="20"/>
                <w:szCs w:val="20"/>
                <w:color w:val="auto"/>
              </w:rPr>
            </w:pPr>
            <w:r>
              <w:rPr>
                <w:rFonts w:ascii="Arial" w:cs="Arial" w:eastAsia="Arial" w:hAnsi="Arial"/>
                <w:sz w:val="18"/>
                <w:szCs w:val="18"/>
                <w:color w:val="auto"/>
              </w:rPr>
              <w:t>Pension and other postretirement benefit payments</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Stock compensation expense</w:t>
            </w:r>
          </w:p>
        </w:tc>
        <w:tc>
          <w:tcPr>
            <w:tcW w:w="5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50</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340"/>
              <w:spacing w:after="0" w:line="202" w:lineRule="exact"/>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Other</w:t>
            </w:r>
          </w:p>
        </w:tc>
        <w:tc>
          <w:tcPr>
            <w:tcW w:w="5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14</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340"/>
              <w:spacing w:after="0" w:line="202" w:lineRule="exact"/>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Accounts receivable</w:t>
            </w:r>
          </w:p>
        </w:tc>
        <w:tc>
          <w:tcPr>
            <w:tcW w:w="5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23</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520"/>
              <w:spacing w:after="0" w:line="202" w:lineRule="exact"/>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(286)</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Other current assets</w:t>
            </w:r>
          </w:p>
        </w:tc>
        <w:tc>
          <w:tcPr>
            <w:tcW w:w="5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(25)</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115</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E5FFFF"/>
          </w:tcPr>
          <w:p>
            <w:pPr>
              <w:ind w:left="520"/>
              <w:spacing w:after="0"/>
              <w:rPr>
                <w:sz w:val="20"/>
                <w:szCs w:val="20"/>
                <w:color w:val="auto"/>
              </w:rPr>
            </w:pPr>
            <w:r>
              <w:rPr>
                <w:rFonts w:ascii="Arial" w:cs="Arial" w:eastAsia="Arial" w:hAnsi="Arial"/>
                <w:sz w:val="18"/>
                <w:szCs w:val="18"/>
                <w:color w:val="auto"/>
              </w:rPr>
              <w:t>Accrued liabilities</w:t>
            </w:r>
          </w:p>
        </w:tc>
        <w:tc>
          <w:tcPr>
            <w:tcW w:w="50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(291)</w:t>
            </w:r>
          </w:p>
        </w:tc>
        <w:tc>
          <w:tcPr>
            <w:tcW w:w="34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940</w:t>
            </w:r>
          </w:p>
        </w:tc>
        <w:tc>
          <w:tcPr>
            <w:tcW w:w="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0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Expenditures for property, plant and equipment</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disposals of property, plant and equipment</w:t>
            </w:r>
          </w:p>
        </w:tc>
        <w:tc>
          <w:tcPr>
            <w:tcW w:w="5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24</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Increase in investments</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(1,256)</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Decrease in investments</w:t>
            </w:r>
          </w:p>
        </w:tc>
        <w:tc>
          <w:tcPr>
            <w:tcW w:w="5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825</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Cash paid for acquisitions, net of cash acquired</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tcPr>
          <w:p>
            <w:pPr>
              <w:spacing w:after="0" w:line="196" w:lineRule="exact"/>
              <w:rPr>
                <w:sz w:val="20"/>
                <w:szCs w:val="20"/>
                <w:color w:val="auto"/>
              </w:rPr>
            </w:pPr>
            <w:r>
              <w:rPr>
                <w:rFonts w:ascii="Arial" w:cs="Arial" w:eastAsia="Arial" w:hAnsi="Arial"/>
                <w:sz w:val="18"/>
                <w:szCs w:val="18"/>
                <w:color w:val="auto"/>
              </w:rPr>
              <w:t>Net cash used for investing activities</w:t>
            </w:r>
          </w:p>
        </w:tc>
        <w:tc>
          <w:tcPr>
            <w:tcW w:w="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(604)</w:t>
            </w:r>
          </w:p>
        </w:tc>
        <w:tc>
          <w:tcPr>
            <w:tcW w:w="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0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Proceeds from issuance of commercial paper and other short-term borrowings</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2,468</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Payments of commercial paper and other short-term borrowings</w:t>
            </w:r>
          </w:p>
        </w:tc>
        <w:tc>
          <w:tcPr>
            <w:tcW w:w="5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(2,467)</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Proceeds from issuance of common stock</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221</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issuance of long-term debt</w:t>
            </w:r>
          </w:p>
        </w:tc>
        <w:tc>
          <w:tcPr>
            <w:tcW w:w="5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11</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Payments of long-term debt</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Repurchases of common stock</w:t>
            </w:r>
          </w:p>
        </w:tc>
        <w:tc>
          <w:tcPr>
            <w:tcW w:w="5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(310)</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60"/>
              <w:spacing w:after="0" w:line="202" w:lineRule="exact"/>
              <w:rPr>
                <w:sz w:val="20"/>
                <w:szCs w:val="20"/>
                <w:color w:val="auto"/>
              </w:rPr>
            </w:pPr>
            <w:r>
              <w:rPr>
                <w:rFonts w:ascii="Arial" w:cs="Arial" w:eastAsia="Arial" w:hAnsi="Arial"/>
                <w:sz w:val="18"/>
                <w:szCs w:val="18"/>
                <w:color w:val="auto"/>
              </w:rPr>
              <w:t>Cash dividends paid</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(503)</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Payments to purchase the noncontrolling interest</w:t>
            </w:r>
          </w:p>
        </w:tc>
        <w:tc>
          <w:tcPr>
            <w:tcW w:w="5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cash used for financing activities</w:t>
            </w:r>
          </w:p>
        </w:tc>
        <w:tc>
          <w:tcPr>
            <w:tcW w:w="50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(618)</w:t>
            </w:r>
          </w:p>
        </w:tc>
        <w:tc>
          <w:tcPr>
            <w:tcW w:w="34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tcBorders>
              <w:bottom w:val="single" w:sz="8" w:color="E5FFFF"/>
            </w:tcBorders>
          </w:tcPr>
          <w:p>
            <w:pPr>
              <w:spacing w:after="0" w:line="196" w:lineRule="exact"/>
              <w:rPr>
                <w:sz w:val="20"/>
                <w:szCs w:val="20"/>
                <w:color w:val="auto"/>
              </w:rPr>
            </w:pPr>
            <w:r>
              <w:rPr>
                <w:rFonts w:ascii="Arial" w:cs="Arial" w:eastAsia="Arial" w:hAnsi="Arial"/>
                <w:sz w:val="18"/>
                <w:szCs w:val="18"/>
                <w:color w:val="auto"/>
              </w:rPr>
              <w:t>Effect of foreign exchange rate changes on cash and cash equivalents</w:t>
            </w:r>
          </w:p>
        </w:tc>
        <w:tc>
          <w:tcPr>
            <w:tcW w:w="50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149</w:t>
            </w:r>
          </w:p>
        </w:tc>
        <w:tc>
          <w:tcPr>
            <w:tcW w:w="34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decrease in cash and cash equivalents</w:t>
            </w:r>
          </w:p>
        </w:tc>
        <w:tc>
          <w:tcPr>
            <w:tcW w:w="5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(133)</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5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7,843</w:t>
            </w:r>
          </w:p>
        </w:tc>
        <w:tc>
          <w:tcPr>
            <w:tcW w:w="34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bottom w:val="single" w:sz="8" w:color="E5FFFF"/>
            </w:tcBorders>
            <w:shd w:val="clear" w:color="auto" w:fill="E5FFFF"/>
          </w:tcPr>
          <w:p>
            <w:pPr>
              <w:spacing w:after="0" w:line="197" w:lineRule="exact"/>
              <w:rPr>
                <w:sz w:val="20"/>
                <w:szCs w:val="20"/>
                <w:color w:val="auto"/>
              </w:rPr>
            </w:pPr>
            <w:r>
              <w:rPr>
                <w:rFonts w:ascii="Arial" w:cs="Arial" w:eastAsia="Arial" w:hAnsi="Arial"/>
                <w:sz w:val="18"/>
                <w:szCs w:val="18"/>
                <w:color w:val="auto"/>
              </w:rPr>
              <w:t>Cash and cash equivalents at end of period</w:t>
            </w:r>
          </w:p>
        </w:tc>
        <w:tc>
          <w:tcPr>
            <w:tcW w:w="500" w:type="dxa"/>
            <w:vAlign w:val="bottom"/>
            <w:tcBorders>
              <w:bottom w:val="single" w:sz="8" w:color="E5FFFF"/>
            </w:tcBorders>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7,710</w:t>
            </w:r>
          </w:p>
        </w:tc>
        <w:tc>
          <w:tcPr>
            <w:tcW w:w="340" w:type="dxa"/>
            <w:vAlign w:val="bottom"/>
            <w:tcBorders>
              <w:bottom w:val="single" w:sz="8" w:color="E5FFFF"/>
            </w:tcBorders>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March 31, 2017 and 2016 and the results of operations and cash flows for the three months ended March 31, 2017 and 2016. The results of operations and cash flows for the three months ended March 31, 2017 should not necessarily be taken as indicative of the entire year.</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we will provide appropriate disclosures. Our actual closing dates for the three months ended March 31, 2017 and 2016 were April 1, 2017 and April 2, 2016.</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prior year amounts have been reclassified to conform to current year presentation.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consider the applicability and impact of all Accounting Standards Updates (ASUs). ASUs not listed below were assessed and determined to be either not applicable or are expected to have minimal impact on our consolidated result of operations, financial position and cash flows (consolidated financial statements).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May 2014, and in following related amendments, the FASB issued guidance on revenue from contracts with customers that will supersede most current revenue recognition guidance, including industry-specific guidance. The underlying principle is that an entity will recognize revenue to depict the transfer of goods or services to customers at an amount that the entity expects to be entitled to in exchange for those goods or services. The guidance provides a five-step analysis of transactions to determine when and how revenue is recognized. Other major provisions include capitalization of certain contract costs, consideration of time value of money in the transaction price, and allowing estimates of variable consideration to be recognized before contingencies are resolved in certain circumstances. The guidance also requires enhanced disclosures regarding the nature, amount, timing and uncertainty of revenue and cash flows arising from an entity’s contracts with customers. The effective date is for interim and annual periods beginning on or after December 15, 2017. The guidance permits the use of either a retrospective or cumulative effect transition method. We have not yet selected a transition method. We expect that our disclosures in our notes to consolidated financial statements related to revenue recognition will be significantly expanded under the new standard. The FASB has issued, and may issue in the future, interpretive guidance which may cause our evaluation to change. We believe we are following an appropriate timeline to allow for proper recognition, presentation and disclosure upon adoption effective the beginning of fiscal year 2018.</w:t>
      </w:r>
    </w:p>
    <w:p>
      <w:pPr>
        <w:spacing w:after="0" w:line="19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are still finalizing the analysis to quantify the adoption impact of the new standard, but we do not currently expect it to have a material impact on our consolidated financial position or results of operations. Based on the evaluation of our current contracts and revenue streams, most will be recorded consistently under both the current and new standard. We expect the new standard will have no cash impact and, as such, does not affect the economics of our underlying customer contracts. However, we expect the guidance in certain areas, particularly in our Aerospace segment, to impact our current revenue recognition policies.</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current accounting policy for costs incurred for nonrecurring engineering and development activities of our Aerospace products under agreements with commercial customers is generally to expense as incurred. Any customer funding received for such efforts is recognized when earned as a reduction of cost of sales. Under the new guidance, customer funding for such expenses incurred must be assessed to determine whether the contract is within the scope of the new revenue standard, and if so, determine the appropriate timing of the recognition of funding and related income statement classification. We are continuing to evaluate the impact for these activities.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addition, we expect revenues for our mechanical service programs at our Aerospace business to continue to be recognized over time and not point in time, but under the new guidance the timing may change to reflect the impact of recognition as a series of distinct services using the output method. With the adoption of the standard, certain unbilled receivables or deferred revenue will be eliminated through retained earnings, but we do not expect a material impact.</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February 2016, the FASB issued guidance on accounting for leases which requires lessees to recognize most leases on their balance sheets for the rights and obligations created by those leases. The guidance requires enhanced disclosures regarding the amount, timing, and uncertainty of cash flows arising from leases and will be effective for interim and annual periods beginning after December 15, 2018. Early adoption is permitted. The guidance requires the use of a modified retrospective approach. We are evaluating the impact of the guidance on our consolidated financial position, results of operations and related disclosures.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January 2017, the FASB issued guidance to simplify the subsequent measurement of goodwill impairment. The new guidance eliminates the two-step process that required identification of potential impairment and a separate measure of the actual impairment. Goodwill impairment charges, if any, would be determined by reducing the goodwill balance by the difference between the carrying value and the reporting unit’s fair value (impairment loss is limited to the carrying value). This standard is effective for annual or any interim goodwill impairment tests beginning after December 15, 2019. The adoption of this standard is not expected to have a material impact on our consolidated financial statements.</w:t>
      </w:r>
    </w:p>
    <w:p>
      <w:pPr>
        <w:spacing w:after="0" w:line="19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March 2017, the FASB issued guidance on presentation of net periodic pension cost and net periodic postretirement benefit cost. The new standard requires that an employer disaggregate the service costs components of net benefit cost. The employer is required to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such as in other income and expense. The guidance is effective for fiscal years beginning after December 15, 2017. This guidance will impact the presentation of our consolidated financial statements. Our current presentation of service cost components is consistent with the requirements of the new standard. Upon our adoption of the new standard, we expect to present the other components within Other (income) expense (we currently present within Cost of products and services sold and Selling, general, and administrative expenses). All components will continue to be excluded from Segment Profit (see Note 10 Segment Financial Data).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Repositioning and Other Charges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226" w:lineRule="exact"/>
        <w:rPr>
          <w:sz w:val="20"/>
          <w:szCs w:val="20"/>
          <w:color w:val="auto"/>
        </w:rPr>
      </w:pPr>
    </w:p>
    <w:p>
      <w:pPr>
        <w:jc w:val="center"/>
        <w:ind w:left="19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-93345</wp:posOffset>
            </wp:positionV>
            <wp:extent cx="216979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9795" cy="480060"/>
                    </a:xfrm>
                    <a:prstGeom prst="rect">
                      <a:avLst/>
                    </a:prstGeom>
                    <a:noFill/>
                  </pic:spPr>
                </pic:pic>
              </a:graphicData>
            </a:graphic>
          </wp:anchor>
        </w:drawing>
      </w:r>
    </w:p>
    <w:p>
      <w:pPr>
        <w:jc w:val="center"/>
        <w:ind w:left="19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-1905</wp:posOffset>
            </wp:positionV>
            <wp:extent cx="1663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Borders>
              <w:bottom w:val="single" w:sz="8" w:color="E5FF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3420" w:type="dxa"/>
            <w:vAlign w:val="bottom"/>
            <w:tcBorders>
              <w:bottom w:val="single" w:sz="8" w:color="E5FFFF"/>
            </w:tcBorders>
          </w:tcPr>
          <w:p>
            <w:pPr>
              <w:spacing w:after="0"/>
              <w:rPr>
                <w:sz w:val="15"/>
                <w:szCs w:val="15"/>
                <w:color w:val="auto"/>
              </w:rPr>
            </w:pPr>
          </w:p>
        </w:tc>
      </w:tr>
      <w:tr>
        <w:trPr>
          <w:trHeight w:val="196"/>
        </w:trPr>
        <w:tc>
          <w:tcPr>
            <w:tcW w:w="53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Severance</w:t>
            </w:r>
          </w:p>
        </w:tc>
        <w:tc>
          <w:tcPr>
            <w:tcW w:w="740" w:type="dxa"/>
            <w:vAlign w:val="bottom"/>
            <w:shd w:val="clear" w:color="auto" w:fill="E5FFFF"/>
          </w:tcPr>
          <w:p>
            <w:pPr>
              <w:jc w:val="right"/>
              <w:ind w:right="556"/>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20</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28</w:t>
            </w:r>
          </w:p>
        </w:tc>
        <w:tc>
          <w:tcPr>
            <w:tcW w:w="3420" w:type="dxa"/>
            <w:vAlign w:val="bottom"/>
            <w:shd w:val="clear" w:color="auto" w:fill="E5FFFF"/>
          </w:tcPr>
          <w:p>
            <w:pPr>
              <w:spacing w:after="0"/>
              <w:rPr>
                <w:sz w:val="17"/>
                <w:szCs w:val="17"/>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Asset impairments</w:t>
            </w:r>
          </w:p>
        </w:tc>
        <w:tc>
          <w:tcPr>
            <w:tcW w:w="74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3420" w:type="dxa"/>
            <w:vAlign w:val="bottom"/>
          </w:tcPr>
          <w:p>
            <w:pPr>
              <w:spacing w:after="0"/>
              <w:rPr>
                <w:sz w:val="18"/>
                <w:szCs w:val="18"/>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Exit costs</w:t>
            </w:r>
          </w:p>
        </w:tc>
        <w:tc>
          <w:tcPr>
            <w:tcW w:w="740" w:type="dxa"/>
            <w:vAlign w:val="bottom"/>
            <w:shd w:val="clear" w:color="auto" w:fill="E5FFFF"/>
          </w:tcPr>
          <w:p>
            <w:pPr>
              <w:spacing w:after="0"/>
              <w:rPr>
                <w:sz w:val="18"/>
                <w:szCs w:val="18"/>
                <w:color w:val="auto"/>
              </w:rPr>
            </w:pPr>
          </w:p>
        </w:tc>
        <w:tc>
          <w:tcPr>
            <w:tcW w:w="4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1</w:t>
            </w: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86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2</w:t>
            </w:r>
          </w:p>
        </w:tc>
        <w:tc>
          <w:tcPr>
            <w:tcW w:w="3420" w:type="dxa"/>
            <w:vAlign w:val="bottom"/>
            <w:shd w:val="clear" w:color="auto" w:fill="E5FFFF"/>
          </w:tcPr>
          <w:p>
            <w:pPr>
              <w:spacing w:after="0"/>
              <w:rPr>
                <w:sz w:val="18"/>
                <w:szCs w:val="18"/>
                <w:color w:val="auto"/>
              </w:rPr>
            </w:pPr>
          </w:p>
        </w:tc>
      </w:tr>
      <w:tr>
        <w:trPr>
          <w:trHeight w:val="216"/>
        </w:trPr>
        <w:tc>
          <w:tcPr>
            <w:tcW w:w="53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Reserve adjustments</w:t>
            </w: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20" w:type="dxa"/>
            <w:vAlign w:val="bottom"/>
            <w:tcBorders>
              <w:bottom w:val="single" w:sz="8" w:color="E5FFFF"/>
            </w:tcBorders>
          </w:tcPr>
          <w:p>
            <w:pPr>
              <w:spacing w:after="0"/>
              <w:rPr>
                <w:sz w:val="18"/>
                <w:szCs w:val="18"/>
                <w:color w:val="auto"/>
              </w:rPr>
            </w:pPr>
          </w:p>
        </w:tc>
      </w:tr>
      <w:tr>
        <w:trPr>
          <w:trHeight w:val="196"/>
        </w:trPr>
        <w:tc>
          <w:tcPr>
            <w:tcW w:w="5380" w:type="dxa"/>
            <w:vAlign w:val="bottom"/>
            <w:shd w:val="clear" w:color="auto" w:fill="E5FFFF"/>
          </w:tcPr>
          <w:p>
            <w:pPr>
              <w:ind w:left="240"/>
              <w:spacing w:after="0" w:line="196" w:lineRule="exact"/>
              <w:rPr>
                <w:sz w:val="20"/>
                <w:szCs w:val="20"/>
                <w:color w:val="auto"/>
              </w:rPr>
            </w:pPr>
            <w:r>
              <w:rPr>
                <w:rFonts w:ascii="Arial" w:cs="Arial" w:eastAsia="Arial" w:hAnsi="Arial"/>
                <w:sz w:val="18"/>
                <w:szCs w:val="18"/>
                <w:color w:val="auto"/>
              </w:rPr>
              <w:t>Total net repositioning charge</w:t>
            </w:r>
          </w:p>
        </w:tc>
        <w:tc>
          <w:tcPr>
            <w:tcW w:w="740" w:type="dxa"/>
            <w:vAlign w:val="bottom"/>
            <w:tcBorders>
              <w:bottom w:val="single" w:sz="8" w:color="auto"/>
            </w:tcBorders>
            <w:shd w:val="clear" w:color="auto" w:fill="E5FFFF"/>
          </w:tcPr>
          <w:p>
            <w:pPr>
              <w:spacing w:after="0"/>
              <w:rPr>
                <w:sz w:val="17"/>
                <w:szCs w:val="17"/>
                <w:color w:val="auto"/>
              </w:rPr>
            </w:pPr>
          </w:p>
        </w:tc>
        <w:tc>
          <w:tcPr>
            <w:tcW w:w="42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29</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20</w:t>
            </w:r>
          </w:p>
        </w:tc>
        <w:tc>
          <w:tcPr>
            <w:tcW w:w="3420" w:type="dxa"/>
            <w:vAlign w:val="bottom"/>
            <w:shd w:val="clear" w:color="auto" w:fill="E5FFFF"/>
          </w:tcPr>
          <w:p>
            <w:pPr>
              <w:spacing w:after="0"/>
              <w:rPr>
                <w:sz w:val="17"/>
                <w:szCs w:val="17"/>
                <w:color w:val="auto"/>
              </w:rPr>
            </w:pPr>
          </w:p>
        </w:tc>
      </w:tr>
      <w:tr>
        <w:trPr>
          <w:trHeight w:val="426"/>
        </w:trPr>
        <w:tc>
          <w:tcPr>
            <w:tcW w:w="5380" w:type="dxa"/>
            <w:vAlign w:val="bottom"/>
          </w:tcPr>
          <w:p>
            <w:pPr>
              <w:spacing w:after="0"/>
              <w:rPr>
                <w:sz w:val="20"/>
                <w:szCs w:val="20"/>
                <w:color w:val="auto"/>
              </w:rPr>
            </w:pPr>
            <w:r>
              <w:rPr>
                <w:rFonts w:ascii="Arial" w:cs="Arial" w:eastAsia="Arial" w:hAnsi="Arial"/>
                <w:sz w:val="18"/>
                <w:szCs w:val="18"/>
                <w:color w:val="auto"/>
              </w:rPr>
              <w:t>Asbestos related litigation charges, net of insurance</w:t>
            </w:r>
          </w:p>
        </w:tc>
        <w:tc>
          <w:tcPr>
            <w:tcW w:w="740" w:type="dxa"/>
            <w:vAlign w:val="bottom"/>
          </w:tcPr>
          <w:p>
            <w:pPr>
              <w:spacing w:after="0"/>
              <w:rPr>
                <w:sz w:val="24"/>
                <w:szCs w:val="24"/>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3420" w:type="dxa"/>
            <w:vAlign w:val="bottom"/>
          </w:tcPr>
          <w:p>
            <w:pPr>
              <w:spacing w:after="0"/>
              <w:rPr>
                <w:sz w:val="24"/>
                <w:szCs w:val="24"/>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Probable and reasonably estimable environmental liabilities</w:t>
            </w:r>
          </w:p>
        </w:tc>
        <w:tc>
          <w:tcPr>
            <w:tcW w:w="740" w:type="dxa"/>
            <w:vAlign w:val="bottom"/>
            <w:tcBorders>
              <w:bottom w:val="single" w:sz="8" w:color="auto"/>
            </w:tcBorders>
            <w:shd w:val="clear" w:color="auto" w:fill="E5FFFF"/>
          </w:tcPr>
          <w:p>
            <w:pPr>
              <w:spacing w:after="0"/>
              <w:rPr>
                <w:sz w:val="18"/>
                <w:szCs w:val="18"/>
                <w:color w:val="auto"/>
              </w:rPr>
            </w:pPr>
          </w:p>
        </w:tc>
        <w:tc>
          <w:tcPr>
            <w:tcW w:w="4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52</w:t>
            </w:r>
          </w:p>
        </w:tc>
        <w:tc>
          <w:tcPr>
            <w:tcW w:w="3420" w:type="dxa"/>
            <w:vAlign w:val="bottom"/>
            <w:shd w:val="clear" w:color="auto" w:fill="E5FFFF"/>
          </w:tcPr>
          <w:p>
            <w:pPr>
              <w:spacing w:after="0"/>
              <w:rPr>
                <w:sz w:val="18"/>
                <w:szCs w:val="18"/>
                <w:color w:val="auto"/>
              </w:rPr>
            </w:pPr>
          </w:p>
        </w:tc>
      </w:tr>
      <w:tr>
        <w:trPr>
          <w:trHeight w:val="210"/>
        </w:trPr>
        <w:tc>
          <w:tcPr>
            <w:tcW w:w="5380" w:type="dxa"/>
            <w:vAlign w:val="bottom"/>
          </w:tcPr>
          <w:p>
            <w:pPr>
              <w:ind w:left="240"/>
              <w:spacing w:after="0" w:line="197" w:lineRule="exact"/>
              <w:rPr>
                <w:sz w:val="20"/>
                <w:szCs w:val="20"/>
                <w:color w:val="auto"/>
              </w:rPr>
            </w:pPr>
            <w:r>
              <w:rPr>
                <w:rFonts w:ascii="Arial" w:cs="Arial" w:eastAsia="Arial" w:hAnsi="Arial"/>
                <w:sz w:val="18"/>
                <w:szCs w:val="18"/>
                <w:color w:val="auto"/>
              </w:rPr>
              <w:t>Total net repositioning and other charges</w:t>
            </w:r>
          </w:p>
        </w:tc>
        <w:tc>
          <w:tcPr>
            <w:tcW w:w="74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129</w:t>
            </w:r>
          </w:p>
        </w:tc>
        <w:tc>
          <w:tcPr>
            <w:tcW w:w="34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w:t>
            </w:r>
          </w:p>
        </w:tc>
        <w:tc>
          <w:tcPr>
            <w:tcW w:w="342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-1002665</wp:posOffset>
            </wp:positionV>
            <wp:extent cx="216979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69795" cy="13716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-728345</wp:posOffset>
            </wp:positionV>
            <wp:extent cx="2169795"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9795" cy="28321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-307975</wp:posOffset>
            </wp:positionV>
            <wp:extent cx="216979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69795" cy="137160"/>
                    </a:xfrm>
                    <a:prstGeom prst="rect">
                      <a:avLst/>
                    </a:prstGeom>
                    <a:noFill/>
                  </pic:spPr>
                </pic:pic>
              </a:graphicData>
            </a:graphic>
          </wp:anchor>
        </w:drawing>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income statement classification:</w:t>
      </w:r>
    </w:p>
    <w:p>
      <w:pPr>
        <w:spacing w:after="0" w:line="226" w:lineRule="exact"/>
        <w:rPr>
          <w:sz w:val="20"/>
          <w:szCs w:val="20"/>
          <w:color w:val="auto"/>
        </w:rPr>
      </w:pPr>
    </w:p>
    <w:p>
      <w:pPr>
        <w:jc w:val="center"/>
        <w:ind w:left="19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-93345</wp:posOffset>
            </wp:positionV>
            <wp:extent cx="2169795" cy="480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69795" cy="480060"/>
                    </a:xfrm>
                    <a:prstGeom prst="rect">
                      <a:avLst/>
                    </a:prstGeom>
                    <a:noFill/>
                  </pic:spPr>
                </pic:pic>
              </a:graphicData>
            </a:graphic>
          </wp:anchor>
        </w:drawing>
      </w:r>
    </w:p>
    <w:p>
      <w:pPr>
        <w:jc w:val="center"/>
        <w:ind w:left="19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-1905</wp:posOffset>
            </wp:positionV>
            <wp:extent cx="1663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Borders>
              <w:bottom w:val="single" w:sz="8" w:color="E5FF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E5FF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3420" w:type="dxa"/>
            <w:vAlign w:val="bottom"/>
            <w:tcBorders>
              <w:bottom w:val="single" w:sz="8" w:color="E5FFFF"/>
            </w:tcBorders>
          </w:tcPr>
          <w:p>
            <w:pPr>
              <w:spacing w:after="0"/>
              <w:rPr>
                <w:sz w:val="15"/>
                <w:szCs w:val="15"/>
                <w:color w:val="auto"/>
              </w:rPr>
            </w:pPr>
          </w:p>
        </w:tc>
      </w:tr>
      <w:tr>
        <w:trPr>
          <w:trHeight w:val="196"/>
        </w:trPr>
        <w:tc>
          <w:tcPr>
            <w:tcW w:w="53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740" w:type="dxa"/>
            <w:vAlign w:val="bottom"/>
            <w:shd w:val="clear" w:color="auto" w:fill="E5FFFF"/>
          </w:tcPr>
          <w:p>
            <w:pPr>
              <w:jc w:val="right"/>
              <w:ind w:right="556"/>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93"/>
              </w:rPr>
              <w:t>136</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105</w:t>
            </w:r>
          </w:p>
        </w:tc>
        <w:tc>
          <w:tcPr>
            <w:tcW w:w="3420" w:type="dxa"/>
            <w:vAlign w:val="bottom"/>
            <w:shd w:val="clear" w:color="auto" w:fill="E5FFFF"/>
          </w:tcPr>
          <w:p>
            <w:pPr>
              <w:spacing w:after="0"/>
              <w:rPr>
                <w:sz w:val="17"/>
                <w:szCs w:val="17"/>
                <w:color w:val="auto"/>
              </w:rPr>
            </w:pPr>
          </w:p>
        </w:tc>
      </w:tr>
      <w:tr>
        <w:trPr>
          <w:trHeight w:val="216"/>
        </w:trPr>
        <w:tc>
          <w:tcPr>
            <w:tcW w:w="53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w:t>
            </w:r>
          </w:p>
        </w:tc>
        <w:tc>
          <w:tcPr>
            <w:tcW w:w="3420" w:type="dxa"/>
            <w:vAlign w:val="bottom"/>
            <w:tcBorders>
              <w:bottom w:val="single" w:sz="8" w:color="E5FFFF"/>
            </w:tcBorders>
          </w:tcPr>
          <w:p>
            <w:pPr>
              <w:spacing w:after="0"/>
              <w:rPr>
                <w:sz w:val="18"/>
                <w:szCs w:val="18"/>
                <w:color w:val="auto"/>
              </w:rPr>
            </w:pPr>
          </w:p>
        </w:tc>
      </w:tr>
      <w:tr>
        <w:trPr>
          <w:trHeight w:val="223"/>
        </w:trPr>
        <w:tc>
          <w:tcPr>
            <w:tcW w:w="5380" w:type="dxa"/>
            <w:vAlign w:val="bottom"/>
            <w:shd w:val="clear" w:color="auto" w:fill="E5FFFF"/>
          </w:tcPr>
          <w:p>
            <w:pPr>
              <w:spacing w:after="0"/>
              <w:rPr>
                <w:sz w:val="19"/>
                <w:szCs w:val="19"/>
                <w:color w:val="auto"/>
              </w:rPr>
            </w:pPr>
          </w:p>
        </w:tc>
        <w:tc>
          <w:tcPr>
            <w:tcW w:w="740" w:type="dxa"/>
            <w:vAlign w:val="bottom"/>
            <w:shd w:val="clear" w:color="auto" w:fill="E5FF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93"/>
              </w:rPr>
              <w:t>129</w:t>
            </w:r>
          </w:p>
        </w:tc>
        <w:tc>
          <w:tcPr>
            <w:tcW w:w="60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125</w:t>
            </w:r>
          </w:p>
        </w:tc>
        <w:tc>
          <w:tcPr>
            <w:tcW w:w="3420" w:type="dxa"/>
            <w:vAlign w:val="bottom"/>
            <w:shd w:val="clear" w:color="auto" w:fill="E5FFFF"/>
          </w:tcPr>
          <w:p>
            <w:pPr>
              <w:spacing w:after="0"/>
              <w:rPr>
                <w:sz w:val="19"/>
                <w:szCs w:val="19"/>
                <w:color w:val="auto"/>
              </w:rPr>
            </w:pPr>
          </w:p>
        </w:tc>
      </w:tr>
      <w:tr>
        <w:trPr>
          <w:trHeight w:val="20"/>
        </w:trPr>
        <w:tc>
          <w:tcPr>
            <w:tcW w:w="538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Borders>
              <w:top w:val="single" w:sz="8" w:color="E5FF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-179705</wp:posOffset>
            </wp:positionV>
            <wp:extent cx="216979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9795" cy="163195"/>
                    </a:xfrm>
                    <a:prstGeom prst="rect">
                      <a:avLst/>
                    </a:prstGeom>
                    <a:noFill/>
                  </pic:spPr>
                </pic:pic>
              </a:graphicData>
            </a:graphic>
          </wp:anchor>
        </w:drawing>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226" w:lineRule="exact"/>
        <w:rPr>
          <w:sz w:val="20"/>
          <w:szCs w:val="20"/>
          <w:color w:val="auto"/>
        </w:rPr>
      </w:pPr>
    </w:p>
    <w:p>
      <w:pPr>
        <w:jc w:val="center"/>
        <w:ind w:left="25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-93345</wp:posOffset>
            </wp:positionV>
            <wp:extent cx="1809750" cy="480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9750" cy="480060"/>
                    </a:xfrm>
                    <a:prstGeom prst="rect">
                      <a:avLst/>
                    </a:prstGeom>
                    <a:noFill/>
                  </pic:spPr>
                </pic:pic>
              </a:graphicData>
            </a:graphic>
          </wp:anchor>
        </w:drawing>
      </w:r>
    </w:p>
    <w:p>
      <w:pPr>
        <w:jc w:val="center"/>
        <w:ind w:left="25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-1905</wp:posOffset>
            </wp:positionV>
            <wp:extent cx="20237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Borders>
              <w:bottom w:val="single" w:sz="8" w:color="E5FF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5"/>
                <w:szCs w:val="15"/>
                <w:color w:val="auto"/>
              </w:rPr>
            </w:pPr>
          </w:p>
        </w:tc>
        <w:tc>
          <w:tcPr>
            <w:tcW w:w="44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2840" w:type="dxa"/>
            <w:vAlign w:val="bottom"/>
            <w:tcBorders>
              <w:bottom w:val="single" w:sz="8" w:color="E5FFFF"/>
            </w:tcBorders>
          </w:tcPr>
          <w:p>
            <w:pPr>
              <w:spacing w:after="0"/>
              <w:rPr>
                <w:sz w:val="15"/>
                <w:szCs w:val="15"/>
                <w:color w:val="auto"/>
              </w:rPr>
            </w:pPr>
          </w:p>
        </w:tc>
      </w:tr>
      <w:tr>
        <w:trPr>
          <w:trHeight w:val="196"/>
        </w:trPr>
        <w:tc>
          <w:tcPr>
            <w:tcW w:w="5380" w:type="dxa"/>
            <w:vAlign w:val="bottom"/>
            <w:shd w:val="clear" w:color="auto" w:fill="E5FFFF"/>
          </w:tcPr>
          <w:p>
            <w:pPr>
              <w:ind w:left="20"/>
              <w:spacing w:after="0" w:line="196" w:lineRule="exact"/>
              <w:rPr>
                <w:sz w:val="20"/>
                <w:szCs w:val="20"/>
                <w:color w:val="auto"/>
              </w:rPr>
            </w:pPr>
            <w:r>
              <w:rPr>
                <w:rFonts w:ascii="Arial" w:cs="Arial" w:eastAsia="Arial" w:hAnsi="Arial"/>
                <w:sz w:val="18"/>
                <w:szCs w:val="18"/>
                <w:color w:val="auto"/>
              </w:rPr>
              <w:t>Aerospace</w:t>
            </w:r>
          </w:p>
        </w:tc>
        <w:tc>
          <w:tcPr>
            <w:tcW w:w="920" w:type="dxa"/>
            <w:vAlign w:val="bottom"/>
            <w:shd w:val="clear" w:color="auto" w:fill="E5FFFF"/>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73</w:t>
            </w:r>
          </w:p>
        </w:tc>
        <w:tc>
          <w:tcPr>
            <w:tcW w:w="4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49</w:t>
            </w:r>
          </w:p>
        </w:tc>
        <w:tc>
          <w:tcPr>
            <w:tcW w:w="2840" w:type="dxa"/>
            <w:vAlign w:val="bottom"/>
            <w:shd w:val="clear" w:color="auto" w:fill="E5FFFF"/>
          </w:tcPr>
          <w:p>
            <w:pPr>
              <w:spacing w:after="0"/>
              <w:rPr>
                <w:sz w:val="17"/>
                <w:szCs w:val="17"/>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Home and Building Technologies</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2840" w:type="dxa"/>
            <w:vAlign w:val="bottom"/>
          </w:tcPr>
          <w:p>
            <w:pPr>
              <w:spacing w:after="0"/>
              <w:rPr>
                <w:sz w:val="18"/>
                <w:szCs w:val="18"/>
                <w:color w:val="auto"/>
              </w:rPr>
            </w:pPr>
          </w:p>
        </w:tc>
      </w:tr>
      <w:tr>
        <w:trPr>
          <w:trHeight w:val="216"/>
        </w:trPr>
        <w:tc>
          <w:tcPr>
            <w:tcW w:w="5380" w:type="dxa"/>
            <w:vAlign w:val="bottom"/>
            <w:shd w:val="clear" w:color="auto" w:fill="E5FFFF"/>
          </w:tcPr>
          <w:p>
            <w:pPr>
              <w:ind w:left="20"/>
              <w:spacing w:after="0"/>
              <w:rPr>
                <w:sz w:val="20"/>
                <w:szCs w:val="20"/>
                <w:color w:val="auto"/>
              </w:rPr>
            </w:pPr>
            <w:r>
              <w:rPr>
                <w:rFonts w:ascii="Arial" w:cs="Arial" w:eastAsia="Arial" w:hAnsi="Arial"/>
                <w:sz w:val="18"/>
                <w:szCs w:val="18"/>
                <w:color w:val="auto"/>
              </w:rPr>
              <w:t>Performance Materials and Technologies</w:t>
            </w:r>
          </w:p>
        </w:tc>
        <w:tc>
          <w:tcPr>
            <w:tcW w:w="920" w:type="dxa"/>
            <w:vAlign w:val="bottom"/>
            <w:shd w:val="clear" w:color="auto" w:fill="E5FFFF"/>
          </w:tcPr>
          <w:p>
            <w:pPr>
              <w:spacing w:after="0"/>
              <w:rPr>
                <w:sz w:val="18"/>
                <w:szCs w:val="18"/>
                <w:color w:val="auto"/>
              </w:rPr>
            </w:pPr>
          </w:p>
        </w:tc>
        <w:tc>
          <w:tcPr>
            <w:tcW w:w="48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3</w:t>
            </w:r>
          </w:p>
        </w:tc>
        <w:tc>
          <w:tcPr>
            <w:tcW w:w="4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6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9</w:t>
            </w:r>
          </w:p>
        </w:tc>
        <w:tc>
          <w:tcPr>
            <w:tcW w:w="2840" w:type="dxa"/>
            <w:vAlign w:val="bottom"/>
            <w:shd w:val="clear" w:color="auto" w:fill="E5FFFF"/>
          </w:tcPr>
          <w:p>
            <w:pPr>
              <w:spacing w:after="0"/>
              <w:rPr>
                <w:sz w:val="18"/>
                <w:szCs w:val="18"/>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Safety and Productivity Solutions</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2840" w:type="dxa"/>
            <w:vAlign w:val="bottom"/>
          </w:tcPr>
          <w:p>
            <w:pPr>
              <w:spacing w:after="0"/>
              <w:rPr>
                <w:sz w:val="18"/>
                <w:szCs w:val="18"/>
                <w:color w:val="auto"/>
              </w:rPr>
            </w:pPr>
          </w:p>
        </w:tc>
      </w:tr>
      <w:tr>
        <w:trPr>
          <w:trHeight w:val="216"/>
        </w:trPr>
        <w:tc>
          <w:tcPr>
            <w:tcW w:w="5380" w:type="dxa"/>
            <w:vAlign w:val="bottom"/>
            <w:shd w:val="clear" w:color="auto" w:fill="E5FFFF"/>
          </w:tcPr>
          <w:p>
            <w:pPr>
              <w:ind w:left="20"/>
              <w:spacing w:after="0"/>
              <w:rPr>
                <w:sz w:val="20"/>
                <w:szCs w:val="20"/>
                <w:color w:val="auto"/>
              </w:rPr>
            </w:pPr>
            <w:r>
              <w:rPr>
                <w:rFonts w:ascii="Arial" w:cs="Arial" w:eastAsia="Arial" w:hAnsi="Arial"/>
                <w:sz w:val="18"/>
                <w:szCs w:val="18"/>
                <w:color w:val="auto"/>
              </w:rPr>
              <w:t>Corporate</w:t>
            </w:r>
          </w:p>
        </w:tc>
        <w:tc>
          <w:tcPr>
            <w:tcW w:w="920" w:type="dxa"/>
            <w:vAlign w:val="bottom"/>
            <w:tcBorders>
              <w:bottom w:val="single" w:sz="8" w:color="auto"/>
            </w:tcBorders>
            <w:shd w:val="clear" w:color="auto" w:fill="E5FFFF"/>
          </w:tcPr>
          <w:p>
            <w:pPr>
              <w:spacing w:after="0"/>
              <w:rPr>
                <w:sz w:val="18"/>
                <w:szCs w:val="18"/>
                <w:color w:val="auto"/>
              </w:rPr>
            </w:pPr>
          </w:p>
        </w:tc>
        <w:tc>
          <w:tcPr>
            <w:tcW w:w="48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58</w:t>
            </w:r>
          </w:p>
        </w:tc>
        <w:tc>
          <w:tcPr>
            <w:tcW w:w="4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60</w:t>
            </w:r>
          </w:p>
        </w:tc>
        <w:tc>
          <w:tcPr>
            <w:tcW w:w="2840" w:type="dxa"/>
            <w:vAlign w:val="bottom"/>
            <w:shd w:val="clear" w:color="auto" w:fill="E5FFFF"/>
          </w:tcPr>
          <w:p>
            <w:pPr>
              <w:spacing w:after="0"/>
              <w:rPr>
                <w:sz w:val="18"/>
                <w:szCs w:val="18"/>
                <w:color w:val="auto"/>
              </w:rPr>
            </w:pPr>
          </w:p>
        </w:tc>
      </w:tr>
      <w:tr>
        <w:trPr>
          <w:trHeight w:val="223"/>
        </w:trPr>
        <w:tc>
          <w:tcPr>
            <w:tcW w:w="538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c>
          <w:tcPr>
            <w:tcW w:w="44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125</w:t>
            </w:r>
          </w:p>
        </w:tc>
        <w:tc>
          <w:tcPr>
            <w:tcW w:w="284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-591185</wp:posOffset>
            </wp:positionV>
            <wp:extent cx="18097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13716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-316865</wp:posOffset>
            </wp:positionV>
            <wp:extent cx="180975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9750" cy="137160"/>
                    </a:xfrm>
                    <a:prstGeom prst="rect">
                      <a:avLst/>
                    </a:prstGeom>
                    <a:noFill/>
                  </pic:spPr>
                </pic:pic>
              </a:graphicData>
            </a:graphic>
          </wp:anchor>
        </w:drawing>
      </w:r>
    </w:p>
    <w:p>
      <w:pPr>
        <w:spacing w:after="0" w:line="18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quarter ended March 31, 2017, we recognized repositioning charges totaling $23 million including severance costs of $20 million related to workforce reductions of 622 manufacturing and administrative positions across our segments. The workforce reductions were primarily related to cost savings actions taken in connection with our productivity and ongoing functional transformation initiatives and with factory transitions, mainly in Aerospace, to more cost-effective locations. Also, $6 million, net, of reserve adjustments increased the previously established accruals, primarily for severance in Aerospace, due mainly to lower attrition than anticipated and higher expected severance payments.</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quarter ended March 31, 2016, we recognized repositioning charges totaling $37 million including severance costs of $28 million related to workforce reductions of 293 manufacturing and administrative positions mainly in Home and Building Technologies and Performance Materials and Technologies. The workforce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reductions were primarily related to achieving acquisition-related synergies and outsourcing of certain packaging operations. Also, $17 million of previously established accruals, primarily for severance, in Home and Building Technologies, Safety and Productivity Solutions, and Performance Materials and Technologies, were returned to income primarily as a result of higher attrition than anticipated in prior severance programs resulting in lower required severance payments.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our total repositioning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68935" cy="12007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8935" cy="120078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34"/>
              <w:spacing w:after="0"/>
              <w:rPr>
                <w:sz w:val="20"/>
                <w:szCs w:val="20"/>
                <w:color w:val="auto"/>
              </w:rPr>
            </w:pPr>
            <w:r>
              <w:rPr>
                <w:rFonts w:ascii="Arial" w:cs="Arial" w:eastAsia="Arial" w:hAnsi="Arial"/>
                <w:sz w:val="14"/>
                <w:szCs w:val="14"/>
                <w:b w:val="1"/>
                <w:bCs w:val="1"/>
                <w:color w:val="auto"/>
              </w:rPr>
              <w:t>Severance</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Asset</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Exit</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4180" w:type="dxa"/>
            <w:vAlign w:val="bottom"/>
            <w:tcBorders>
              <w:bottom w:val="single" w:sz="8" w:color="E5FFFF"/>
            </w:tcBorders>
          </w:tcPr>
          <w:p>
            <w:pPr>
              <w:spacing w:after="0"/>
              <w:rPr>
                <w:sz w:val="16"/>
                <w:szCs w:val="16"/>
                <w:color w:val="auto"/>
              </w:rPr>
            </w:pPr>
          </w:p>
        </w:tc>
        <w:tc>
          <w:tcPr>
            <w:tcW w:w="760" w:type="dxa"/>
            <w:vAlign w:val="bottom"/>
            <w:tcBorders>
              <w:bottom w:val="single" w:sz="8" w:color="E5FF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Costs</w:t>
            </w:r>
          </w:p>
        </w:tc>
        <w:tc>
          <w:tcPr>
            <w:tcW w:w="360" w:type="dxa"/>
            <w:vAlign w:val="bottom"/>
            <w:tcBorders>
              <w:bottom w:val="single" w:sz="8" w:color="E5FF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Impairments</w:t>
            </w:r>
          </w:p>
        </w:tc>
        <w:tc>
          <w:tcPr>
            <w:tcW w:w="340" w:type="dxa"/>
            <w:vAlign w:val="bottom"/>
            <w:tcBorders>
              <w:bottom w:val="single" w:sz="8" w:color="E5FF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Costs</w:t>
            </w:r>
          </w:p>
        </w:tc>
        <w:tc>
          <w:tcPr>
            <w:tcW w:w="320" w:type="dxa"/>
            <w:vAlign w:val="bottom"/>
            <w:tcBorders>
              <w:bottom w:val="single" w:sz="8" w:color="E5FF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196"/>
        </w:trPr>
        <w:tc>
          <w:tcPr>
            <w:tcW w:w="4180" w:type="dxa"/>
            <w:vAlign w:val="bottom"/>
            <w:shd w:val="clear" w:color="auto" w:fill="E5FFFF"/>
          </w:tcPr>
          <w:p>
            <w:pPr>
              <w:ind w:left="600"/>
              <w:spacing w:after="0" w:line="196" w:lineRule="exact"/>
              <w:rPr>
                <w:sz w:val="20"/>
                <w:szCs w:val="20"/>
                <w:color w:val="auto"/>
              </w:rPr>
            </w:pPr>
            <w:r>
              <w:rPr>
                <w:rFonts w:ascii="Arial" w:cs="Arial" w:eastAsia="Arial" w:hAnsi="Arial"/>
                <w:sz w:val="18"/>
                <w:szCs w:val="18"/>
                <w:color w:val="auto"/>
              </w:rPr>
              <w:t>December 31, 2016</w:t>
            </w:r>
          </w:p>
        </w:tc>
        <w:tc>
          <w:tcPr>
            <w:tcW w:w="76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298</w:t>
            </w:r>
          </w:p>
        </w:tc>
        <w:tc>
          <w:tcPr>
            <w:tcW w:w="36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33</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331</w:t>
            </w:r>
          </w:p>
        </w:tc>
      </w:tr>
      <w:tr>
        <w:trPr>
          <w:trHeight w:val="203"/>
        </w:trPr>
        <w:tc>
          <w:tcPr>
            <w:tcW w:w="4180" w:type="dxa"/>
            <w:vAlign w:val="bottom"/>
          </w:tcPr>
          <w:p>
            <w:pPr>
              <w:ind w:left="760"/>
              <w:spacing w:after="0" w:line="202" w:lineRule="exact"/>
              <w:rPr>
                <w:sz w:val="20"/>
                <w:szCs w:val="20"/>
                <w:color w:val="auto"/>
              </w:rPr>
            </w:pPr>
            <w:r>
              <w:rPr>
                <w:rFonts w:ascii="Arial" w:cs="Arial" w:eastAsia="Arial" w:hAnsi="Arial"/>
                <w:sz w:val="18"/>
                <w:szCs w:val="18"/>
                <w:color w:val="auto"/>
              </w:rPr>
              <w:t>Charges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20</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w:t>
            </w:r>
          </w:p>
        </w:tc>
      </w:tr>
      <w:tr>
        <w:trPr>
          <w:trHeight w:val="203"/>
        </w:trPr>
        <w:tc>
          <w:tcPr>
            <w:tcW w:w="4180" w:type="dxa"/>
            <w:vAlign w:val="bottom"/>
            <w:shd w:val="clear" w:color="auto" w:fill="E5FFFF"/>
          </w:tcPr>
          <w:p>
            <w:pPr>
              <w:ind w:left="760"/>
              <w:spacing w:after="0" w:line="202" w:lineRule="exact"/>
              <w:rPr>
                <w:sz w:val="20"/>
                <w:szCs w:val="20"/>
                <w:color w:val="auto"/>
              </w:rPr>
            </w:pPr>
            <w:r>
              <w:rPr>
                <w:rFonts w:ascii="Arial" w:cs="Arial" w:eastAsia="Arial" w:hAnsi="Arial"/>
                <w:sz w:val="18"/>
                <w:szCs w:val="18"/>
                <w:color w:val="auto"/>
              </w:rPr>
              <w:t>Usage - cash</w:t>
            </w:r>
          </w:p>
        </w:tc>
        <w:tc>
          <w:tcPr>
            <w:tcW w:w="7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(50)</w:t>
            </w:r>
          </w:p>
        </w:tc>
        <w:tc>
          <w:tcPr>
            <w:tcW w:w="3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(54)</w:t>
            </w:r>
          </w:p>
        </w:tc>
      </w:tr>
      <w:tr>
        <w:trPr>
          <w:trHeight w:val="203"/>
        </w:trPr>
        <w:tc>
          <w:tcPr>
            <w:tcW w:w="4180" w:type="dxa"/>
            <w:vAlign w:val="bottom"/>
          </w:tcPr>
          <w:p>
            <w:pPr>
              <w:ind w:left="760"/>
              <w:spacing w:after="0" w:line="202" w:lineRule="exact"/>
              <w:rPr>
                <w:sz w:val="20"/>
                <w:szCs w:val="20"/>
                <w:color w:val="auto"/>
              </w:rPr>
            </w:pPr>
            <w:r>
              <w:rPr>
                <w:rFonts w:ascii="Arial" w:cs="Arial" w:eastAsia="Arial" w:hAnsi="Arial"/>
                <w:sz w:val="18"/>
                <w:szCs w:val="18"/>
                <w:color w:val="auto"/>
              </w:rPr>
              <w:t>Usage - noncash</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180" w:type="dxa"/>
            <w:vAlign w:val="bottom"/>
            <w:shd w:val="clear" w:color="auto" w:fill="E5FFFF"/>
          </w:tcPr>
          <w:p>
            <w:pPr>
              <w:ind w:left="760"/>
              <w:spacing w:after="0" w:line="202" w:lineRule="exact"/>
              <w:rPr>
                <w:sz w:val="20"/>
                <w:szCs w:val="20"/>
                <w:color w:val="auto"/>
              </w:rPr>
            </w:pPr>
            <w:r>
              <w:rPr>
                <w:rFonts w:ascii="Arial" w:cs="Arial" w:eastAsia="Arial" w:hAnsi="Arial"/>
                <w:sz w:val="18"/>
                <w:szCs w:val="18"/>
                <w:color w:val="auto"/>
              </w:rPr>
              <w:t>Foreign currency translation</w:t>
            </w:r>
          </w:p>
        </w:tc>
        <w:tc>
          <w:tcPr>
            <w:tcW w:w="7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5</w:t>
            </w:r>
          </w:p>
        </w:tc>
        <w:tc>
          <w:tcPr>
            <w:tcW w:w="3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w:t>
            </w:r>
          </w:p>
        </w:tc>
      </w:tr>
      <w:tr>
        <w:trPr>
          <w:trHeight w:val="216"/>
        </w:trPr>
        <w:tc>
          <w:tcPr>
            <w:tcW w:w="4180" w:type="dxa"/>
            <w:vAlign w:val="bottom"/>
            <w:tcBorders>
              <w:bottom w:val="single" w:sz="8" w:color="E5FFFF"/>
            </w:tcBorders>
          </w:tcPr>
          <w:p>
            <w:pPr>
              <w:ind w:left="760"/>
              <w:spacing w:after="0"/>
              <w:rPr>
                <w:sz w:val="20"/>
                <w:szCs w:val="20"/>
                <w:color w:val="auto"/>
              </w:rPr>
            </w:pPr>
            <w:r>
              <w:rPr>
                <w:rFonts w:ascii="Arial" w:cs="Arial" w:eastAsia="Arial" w:hAnsi="Arial"/>
                <w:sz w:val="18"/>
                <w:szCs w:val="18"/>
                <w:color w:val="auto"/>
              </w:rPr>
              <w:t>Adjustments and reclassifications</w:t>
            </w:r>
          </w:p>
        </w:tc>
        <w:tc>
          <w:tcPr>
            <w:tcW w:w="76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4180" w:type="dxa"/>
            <w:vAlign w:val="bottom"/>
            <w:shd w:val="clear" w:color="auto" w:fill="E5FFFF"/>
          </w:tcPr>
          <w:p>
            <w:pPr>
              <w:ind w:left="600"/>
              <w:spacing w:after="0" w:line="197" w:lineRule="exact"/>
              <w:rPr>
                <w:sz w:val="20"/>
                <w:szCs w:val="20"/>
                <w:color w:val="auto"/>
              </w:rPr>
            </w:pPr>
            <w:r>
              <w:rPr>
                <w:rFonts w:ascii="Arial" w:cs="Arial" w:eastAsia="Arial" w:hAnsi="Arial"/>
                <w:sz w:val="18"/>
                <w:szCs w:val="18"/>
                <w:color w:val="auto"/>
              </w:rPr>
              <w:t>March 31, 2017</w:t>
            </w:r>
          </w:p>
        </w:tc>
        <w:tc>
          <w:tcPr>
            <w:tcW w:w="98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279</w:t>
            </w:r>
          </w:p>
        </w:tc>
        <w:tc>
          <w:tcPr>
            <w:tcW w:w="5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5FF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22</w:t>
            </w:r>
          </w:p>
        </w:tc>
        <w:tc>
          <w:tcPr>
            <w:tcW w:w="640" w:type="dxa"/>
            <w:vAlign w:val="bottom"/>
            <w:gridSpan w:val="2"/>
            <w:shd w:val="clear" w:color="auto" w:fill="E5FF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301</w:t>
            </w:r>
          </w:p>
        </w:tc>
      </w:tr>
      <w:tr>
        <w:trPr>
          <w:trHeight w:val="20"/>
        </w:trPr>
        <w:tc>
          <w:tcPr>
            <w:tcW w:w="4180" w:type="dxa"/>
            <w:vAlign w:val="bottom"/>
            <w:tcBorders>
              <w:top w:val="single" w:sz="8" w:color="E5FFFF"/>
            </w:tcBorders>
          </w:tcPr>
          <w:p>
            <w:pPr>
              <w:spacing w:after="0" w:line="20" w:lineRule="exact"/>
              <w:rPr>
                <w:sz w:val="1"/>
                <w:szCs w:val="1"/>
                <w:color w:val="auto"/>
              </w:rPr>
            </w:pPr>
          </w:p>
        </w:tc>
        <w:tc>
          <w:tcPr>
            <w:tcW w:w="7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Certain repositioning projects in 2017 and 2016 included exit or disposal activities, the costs related to which will be recognized in future periods when the actual liability is incurred. Such exit and disposal costs are not expected to be significant.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tcPr>
          <w:p>
            <w:pPr>
              <w:jc w:val="center"/>
              <w:ind w:right="15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50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Basic</w:t>
            </w:r>
          </w:p>
        </w:tc>
        <w:tc>
          <w:tcPr>
            <w:tcW w:w="1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80" w:type="dxa"/>
            <w:vAlign w:val="bottom"/>
            <w:gridSpan w:val="5"/>
            <w:vMerge w:val="continue"/>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360" w:type="dxa"/>
            <w:vAlign w:val="bottom"/>
            <w:tcBorders>
              <w:bottom w:val="single" w:sz="8" w:color="E5FFFF"/>
            </w:tcBorders>
            <w:shd w:val="clear" w:color="auto" w:fill="000000"/>
          </w:tcPr>
          <w:p>
            <w:pPr>
              <w:spacing w:after="0" w:line="20" w:lineRule="exact"/>
              <w:rPr>
                <w:sz w:val="1"/>
                <w:szCs w:val="1"/>
                <w:color w:val="auto"/>
              </w:rPr>
            </w:pPr>
          </w:p>
        </w:tc>
        <w:tc>
          <w:tcPr>
            <w:tcW w:w="720" w:type="dxa"/>
            <w:vAlign w:val="bottom"/>
            <w:tcBorders>
              <w:bottom w:val="single" w:sz="8" w:color="E5FFFF"/>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3760" w:type="dxa"/>
            <w:vAlign w:val="bottom"/>
            <w:tcBorders>
              <w:bottom w:val="single" w:sz="8" w:color="E5FFFF"/>
            </w:tcBorders>
          </w:tcPr>
          <w:p>
            <w:pPr>
              <w:spacing w:after="0" w:line="20" w:lineRule="exact"/>
              <w:rPr>
                <w:sz w:val="1"/>
                <w:szCs w:val="1"/>
                <w:color w:val="auto"/>
              </w:rPr>
            </w:pPr>
          </w:p>
        </w:tc>
        <w:tc>
          <w:tcPr>
            <w:tcW w:w="1600" w:type="dxa"/>
            <w:vAlign w:val="bottom"/>
            <w:tcBorders>
              <w:bottom w:val="single" w:sz="8" w:color="E5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E5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Borders>
              <w:right w:val="single" w:sz="8" w:color="E5FFFF"/>
            </w:tcBorders>
          </w:tcPr>
          <w:p>
            <w:pPr>
              <w:spacing w:after="0"/>
              <w:rPr>
                <w:sz w:val="16"/>
                <w:szCs w:val="16"/>
                <w:color w:val="auto"/>
              </w:rPr>
            </w:pPr>
          </w:p>
        </w:tc>
        <w:tc>
          <w:tcPr>
            <w:tcW w:w="5040" w:type="dxa"/>
            <w:vAlign w:val="bottom"/>
            <w:gridSpan w:val="4"/>
            <w:shd w:val="clear" w:color="auto" w:fill="E5FFFF"/>
          </w:tcPr>
          <w:p>
            <w:pPr>
              <w:spacing w:after="0" w:line="189" w:lineRule="exact"/>
              <w:rPr>
                <w:sz w:val="20"/>
                <w:szCs w:val="20"/>
                <w:color w:val="auto"/>
              </w:rPr>
            </w:pPr>
            <w:r>
              <w:rPr>
                <w:rFonts w:ascii="Arial" w:cs="Arial" w:eastAsia="Arial" w:hAnsi="Arial"/>
                <w:sz w:val="18"/>
                <w:szCs w:val="18"/>
                <w:color w:val="auto"/>
              </w:rPr>
              <w:t>Net income attributable to Honeywell</w:t>
            </w:r>
          </w:p>
        </w:tc>
        <w:tc>
          <w:tcPr>
            <w:tcW w:w="1600" w:type="dxa"/>
            <w:vAlign w:val="bottom"/>
            <w:shd w:val="clear" w:color="auto" w:fill="E5FFFF"/>
          </w:tcPr>
          <w:p>
            <w:pPr>
              <w:spacing w:after="0"/>
              <w:rPr>
                <w:sz w:val="16"/>
                <w:szCs w:val="16"/>
                <w:color w:val="auto"/>
              </w:rPr>
            </w:pPr>
          </w:p>
        </w:tc>
        <w:tc>
          <w:tcPr>
            <w:tcW w:w="240" w:type="dxa"/>
            <w:vAlign w:val="bottom"/>
            <w:shd w:val="clear" w:color="auto" w:fill="E5FF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spacing w:after="0" w:line="189" w:lineRule="exact"/>
              <w:rPr>
                <w:sz w:val="20"/>
                <w:szCs w:val="20"/>
                <w:color w:val="auto"/>
              </w:rPr>
            </w:pPr>
            <w:r>
              <w:rPr>
                <w:rFonts w:ascii="Arial" w:cs="Arial" w:eastAsia="Arial" w:hAnsi="Arial"/>
                <w:sz w:val="18"/>
                <w:szCs w:val="18"/>
                <w:color w:val="auto"/>
              </w:rPr>
              <w:t>1,326</w:t>
            </w:r>
          </w:p>
        </w:tc>
        <w:tc>
          <w:tcPr>
            <w:tcW w:w="280" w:type="dxa"/>
            <w:vAlign w:val="bottom"/>
            <w:shd w:val="clear" w:color="auto" w:fill="E5FFFF"/>
          </w:tcPr>
          <w:p>
            <w:pPr>
              <w:spacing w:after="0"/>
              <w:rPr>
                <w:sz w:val="16"/>
                <w:szCs w:val="16"/>
                <w:color w:val="auto"/>
              </w:rPr>
            </w:pPr>
          </w:p>
        </w:tc>
        <w:tc>
          <w:tcPr>
            <w:tcW w:w="280" w:type="dxa"/>
            <w:vAlign w:val="bottom"/>
            <w:shd w:val="clear" w:color="auto" w:fill="E5FFFF"/>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5FFFF"/>
          </w:tcPr>
          <w:p>
            <w:pPr>
              <w:jc w:val="right"/>
              <w:spacing w:after="0" w:line="189" w:lineRule="exact"/>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419"/>
        </w:trPr>
        <w:tc>
          <w:tcPr>
            <w:tcW w:w="40" w:type="dxa"/>
            <w:vAlign w:val="bottom"/>
          </w:tcPr>
          <w:p>
            <w:pPr>
              <w:spacing w:after="0"/>
              <w:rPr>
                <w:sz w:val="24"/>
                <w:szCs w:val="24"/>
                <w:color w:val="auto"/>
              </w:rPr>
            </w:pPr>
          </w:p>
        </w:tc>
        <w:tc>
          <w:tcPr>
            <w:tcW w:w="5040" w:type="dxa"/>
            <w:vAlign w:val="bottom"/>
            <w:gridSpan w:val="4"/>
          </w:tcPr>
          <w:p>
            <w:pPr>
              <w:spacing w:after="0"/>
              <w:rPr>
                <w:sz w:val="20"/>
                <w:szCs w:val="20"/>
                <w:color w:val="auto"/>
              </w:rPr>
            </w:pPr>
            <w:r>
              <w:rPr>
                <w:rFonts w:ascii="Arial" w:cs="Arial" w:eastAsia="Arial" w:hAnsi="Arial"/>
                <w:sz w:val="18"/>
                <w:szCs w:val="18"/>
                <w:color w:val="auto"/>
              </w:rPr>
              <w:t>Weighted average shares outstanding</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763.1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767.9</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E5FFFF"/>
            </w:tcBorders>
          </w:tcPr>
          <w:p>
            <w:pPr>
              <w:spacing w:after="0"/>
              <w:rPr>
                <w:sz w:val="17"/>
                <w:szCs w:val="17"/>
                <w:color w:val="auto"/>
              </w:rPr>
            </w:pPr>
          </w:p>
        </w:tc>
        <w:tc>
          <w:tcPr>
            <w:tcW w:w="5040" w:type="dxa"/>
            <w:vAlign w:val="bottom"/>
            <w:gridSpan w:val="4"/>
            <w:shd w:val="clear" w:color="auto" w:fill="E5FFFF"/>
          </w:tcPr>
          <w:p>
            <w:pPr>
              <w:spacing w:after="0" w:line="202" w:lineRule="exact"/>
              <w:rPr>
                <w:sz w:val="20"/>
                <w:szCs w:val="20"/>
                <w:color w:val="auto"/>
              </w:rPr>
            </w:pPr>
            <w:r>
              <w:rPr>
                <w:rFonts w:ascii="Arial" w:cs="Arial" w:eastAsia="Arial" w:hAnsi="Arial"/>
                <w:sz w:val="18"/>
                <w:szCs w:val="18"/>
                <w:color w:val="auto"/>
              </w:rPr>
              <w:t>Earnings per share of common stock</w:t>
            </w:r>
          </w:p>
        </w:tc>
        <w:tc>
          <w:tcPr>
            <w:tcW w:w="1840" w:type="dxa"/>
            <w:vAlign w:val="bottom"/>
            <w:gridSpan w:val="2"/>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1.74</w:t>
            </w:r>
          </w:p>
        </w:tc>
        <w:tc>
          <w:tcPr>
            <w:tcW w:w="560" w:type="dxa"/>
            <w:vAlign w:val="bottom"/>
            <w:gridSpan w:val="2"/>
            <w:shd w:val="clear" w:color="auto" w:fill="E5FFFF"/>
          </w:tcPr>
          <w:p>
            <w:pPr>
              <w:jc w:val="right"/>
              <w:ind w:right="125"/>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4"/>
          </w:tcPr>
          <w:p>
            <w:pPr>
              <w:jc w:val="center"/>
              <w:ind w:right="15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Assuming Dilution</w:t>
            </w:r>
          </w:p>
        </w:tc>
        <w:tc>
          <w:tcPr>
            <w:tcW w:w="3760" w:type="dxa"/>
            <w:vAlign w:val="bottom"/>
            <w:vMerge w:val="restart"/>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80" w:type="dxa"/>
            <w:vAlign w:val="bottom"/>
            <w:tcBorders>
              <w:bottom w:val="single" w:sz="8" w:color="auto"/>
            </w:tcBorders>
            <w:gridSpan w:val="3"/>
            <w:vMerge w:val="continue"/>
          </w:tcPr>
          <w:p>
            <w:pPr>
              <w:spacing w:after="0"/>
              <w:rPr>
                <w:sz w:val="15"/>
                <w:szCs w:val="15"/>
                <w:color w:val="auto"/>
              </w:rPr>
            </w:pPr>
          </w:p>
        </w:tc>
        <w:tc>
          <w:tcPr>
            <w:tcW w:w="376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40" w:type="dxa"/>
            <w:vAlign w:val="bottom"/>
            <w:tcBorders>
              <w:right w:val="single" w:sz="8" w:color="E5FFFF"/>
            </w:tcBorders>
          </w:tcPr>
          <w:p>
            <w:pPr>
              <w:spacing w:after="0"/>
              <w:rPr>
                <w:sz w:val="16"/>
                <w:szCs w:val="16"/>
                <w:color w:val="auto"/>
              </w:rPr>
            </w:pPr>
          </w:p>
        </w:tc>
        <w:tc>
          <w:tcPr>
            <w:tcW w:w="5040" w:type="dxa"/>
            <w:vAlign w:val="bottom"/>
            <w:tcBorders>
              <w:top w:val="single" w:sz="8" w:color="E5FFFF"/>
            </w:tcBorders>
            <w:gridSpan w:val="4"/>
            <w:shd w:val="clear" w:color="auto" w:fill="E5FFFF"/>
          </w:tcPr>
          <w:p>
            <w:pPr>
              <w:spacing w:after="0" w:line="189" w:lineRule="exact"/>
              <w:rPr>
                <w:sz w:val="20"/>
                <w:szCs w:val="20"/>
                <w:color w:val="auto"/>
              </w:rPr>
            </w:pPr>
            <w:r>
              <w:rPr>
                <w:rFonts w:ascii="Arial" w:cs="Arial" w:eastAsia="Arial" w:hAnsi="Arial"/>
                <w:sz w:val="18"/>
                <w:szCs w:val="18"/>
                <w:color w:val="auto"/>
              </w:rPr>
              <w:t>Net income attributable to Honeywell</w:t>
            </w:r>
          </w:p>
        </w:tc>
        <w:tc>
          <w:tcPr>
            <w:tcW w:w="1600" w:type="dxa"/>
            <w:vAlign w:val="bottom"/>
            <w:tcBorders>
              <w:top w:val="single" w:sz="8" w:color="E5FFFF"/>
            </w:tcBorders>
            <w:shd w:val="clear" w:color="auto" w:fill="E5FFFF"/>
          </w:tcPr>
          <w:p>
            <w:pPr>
              <w:spacing w:after="0"/>
              <w:rPr>
                <w:sz w:val="16"/>
                <w:szCs w:val="16"/>
                <w:color w:val="auto"/>
              </w:rPr>
            </w:pPr>
          </w:p>
        </w:tc>
        <w:tc>
          <w:tcPr>
            <w:tcW w:w="240" w:type="dxa"/>
            <w:vAlign w:val="bottom"/>
            <w:tcBorders>
              <w:top w:val="single" w:sz="8" w:color="auto"/>
            </w:tcBorders>
            <w:shd w:val="clear" w:color="auto" w:fill="E5FF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spacing w:after="0" w:line="189" w:lineRule="exact"/>
              <w:rPr>
                <w:sz w:val="20"/>
                <w:szCs w:val="20"/>
                <w:color w:val="auto"/>
              </w:rPr>
            </w:pPr>
            <w:r>
              <w:rPr>
                <w:rFonts w:ascii="Arial" w:cs="Arial" w:eastAsia="Arial" w:hAnsi="Arial"/>
                <w:sz w:val="18"/>
                <w:szCs w:val="18"/>
                <w:color w:val="auto"/>
              </w:rPr>
              <w:t>1,326</w:t>
            </w:r>
          </w:p>
        </w:tc>
        <w:tc>
          <w:tcPr>
            <w:tcW w:w="280" w:type="dxa"/>
            <w:vAlign w:val="bottom"/>
            <w:tcBorders>
              <w:top w:val="single" w:sz="8" w:color="E5FFFF"/>
            </w:tcBorders>
            <w:shd w:val="clear" w:color="auto" w:fill="E5FFFF"/>
          </w:tcPr>
          <w:p>
            <w:pPr>
              <w:spacing w:after="0"/>
              <w:rPr>
                <w:sz w:val="16"/>
                <w:szCs w:val="16"/>
                <w:color w:val="auto"/>
              </w:rPr>
            </w:pPr>
          </w:p>
        </w:tc>
        <w:tc>
          <w:tcPr>
            <w:tcW w:w="280" w:type="dxa"/>
            <w:vAlign w:val="bottom"/>
            <w:tcBorders>
              <w:top w:val="single" w:sz="8" w:color="auto"/>
            </w:tcBorders>
            <w:shd w:val="clear" w:color="auto" w:fill="E5FFFF"/>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E5FFFF"/>
          </w:tcPr>
          <w:p>
            <w:pPr>
              <w:jc w:val="right"/>
              <w:spacing w:after="0" w:line="189" w:lineRule="exact"/>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419"/>
        </w:trPr>
        <w:tc>
          <w:tcPr>
            <w:tcW w:w="40" w:type="dxa"/>
            <w:vAlign w:val="bottom"/>
          </w:tcPr>
          <w:p>
            <w:pPr>
              <w:spacing w:after="0"/>
              <w:rPr>
                <w:sz w:val="24"/>
                <w:szCs w:val="24"/>
                <w:color w:val="auto"/>
              </w:rPr>
            </w:pPr>
          </w:p>
        </w:tc>
        <w:tc>
          <w:tcPr>
            <w:tcW w:w="5040" w:type="dxa"/>
            <w:vAlign w:val="bottom"/>
            <w:gridSpan w:val="4"/>
          </w:tcPr>
          <w:p>
            <w:pPr>
              <w:spacing w:after="0"/>
              <w:rPr>
                <w:sz w:val="20"/>
                <w:szCs w:val="20"/>
                <w:color w:val="auto"/>
              </w:rPr>
            </w:pPr>
            <w:r>
              <w:rPr>
                <w:rFonts w:ascii="Arial" w:cs="Arial" w:eastAsia="Arial" w:hAnsi="Arial"/>
                <w:sz w:val="14"/>
                <w:szCs w:val="14"/>
                <w:b w:val="1"/>
                <w:bCs w:val="1"/>
                <w:color w:val="auto"/>
              </w:rPr>
              <w:t>Average Shares</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right w:val="single" w:sz="8" w:color="E5FFFF"/>
            </w:tcBorders>
          </w:tcPr>
          <w:p>
            <w:pPr>
              <w:spacing w:after="0"/>
              <w:rPr>
                <w:sz w:val="17"/>
                <w:szCs w:val="17"/>
                <w:color w:val="auto"/>
              </w:rPr>
            </w:pPr>
          </w:p>
        </w:tc>
        <w:tc>
          <w:tcPr>
            <w:tcW w:w="5040" w:type="dxa"/>
            <w:vAlign w:val="bottom"/>
            <w:gridSpan w:val="4"/>
            <w:shd w:val="clear" w:color="auto" w:fill="E5FF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16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763.1</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767.9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40" w:type="dxa"/>
            <w:vAlign w:val="bottom"/>
            <w:tcBorders>
              <w:bottom w:val="single" w:sz="8" w:color="E5FFFF"/>
            </w:tcBorders>
            <w:gridSpan w:val="4"/>
          </w:tcPr>
          <w:p>
            <w:pPr>
              <w:spacing w:after="0"/>
              <w:rPr>
                <w:sz w:val="20"/>
                <w:szCs w:val="20"/>
                <w:color w:val="auto"/>
              </w:rPr>
            </w:pPr>
            <w:r>
              <w:rPr>
                <w:rFonts w:ascii="Arial" w:cs="Arial" w:eastAsia="Arial" w:hAnsi="Arial"/>
                <w:sz w:val="18"/>
                <w:szCs w:val="18"/>
                <w:color w:val="auto"/>
              </w:rPr>
              <w:t>Dilutive securities issuable - stock plans</w:t>
            </w:r>
          </w:p>
        </w:tc>
        <w:tc>
          <w:tcPr>
            <w:tcW w:w="16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40" w:type="dxa"/>
            <w:vAlign w:val="bottom"/>
            <w:tcBorders>
              <w:right w:val="single" w:sz="8" w:color="E5FFFF"/>
            </w:tcBorders>
          </w:tcPr>
          <w:p>
            <w:pPr>
              <w:spacing w:after="0"/>
              <w:rPr>
                <w:sz w:val="18"/>
                <w:szCs w:val="18"/>
                <w:color w:val="auto"/>
              </w:rPr>
            </w:pPr>
          </w:p>
        </w:tc>
        <w:tc>
          <w:tcPr>
            <w:tcW w:w="5040" w:type="dxa"/>
            <w:vAlign w:val="bottom"/>
            <w:tcBorders>
              <w:bottom w:val="single" w:sz="8" w:color="E5FFFF"/>
            </w:tcBorders>
            <w:gridSpan w:val="4"/>
            <w:shd w:val="clear" w:color="auto" w:fill="E5FFFF"/>
          </w:tcPr>
          <w:p>
            <w:pPr>
              <w:spacing w:after="0" w:line="197" w:lineRule="exact"/>
              <w:rPr>
                <w:sz w:val="20"/>
                <w:szCs w:val="20"/>
                <w:color w:val="auto"/>
              </w:rPr>
            </w:pPr>
            <w:r>
              <w:rPr>
                <w:rFonts w:ascii="Arial" w:cs="Arial" w:eastAsia="Arial" w:hAnsi="Arial"/>
                <w:sz w:val="18"/>
                <w:szCs w:val="18"/>
                <w:color w:val="auto"/>
              </w:rPr>
              <w:t>Total weighted average shares outstanding</w:t>
            </w:r>
          </w:p>
        </w:tc>
        <w:tc>
          <w:tcPr>
            <w:tcW w:w="1600" w:type="dxa"/>
            <w:vAlign w:val="bottom"/>
            <w:tcBorders>
              <w:bottom w:val="single" w:sz="8" w:color="E5FFFF"/>
            </w:tcBorders>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773.9</w:t>
            </w:r>
          </w:p>
        </w:tc>
        <w:tc>
          <w:tcPr>
            <w:tcW w:w="280" w:type="dxa"/>
            <w:vAlign w:val="bottom"/>
            <w:tcBorders>
              <w:bottom w:val="single" w:sz="8" w:color="E5FFFF"/>
            </w:tcBorders>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779.6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5040" w:type="dxa"/>
            <w:vAlign w:val="bottom"/>
            <w:gridSpan w:val="4"/>
          </w:tcPr>
          <w:p>
            <w:pPr>
              <w:spacing w:after="0"/>
              <w:rPr>
                <w:sz w:val="20"/>
                <w:szCs w:val="20"/>
                <w:color w:val="auto"/>
              </w:rPr>
            </w:pPr>
            <w:r>
              <w:rPr>
                <w:rFonts w:ascii="Arial" w:cs="Arial" w:eastAsia="Arial" w:hAnsi="Arial"/>
                <w:sz w:val="18"/>
                <w:szCs w:val="18"/>
                <w:color w:val="auto"/>
              </w:rPr>
              <w:t>Earnings per share of common stock</w:t>
            </w: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1.71</w:t>
            </w:r>
          </w:p>
        </w:tc>
        <w:tc>
          <w:tcPr>
            <w:tcW w:w="5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For the three months ended March 31, 2017 and 2016, the weighted average number of stock options excluded from the computations was 2.1 million and 8.4 million. These stock options were outstanding at the end of each of the respective periods.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Accounts Receivable</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4900" w:type="dxa"/>
            <w:vAlign w:val="bottom"/>
            <w:tcBorders>
              <w:bottom w:val="single" w:sz="8" w:color="E5FFFF"/>
            </w:tcBorders>
          </w:tcPr>
          <w:p>
            <w:pPr>
              <w:spacing w:after="0"/>
              <w:rPr>
                <w:sz w:val="17"/>
                <w:szCs w:val="17"/>
                <w:color w:val="auto"/>
              </w:rPr>
            </w:pPr>
          </w:p>
        </w:tc>
        <w:tc>
          <w:tcPr>
            <w:tcW w:w="176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r>
      <w:tr>
        <w:trPr>
          <w:trHeight w:val="196"/>
        </w:trPr>
        <w:tc>
          <w:tcPr>
            <w:tcW w:w="4900" w:type="dxa"/>
            <w:vAlign w:val="bottom"/>
            <w:shd w:val="clear" w:color="auto" w:fill="E5FFFF"/>
          </w:tcPr>
          <w:p>
            <w:pPr>
              <w:ind w:left="40"/>
              <w:spacing w:after="0" w:line="196" w:lineRule="exact"/>
              <w:rPr>
                <w:sz w:val="20"/>
                <w:szCs w:val="20"/>
                <w:color w:val="auto"/>
              </w:rPr>
            </w:pPr>
            <w:r>
              <w:rPr>
                <w:rFonts w:ascii="Arial" w:cs="Arial" w:eastAsia="Arial" w:hAnsi="Arial"/>
                <w:sz w:val="18"/>
                <w:szCs w:val="18"/>
                <w:color w:val="auto"/>
              </w:rPr>
              <w:t>Trade</w:t>
            </w:r>
          </w:p>
        </w:tc>
        <w:tc>
          <w:tcPr>
            <w:tcW w:w="176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8,367</w:t>
            </w:r>
          </w:p>
        </w:tc>
        <w:tc>
          <w:tcPr>
            <w:tcW w:w="28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8,449</w:t>
            </w:r>
          </w:p>
        </w:tc>
      </w:tr>
      <w:tr>
        <w:trPr>
          <w:trHeight w:val="216"/>
        </w:trPr>
        <w:tc>
          <w:tcPr>
            <w:tcW w:w="4900" w:type="dxa"/>
            <w:vAlign w:val="bottom"/>
            <w:tcBorders>
              <w:bottom w:val="single" w:sz="8" w:color="E5FFFF"/>
            </w:tcBorders>
          </w:tcPr>
          <w:p>
            <w:pPr>
              <w:ind w:left="40"/>
              <w:spacing w:after="0"/>
              <w:rPr>
                <w:sz w:val="20"/>
                <w:szCs w:val="20"/>
                <w:color w:val="auto"/>
              </w:rPr>
            </w:pPr>
            <w:r>
              <w:rPr>
                <w:rFonts w:ascii="Arial" w:cs="Arial" w:eastAsia="Arial" w:hAnsi="Arial"/>
                <w:sz w:val="18"/>
                <w:szCs w:val="18"/>
                <w:color w:val="auto"/>
              </w:rPr>
              <w:t>Less - Allowance for doubtful accounts</w:t>
            </w:r>
          </w:p>
        </w:tc>
        <w:tc>
          <w:tcPr>
            <w:tcW w:w="176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8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r>
      <w:tr>
        <w:trPr>
          <w:trHeight w:val="223"/>
        </w:trPr>
        <w:tc>
          <w:tcPr>
            <w:tcW w:w="4900" w:type="dxa"/>
            <w:vAlign w:val="bottom"/>
            <w:shd w:val="clear" w:color="auto" w:fill="E5FFFF"/>
          </w:tcPr>
          <w:p>
            <w:pPr>
              <w:spacing w:after="0"/>
              <w:rPr>
                <w:sz w:val="19"/>
                <w:szCs w:val="19"/>
                <w:color w:val="auto"/>
              </w:rPr>
            </w:pPr>
          </w:p>
        </w:tc>
        <w:tc>
          <w:tcPr>
            <w:tcW w:w="19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8,155</w:t>
            </w:r>
          </w:p>
        </w:tc>
        <w:tc>
          <w:tcPr>
            <w:tcW w:w="280" w:type="dxa"/>
            <w:vAlign w:val="bottom"/>
            <w:shd w:val="clear" w:color="auto" w:fill="E5FFFF"/>
          </w:tcPr>
          <w:p>
            <w:pPr>
              <w:spacing w:after="0"/>
              <w:rPr>
                <w:sz w:val="19"/>
                <w:szCs w:val="19"/>
                <w:color w:val="auto"/>
              </w:rPr>
            </w:pPr>
          </w:p>
        </w:tc>
        <w:tc>
          <w:tcPr>
            <w:tcW w:w="240" w:type="dxa"/>
            <w:vAlign w:val="bottom"/>
            <w:shd w:val="clear" w:color="auto" w:fill="E5FFFF"/>
          </w:tcPr>
          <w:p>
            <w:pPr>
              <w:jc w:val="right"/>
              <w:ind w:right="5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8,177</w:t>
            </w:r>
          </w:p>
        </w:tc>
      </w:tr>
      <w:tr>
        <w:trPr>
          <w:trHeight w:val="20"/>
        </w:trPr>
        <w:tc>
          <w:tcPr>
            <w:tcW w:w="4900" w:type="dxa"/>
            <w:vAlign w:val="bottom"/>
            <w:tcBorders>
              <w:top w:val="single" w:sz="8" w:color="E5FFFF"/>
            </w:tcBorders>
          </w:tcPr>
          <w:p>
            <w:pPr>
              <w:spacing w:after="0" w:line="20" w:lineRule="exact"/>
              <w:rPr>
                <w:sz w:val="1"/>
                <w:szCs w:val="1"/>
                <w:color w:val="auto"/>
              </w:rPr>
            </w:pPr>
          </w:p>
        </w:tc>
        <w:tc>
          <w:tcPr>
            <w:tcW w:w="17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Trade receivables include $1,665 million and $1,626 million of unbilled balances under long-term contracts as of March 31, 2017 and December 31, 2016. These amounts are billed in accordance with the terms of customer contracts to which they relate.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3640" w:type="dxa"/>
            <w:vAlign w:val="bottom"/>
            <w:tcBorders>
              <w:bottom w:val="single" w:sz="8" w:color="E5FFFF"/>
            </w:tcBorders>
          </w:tcPr>
          <w:p>
            <w:pPr>
              <w:spacing w:after="0"/>
              <w:rPr>
                <w:sz w:val="15"/>
                <w:szCs w:val="15"/>
                <w:color w:val="auto"/>
              </w:rPr>
            </w:pPr>
          </w:p>
        </w:tc>
        <w:tc>
          <w:tcPr>
            <w:tcW w:w="302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640" w:type="dxa"/>
            <w:vAlign w:val="bottom"/>
            <w:shd w:val="clear" w:color="auto" w:fill="E5FFFF"/>
          </w:tcPr>
          <w:p>
            <w:pPr>
              <w:ind w:left="40"/>
              <w:spacing w:after="0" w:line="196" w:lineRule="exact"/>
              <w:rPr>
                <w:sz w:val="20"/>
                <w:szCs w:val="20"/>
                <w:color w:val="auto"/>
              </w:rPr>
            </w:pPr>
            <w:r>
              <w:rPr>
                <w:rFonts w:ascii="Arial" w:cs="Arial" w:eastAsia="Arial" w:hAnsi="Arial"/>
                <w:sz w:val="18"/>
                <w:szCs w:val="18"/>
                <w:color w:val="auto"/>
              </w:rPr>
              <w:t>Raw materials</w:t>
            </w:r>
          </w:p>
        </w:tc>
        <w:tc>
          <w:tcPr>
            <w:tcW w:w="302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1,193</w:t>
            </w:r>
          </w:p>
        </w:tc>
        <w:tc>
          <w:tcPr>
            <w:tcW w:w="28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1,104</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640" w:type="dxa"/>
            <w:vAlign w:val="bottom"/>
          </w:tcPr>
          <w:p>
            <w:pPr>
              <w:ind w:left="40"/>
              <w:spacing w:after="0" w:line="202" w:lineRule="exact"/>
              <w:rPr>
                <w:sz w:val="20"/>
                <w:szCs w:val="20"/>
                <w:color w:val="auto"/>
              </w:rPr>
            </w:pPr>
            <w:r>
              <w:rPr>
                <w:rFonts w:ascii="Arial" w:cs="Arial" w:eastAsia="Arial" w:hAnsi="Arial"/>
                <w:sz w:val="18"/>
                <w:szCs w:val="18"/>
                <w:color w:val="auto"/>
              </w:rPr>
              <w:t>Work in process</w:t>
            </w:r>
          </w:p>
        </w:tc>
        <w:tc>
          <w:tcPr>
            <w:tcW w:w="3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787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775</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E5FFFF"/>
          </w:tcPr>
          <w:p>
            <w:pPr>
              <w:ind w:left="40"/>
              <w:spacing w:after="0"/>
              <w:rPr>
                <w:sz w:val="20"/>
                <w:szCs w:val="20"/>
                <w:color w:val="auto"/>
              </w:rPr>
            </w:pPr>
            <w:r>
              <w:rPr>
                <w:rFonts w:ascii="Arial" w:cs="Arial" w:eastAsia="Arial" w:hAnsi="Arial"/>
                <w:sz w:val="18"/>
                <w:szCs w:val="18"/>
                <w:color w:val="auto"/>
              </w:rPr>
              <w:t>Finished products</w:t>
            </w:r>
          </w:p>
        </w:tc>
        <w:tc>
          <w:tcPr>
            <w:tcW w:w="30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2,710</w:t>
            </w:r>
          </w:p>
        </w:tc>
        <w:tc>
          <w:tcPr>
            <w:tcW w:w="28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2,552</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4,690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4,431</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E5FFFF"/>
          </w:tcPr>
          <w:p>
            <w:pPr>
              <w:ind w:left="40"/>
              <w:spacing w:after="0"/>
              <w:rPr>
                <w:sz w:val="20"/>
                <w:szCs w:val="20"/>
                <w:color w:val="auto"/>
              </w:rPr>
            </w:pPr>
            <w:r>
              <w:rPr>
                <w:rFonts w:ascii="Arial" w:cs="Arial" w:eastAsia="Arial" w:hAnsi="Arial"/>
                <w:sz w:val="18"/>
                <w:szCs w:val="18"/>
                <w:color w:val="auto"/>
              </w:rPr>
              <w:t>Reduction to LIFO cost basis</w:t>
            </w:r>
          </w:p>
        </w:tc>
        <w:tc>
          <w:tcPr>
            <w:tcW w:w="30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4,652</w:t>
            </w:r>
          </w:p>
        </w:tc>
        <w:tc>
          <w:tcPr>
            <w:tcW w:w="28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4,366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20" w:type="dxa"/>
            <w:vAlign w:val="bottom"/>
            <w:vMerge w:val="restart"/>
          </w:tcPr>
          <w:p>
            <w:pPr>
              <w:jc w:val="right"/>
              <w:ind w:right="1410"/>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Borders>
              <w:bottom w:val="single" w:sz="8" w:color="C0C0C0"/>
            </w:tcBorders>
          </w:tcPr>
          <w:p>
            <w:pPr>
              <w:spacing w:after="0"/>
              <w:rPr>
                <w:sz w:val="20"/>
                <w:szCs w:val="20"/>
                <w:color w:val="auto"/>
              </w:rPr>
            </w:pPr>
          </w:p>
        </w:tc>
        <w:tc>
          <w:tcPr>
            <w:tcW w:w="3640" w:type="dxa"/>
            <w:vAlign w:val="bottom"/>
            <w:tcBorders>
              <w:bottom w:val="single" w:sz="8" w:color="C0C0C0"/>
            </w:tcBorders>
          </w:tcPr>
          <w:p>
            <w:pPr>
              <w:spacing w:after="0"/>
              <w:rPr>
                <w:sz w:val="20"/>
                <w:szCs w:val="20"/>
                <w:color w:val="auto"/>
              </w:rPr>
            </w:pPr>
          </w:p>
        </w:tc>
        <w:tc>
          <w:tcPr>
            <w:tcW w:w="302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16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411480" cy="3112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1480" cy="311277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5"/>
                <w:szCs w:val="15"/>
                <w:color w:val="auto"/>
              </w:rPr>
            </w:pPr>
          </w:p>
        </w:tc>
        <w:tc>
          <w:tcPr>
            <w:tcW w:w="120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8380" w:type="dxa"/>
            <w:vAlign w:val="bottom"/>
            <w:tcBorders>
              <w:bottom w:val="single" w:sz="8" w:color="E5FF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E5FF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r>
      <w:tr>
        <w:trPr>
          <w:trHeight w:val="196"/>
        </w:trPr>
        <w:tc>
          <w:tcPr>
            <w:tcW w:w="8380" w:type="dxa"/>
            <w:vAlign w:val="bottom"/>
            <w:shd w:val="clear" w:color="auto" w:fill="E5FFFF"/>
          </w:tcPr>
          <w:p>
            <w:pPr>
              <w:ind w:left="660"/>
              <w:spacing w:after="0" w:line="196" w:lineRule="exact"/>
              <w:rPr>
                <w:sz w:val="20"/>
                <w:szCs w:val="20"/>
                <w:color w:val="auto"/>
              </w:rPr>
            </w:pPr>
            <w:r>
              <w:rPr>
                <w:rFonts w:ascii="Arial" w:cs="Arial" w:eastAsia="Arial" w:hAnsi="Arial"/>
                <w:sz w:val="18"/>
                <w:szCs w:val="18"/>
                <w:color w:val="auto"/>
              </w:rPr>
              <w:t>Floating rate Euro notes due 2018</w:t>
            </w: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1,069</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1,054</w:t>
            </w:r>
          </w:p>
        </w:tc>
      </w:tr>
      <w:tr>
        <w:trPr>
          <w:trHeight w:val="203"/>
        </w:trPr>
        <w:tc>
          <w:tcPr>
            <w:tcW w:w="86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1.40% notes due 2019</w:t>
            </w: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1,250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1,250</w:t>
            </w:r>
          </w:p>
        </w:tc>
      </w:tr>
      <w:tr>
        <w:trPr>
          <w:trHeight w:val="203"/>
        </w:trPr>
        <w:tc>
          <w:tcPr>
            <w:tcW w:w="8600" w:type="dxa"/>
            <w:vAlign w:val="bottom"/>
            <w:gridSpan w:val="2"/>
            <w:shd w:val="clear" w:color="auto" w:fill="E5FFFF"/>
          </w:tcPr>
          <w:p>
            <w:pPr>
              <w:ind w:left="660"/>
              <w:spacing w:after="0" w:line="202" w:lineRule="exact"/>
              <w:rPr>
                <w:sz w:val="20"/>
                <w:szCs w:val="20"/>
                <w:color w:val="auto"/>
              </w:rPr>
            </w:pPr>
            <w:r>
              <w:rPr>
                <w:rFonts w:ascii="Arial" w:cs="Arial" w:eastAsia="Arial" w:hAnsi="Arial"/>
                <w:sz w:val="18"/>
                <w:szCs w:val="18"/>
                <w:color w:val="auto"/>
              </w:rPr>
              <w:t>Floating rate notes due 2019</w:t>
            </w:r>
          </w:p>
        </w:tc>
        <w:tc>
          <w:tcPr>
            <w:tcW w:w="11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250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250</w:t>
            </w:r>
          </w:p>
        </w:tc>
      </w:tr>
      <w:tr>
        <w:trPr>
          <w:trHeight w:val="203"/>
        </w:trPr>
        <w:tc>
          <w:tcPr>
            <w:tcW w:w="86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0.65% Euro notes due 2020</w:t>
            </w: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1,069</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1,054</w:t>
            </w:r>
          </w:p>
        </w:tc>
      </w:tr>
      <w:tr>
        <w:trPr>
          <w:trHeight w:val="203"/>
        </w:trPr>
        <w:tc>
          <w:tcPr>
            <w:tcW w:w="8600" w:type="dxa"/>
            <w:vAlign w:val="bottom"/>
            <w:gridSpan w:val="2"/>
            <w:shd w:val="clear" w:color="auto" w:fill="E5FFFF"/>
          </w:tcPr>
          <w:p>
            <w:pPr>
              <w:ind w:left="660"/>
              <w:spacing w:after="0" w:line="202" w:lineRule="exact"/>
              <w:rPr>
                <w:sz w:val="20"/>
                <w:szCs w:val="20"/>
                <w:color w:val="auto"/>
              </w:rPr>
            </w:pPr>
            <w:r>
              <w:rPr>
                <w:rFonts w:ascii="Arial" w:cs="Arial" w:eastAsia="Arial" w:hAnsi="Arial"/>
                <w:sz w:val="18"/>
                <w:szCs w:val="18"/>
                <w:color w:val="auto"/>
              </w:rPr>
              <w:t>4.25% notes due 2021</w:t>
            </w:r>
          </w:p>
        </w:tc>
        <w:tc>
          <w:tcPr>
            <w:tcW w:w="11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800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800</w:t>
            </w:r>
          </w:p>
        </w:tc>
      </w:tr>
      <w:tr>
        <w:trPr>
          <w:trHeight w:val="203"/>
        </w:trPr>
        <w:tc>
          <w:tcPr>
            <w:tcW w:w="86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1.85% notes due 2021</w:t>
            </w: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1,500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1,500</w:t>
            </w:r>
          </w:p>
        </w:tc>
      </w:tr>
      <w:tr>
        <w:trPr>
          <w:trHeight w:val="203"/>
        </w:trPr>
        <w:tc>
          <w:tcPr>
            <w:tcW w:w="8600" w:type="dxa"/>
            <w:vAlign w:val="bottom"/>
            <w:gridSpan w:val="2"/>
            <w:shd w:val="clear" w:color="auto" w:fill="E5FFFF"/>
          </w:tcPr>
          <w:p>
            <w:pPr>
              <w:ind w:left="660"/>
              <w:spacing w:after="0" w:line="202" w:lineRule="exact"/>
              <w:rPr>
                <w:sz w:val="20"/>
                <w:szCs w:val="20"/>
                <w:color w:val="auto"/>
              </w:rPr>
            </w:pPr>
            <w:r>
              <w:rPr>
                <w:rFonts w:ascii="Arial" w:cs="Arial" w:eastAsia="Arial" w:hAnsi="Arial"/>
                <w:sz w:val="18"/>
                <w:szCs w:val="18"/>
                <w:color w:val="auto"/>
              </w:rPr>
              <w:t>1.30% Euro notes due 2023</w:t>
            </w:r>
          </w:p>
        </w:tc>
        <w:tc>
          <w:tcPr>
            <w:tcW w:w="11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1,335</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1,317</w:t>
            </w:r>
          </w:p>
        </w:tc>
      </w:tr>
      <w:tr>
        <w:trPr>
          <w:trHeight w:val="203"/>
        </w:trPr>
        <w:tc>
          <w:tcPr>
            <w:tcW w:w="86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3.35% notes due 2023</w:t>
            </w: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300</w:t>
            </w:r>
          </w:p>
        </w:tc>
      </w:tr>
      <w:tr>
        <w:trPr>
          <w:trHeight w:val="203"/>
        </w:trPr>
        <w:tc>
          <w:tcPr>
            <w:tcW w:w="8600" w:type="dxa"/>
            <w:vAlign w:val="bottom"/>
            <w:gridSpan w:val="2"/>
            <w:shd w:val="clear" w:color="auto" w:fill="E5FFFF"/>
          </w:tcPr>
          <w:p>
            <w:pPr>
              <w:ind w:left="660"/>
              <w:spacing w:after="0" w:line="202" w:lineRule="exact"/>
              <w:rPr>
                <w:sz w:val="20"/>
                <w:szCs w:val="20"/>
                <w:color w:val="auto"/>
              </w:rPr>
            </w:pPr>
            <w:r>
              <w:rPr>
                <w:rFonts w:ascii="Arial" w:cs="Arial" w:eastAsia="Arial" w:hAnsi="Arial"/>
                <w:sz w:val="18"/>
                <w:szCs w:val="18"/>
                <w:color w:val="auto"/>
              </w:rPr>
              <w:t>2.50% notes due 2026</w:t>
            </w:r>
          </w:p>
        </w:tc>
        <w:tc>
          <w:tcPr>
            <w:tcW w:w="11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1,500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1,500</w:t>
            </w:r>
          </w:p>
        </w:tc>
      </w:tr>
      <w:tr>
        <w:trPr>
          <w:trHeight w:val="203"/>
        </w:trPr>
        <w:tc>
          <w:tcPr>
            <w:tcW w:w="86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2.25% Euro notes due 2028</w:t>
            </w: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801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790</w:t>
            </w:r>
          </w:p>
        </w:tc>
      </w:tr>
      <w:tr>
        <w:trPr>
          <w:trHeight w:val="203"/>
        </w:trPr>
        <w:tc>
          <w:tcPr>
            <w:tcW w:w="8600" w:type="dxa"/>
            <w:vAlign w:val="bottom"/>
            <w:gridSpan w:val="2"/>
            <w:shd w:val="clear" w:color="auto" w:fill="E5FFFF"/>
          </w:tcPr>
          <w:p>
            <w:pPr>
              <w:ind w:left="660"/>
              <w:spacing w:after="0" w:line="202" w:lineRule="exact"/>
              <w:rPr>
                <w:sz w:val="20"/>
                <w:szCs w:val="20"/>
                <w:color w:val="auto"/>
              </w:rPr>
            </w:pPr>
            <w:r>
              <w:rPr>
                <w:rFonts w:ascii="Arial" w:cs="Arial" w:eastAsia="Arial" w:hAnsi="Arial"/>
                <w:sz w:val="18"/>
                <w:szCs w:val="18"/>
                <w:color w:val="auto"/>
              </w:rPr>
              <w:t>5.70% notes due 2036</w:t>
            </w:r>
          </w:p>
        </w:tc>
        <w:tc>
          <w:tcPr>
            <w:tcW w:w="11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550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550</w:t>
            </w:r>
          </w:p>
        </w:tc>
      </w:tr>
      <w:tr>
        <w:trPr>
          <w:trHeight w:val="203"/>
        </w:trPr>
        <w:tc>
          <w:tcPr>
            <w:tcW w:w="86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5.70% notes due 2037</w:t>
            </w: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600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600</w:t>
            </w:r>
          </w:p>
        </w:tc>
      </w:tr>
      <w:tr>
        <w:trPr>
          <w:trHeight w:val="203"/>
        </w:trPr>
        <w:tc>
          <w:tcPr>
            <w:tcW w:w="8600" w:type="dxa"/>
            <w:vAlign w:val="bottom"/>
            <w:gridSpan w:val="2"/>
            <w:shd w:val="clear" w:color="auto" w:fill="E5FFFF"/>
          </w:tcPr>
          <w:p>
            <w:pPr>
              <w:ind w:left="660"/>
              <w:spacing w:after="0" w:line="202" w:lineRule="exact"/>
              <w:rPr>
                <w:sz w:val="20"/>
                <w:szCs w:val="20"/>
                <w:color w:val="auto"/>
              </w:rPr>
            </w:pPr>
            <w:r>
              <w:rPr>
                <w:rFonts w:ascii="Arial" w:cs="Arial" w:eastAsia="Arial" w:hAnsi="Arial"/>
                <w:sz w:val="18"/>
                <w:szCs w:val="18"/>
                <w:color w:val="auto"/>
              </w:rPr>
              <w:t>5.375% notes due 2041</w:t>
            </w:r>
          </w:p>
        </w:tc>
        <w:tc>
          <w:tcPr>
            <w:tcW w:w="11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600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600</w:t>
            </w:r>
          </w:p>
        </w:tc>
      </w:tr>
      <w:tr>
        <w:trPr>
          <w:trHeight w:val="202"/>
        </w:trPr>
        <w:tc>
          <w:tcPr>
            <w:tcW w:w="860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Industrial development bond obligations, floating rate maturing at various dates through</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8380" w:type="dxa"/>
            <w:vAlign w:val="bottom"/>
          </w:tcPr>
          <w:p>
            <w:pPr>
              <w:ind w:left="840"/>
              <w:spacing w:after="0" w:line="203" w:lineRule="exact"/>
              <w:rPr>
                <w:sz w:val="20"/>
                <w:szCs w:val="20"/>
                <w:color w:val="auto"/>
              </w:rPr>
            </w:pPr>
            <w:r>
              <w:rPr>
                <w:rFonts w:ascii="Arial" w:cs="Arial" w:eastAsia="Arial" w:hAnsi="Arial"/>
                <w:sz w:val="18"/>
                <w:szCs w:val="18"/>
                <w:color w:val="auto"/>
              </w:rPr>
              <w:t>2037</w:t>
            </w:r>
          </w:p>
        </w:tc>
        <w:tc>
          <w:tcPr>
            <w:tcW w:w="220" w:type="dxa"/>
            <w:vAlign w:val="bottom"/>
          </w:tcPr>
          <w:p>
            <w:pPr>
              <w:spacing w:after="0"/>
              <w:rPr>
                <w:sz w:val="17"/>
                <w:szCs w:val="17"/>
                <w:color w:val="auto"/>
              </w:rPr>
            </w:pPr>
          </w:p>
        </w:tc>
        <w:tc>
          <w:tcPr>
            <w:tcW w:w="1140" w:type="dxa"/>
            <w:vAlign w:val="bottom"/>
          </w:tcPr>
          <w:p>
            <w:pPr>
              <w:jc w:val="right"/>
              <w:ind w:right="32"/>
              <w:spacing w:after="0" w:line="203" w:lineRule="exact"/>
              <w:rPr>
                <w:sz w:val="20"/>
                <w:szCs w:val="20"/>
                <w:color w:val="auto"/>
              </w:rPr>
            </w:pPr>
            <w:r>
              <w:rPr>
                <w:rFonts w:ascii="Arial" w:cs="Arial" w:eastAsia="Arial" w:hAnsi="Arial"/>
                <w:sz w:val="18"/>
                <w:szCs w:val="18"/>
                <w:color w:val="auto"/>
              </w:rPr>
              <w:t>30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Arial" w:cs="Arial" w:eastAsia="Arial" w:hAnsi="Arial"/>
                <w:sz w:val="18"/>
                <w:szCs w:val="18"/>
                <w:color w:val="auto"/>
              </w:rPr>
              <w:t>30</w:t>
            </w:r>
          </w:p>
        </w:tc>
      </w:tr>
      <w:tr>
        <w:trPr>
          <w:trHeight w:val="203"/>
        </w:trPr>
        <w:tc>
          <w:tcPr>
            <w:tcW w:w="8600" w:type="dxa"/>
            <w:vAlign w:val="bottom"/>
            <w:gridSpan w:val="2"/>
            <w:shd w:val="clear" w:color="auto" w:fill="E5FFFF"/>
          </w:tcPr>
          <w:p>
            <w:pPr>
              <w:ind w:left="660"/>
              <w:spacing w:after="0" w:line="202" w:lineRule="exact"/>
              <w:rPr>
                <w:sz w:val="20"/>
                <w:szCs w:val="20"/>
                <w:color w:val="auto"/>
              </w:rPr>
            </w:pPr>
            <w:r>
              <w:rPr>
                <w:rFonts w:ascii="Arial" w:cs="Arial" w:eastAsia="Arial" w:hAnsi="Arial"/>
                <w:sz w:val="18"/>
                <w:szCs w:val="18"/>
                <w:color w:val="auto"/>
              </w:rPr>
              <w:t>6.625% debentures due 2028</w:t>
            </w:r>
          </w:p>
        </w:tc>
        <w:tc>
          <w:tcPr>
            <w:tcW w:w="11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216</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216</w:t>
            </w:r>
          </w:p>
        </w:tc>
      </w:tr>
      <w:tr>
        <w:trPr>
          <w:trHeight w:val="203"/>
        </w:trPr>
        <w:tc>
          <w:tcPr>
            <w:tcW w:w="86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9.065% debentures due 2033</w:t>
            </w: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51</w:t>
            </w:r>
          </w:p>
        </w:tc>
      </w:tr>
      <w:tr>
        <w:trPr>
          <w:trHeight w:val="202"/>
        </w:trPr>
        <w:tc>
          <w:tcPr>
            <w:tcW w:w="8600" w:type="dxa"/>
            <w:vAlign w:val="bottom"/>
            <w:gridSpan w:val="2"/>
            <w:shd w:val="clear" w:color="auto" w:fill="E5FFFF"/>
          </w:tcPr>
          <w:p>
            <w:pPr>
              <w:ind w:left="660"/>
              <w:spacing w:after="0" w:line="201" w:lineRule="exact"/>
              <w:rPr>
                <w:sz w:val="20"/>
                <w:szCs w:val="20"/>
                <w:color w:val="auto"/>
              </w:rPr>
            </w:pPr>
            <w:r>
              <w:rPr>
                <w:rFonts w:ascii="Arial" w:cs="Arial" w:eastAsia="Arial" w:hAnsi="Arial"/>
                <w:sz w:val="18"/>
                <w:szCs w:val="18"/>
                <w:color w:val="auto"/>
              </w:rPr>
              <w:t>Other (including capitalized leases and debt issuance costs),</w:t>
            </w:r>
          </w:p>
        </w:tc>
        <w:tc>
          <w:tcPr>
            <w:tcW w:w="11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r>
      <w:tr>
        <w:trPr>
          <w:trHeight w:val="217"/>
        </w:trPr>
        <w:tc>
          <w:tcPr>
            <w:tcW w:w="8600" w:type="dxa"/>
            <w:vAlign w:val="bottom"/>
            <w:gridSpan w:val="2"/>
            <w:shd w:val="clear" w:color="auto" w:fill="E5FFFF"/>
          </w:tcPr>
          <w:p>
            <w:pPr>
              <w:ind w:left="840"/>
              <w:spacing w:after="0"/>
              <w:rPr>
                <w:sz w:val="20"/>
                <w:szCs w:val="20"/>
                <w:color w:val="auto"/>
              </w:rPr>
            </w:pPr>
            <w:r>
              <w:rPr>
                <w:rFonts w:ascii="Arial" w:cs="Arial" w:eastAsia="Arial" w:hAnsi="Arial"/>
                <w:sz w:val="18"/>
                <w:szCs w:val="18"/>
                <w:color w:val="auto"/>
              </w:rPr>
              <w:t>0.5% weighted average maturing at various dates through 2023</w:t>
            </w:r>
          </w:p>
        </w:tc>
        <w:tc>
          <w:tcPr>
            <w:tcW w:w="114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531</w:t>
            </w:r>
          </w:p>
        </w:tc>
        <w:tc>
          <w:tcPr>
            <w:tcW w:w="3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0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547</w:t>
            </w:r>
          </w:p>
        </w:tc>
      </w:tr>
      <w:tr>
        <w:trPr>
          <w:trHeight w:val="196"/>
        </w:trPr>
        <w:tc>
          <w:tcPr>
            <w:tcW w:w="83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12,452</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12,409</w:t>
            </w:r>
          </w:p>
        </w:tc>
      </w:tr>
      <w:tr>
        <w:trPr>
          <w:trHeight w:val="216"/>
        </w:trPr>
        <w:tc>
          <w:tcPr>
            <w:tcW w:w="8380" w:type="dxa"/>
            <w:vAlign w:val="bottom"/>
            <w:shd w:val="clear" w:color="auto" w:fill="E5FFFF"/>
          </w:tcPr>
          <w:p>
            <w:pPr>
              <w:ind w:left="66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(1,271)</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(227)</w:t>
            </w:r>
          </w:p>
        </w:tc>
      </w:tr>
      <w:tr>
        <w:trPr>
          <w:trHeight w:val="210"/>
        </w:trPr>
        <w:tc>
          <w:tcPr>
            <w:tcW w:w="8600" w:type="dxa"/>
            <w:vAlign w:val="bottom"/>
            <w:gridSpan w:val="2"/>
          </w:tcPr>
          <w:p>
            <w:pPr>
              <w:ind w:left="83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11,181</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12,182</w:t>
            </w:r>
          </w:p>
        </w:tc>
      </w:tr>
      <w:tr>
        <w:trPr>
          <w:trHeight w:val="20"/>
        </w:trPr>
        <w:tc>
          <w:tcPr>
            <w:tcW w:w="8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 and Fair Value Measures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credit, market, foreign currency and interest rate risk management policies are described in Note 14, Financial Instruments and Fair Value Measures, of Notes to Consolidated Financial Statements in our 2016 Annual Report on Form 10-K.</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00" w:type="dxa"/>
            <w:vAlign w:val="bottom"/>
            <w:tcBorders>
              <w:bottom w:val="single" w:sz="8" w:color="E5FFFF"/>
            </w:tcBorders>
          </w:tcPr>
          <w:p>
            <w:pPr>
              <w:spacing w:after="0"/>
              <w:rPr>
                <w:sz w:val="15"/>
                <w:szCs w:val="15"/>
                <w:color w:val="auto"/>
              </w:rPr>
            </w:pPr>
          </w:p>
        </w:tc>
        <w:tc>
          <w:tcPr>
            <w:tcW w:w="176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7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160"/>
              <w:spacing w:after="0" w:line="202" w:lineRule="exact"/>
              <w:rPr>
                <w:sz w:val="20"/>
                <w:szCs w:val="20"/>
                <w:color w:val="auto"/>
              </w:rPr>
            </w:pPr>
            <w:r>
              <w:rPr>
                <w:rFonts w:ascii="Arial" w:cs="Arial" w:eastAsia="Arial" w:hAnsi="Arial"/>
                <w:sz w:val="18"/>
                <w:szCs w:val="18"/>
                <w:color w:val="auto"/>
              </w:rPr>
              <w:t>Foreign currency exchange contracts</w:t>
            </w:r>
          </w:p>
        </w:tc>
        <w:tc>
          <w:tcPr>
            <w:tcW w:w="1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50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Available for sale investments</w:t>
            </w:r>
          </w:p>
        </w:tc>
        <w:tc>
          <w:tcPr>
            <w:tcW w:w="17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2,015</w:t>
            </w:r>
          </w:p>
        </w:tc>
        <w:tc>
          <w:tcPr>
            <w:tcW w:w="2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Interest rate swap agreements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9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7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160"/>
              <w:spacing w:after="0" w:line="202" w:lineRule="exact"/>
              <w:rPr>
                <w:sz w:val="20"/>
                <w:szCs w:val="20"/>
                <w:color w:val="auto"/>
              </w:rPr>
            </w:pPr>
            <w:r>
              <w:rPr>
                <w:rFonts w:ascii="Arial" w:cs="Arial" w:eastAsia="Arial" w:hAnsi="Arial"/>
                <w:sz w:val="18"/>
                <w:szCs w:val="18"/>
                <w:color w:val="auto"/>
              </w:rPr>
              <w:t>Foreign currency exchange contracts</w:t>
            </w:r>
          </w:p>
        </w:tc>
        <w:tc>
          <w:tcPr>
            <w:tcW w:w="1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50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Interest rate swap agreements</w:t>
            </w:r>
          </w:p>
        </w:tc>
        <w:tc>
          <w:tcPr>
            <w:tcW w:w="17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52</w:t>
            </w:r>
          </w:p>
        </w:tc>
        <w:tc>
          <w:tcPr>
            <w:tcW w:w="2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foreign currency exchange contracts and interest rate swap agreements are valued using broker quotations or market transactions in either the listed or over-the-counter markets. These derivative instruments are classified within level 2. The Company holds investments in certificates of deposits, time deposits and commercial paper that are designated as available for sale and are valued using published prices based 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observable market data. These investments are classified within level 2. The Company also holds available for sale investments in U.S.</w:t>
      </w:r>
    </w:p>
    <w:p>
      <w:pPr>
        <w:spacing w:after="0"/>
        <w:rPr>
          <w:sz w:val="20"/>
          <w:szCs w:val="20"/>
          <w:color w:val="auto"/>
        </w:rPr>
      </w:pPr>
      <w:r>
        <w:rPr>
          <w:rFonts w:ascii="Arial" w:cs="Arial" w:eastAsia="Arial" w:hAnsi="Arial"/>
          <w:sz w:val="18"/>
          <w:szCs w:val="18"/>
          <w:color w:val="auto"/>
        </w:rPr>
        <w:t>government and corporate debt securities valued utilizing published prices based on quoted market pricing, which are classified within level 1.</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carrying value of cash and cash equivalents, accounts receivable, payables, commercial paper and short-term borrowings contained in the Consolidated Balance Sheet approximates fair value. The following table sets forth the Company’s financial assets and liabilities that were not carried at fair value: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2017</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 2016</w:t>
            </w:r>
          </w:p>
        </w:tc>
      </w:tr>
      <w:tr>
        <w:trPr>
          <w:trHeight w:val="142"/>
        </w:trPr>
        <w:tc>
          <w:tcPr>
            <w:tcW w:w="60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700"/>
              <w:spacing w:after="0" w:line="143" w:lineRule="exact"/>
              <w:rPr>
                <w:sz w:val="20"/>
                <w:szCs w:val="20"/>
                <w:color w:val="auto"/>
              </w:rPr>
            </w:pPr>
            <w:r>
              <w:rPr>
                <w:rFonts w:ascii="Arial" w:cs="Arial" w:eastAsia="Arial" w:hAnsi="Arial"/>
                <w:sz w:val="14"/>
                <w:szCs w:val="14"/>
                <w:b w:val="1"/>
                <w:bCs w:val="1"/>
                <w:color w:val="auto"/>
              </w:rPr>
              <w:t>Carrying</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199"/>
              <w:spacing w:after="0" w:line="14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540"/>
              <w:spacing w:after="0" w:line="143"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39"/>
              <w:spacing w:after="0" w:line="143"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2"/>
                <w:szCs w:val="12"/>
                <w:color w:val="auto"/>
              </w:rPr>
            </w:pPr>
          </w:p>
        </w:tc>
      </w:tr>
      <w:tr>
        <w:trPr>
          <w:trHeight w:val="175"/>
        </w:trPr>
        <w:tc>
          <w:tcPr>
            <w:tcW w:w="6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5"/>
                <w:szCs w:val="15"/>
                <w:color w:val="auto"/>
              </w:rPr>
            </w:pPr>
          </w:p>
        </w:tc>
        <w:tc>
          <w:tcPr>
            <w:tcW w:w="11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5"/>
                <w:szCs w:val="15"/>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Value</w:t>
            </w:r>
          </w:p>
        </w:tc>
      </w:tr>
      <w:tr>
        <w:trPr>
          <w:trHeight w:val="156"/>
        </w:trPr>
        <w:tc>
          <w:tcPr>
            <w:tcW w:w="6060" w:type="dxa"/>
            <w:vAlign w:val="bottom"/>
            <w:tcBorders>
              <w:top w:val="single" w:sz="8" w:color="E5FFFF"/>
            </w:tcBorders>
            <w:shd w:val="clear" w:color="auto" w:fill="E5FF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E5FFFF"/>
          </w:tcPr>
          <w:p>
            <w:pPr>
              <w:spacing w:after="0"/>
              <w:rPr>
                <w:sz w:val="13"/>
                <w:szCs w:val="13"/>
                <w:color w:val="auto"/>
              </w:rPr>
            </w:pPr>
          </w:p>
        </w:tc>
        <w:tc>
          <w:tcPr>
            <w:tcW w:w="1040" w:type="dxa"/>
            <w:vAlign w:val="bottom"/>
            <w:tcBorders>
              <w:top w:val="single" w:sz="8" w:color="auto"/>
            </w:tcBorders>
            <w:shd w:val="clear" w:color="auto" w:fill="E5FFFF"/>
          </w:tcPr>
          <w:p>
            <w:pPr>
              <w:spacing w:after="0"/>
              <w:rPr>
                <w:sz w:val="13"/>
                <w:szCs w:val="13"/>
                <w:color w:val="auto"/>
              </w:rPr>
            </w:pPr>
          </w:p>
        </w:tc>
        <w:tc>
          <w:tcPr>
            <w:tcW w:w="360" w:type="dxa"/>
            <w:vAlign w:val="bottom"/>
            <w:tcBorders>
              <w:top w:val="single" w:sz="8" w:color="E5FFFF"/>
            </w:tcBorders>
            <w:shd w:val="clear" w:color="auto" w:fill="E5FFFF"/>
          </w:tcPr>
          <w:p>
            <w:pPr>
              <w:spacing w:after="0"/>
              <w:rPr>
                <w:sz w:val="13"/>
                <w:szCs w:val="13"/>
                <w:color w:val="auto"/>
              </w:rPr>
            </w:pPr>
          </w:p>
        </w:tc>
        <w:tc>
          <w:tcPr>
            <w:tcW w:w="280" w:type="dxa"/>
            <w:vAlign w:val="bottom"/>
            <w:tcBorders>
              <w:top w:val="single" w:sz="8" w:color="auto"/>
            </w:tcBorders>
            <w:shd w:val="clear" w:color="auto" w:fill="E5FFFF"/>
          </w:tcPr>
          <w:p>
            <w:pPr>
              <w:spacing w:after="0"/>
              <w:rPr>
                <w:sz w:val="13"/>
                <w:szCs w:val="13"/>
                <w:color w:val="auto"/>
              </w:rPr>
            </w:pPr>
          </w:p>
        </w:tc>
        <w:tc>
          <w:tcPr>
            <w:tcW w:w="760" w:type="dxa"/>
            <w:vAlign w:val="bottom"/>
            <w:tcBorders>
              <w:top w:val="single" w:sz="8" w:color="auto"/>
            </w:tcBorders>
            <w:shd w:val="clear" w:color="auto" w:fill="E5FFFF"/>
          </w:tcPr>
          <w:p>
            <w:pPr>
              <w:spacing w:after="0"/>
              <w:rPr>
                <w:sz w:val="13"/>
                <w:szCs w:val="13"/>
                <w:color w:val="auto"/>
              </w:rPr>
            </w:pPr>
          </w:p>
        </w:tc>
        <w:tc>
          <w:tcPr>
            <w:tcW w:w="340" w:type="dxa"/>
            <w:vAlign w:val="bottom"/>
            <w:tcBorders>
              <w:top w:val="single" w:sz="8" w:color="E5FFFF"/>
            </w:tcBorders>
            <w:shd w:val="clear" w:color="auto" w:fill="E5FFFF"/>
          </w:tcPr>
          <w:p>
            <w:pPr>
              <w:spacing w:after="0"/>
              <w:rPr>
                <w:sz w:val="13"/>
                <w:szCs w:val="13"/>
                <w:color w:val="auto"/>
              </w:rPr>
            </w:pPr>
          </w:p>
        </w:tc>
        <w:tc>
          <w:tcPr>
            <w:tcW w:w="160" w:type="dxa"/>
            <w:vAlign w:val="bottom"/>
            <w:tcBorders>
              <w:top w:val="single" w:sz="8" w:color="auto"/>
            </w:tcBorders>
            <w:shd w:val="clear" w:color="auto" w:fill="E5FFFF"/>
          </w:tcPr>
          <w:p>
            <w:pPr>
              <w:spacing w:after="0"/>
              <w:rPr>
                <w:sz w:val="13"/>
                <w:szCs w:val="13"/>
                <w:color w:val="auto"/>
              </w:rPr>
            </w:pPr>
          </w:p>
        </w:tc>
        <w:tc>
          <w:tcPr>
            <w:tcW w:w="840" w:type="dxa"/>
            <w:vAlign w:val="bottom"/>
            <w:tcBorders>
              <w:top w:val="single" w:sz="8" w:color="auto"/>
            </w:tcBorders>
            <w:shd w:val="clear" w:color="auto" w:fill="E5FFFF"/>
          </w:tcPr>
          <w:p>
            <w:pPr>
              <w:spacing w:after="0"/>
              <w:rPr>
                <w:sz w:val="13"/>
                <w:szCs w:val="13"/>
                <w:color w:val="auto"/>
              </w:rPr>
            </w:pPr>
          </w:p>
        </w:tc>
        <w:tc>
          <w:tcPr>
            <w:tcW w:w="340" w:type="dxa"/>
            <w:vAlign w:val="bottom"/>
            <w:tcBorders>
              <w:top w:val="single" w:sz="8" w:color="E5FFFF"/>
            </w:tcBorders>
            <w:shd w:val="clear" w:color="auto" w:fill="E5FFFF"/>
          </w:tcPr>
          <w:p>
            <w:pPr>
              <w:spacing w:after="0"/>
              <w:rPr>
                <w:sz w:val="13"/>
                <w:szCs w:val="13"/>
                <w:color w:val="auto"/>
              </w:rPr>
            </w:pPr>
          </w:p>
        </w:tc>
        <w:tc>
          <w:tcPr>
            <w:tcW w:w="220" w:type="dxa"/>
            <w:vAlign w:val="bottom"/>
            <w:tcBorders>
              <w:top w:val="single" w:sz="8" w:color="auto"/>
            </w:tcBorders>
            <w:shd w:val="clear" w:color="auto" w:fill="E5FFFF"/>
          </w:tcPr>
          <w:p>
            <w:pPr>
              <w:spacing w:after="0"/>
              <w:rPr>
                <w:sz w:val="13"/>
                <w:szCs w:val="13"/>
                <w:color w:val="auto"/>
              </w:rPr>
            </w:pPr>
          </w:p>
        </w:tc>
        <w:tc>
          <w:tcPr>
            <w:tcW w:w="800" w:type="dxa"/>
            <w:vAlign w:val="bottom"/>
            <w:tcBorders>
              <w:top w:val="single" w:sz="8" w:color="auto"/>
            </w:tcBorders>
            <w:shd w:val="clear" w:color="auto" w:fill="E5FFFF"/>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6060" w:type="dxa"/>
            <w:vAlign w:val="bottom"/>
          </w:tcPr>
          <w:p>
            <w:pPr>
              <w:ind w:left="180"/>
              <w:spacing w:after="0" w:line="202" w:lineRule="exact"/>
              <w:rPr>
                <w:sz w:val="20"/>
                <w:szCs w:val="20"/>
                <w:color w:val="auto"/>
              </w:rPr>
            </w:pPr>
            <w:r>
              <w:rPr>
                <w:rFonts w:ascii="Arial" w:cs="Arial" w:eastAsia="Arial" w:hAnsi="Arial"/>
                <w:sz w:val="18"/>
                <w:szCs w:val="18"/>
                <w:color w:val="auto"/>
              </w:rPr>
              <w:t>Long-term receivables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263</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253</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280</w:t>
            </w:r>
          </w:p>
        </w:tc>
        <w:tc>
          <w:tcPr>
            <w:tcW w:w="3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273</w:t>
            </w:r>
          </w:p>
        </w:tc>
        <w:tc>
          <w:tcPr>
            <w:tcW w:w="20" w:type="dxa"/>
            <w:vAlign w:val="bottom"/>
          </w:tcPr>
          <w:p>
            <w:pPr>
              <w:spacing w:after="0"/>
              <w:rPr>
                <w:sz w:val="17"/>
                <w:szCs w:val="17"/>
                <w:color w:val="auto"/>
              </w:rPr>
            </w:pPr>
          </w:p>
        </w:tc>
      </w:tr>
      <w:tr>
        <w:trPr>
          <w:trHeight w:val="203"/>
        </w:trPr>
        <w:tc>
          <w:tcPr>
            <w:tcW w:w="606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6060" w:type="dxa"/>
            <w:vAlign w:val="bottom"/>
          </w:tcPr>
          <w:p>
            <w:pPr>
              <w:ind w:left="180"/>
              <w:spacing w:after="0"/>
              <w:rPr>
                <w:sz w:val="20"/>
                <w:szCs w:val="20"/>
                <w:color w:val="auto"/>
              </w:rPr>
            </w:pPr>
            <w:r>
              <w:rPr>
                <w:rFonts w:ascii="Arial" w:cs="Arial" w:eastAsia="Arial" w:hAnsi="Arial"/>
                <w:sz w:val="18"/>
                <w:szCs w:val="18"/>
                <w:color w:val="auto"/>
              </w:rPr>
              <w:t>Long-term debt and related current maturities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12,452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13,070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12,409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13,008</w:t>
            </w:r>
          </w:p>
        </w:tc>
        <w:tc>
          <w:tcPr>
            <w:tcW w:w="20" w:type="dxa"/>
            <w:vAlign w:val="bottom"/>
          </w:tcPr>
          <w:p>
            <w:pPr>
              <w:spacing w:after="0"/>
              <w:rPr>
                <w:sz w:val="18"/>
                <w:szCs w:val="18"/>
                <w:color w:val="auto"/>
              </w:rPr>
            </w:pPr>
          </w:p>
        </w:tc>
      </w:tr>
    </w:tbl>
    <w:p>
      <w:pPr>
        <w:spacing w:after="0" w:line="187"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determined the fair value of the long-term receivables by discounting based upon the terms of the receivable and counterparty details including credit quality.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also considered level 2 as well.</w:t>
      </w:r>
    </w:p>
    <w:p>
      <w:pPr>
        <w:spacing w:after="0" w:line="188"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For the three months ended March 31, 2017 and 2016, we recognized $11 million of losses and $ 29 million of gains in earnings on interest rate swap agreements. Gains and losses are fully offset by losses and gains on the underlying debt being hedged.</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also economically hedge our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We recognized $34 million and $32 million of expense in other (income) expense for the three months ended March 31, 2017 and 2016.</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Accumulated Other Comprehensive Income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by Component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8"/>
              <w:spacing w:after="0"/>
              <w:rPr>
                <w:sz w:val="20"/>
                <w:szCs w:val="20"/>
                <w:color w:val="auto"/>
              </w:rPr>
            </w:pPr>
            <w:r>
              <w:rPr>
                <w:rFonts w:ascii="Arial" w:cs="Arial" w:eastAsia="Arial" w:hAnsi="Arial"/>
                <w:sz w:val="14"/>
                <w:szCs w:val="14"/>
                <w:b w:val="1"/>
                <w:bCs w:val="1"/>
                <w:color w:val="auto"/>
              </w:rPr>
              <w:t>Pension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rPr>
              <w:t>Changes in</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78"/>
              <w:spacing w:after="0"/>
              <w:rPr>
                <w:sz w:val="20"/>
                <w:szCs w:val="20"/>
                <w:color w:val="auto"/>
              </w:rPr>
            </w:pPr>
            <w:r>
              <w:rPr>
                <w:rFonts w:ascii="Arial" w:cs="Arial" w:eastAsia="Arial" w:hAnsi="Arial"/>
                <w:sz w:val="14"/>
                <w:szCs w:val="14"/>
                <w:b w:val="1"/>
                <w:bCs w:val="1"/>
                <w:color w:val="auto"/>
              </w:rPr>
              <w:t>Foreign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8"/>
              <w:spacing w:after="0"/>
              <w:rPr>
                <w:sz w:val="20"/>
                <w:szCs w:val="20"/>
                <w:color w:val="auto"/>
              </w:rPr>
            </w:pPr>
            <w:r>
              <w:rPr>
                <w:rFonts w:ascii="Arial" w:cs="Arial" w:eastAsia="Arial" w:hAnsi="Arial"/>
                <w:sz w:val="14"/>
                <w:szCs w:val="14"/>
                <w:b w:val="1"/>
                <w:bCs w:val="1"/>
                <w:color w:val="auto"/>
              </w:rPr>
              <w:t>and Other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58"/>
              <w:spacing w:after="0"/>
              <w:rPr>
                <w:sz w:val="20"/>
                <w:szCs w:val="20"/>
                <w:color w:val="auto"/>
              </w:rPr>
            </w:pPr>
            <w:r>
              <w:rPr>
                <w:rFonts w:ascii="Arial" w:cs="Arial" w:eastAsia="Arial" w:hAnsi="Arial"/>
                <w:sz w:val="14"/>
                <w:szCs w:val="14"/>
                <w:b w:val="1"/>
                <w:bCs w:val="1"/>
                <w:color w:val="auto"/>
              </w:rPr>
              <w:t>Exchange</w:t>
            </w:r>
          </w:p>
        </w:tc>
        <w:tc>
          <w:tcPr>
            <w:tcW w:w="3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Postretirement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rPr>
              <w:t>of Effective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78"/>
              <w:spacing w:after="0"/>
              <w:rPr>
                <w:sz w:val="20"/>
                <w:szCs w:val="20"/>
                <w:color w:val="auto"/>
              </w:rPr>
            </w:pPr>
            <w:r>
              <w:rPr>
                <w:rFonts w:ascii="Arial" w:cs="Arial" w:eastAsia="Arial" w:hAnsi="Arial"/>
                <w:sz w:val="14"/>
                <w:szCs w:val="14"/>
                <w:b w:val="1"/>
                <w:bCs w:val="1"/>
                <w:color w:val="auto"/>
              </w:rPr>
              <w:t>Translation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8"/>
              <w:spacing w:after="0"/>
              <w:rPr>
                <w:sz w:val="20"/>
                <w:szCs w:val="20"/>
                <w:color w:val="auto"/>
              </w:rPr>
            </w:pPr>
            <w:r>
              <w:rPr>
                <w:rFonts w:ascii="Arial" w:cs="Arial" w:eastAsia="Arial" w:hAnsi="Arial"/>
                <w:sz w:val="14"/>
                <w:szCs w:val="14"/>
                <w:b w:val="1"/>
                <w:bCs w:val="1"/>
                <w:color w:val="auto"/>
              </w:rPr>
              <w:t>Benefits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rPr>
              <w:t>Cash Flow</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Borders>
              <w:bottom w:val="single" w:sz="8" w:color="E5FFFF"/>
            </w:tcBorders>
          </w:tcPr>
          <w:p>
            <w:pPr>
              <w:spacing w:after="0"/>
              <w:rPr>
                <w:sz w:val="15"/>
                <w:szCs w:val="15"/>
                <w:color w:val="auto"/>
              </w:rPr>
            </w:pPr>
          </w:p>
        </w:tc>
        <w:tc>
          <w:tcPr>
            <w:tcW w:w="2800" w:type="dxa"/>
            <w:vAlign w:val="bottom"/>
            <w:tcBorders>
              <w:bottom w:val="single" w:sz="8" w:color="E5FFFF"/>
            </w:tcBorders>
          </w:tcPr>
          <w:p>
            <w:pPr>
              <w:spacing w:after="0"/>
              <w:rPr>
                <w:sz w:val="15"/>
                <w:szCs w:val="15"/>
                <w:color w:val="auto"/>
              </w:rPr>
            </w:pPr>
          </w:p>
        </w:tc>
        <w:tc>
          <w:tcPr>
            <w:tcW w:w="70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Adjustment</w:t>
            </w:r>
          </w:p>
        </w:tc>
        <w:tc>
          <w:tcPr>
            <w:tcW w:w="34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Hedges</w:t>
            </w:r>
          </w:p>
        </w:tc>
        <w:tc>
          <w:tcPr>
            <w:tcW w:w="3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5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Balance at December 31, 2016</w:t>
            </w:r>
          </w:p>
        </w:tc>
        <w:tc>
          <w:tcPr>
            <w:tcW w:w="28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(1,944)</w:t>
            </w: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(879)</w:t>
            </w: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E5FFFF"/>
          </w:tcPr>
          <w:p>
            <w:pPr>
              <w:jc w:val="right"/>
              <w:ind w:right="39"/>
              <w:spacing w:after="0" w:line="196" w:lineRule="exact"/>
              <w:rPr>
                <w:sz w:val="20"/>
                <w:szCs w:val="20"/>
                <w:color w:val="auto"/>
              </w:rPr>
            </w:pPr>
            <w:r>
              <w:rPr>
                <w:rFonts w:ascii="Arial" w:cs="Arial" w:eastAsia="Arial" w:hAnsi="Arial"/>
                <w:sz w:val="18"/>
                <w:szCs w:val="18"/>
                <w:color w:val="auto"/>
              </w:rPr>
              <w:t>109</w:t>
            </w:r>
          </w:p>
        </w:tc>
        <w:tc>
          <w:tcPr>
            <w:tcW w:w="32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03"/>
        </w:trPr>
        <w:tc>
          <w:tcPr>
            <w:tcW w:w="2580" w:type="dxa"/>
            <w:vAlign w:val="bottom"/>
          </w:tcPr>
          <w:p>
            <w:pPr>
              <w:ind w:left="180"/>
              <w:spacing w:after="0" w:line="202" w:lineRule="exact"/>
              <w:rPr>
                <w:sz w:val="20"/>
                <w:szCs w:val="20"/>
                <w:color w:val="auto"/>
              </w:rPr>
            </w:pPr>
            <w:r>
              <w:rPr>
                <w:rFonts w:ascii="Arial" w:cs="Arial" w:eastAsia="Arial" w:hAnsi="Arial"/>
                <w:sz w:val="18"/>
                <w:szCs w:val="18"/>
                <w:color w:val="auto"/>
              </w:rPr>
              <w:t>Other comprehensive income</w:t>
            </w:r>
          </w:p>
        </w:tc>
        <w:tc>
          <w:tcPr>
            <w:tcW w:w="2800" w:type="dxa"/>
            <w:vAlign w:val="bottom"/>
          </w:tcPr>
          <w:p>
            <w:pPr>
              <w:ind w:left="60"/>
              <w:spacing w:after="0" w:line="202" w:lineRule="exact"/>
              <w:rPr>
                <w:sz w:val="20"/>
                <w:szCs w:val="20"/>
                <w:color w:val="auto"/>
              </w:rPr>
            </w:pPr>
            <w:r>
              <w:rPr>
                <w:rFonts w:ascii="Arial" w:cs="Arial" w:eastAsia="Arial" w:hAnsi="Arial"/>
                <w:sz w:val="18"/>
                <w:szCs w:val="18"/>
                <w:color w:val="auto"/>
              </w:rPr>
              <w:t>(loss) before reclassifications</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248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2"/>
        </w:trPr>
        <w:tc>
          <w:tcPr>
            <w:tcW w:w="5380" w:type="dxa"/>
            <w:vAlign w:val="bottom"/>
            <w:gridSpan w:val="2"/>
            <w:shd w:val="clear" w:color="auto" w:fill="E5FFFF"/>
          </w:tcPr>
          <w:p>
            <w:pPr>
              <w:ind w:left="180"/>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7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580" w:type="dxa"/>
            <w:vAlign w:val="bottom"/>
            <w:shd w:val="clear" w:color="auto" w:fill="E5FFFF"/>
          </w:tcPr>
          <w:p>
            <w:pPr>
              <w:ind w:left="360"/>
              <w:spacing w:after="0"/>
              <w:rPr>
                <w:sz w:val="20"/>
                <w:szCs w:val="20"/>
                <w:color w:val="auto"/>
              </w:rPr>
            </w:pPr>
            <w:r>
              <w:rPr>
                <w:rFonts w:ascii="Arial" w:cs="Arial" w:eastAsia="Arial" w:hAnsi="Arial"/>
                <w:sz w:val="18"/>
                <w:szCs w:val="18"/>
                <w:color w:val="auto"/>
              </w:rPr>
              <w:t>income</w:t>
            </w:r>
          </w:p>
        </w:tc>
        <w:tc>
          <w:tcPr>
            <w:tcW w:w="280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E5FFFF"/>
            </w:tcBorders>
            <w:gridSpan w:val="2"/>
          </w:tcPr>
          <w:p>
            <w:pPr>
              <w:ind w:left="180"/>
              <w:spacing w:after="0"/>
              <w:rPr>
                <w:sz w:val="20"/>
                <w:szCs w:val="20"/>
                <w:color w:val="auto"/>
              </w:rPr>
            </w:pPr>
            <w:r>
              <w:rPr>
                <w:rFonts w:ascii="Arial" w:cs="Arial" w:eastAsia="Arial" w:hAnsi="Arial"/>
                <w:sz w:val="18"/>
                <w:szCs w:val="18"/>
                <w:color w:val="auto"/>
              </w:rPr>
              <w:t>Net current period other comprehensive income (loss)</w:t>
            </w:r>
          </w:p>
        </w:tc>
        <w:tc>
          <w:tcPr>
            <w:tcW w:w="70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248</w:t>
            </w:r>
          </w:p>
        </w:tc>
        <w:tc>
          <w:tcPr>
            <w:tcW w:w="34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4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Balance at March 31, 2017</w:t>
            </w:r>
          </w:p>
        </w:tc>
        <w:tc>
          <w:tcPr>
            <w:tcW w:w="2800" w:type="dxa"/>
            <w:vAlign w:val="bottom"/>
            <w:tcBorders>
              <w:bottom w:val="single" w:sz="8" w:color="E5FFFF"/>
            </w:tcBorders>
            <w:shd w:val="clear" w:color="auto" w:fill="E5FFFF"/>
          </w:tcPr>
          <w:p>
            <w:pPr>
              <w:spacing w:after="0"/>
              <w:rPr>
                <w:sz w:val="17"/>
                <w:szCs w:val="17"/>
                <w:color w:val="auto"/>
              </w:rPr>
            </w:pPr>
          </w:p>
        </w:tc>
        <w:tc>
          <w:tcPr>
            <w:tcW w:w="700" w:type="dxa"/>
            <w:vAlign w:val="bottom"/>
            <w:tcBorders>
              <w:bottom w:val="single" w:sz="8" w:color="E5FFFF"/>
            </w:tcBorders>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(1,696)</w:t>
            </w:r>
          </w:p>
        </w:tc>
        <w:tc>
          <w:tcPr>
            <w:tcW w:w="34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(939)</w:t>
            </w:r>
          </w:p>
        </w:tc>
        <w:tc>
          <w:tcPr>
            <w:tcW w:w="34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5FFFF"/>
          </w:tcPr>
          <w:p>
            <w:pPr>
              <w:jc w:val="right"/>
              <w:ind w:right="39"/>
              <w:spacing w:after="0" w:line="196" w:lineRule="exact"/>
              <w:rPr>
                <w:sz w:val="20"/>
                <w:szCs w:val="20"/>
                <w:color w:val="auto"/>
              </w:rPr>
            </w:pPr>
            <w:r>
              <w:rPr>
                <w:rFonts w:ascii="Arial" w:cs="Arial" w:eastAsia="Arial" w:hAnsi="Arial"/>
                <w:sz w:val="18"/>
                <w:szCs w:val="18"/>
                <w:color w:val="auto"/>
              </w:rPr>
              <w:t>73</w:t>
            </w:r>
          </w:p>
        </w:tc>
        <w:tc>
          <w:tcPr>
            <w:tcW w:w="32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right="38"/>
              <w:spacing w:after="0"/>
              <w:rPr>
                <w:sz w:val="20"/>
                <w:szCs w:val="20"/>
                <w:color w:val="auto"/>
              </w:rPr>
            </w:pPr>
            <w:r>
              <w:rPr>
                <w:rFonts w:ascii="Arial" w:cs="Arial" w:eastAsia="Arial" w:hAnsi="Arial"/>
                <w:sz w:val="14"/>
                <w:szCs w:val="14"/>
                <w:b w:val="1"/>
                <w:bCs w:val="1"/>
                <w:color w:val="auto"/>
              </w:rPr>
              <w:t>Pension</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rPr>
              <w:t>Changes in</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78"/>
              <w:spacing w:after="0"/>
              <w:rPr>
                <w:sz w:val="20"/>
                <w:szCs w:val="20"/>
                <w:color w:val="auto"/>
              </w:rPr>
            </w:pPr>
            <w:r>
              <w:rPr>
                <w:rFonts w:ascii="Arial" w:cs="Arial" w:eastAsia="Arial" w:hAnsi="Arial"/>
                <w:sz w:val="14"/>
                <w:szCs w:val="14"/>
                <w:b w:val="1"/>
                <w:bCs w:val="1"/>
                <w:color w:val="auto"/>
              </w:rPr>
              <w:t>Foreign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8"/>
              <w:spacing w:after="0"/>
              <w:rPr>
                <w:sz w:val="20"/>
                <w:szCs w:val="20"/>
                <w:color w:val="auto"/>
              </w:rPr>
            </w:pPr>
            <w:r>
              <w:rPr>
                <w:rFonts w:ascii="Arial" w:cs="Arial" w:eastAsia="Arial" w:hAnsi="Arial"/>
                <w:sz w:val="14"/>
                <w:szCs w:val="14"/>
                <w:b w:val="1"/>
                <w:bCs w:val="1"/>
                <w:color w:val="auto"/>
              </w:rPr>
              <w:t>and Other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58"/>
              <w:spacing w:after="0"/>
              <w:rPr>
                <w:sz w:val="20"/>
                <w:szCs w:val="20"/>
                <w:color w:val="auto"/>
              </w:rPr>
            </w:pPr>
            <w:r>
              <w:rPr>
                <w:rFonts w:ascii="Arial" w:cs="Arial" w:eastAsia="Arial" w:hAnsi="Arial"/>
                <w:sz w:val="14"/>
                <w:szCs w:val="14"/>
                <w:b w:val="1"/>
                <w:bCs w:val="1"/>
                <w:color w:val="auto"/>
              </w:rPr>
              <w:t>Exchange</w:t>
            </w:r>
          </w:p>
        </w:tc>
        <w:tc>
          <w:tcPr>
            <w:tcW w:w="3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Postretirement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rPr>
              <w:t>of Effective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78"/>
              <w:spacing w:after="0"/>
              <w:rPr>
                <w:sz w:val="20"/>
                <w:szCs w:val="20"/>
                <w:color w:val="auto"/>
              </w:rPr>
            </w:pPr>
            <w:r>
              <w:rPr>
                <w:rFonts w:ascii="Arial" w:cs="Arial" w:eastAsia="Arial" w:hAnsi="Arial"/>
                <w:sz w:val="14"/>
                <w:szCs w:val="14"/>
                <w:b w:val="1"/>
                <w:bCs w:val="1"/>
                <w:color w:val="auto"/>
              </w:rPr>
              <w:t>Translation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8"/>
              <w:spacing w:after="0"/>
              <w:rPr>
                <w:sz w:val="20"/>
                <w:szCs w:val="20"/>
                <w:color w:val="auto"/>
              </w:rPr>
            </w:pPr>
            <w:r>
              <w:rPr>
                <w:rFonts w:ascii="Arial" w:cs="Arial" w:eastAsia="Arial" w:hAnsi="Arial"/>
                <w:sz w:val="14"/>
                <w:szCs w:val="14"/>
                <w:b w:val="1"/>
                <w:bCs w:val="1"/>
                <w:color w:val="auto"/>
              </w:rPr>
              <w:t>Benefits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rPr>
              <w:t>Cash Flow</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Borders>
              <w:bottom w:val="single" w:sz="8" w:color="E5FFFF"/>
            </w:tcBorders>
          </w:tcPr>
          <w:p>
            <w:pPr>
              <w:spacing w:after="0"/>
              <w:rPr>
                <w:sz w:val="15"/>
                <w:szCs w:val="15"/>
                <w:color w:val="auto"/>
              </w:rPr>
            </w:pPr>
          </w:p>
        </w:tc>
        <w:tc>
          <w:tcPr>
            <w:tcW w:w="2800" w:type="dxa"/>
            <w:vAlign w:val="bottom"/>
            <w:tcBorders>
              <w:bottom w:val="single" w:sz="8" w:color="E5FFFF"/>
            </w:tcBorders>
          </w:tcPr>
          <w:p>
            <w:pPr>
              <w:spacing w:after="0"/>
              <w:rPr>
                <w:sz w:val="15"/>
                <w:szCs w:val="15"/>
                <w:color w:val="auto"/>
              </w:rPr>
            </w:pPr>
          </w:p>
        </w:tc>
        <w:tc>
          <w:tcPr>
            <w:tcW w:w="70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Adjustment</w:t>
            </w:r>
          </w:p>
        </w:tc>
        <w:tc>
          <w:tcPr>
            <w:tcW w:w="34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Hedges</w:t>
            </w:r>
          </w:p>
        </w:tc>
        <w:tc>
          <w:tcPr>
            <w:tcW w:w="3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5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Balance at December 31, 2015</w:t>
            </w:r>
          </w:p>
        </w:tc>
        <w:tc>
          <w:tcPr>
            <w:tcW w:w="28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(1,892)</w:t>
            </w: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(644)</w:t>
            </w: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E5FFFF"/>
          </w:tcPr>
          <w:p>
            <w:pPr>
              <w:jc w:val="right"/>
              <w:ind w:right="39"/>
              <w:spacing w:after="0" w:line="196" w:lineRule="exact"/>
              <w:rPr>
                <w:sz w:val="20"/>
                <w:szCs w:val="20"/>
                <w:color w:val="auto"/>
              </w:rPr>
            </w:pPr>
            <w:r>
              <w:rPr>
                <w:rFonts w:ascii="Arial" w:cs="Arial" w:eastAsia="Arial" w:hAnsi="Arial"/>
                <w:sz w:val="18"/>
                <w:szCs w:val="18"/>
                <w:color w:val="auto"/>
              </w:rPr>
              <w:t>1</w:t>
            </w:r>
          </w:p>
        </w:tc>
        <w:tc>
          <w:tcPr>
            <w:tcW w:w="32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03"/>
        </w:trPr>
        <w:tc>
          <w:tcPr>
            <w:tcW w:w="2580" w:type="dxa"/>
            <w:vAlign w:val="bottom"/>
          </w:tcPr>
          <w:p>
            <w:pPr>
              <w:ind w:left="180"/>
              <w:spacing w:after="0" w:line="202" w:lineRule="exact"/>
              <w:rPr>
                <w:sz w:val="20"/>
                <w:szCs w:val="20"/>
                <w:color w:val="auto"/>
              </w:rPr>
            </w:pPr>
            <w:r>
              <w:rPr>
                <w:rFonts w:ascii="Arial" w:cs="Arial" w:eastAsia="Arial" w:hAnsi="Arial"/>
                <w:sz w:val="18"/>
                <w:szCs w:val="18"/>
                <w:color w:val="auto"/>
              </w:rPr>
              <w:t>Other comprehensive income</w:t>
            </w:r>
          </w:p>
        </w:tc>
        <w:tc>
          <w:tcPr>
            <w:tcW w:w="2800" w:type="dxa"/>
            <w:vAlign w:val="bottom"/>
          </w:tcPr>
          <w:p>
            <w:pPr>
              <w:ind w:left="60"/>
              <w:spacing w:after="0" w:line="202" w:lineRule="exact"/>
              <w:rPr>
                <w:sz w:val="20"/>
                <w:szCs w:val="20"/>
                <w:color w:val="auto"/>
              </w:rPr>
            </w:pPr>
            <w:r>
              <w:rPr>
                <w:rFonts w:ascii="Arial" w:cs="Arial" w:eastAsia="Arial" w:hAnsi="Arial"/>
                <w:sz w:val="18"/>
                <w:szCs w:val="18"/>
                <w:color w:val="auto"/>
              </w:rPr>
              <w:t>(loss) before reclassifications</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122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2"/>
        </w:trPr>
        <w:tc>
          <w:tcPr>
            <w:tcW w:w="5380" w:type="dxa"/>
            <w:vAlign w:val="bottom"/>
            <w:gridSpan w:val="2"/>
            <w:shd w:val="clear" w:color="auto" w:fill="E5FFFF"/>
          </w:tcPr>
          <w:p>
            <w:pPr>
              <w:ind w:left="180"/>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7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580" w:type="dxa"/>
            <w:vAlign w:val="bottom"/>
            <w:shd w:val="clear" w:color="auto" w:fill="E5FFFF"/>
          </w:tcPr>
          <w:p>
            <w:pPr>
              <w:ind w:left="360"/>
              <w:spacing w:after="0"/>
              <w:rPr>
                <w:sz w:val="20"/>
                <w:szCs w:val="20"/>
                <w:color w:val="auto"/>
              </w:rPr>
            </w:pPr>
            <w:r>
              <w:rPr>
                <w:rFonts w:ascii="Arial" w:cs="Arial" w:eastAsia="Arial" w:hAnsi="Arial"/>
                <w:sz w:val="18"/>
                <w:szCs w:val="18"/>
                <w:color w:val="auto"/>
              </w:rPr>
              <w:t>income</w:t>
            </w:r>
          </w:p>
        </w:tc>
        <w:tc>
          <w:tcPr>
            <w:tcW w:w="280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ind w:right="39"/>
              <w:spacing w:after="0"/>
              <w:rPr>
                <w:sz w:val="20"/>
                <w:szCs w:val="20"/>
                <w:color w:val="auto"/>
              </w:rPr>
            </w:pPr>
            <w:r>
              <w:rPr>
                <w:rFonts w:ascii="Arial" w:cs="Arial" w:eastAsia="Arial" w:hAnsi="Arial"/>
                <w:sz w:val="18"/>
                <w:szCs w:val="18"/>
                <w:color w:val="auto"/>
              </w:rPr>
              <w:t>6</w:t>
            </w:r>
          </w:p>
        </w:tc>
        <w:tc>
          <w:tcPr>
            <w:tcW w:w="32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E5FFFF"/>
            </w:tcBorders>
            <w:gridSpan w:val="2"/>
          </w:tcPr>
          <w:p>
            <w:pPr>
              <w:ind w:left="180"/>
              <w:spacing w:after="0"/>
              <w:rPr>
                <w:sz w:val="20"/>
                <w:szCs w:val="20"/>
                <w:color w:val="auto"/>
              </w:rPr>
            </w:pPr>
            <w:r>
              <w:rPr>
                <w:rFonts w:ascii="Arial" w:cs="Arial" w:eastAsia="Arial" w:hAnsi="Arial"/>
                <w:sz w:val="18"/>
                <w:szCs w:val="18"/>
                <w:color w:val="auto"/>
              </w:rPr>
              <w:t>Net current period other comprehensive income (loss)</w:t>
            </w:r>
          </w:p>
        </w:tc>
        <w:tc>
          <w:tcPr>
            <w:tcW w:w="70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122</w:t>
            </w:r>
          </w:p>
        </w:tc>
        <w:tc>
          <w:tcPr>
            <w:tcW w:w="34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Balance at March 31, 2016</w:t>
            </w:r>
          </w:p>
        </w:tc>
        <w:tc>
          <w:tcPr>
            <w:tcW w:w="2800" w:type="dxa"/>
            <w:vAlign w:val="bottom"/>
            <w:tcBorders>
              <w:bottom w:val="single" w:sz="8" w:color="E5FFFF"/>
            </w:tcBorders>
            <w:shd w:val="clear" w:color="auto" w:fill="E5FFFF"/>
          </w:tcPr>
          <w:p>
            <w:pPr>
              <w:spacing w:after="0"/>
              <w:rPr>
                <w:sz w:val="17"/>
                <w:szCs w:val="17"/>
                <w:color w:val="auto"/>
              </w:rPr>
            </w:pPr>
          </w:p>
        </w:tc>
        <w:tc>
          <w:tcPr>
            <w:tcW w:w="700" w:type="dxa"/>
            <w:vAlign w:val="bottom"/>
            <w:tcBorders>
              <w:bottom w:val="single" w:sz="8" w:color="E5FFFF"/>
            </w:tcBorders>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(1,770)</w:t>
            </w:r>
          </w:p>
        </w:tc>
        <w:tc>
          <w:tcPr>
            <w:tcW w:w="34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(660)</w:t>
            </w:r>
          </w:p>
        </w:tc>
        <w:tc>
          <w:tcPr>
            <w:tcW w:w="34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(25)</w:t>
            </w:r>
          </w:p>
        </w:tc>
        <w:tc>
          <w:tcPr>
            <w:tcW w:w="32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5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0C0C0"/>
            </w:tcBorders>
          </w:tcPr>
          <w:p>
            <w:pPr>
              <w:spacing w:after="0"/>
              <w:rPr>
                <w:sz w:val="20"/>
                <w:szCs w:val="20"/>
                <w:color w:val="auto"/>
              </w:rPr>
            </w:pPr>
          </w:p>
        </w:tc>
        <w:tc>
          <w:tcPr>
            <w:tcW w:w="280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0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0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Financial Data</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globally manage our business operations through four reportable operating segments. Segment information is consistent with how management reviews the businesses, makes investing and resource allocation decisions and assesses operating performance.</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Honeywell’s senior management evaluates segment performance based on segment profit. Segment profit is measured as segment income (loss) before taxes excluding general corporate unallocated expense, other income (expense), interest and other financial charges, stock compensation expense, pension and other postretirement income (expense), and repositioning and other charges.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5700" w:type="dxa"/>
            <w:vAlign w:val="bottom"/>
            <w:gridSpan w:val="4"/>
            <w:vMerge w:val="restart"/>
          </w:tcPr>
          <w:p>
            <w:pPr>
              <w:spacing w:after="0"/>
              <w:rPr>
                <w:sz w:val="20"/>
                <w:szCs w:val="20"/>
                <w:color w:val="auto"/>
              </w:rPr>
            </w:pPr>
            <w:r>
              <w:rPr>
                <w:rFonts w:ascii="Arial" w:cs="Arial" w:eastAsia="Arial" w:hAnsi="Arial"/>
                <w:sz w:val="18"/>
                <w:szCs w:val="18"/>
                <w:color w:val="auto"/>
              </w:rPr>
              <w:t>Net Sales</w:t>
            </w:r>
          </w:p>
        </w:tc>
        <w:tc>
          <w:tcPr>
            <w:tcW w:w="2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00" w:type="dxa"/>
            <w:vAlign w:val="bottom"/>
            <w:gridSpan w:val="4"/>
            <w:vMerge w:val="continue"/>
          </w:tcPr>
          <w:p>
            <w:pPr>
              <w:spacing w:after="0"/>
              <w:rPr>
                <w:sz w:val="15"/>
                <w:szCs w:val="15"/>
                <w:color w:val="auto"/>
              </w:rPr>
            </w:pPr>
          </w:p>
        </w:tc>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E5FFFF"/>
            </w:tcBorders>
            <w:shd w:val="clear" w:color="auto" w:fill="000000"/>
          </w:tcPr>
          <w:p>
            <w:pPr>
              <w:spacing w:after="0" w:line="20" w:lineRule="exact"/>
              <w:rPr>
                <w:sz w:val="1"/>
                <w:szCs w:val="1"/>
                <w:color w:val="auto"/>
              </w:rPr>
            </w:pPr>
          </w:p>
        </w:tc>
        <w:tc>
          <w:tcPr>
            <w:tcW w:w="400" w:type="dxa"/>
            <w:vAlign w:val="bottom"/>
            <w:tcBorders>
              <w:bottom w:val="single" w:sz="8" w:color="E5FFFF"/>
            </w:tcBorders>
          </w:tcPr>
          <w:p>
            <w:pPr>
              <w:spacing w:after="0" w:line="20" w:lineRule="exact"/>
              <w:rPr>
                <w:sz w:val="1"/>
                <w:szCs w:val="1"/>
                <w:color w:val="auto"/>
              </w:rPr>
            </w:pPr>
          </w:p>
        </w:tc>
        <w:tc>
          <w:tcPr>
            <w:tcW w:w="4500" w:type="dxa"/>
            <w:vAlign w:val="bottom"/>
            <w:tcBorders>
              <w:bottom w:val="single" w:sz="8" w:color="E5FFFF"/>
            </w:tcBorders>
          </w:tcPr>
          <w:p>
            <w:pPr>
              <w:spacing w:after="0" w:line="20" w:lineRule="exact"/>
              <w:rPr>
                <w:sz w:val="1"/>
                <w:szCs w:val="1"/>
                <w:color w:val="auto"/>
              </w:rPr>
            </w:pPr>
          </w:p>
        </w:tc>
        <w:tc>
          <w:tcPr>
            <w:tcW w:w="2420" w:type="dxa"/>
            <w:vAlign w:val="bottom"/>
            <w:tcBorders>
              <w:bottom w:val="single" w:sz="8" w:color="E5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E5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680" w:type="dxa"/>
            <w:vAlign w:val="bottom"/>
            <w:gridSpan w:val="3"/>
            <w:shd w:val="clear" w:color="auto" w:fill="E5FFFF"/>
          </w:tcPr>
          <w:p>
            <w:pPr>
              <w:spacing w:after="0" w:line="189" w:lineRule="exact"/>
              <w:rPr>
                <w:sz w:val="20"/>
                <w:szCs w:val="20"/>
                <w:color w:val="auto"/>
              </w:rPr>
            </w:pPr>
            <w:r>
              <w:rPr>
                <w:rFonts w:ascii="Arial" w:cs="Arial" w:eastAsia="Arial" w:hAnsi="Arial"/>
                <w:sz w:val="18"/>
                <w:szCs w:val="18"/>
                <w:color w:val="auto"/>
              </w:rPr>
              <w:t>Aerospace</w:t>
            </w:r>
          </w:p>
        </w:tc>
        <w:tc>
          <w:tcPr>
            <w:tcW w:w="24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72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66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3"/>
          </w:tcPr>
          <w:p>
            <w:pPr>
              <w:jc w:val="center"/>
              <w:ind w:right="4640"/>
              <w:spacing w:after="0" w:line="202" w:lineRule="exact"/>
              <w:rPr>
                <w:sz w:val="20"/>
                <w:szCs w:val="20"/>
                <w:color w:val="auto"/>
              </w:rPr>
            </w:pPr>
            <w:r>
              <w:rPr>
                <w:rFonts w:ascii="Arial" w:cs="Arial" w:eastAsia="Arial" w:hAnsi="Arial"/>
                <w:sz w:val="18"/>
                <w:szCs w:val="18"/>
                <w:color w:val="auto"/>
              </w:rPr>
              <w:t>Products</w:t>
            </w:r>
          </w:p>
        </w:tc>
        <w:tc>
          <w:tcPr>
            <w:tcW w:w="26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2,396</w:t>
            </w:r>
          </w:p>
        </w:tc>
        <w:tc>
          <w:tcPr>
            <w:tcW w:w="5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E5FFFF"/>
          </w:tcPr>
          <w:p>
            <w:pPr>
              <w:jc w:val="center"/>
              <w:ind w:right="4660"/>
              <w:spacing w:after="0"/>
              <w:rPr>
                <w:sz w:val="20"/>
                <w:szCs w:val="20"/>
                <w:color w:val="auto"/>
              </w:rPr>
            </w:pPr>
            <w:r>
              <w:rPr>
                <w:rFonts w:ascii="Arial" w:cs="Arial" w:eastAsia="Arial" w:hAnsi="Arial"/>
                <w:sz w:val="18"/>
                <w:szCs w:val="18"/>
                <w:color w:val="auto"/>
              </w:rPr>
              <w:t>Services</w:t>
            </w:r>
          </w:p>
        </w:tc>
        <w:tc>
          <w:tcPr>
            <w:tcW w:w="242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1,150</w:t>
            </w:r>
          </w:p>
        </w:tc>
        <w:tc>
          <w:tcPr>
            <w:tcW w:w="30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3"/>
          </w:tcPr>
          <w:p>
            <w:pPr>
              <w:jc w:val="center"/>
              <w:ind w:right="4620"/>
              <w:spacing w:after="0" w:line="196" w:lineRule="exact"/>
              <w:rPr>
                <w:sz w:val="20"/>
                <w:szCs w:val="20"/>
                <w:color w:val="auto"/>
              </w:rPr>
            </w:pPr>
            <w:r>
              <w:rPr>
                <w:rFonts w:ascii="Arial" w:cs="Arial" w:eastAsia="Arial" w:hAnsi="Arial"/>
                <w:sz w:val="18"/>
                <w:szCs w:val="18"/>
                <w:color w:val="auto"/>
                <w:w w:val="94"/>
              </w:rPr>
              <w:t>Total</w:t>
            </w: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3,546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Home and Building Technologies</w:t>
            </w:r>
          </w:p>
        </w:tc>
        <w:tc>
          <w:tcPr>
            <w:tcW w:w="24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3"/>
          </w:tcPr>
          <w:p>
            <w:pPr>
              <w:jc w:val="center"/>
              <w:ind w:right="4640"/>
              <w:spacing w:after="0" w:line="202" w:lineRule="exact"/>
              <w:rPr>
                <w:sz w:val="20"/>
                <w:szCs w:val="20"/>
                <w:color w:val="auto"/>
              </w:rPr>
            </w:pPr>
            <w:r>
              <w:rPr>
                <w:rFonts w:ascii="Arial" w:cs="Arial" w:eastAsia="Arial" w:hAnsi="Arial"/>
                <w:sz w:val="18"/>
                <w:szCs w:val="18"/>
                <w:color w:val="auto"/>
              </w:rPr>
              <w:t>Products</w:t>
            </w: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2,217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E5FFFF"/>
          </w:tcPr>
          <w:p>
            <w:pPr>
              <w:jc w:val="center"/>
              <w:ind w:right="4660"/>
              <w:spacing w:after="0"/>
              <w:rPr>
                <w:sz w:val="20"/>
                <w:szCs w:val="20"/>
                <w:color w:val="auto"/>
              </w:rPr>
            </w:pPr>
            <w:r>
              <w:rPr>
                <w:rFonts w:ascii="Arial" w:cs="Arial" w:eastAsia="Arial" w:hAnsi="Arial"/>
                <w:sz w:val="18"/>
                <w:szCs w:val="18"/>
                <w:color w:val="auto"/>
              </w:rPr>
              <w:t>Services</w:t>
            </w:r>
          </w:p>
        </w:tc>
        <w:tc>
          <w:tcPr>
            <w:tcW w:w="242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336</w:t>
            </w:r>
          </w:p>
        </w:tc>
        <w:tc>
          <w:tcPr>
            <w:tcW w:w="30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3"/>
          </w:tcPr>
          <w:p>
            <w:pPr>
              <w:jc w:val="center"/>
              <w:ind w:right="4620"/>
              <w:spacing w:after="0" w:line="196" w:lineRule="exact"/>
              <w:rPr>
                <w:sz w:val="20"/>
                <w:szCs w:val="20"/>
                <w:color w:val="auto"/>
              </w:rPr>
            </w:pPr>
            <w:r>
              <w:rPr>
                <w:rFonts w:ascii="Arial" w:cs="Arial" w:eastAsia="Arial" w:hAnsi="Arial"/>
                <w:sz w:val="18"/>
                <w:szCs w:val="18"/>
                <w:color w:val="auto"/>
                <w:w w:val="94"/>
              </w:rPr>
              <w:t>Total</w:t>
            </w: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2,553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24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3"/>
          </w:tcPr>
          <w:p>
            <w:pPr>
              <w:jc w:val="center"/>
              <w:ind w:right="4640"/>
              <w:spacing w:after="0" w:line="202" w:lineRule="exact"/>
              <w:rPr>
                <w:sz w:val="20"/>
                <w:szCs w:val="20"/>
                <w:color w:val="auto"/>
              </w:rPr>
            </w:pPr>
            <w:r>
              <w:rPr>
                <w:rFonts w:ascii="Arial" w:cs="Arial" w:eastAsia="Arial" w:hAnsi="Arial"/>
                <w:sz w:val="18"/>
                <w:szCs w:val="18"/>
                <w:color w:val="auto"/>
              </w:rPr>
              <w:t>Products</w:t>
            </w: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1,674</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E5FFFF"/>
          </w:tcPr>
          <w:p>
            <w:pPr>
              <w:jc w:val="center"/>
              <w:ind w:right="4660"/>
              <w:spacing w:after="0"/>
              <w:rPr>
                <w:sz w:val="20"/>
                <w:szCs w:val="20"/>
                <w:color w:val="auto"/>
              </w:rPr>
            </w:pPr>
            <w:r>
              <w:rPr>
                <w:rFonts w:ascii="Arial" w:cs="Arial" w:eastAsia="Arial" w:hAnsi="Arial"/>
                <w:sz w:val="18"/>
                <w:szCs w:val="18"/>
                <w:color w:val="auto"/>
              </w:rPr>
              <w:t>Services</w:t>
            </w:r>
          </w:p>
        </w:tc>
        <w:tc>
          <w:tcPr>
            <w:tcW w:w="242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395</w:t>
            </w:r>
          </w:p>
        </w:tc>
        <w:tc>
          <w:tcPr>
            <w:tcW w:w="30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3"/>
          </w:tcPr>
          <w:p>
            <w:pPr>
              <w:jc w:val="center"/>
              <w:ind w:right="4620"/>
              <w:spacing w:after="0" w:line="196" w:lineRule="exact"/>
              <w:rPr>
                <w:sz w:val="20"/>
                <w:szCs w:val="20"/>
                <w:color w:val="auto"/>
              </w:rPr>
            </w:pPr>
            <w:r>
              <w:rPr>
                <w:rFonts w:ascii="Arial" w:cs="Arial" w:eastAsia="Arial" w:hAnsi="Arial"/>
                <w:sz w:val="18"/>
                <w:szCs w:val="18"/>
                <w:color w:val="auto"/>
                <w:w w:val="94"/>
              </w:rPr>
              <w:t>Total</w:t>
            </w: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2,069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Safety and Productivity Solutions</w:t>
            </w:r>
          </w:p>
        </w:tc>
        <w:tc>
          <w:tcPr>
            <w:tcW w:w="24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3"/>
          </w:tcPr>
          <w:p>
            <w:pPr>
              <w:jc w:val="center"/>
              <w:ind w:right="4640"/>
              <w:spacing w:after="0" w:line="202" w:lineRule="exact"/>
              <w:rPr>
                <w:sz w:val="20"/>
                <w:szCs w:val="20"/>
                <w:color w:val="auto"/>
              </w:rPr>
            </w:pPr>
            <w:r>
              <w:rPr>
                <w:rFonts w:ascii="Arial" w:cs="Arial" w:eastAsia="Arial" w:hAnsi="Arial"/>
                <w:sz w:val="18"/>
                <w:szCs w:val="18"/>
                <w:color w:val="auto"/>
              </w:rPr>
              <w:t>Products</w:t>
            </w: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1,253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E5FFFF"/>
          </w:tcPr>
          <w:p>
            <w:pPr>
              <w:jc w:val="center"/>
              <w:ind w:right="4660"/>
              <w:spacing w:after="0"/>
              <w:rPr>
                <w:sz w:val="20"/>
                <w:szCs w:val="20"/>
                <w:color w:val="auto"/>
              </w:rPr>
            </w:pPr>
            <w:r>
              <w:rPr>
                <w:rFonts w:ascii="Arial" w:cs="Arial" w:eastAsia="Arial" w:hAnsi="Arial"/>
                <w:sz w:val="18"/>
                <w:szCs w:val="18"/>
                <w:color w:val="auto"/>
              </w:rPr>
              <w:t>Services</w:t>
            </w:r>
          </w:p>
        </w:tc>
        <w:tc>
          <w:tcPr>
            <w:tcW w:w="242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71</w:t>
            </w:r>
          </w:p>
        </w:tc>
        <w:tc>
          <w:tcPr>
            <w:tcW w:w="30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E5FFFF"/>
            </w:tcBorders>
            <w:gridSpan w:val="3"/>
          </w:tcPr>
          <w:p>
            <w:pPr>
              <w:jc w:val="center"/>
              <w:ind w:right="4620"/>
              <w:spacing w:after="0"/>
              <w:rPr>
                <w:sz w:val="20"/>
                <w:szCs w:val="20"/>
                <w:color w:val="auto"/>
              </w:rPr>
            </w:pPr>
            <w:r>
              <w:rPr>
                <w:rFonts w:ascii="Arial" w:cs="Arial" w:eastAsia="Arial" w:hAnsi="Arial"/>
                <w:sz w:val="18"/>
                <w:szCs w:val="18"/>
                <w:color w:val="auto"/>
                <w:w w:val="94"/>
              </w:rPr>
              <w:t>Total</w:t>
            </w:r>
          </w:p>
        </w:tc>
        <w:tc>
          <w:tcPr>
            <w:tcW w:w="24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1,324</w:t>
            </w:r>
          </w:p>
        </w:tc>
        <w:tc>
          <w:tcPr>
            <w:tcW w:w="3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0" w:type="dxa"/>
            <w:vAlign w:val="bottom"/>
            <w:shd w:val="clear" w:color="auto" w:fill="E5FFFF"/>
          </w:tcPr>
          <w:p>
            <w:pPr>
              <w:spacing w:after="0"/>
              <w:rPr>
                <w:sz w:val="20"/>
                <w:szCs w:val="20"/>
                <w:color w:val="auto"/>
              </w:rPr>
            </w:pPr>
          </w:p>
        </w:tc>
        <w:tc>
          <w:tcPr>
            <w:tcW w:w="400" w:type="dxa"/>
            <w:vAlign w:val="bottom"/>
            <w:shd w:val="clear" w:color="auto" w:fill="E5FFFF"/>
          </w:tcPr>
          <w:p>
            <w:pPr>
              <w:spacing w:after="0"/>
              <w:rPr>
                <w:sz w:val="20"/>
                <w:szCs w:val="20"/>
                <w:color w:val="auto"/>
              </w:rPr>
            </w:pPr>
          </w:p>
        </w:tc>
        <w:tc>
          <w:tcPr>
            <w:tcW w:w="4500" w:type="dxa"/>
            <w:vAlign w:val="bottom"/>
            <w:shd w:val="clear" w:color="auto" w:fill="E5FFFF"/>
          </w:tcPr>
          <w:p>
            <w:pPr>
              <w:spacing w:after="0"/>
              <w:rPr>
                <w:sz w:val="20"/>
                <w:szCs w:val="20"/>
                <w:color w:val="auto"/>
              </w:rPr>
            </w:pPr>
          </w:p>
        </w:tc>
        <w:tc>
          <w:tcPr>
            <w:tcW w:w="2420" w:type="dxa"/>
            <w:vAlign w:val="bottom"/>
            <w:shd w:val="clear" w:color="auto" w:fill="E5FFFF"/>
          </w:tcPr>
          <w:p>
            <w:pPr>
              <w:spacing w:after="0"/>
              <w:rPr>
                <w:sz w:val="20"/>
                <w:szCs w:val="20"/>
                <w:color w:val="auto"/>
              </w:rPr>
            </w:pP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9,492</w:t>
            </w:r>
          </w:p>
        </w:tc>
        <w:tc>
          <w:tcPr>
            <w:tcW w:w="56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9,522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E5FFFF"/>
          </w:tcPr>
          <w:p>
            <w:pPr>
              <w:spacing w:after="0" w:line="20" w:lineRule="exact"/>
              <w:rPr>
                <w:sz w:val="1"/>
                <w:szCs w:val="1"/>
                <w:color w:val="auto"/>
              </w:rPr>
            </w:pPr>
          </w:p>
        </w:tc>
        <w:tc>
          <w:tcPr>
            <w:tcW w:w="400" w:type="dxa"/>
            <w:vAlign w:val="bottom"/>
            <w:shd w:val="clear" w:color="auto" w:fill="E5FFFF"/>
          </w:tcPr>
          <w:p>
            <w:pPr>
              <w:spacing w:after="0" w:line="20" w:lineRule="exact"/>
              <w:rPr>
                <w:sz w:val="1"/>
                <w:szCs w:val="1"/>
                <w:color w:val="auto"/>
              </w:rPr>
            </w:pPr>
          </w:p>
        </w:tc>
        <w:tc>
          <w:tcPr>
            <w:tcW w:w="4500" w:type="dxa"/>
            <w:vAlign w:val="bottom"/>
            <w:shd w:val="clear" w:color="auto" w:fill="E5FFFF"/>
          </w:tcPr>
          <w:p>
            <w:pPr>
              <w:spacing w:after="0" w:line="20" w:lineRule="exact"/>
              <w:rPr>
                <w:sz w:val="1"/>
                <w:szCs w:val="1"/>
                <w:color w:val="auto"/>
              </w:rPr>
            </w:pPr>
          </w:p>
        </w:tc>
        <w:tc>
          <w:tcPr>
            <w:tcW w:w="2420" w:type="dxa"/>
            <w:vAlign w:val="bottom"/>
            <w:shd w:val="clear" w:color="auto" w:fill="E5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E5FF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00" w:type="dxa"/>
            <w:vAlign w:val="bottom"/>
            <w:gridSpan w:val="4"/>
            <w:vMerge w:val="restart"/>
          </w:tcPr>
          <w:p>
            <w:pPr>
              <w:spacing w:after="0"/>
              <w:rPr>
                <w:sz w:val="20"/>
                <w:szCs w:val="20"/>
                <w:color w:val="auto"/>
              </w:rPr>
            </w:pPr>
            <w:r>
              <w:rPr>
                <w:rFonts w:ascii="Arial" w:cs="Arial" w:eastAsia="Arial" w:hAnsi="Arial"/>
                <w:sz w:val="18"/>
                <w:szCs w:val="18"/>
                <w:color w:val="auto"/>
              </w:rPr>
              <w:t>Segment Profit</w:t>
            </w:r>
          </w:p>
        </w:tc>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700" w:type="dxa"/>
            <w:vAlign w:val="bottom"/>
            <w:gridSpan w:val="4"/>
            <w:vMerge w:val="continue"/>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top w:val="single" w:sz="8" w:color="auto"/>
            </w:tcBorders>
            <w:gridSpan w:val="2"/>
            <w:shd w:val="clear" w:color="auto" w:fill="E5FFFF"/>
          </w:tcPr>
          <w:p>
            <w:pPr>
              <w:spacing w:after="0" w:line="196" w:lineRule="exact"/>
              <w:rPr>
                <w:sz w:val="20"/>
                <w:szCs w:val="20"/>
                <w:color w:val="auto"/>
              </w:rPr>
            </w:pPr>
            <w:r>
              <w:rPr>
                <w:rFonts w:ascii="Arial" w:cs="Arial" w:eastAsia="Arial" w:hAnsi="Arial"/>
                <w:sz w:val="18"/>
                <w:szCs w:val="18"/>
                <w:color w:val="auto"/>
              </w:rPr>
              <w:t>Aerospace</w:t>
            </w:r>
          </w:p>
        </w:tc>
        <w:tc>
          <w:tcPr>
            <w:tcW w:w="4500" w:type="dxa"/>
            <w:vAlign w:val="bottom"/>
            <w:shd w:val="clear" w:color="auto" w:fill="E5FFFF"/>
          </w:tcPr>
          <w:p>
            <w:pPr>
              <w:spacing w:after="0"/>
              <w:rPr>
                <w:sz w:val="17"/>
                <w:szCs w:val="17"/>
                <w:color w:val="auto"/>
              </w:rPr>
            </w:pPr>
          </w:p>
        </w:tc>
        <w:tc>
          <w:tcPr>
            <w:tcW w:w="2640" w:type="dxa"/>
            <w:vAlign w:val="bottom"/>
            <w:gridSpan w:val="2"/>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796</w:t>
            </w:r>
          </w:p>
        </w:tc>
        <w:tc>
          <w:tcPr>
            <w:tcW w:w="560" w:type="dxa"/>
            <w:vAlign w:val="bottom"/>
            <w:gridSpan w:val="2"/>
            <w:shd w:val="clear" w:color="auto" w:fill="E5FF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3"/>
          </w:tcPr>
          <w:p>
            <w:pPr>
              <w:spacing w:after="0" w:line="202" w:lineRule="exact"/>
              <w:rPr>
                <w:sz w:val="20"/>
                <w:szCs w:val="20"/>
                <w:color w:val="auto"/>
              </w:rPr>
            </w:pPr>
            <w:r>
              <w:rPr>
                <w:rFonts w:ascii="Arial" w:cs="Arial" w:eastAsia="Arial" w:hAnsi="Arial"/>
                <w:sz w:val="18"/>
                <w:szCs w:val="18"/>
                <w:color w:val="auto"/>
              </w:rPr>
              <w:t>Home and Building Technologies</w:t>
            </w: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389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24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471</w:t>
            </w:r>
          </w:p>
        </w:tc>
        <w:tc>
          <w:tcPr>
            <w:tcW w:w="3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6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3"/>
          </w:tcPr>
          <w:p>
            <w:pPr>
              <w:spacing w:after="0" w:line="202" w:lineRule="exact"/>
              <w:rPr>
                <w:sz w:val="20"/>
                <w:szCs w:val="20"/>
                <w:color w:val="auto"/>
              </w:rPr>
            </w:pPr>
            <w:r>
              <w:rPr>
                <w:rFonts w:ascii="Arial" w:cs="Arial" w:eastAsia="Arial" w:hAnsi="Arial"/>
                <w:sz w:val="18"/>
                <w:szCs w:val="18"/>
                <w:color w:val="auto"/>
              </w:rPr>
              <w:t>Safety and Productivity Solutions</w:t>
            </w: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194</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Corporate</w:t>
            </w:r>
          </w:p>
        </w:tc>
        <w:tc>
          <w:tcPr>
            <w:tcW w:w="242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3"/>
          </w:tcPr>
          <w:p>
            <w:pPr>
              <w:ind w:left="160"/>
              <w:spacing w:after="0"/>
              <w:rPr>
                <w:sz w:val="20"/>
                <w:szCs w:val="20"/>
                <w:color w:val="auto"/>
              </w:rPr>
            </w:pPr>
            <w:r>
              <w:rPr>
                <w:rFonts w:ascii="Arial" w:cs="Arial" w:eastAsia="Arial" w:hAnsi="Arial"/>
                <w:sz w:val="18"/>
                <w:szCs w:val="18"/>
                <w:color w:val="auto"/>
              </w:rPr>
              <w:t>Total segment profit</w:t>
            </w:r>
          </w:p>
        </w:tc>
        <w:tc>
          <w:tcPr>
            <w:tcW w:w="2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1,789</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8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Other income</w:t>
            </w:r>
            <w:r>
              <w:rPr>
                <w:rFonts w:ascii="Arial" w:cs="Arial" w:eastAsia="Arial" w:hAnsi="Arial"/>
                <w:sz w:val="28"/>
                <w:szCs w:val="28"/>
                <w:color w:val="auto"/>
                <w:vertAlign w:val="superscript"/>
              </w:rPr>
              <w:t>(a)</w:t>
            </w:r>
          </w:p>
        </w:tc>
        <w:tc>
          <w:tcPr>
            <w:tcW w:w="24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6</w:t>
            </w:r>
          </w:p>
        </w:tc>
        <w:tc>
          <w:tcPr>
            <w:tcW w:w="3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3"/>
          </w:tcPr>
          <w:p>
            <w:pPr>
              <w:spacing w:after="0" w:line="202" w:lineRule="exact"/>
              <w:rPr>
                <w:sz w:val="20"/>
                <w:szCs w:val="20"/>
                <w:color w:val="auto"/>
              </w:rPr>
            </w:pPr>
            <w:r>
              <w:rPr>
                <w:rFonts w:ascii="Arial" w:cs="Arial" w:eastAsia="Arial" w:hAnsi="Arial"/>
                <w:sz w:val="18"/>
                <w:szCs w:val="18"/>
                <w:color w:val="auto"/>
              </w:rPr>
              <w:t>Interest and other financial charges</w:t>
            </w: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(b)</w:t>
            </w:r>
          </w:p>
        </w:tc>
        <w:tc>
          <w:tcPr>
            <w:tcW w:w="24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gridSpan w:val="3"/>
          </w:tcPr>
          <w:p>
            <w:pPr>
              <w:spacing w:after="0" w:line="243" w:lineRule="exact"/>
              <w:rPr>
                <w:sz w:val="20"/>
                <w:szCs w:val="20"/>
                <w:color w:val="auto"/>
              </w:rPr>
            </w:pPr>
            <w:r>
              <w:rPr>
                <w:rFonts w:ascii="Arial" w:cs="Arial" w:eastAsia="Arial" w:hAnsi="Arial"/>
                <w:sz w:val="17"/>
                <w:szCs w:val="17"/>
                <w:color w:val="auto"/>
              </w:rPr>
              <w:t>Pension ongoing income</w:t>
            </w:r>
            <w:r>
              <w:rPr>
                <w:rFonts w:ascii="Arial" w:cs="Arial" w:eastAsia="Arial" w:hAnsi="Arial"/>
                <w:sz w:val="28"/>
                <w:szCs w:val="28"/>
                <w:color w:val="auto"/>
                <w:vertAlign w:val="superscript"/>
              </w:rPr>
              <w:t>(b)</w:t>
            </w:r>
          </w:p>
        </w:tc>
        <w:tc>
          <w:tcPr>
            <w:tcW w:w="2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Other postretirement income</w:t>
            </w:r>
            <w:r>
              <w:rPr>
                <w:rFonts w:ascii="Arial" w:cs="Arial" w:eastAsia="Arial" w:hAnsi="Arial"/>
                <w:sz w:val="28"/>
                <w:szCs w:val="28"/>
                <w:color w:val="auto"/>
                <w:vertAlign w:val="superscript"/>
              </w:rPr>
              <w:t>(b)</w:t>
            </w:r>
          </w:p>
        </w:tc>
        <w:tc>
          <w:tcPr>
            <w:tcW w:w="24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4</w:t>
            </w:r>
          </w:p>
        </w:tc>
        <w:tc>
          <w:tcPr>
            <w:tcW w:w="3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80" w:type="dxa"/>
            <w:vAlign w:val="bottom"/>
            <w:tcBorders>
              <w:bottom w:val="single" w:sz="8" w:color="E5FFFF"/>
            </w:tcBorders>
            <w:gridSpan w:val="3"/>
          </w:tcPr>
          <w:p>
            <w:pPr>
              <w:spacing w:after="0" w:line="256" w:lineRule="exact"/>
              <w:rPr>
                <w:sz w:val="20"/>
                <w:szCs w:val="20"/>
                <w:color w:val="auto"/>
              </w:rPr>
            </w:pPr>
            <w:r>
              <w:rPr>
                <w:rFonts w:ascii="Arial" w:cs="Arial" w:eastAsia="Arial" w:hAnsi="Arial"/>
                <w:sz w:val="18"/>
                <w:szCs w:val="18"/>
                <w:color w:val="auto"/>
              </w:rPr>
              <w:t xml:space="preserve">Repositioning and other charges </w:t>
            </w:r>
            <w:r>
              <w:rPr>
                <w:rFonts w:ascii="Arial" w:cs="Arial" w:eastAsia="Arial" w:hAnsi="Arial"/>
                <w:sz w:val="29"/>
                <w:szCs w:val="29"/>
                <w:color w:val="auto"/>
                <w:vertAlign w:val="superscript"/>
              </w:rPr>
              <w:t>(b)</w:t>
            </w:r>
          </w:p>
        </w:tc>
        <w:tc>
          <w:tcPr>
            <w:tcW w:w="2420" w:type="dxa"/>
            <w:vAlign w:val="bottom"/>
            <w:tcBorders>
              <w:bottom w:val="single" w:sz="8" w:color="E5FF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Borders>
              <w:bottom w:val="single" w:sz="8" w:color="E5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8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Income before taxes</w:t>
            </w:r>
          </w:p>
        </w:tc>
        <w:tc>
          <w:tcPr>
            <w:tcW w:w="264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1,724</w:t>
            </w:r>
          </w:p>
        </w:tc>
        <w:tc>
          <w:tcPr>
            <w:tcW w:w="56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4500" w:type="dxa"/>
            <w:vAlign w:val="bottom"/>
            <w:tcBorders>
              <w:top w:val="single" w:sz="8" w:color="E5FFFF"/>
            </w:tcBorders>
          </w:tcPr>
          <w:p>
            <w:pPr>
              <w:spacing w:after="0" w:line="20" w:lineRule="exact"/>
              <w:rPr>
                <w:sz w:val="1"/>
                <w:szCs w:val="1"/>
                <w:color w:val="auto"/>
              </w:rPr>
            </w:pPr>
          </w:p>
        </w:tc>
        <w:tc>
          <w:tcPr>
            <w:tcW w:w="24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Equity income (loss) of affiliated companies is included in segment profit.</w:t>
      </w:r>
    </w:p>
    <w:p>
      <w:pPr>
        <w:spacing w:after="0" w:line="198" w:lineRule="exact"/>
        <w:rPr>
          <w:rFonts w:ascii="Arial" w:cs="Arial" w:eastAsia="Arial" w:hAnsi="Arial"/>
          <w:sz w:val="18"/>
          <w:szCs w:val="18"/>
          <w:color w:val="auto"/>
        </w:rPr>
      </w:pPr>
    </w:p>
    <w:p>
      <w:pPr>
        <w:ind w:left="5620" w:right="2580" w:hanging="5612"/>
        <w:spacing w:after="0" w:line="496" w:lineRule="auto"/>
        <w:tabs>
          <w:tab w:leader="none" w:pos="473"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Pension Benefits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periodic pension benefit income for our significant defined benefit plans include the following components: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142"/>
        </w:trPr>
        <w:tc>
          <w:tcPr>
            <w:tcW w:w="4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jc w:val="right"/>
              <w:spacing w:after="0" w:line="143" w:lineRule="exact"/>
              <w:rPr>
                <w:sz w:val="20"/>
                <w:szCs w:val="20"/>
                <w:color w:val="auto"/>
              </w:rPr>
            </w:pPr>
            <w:r>
              <w:rPr>
                <w:rFonts w:ascii="Arial" w:cs="Arial" w:eastAsia="Arial" w:hAnsi="Arial"/>
                <w:sz w:val="14"/>
                <w:szCs w:val="14"/>
                <w:b w:val="1"/>
                <w:bCs w:val="1"/>
                <w:color w:val="auto"/>
              </w:rPr>
              <w:t>U.S. Plans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6"/>
          </w:tcPr>
          <w:p>
            <w:pPr>
              <w:jc w:val="right"/>
              <w:ind w:right="540"/>
              <w:spacing w:after="0" w:line="143" w:lineRule="exact"/>
              <w:rPr>
                <w:sz w:val="20"/>
                <w:szCs w:val="20"/>
                <w:color w:val="auto"/>
              </w:rPr>
            </w:pPr>
            <w:r>
              <w:rPr>
                <w:rFonts w:ascii="Arial" w:cs="Arial" w:eastAsia="Arial" w:hAnsi="Arial"/>
                <w:sz w:val="14"/>
                <w:szCs w:val="14"/>
                <w:b w:val="1"/>
                <w:bCs w:val="1"/>
                <w:color w:val="auto"/>
              </w:rPr>
              <w:t>Non-U.S. Plans</w:t>
            </w:r>
          </w:p>
        </w:tc>
      </w:tr>
      <w:tr>
        <w:trPr>
          <w:trHeight w:val="175"/>
        </w:trPr>
        <w:tc>
          <w:tcPr>
            <w:tcW w:w="48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210"/>
        </w:trPr>
        <w:tc>
          <w:tcPr>
            <w:tcW w:w="4800" w:type="dxa"/>
            <w:vAlign w:val="bottom"/>
            <w:tcBorders>
              <w:bottom w:val="single" w:sz="8" w:color="E5FFFF"/>
            </w:tcBorders>
          </w:tcPr>
          <w:p>
            <w:pPr>
              <w:spacing w:after="0"/>
              <w:rPr>
                <w:sz w:val="18"/>
                <w:szCs w:val="18"/>
                <w:color w:val="auto"/>
              </w:rPr>
            </w:pPr>
          </w:p>
        </w:tc>
        <w:tc>
          <w:tcPr>
            <w:tcW w:w="196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8"/>
                <w:szCs w:val="18"/>
                <w:color w:val="auto"/>
              </w:rPr>
            </w:pPr>
          </w:p>
        </w:tc>
      </w:tr>
      <w:tr>
        <w:trPr>
          <w:trHeight w:val="196"/>
        </w:trPr>
        <w:tc>
          <w:tcPr>
            <w:tcW w:w="48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Service cost</w:t>
            </w:r>
          </w:p>
        </w:tc>
        <w:tc>
          <w:tcPr>
            <w:tcW w:w="196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43</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48</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9</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12</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147</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w:t>
            </w:r>
          </w:p>
        </w:tc>
      </w:tr>
      <w:tr>
        <w:trPr>
          <w:trHeight w:val="203"/>
        </w:trPr>
        <w:tc>
          <w:tcPr>
            <w:tcW w:w="48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9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(315)</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68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(306)</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(99)</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6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(99)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196"/>
        </w:trPr>
        <w:tc>
          <w:tcPr>
            <w:tcW w:w="4800" w:type="dxa"/>
            <w:vAlign w:val="bottom"/>
            <w:tcBorders>
              <w:top w:val="single" w:sz="8" w:color="E5FFFF"/>
              <w:bottom w:val="single" w:sz="8" w:color="E5FFFF"/>
            </w:tcBorders>
            <w:shd w:val="clear" w:color="auto" w:fill="E5FFFF"/>
          </w:tcPr>
          <w:p>
            <w:pPr>
              <w:spacing w:after="0"/>
              <w:rPr>
                <w:sz w:val="17"/>
                <w:szCs w:val="17"/>
                <w:color w:val="auto"/>
              </w:rPr>
            </w:pPr>
          </w:p>
        </w:tc>
        <w:tc>
          <w:tcPr>
            <w:tcW w:w="1960" w:type="dxa"/>
            <w:vAlign w:val="bottom"/>
            <w:tcBorders>
              <w:top w:val="single" w:sz="8" w:color="E5FFFF"/>
              <w:bottom w:val="single" w:sz="8" w:color="E5FFFF"/>
            </w:tcBorders>
            <w:shd w:val="clear" w:color="auto" w:fill="E5FFFF"/>
          </w:tcPr>
          <w:p>
            <w:pPr>
              <w:spacing w:after="0"/>
              <w:rPr>
                <w:sz w:val="17"/>
                <w:szCs w:val="17"/>
                <w:color w:val="auto"/>
              </w:rPr>
            </w:pPr>
          </w:p>
        </w:tc>
        <w:tc>
          <w:tcPr>
            <w:tcW w:w="200" w:type="dxa"/>
            <w:vAlign w:val="bottom"/>
            <w:tcBorders>
              <w:top w:val="single" w:sz="8" w:color="auto"/>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(136)</w:t>
            </w:r>
          </w:p>
        </w:tc>
        <w:tc>
          <w:tcPr>
            <w:tcW w:w="340" w:type="dxa"/>
            <w:vAlign w:val="bottom"/>
            <w:tcBorders>
              <w:top w:val="single" w:sz="8" w:color="E5FFFF"/>
              <w:bottom w:val="single" w:sz="8" w:color="E5FFFF"/>
            </w:tcBorders>
            <w:shd w:val="clear" w:color="auto" w:fill="E5FFFF"/>
          </w:tcPr>
          <w:p>
            <w:pPr>
              <w:spacing w:after="0"/>
              <w:rPr>
                <w:sz w:val="17"/>
                <w:szCs w:val="17"/>
                <w:color w:val="auto"/>
              </w:rPr>
            </w:pPr>
          </w:p>
        </w:tc>
        <w:tc>
          <w:tcPr>
            <w:tcW w:w="240" w:type="dxa"/>
            <w:vAlign w:val="bottom"/>
            <w:tcBorders>
              <w:top w:val="single" w:sz="8" w:color="auto"/>
              <w:bottom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(119)</w:t>
            </w:r>
          </w:p>
        </w:tc>
        <w:tc>
          <w:tcPr>
            <w:tcW w:w="100" w:type="dxa"/>
            <w:vAlign w:val="bottom"/>
            <w:tcBorders>
              <w:top w:val="single" w:sz="8" w:color="E5FFFF"/>
              <w:bottom w:val="single" w:sz="8" w:color="auto"/>
            </w:tcBorders>
            <w:shd w:val="clear" w:color="auto" w:fill="E5FFFF"/>
          </w:tcPr>
          <w:p>
            <w:pPr>
              <w:spacing w:after="0"/>
              <w:rPr>
                <w:sz w:val="17"/>
                <w:szCs w:val="17"/>
                <w:color w:val="auto"/>
              </w:rPr>
            </w:pPr>
          </w:p>
        </w:tc>
        <w:tc>
          <w:tcPr>
            <w:tcW w:w="340" w:type="dxa"/>
            <w:vAlign w:val="bottom"/>
            <w:tcBorders>
              <w:top w:val="single" w:sz="8" w:color="E5FFFF"/>
              <w:bottom w:val="single" w:sz="8" w:color="E5FFFF"/>
            </w:tcBorders>
            <w:shd w:val="clear" w:color="auto" w:fill="E5FFFF"/>
          </w:tcPr>
          <w:p>
            <w:pPr>
              <w:spacing w:after="0"/>
              <w:rPr>
                <w:sz w:val="17"/>
                <w:szCs w:val="17"/>
                <w:color w:val="auto"/>
              </w:rPr>
            </w:pPr>
          </w:p>
        </w:tc>
        <w:tc>
          <w:tcPr>
            <w:tcW w:w="200" w:type="dxa"/>
            <w:vAlign w:val="bottom"/>
            <w:tcBorders>
              <w:top w:val="single" w:sz="8" w:color="auto"/>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(55)</w:t>
            </w:r>
          </w:p>
        </w:tc>
        <w:tc>
          <w:tcPr>
            <w:tcW w:w="120" w:type="dxa"/>
            <w:vAlign w:val="bottom"/>
            <w:tcBorders>
              <w:top w:val="single" w:sz="8" w:color="E5FFFF"/>
              <w:bottom w:val="single" w:sz="8" w:color="auto"/>
            </w:tcBorders>
            <w:shd w:val="clear" w:color="auto" w:fill="E5FFFF"/>
          </w:tcPr>
          <w:p>
            <w:pPr>
              <w:spacing w:after="0"/>
              <w:rPr>
                <w:sz w:val="17"/>
                <w:szCs w:val="17"/>
                <w:color w:val="auto"/>
              </w:rPr>
            </w:pPr>
          </w:p>
        </w:tc>
        <w:tc>
          <w:tcPr>
            <w:tcW w:w="320" w:type="dxa"/>
            <w:vAlign w:val="bottom"/>
            <w:tcBorders>
              <w:top w:val="single" w:sz="8" w:color="E5FFFF"/>
              <w:bottom w:val="single" w:sz="8" w:color="E5FFFF"/>
            </w:tcBorders>
            <w:shd w:val="clear" w:color="auto" w:fill="E5FFFF"/>
          </w:tcPr>
          <w:p>
            <w:pPr>
              <w:spacing w:after="0"/>
              <w:rPr>
                <w:sz w:val="17"/>
                <w:szCs w:val="17"/>
                <w:color w:val="auto"/>
              </w:rPr>
            </w:pPr>
          </w:p>
        </w:tc>
        <w:tc>
          <w:tcPr>
            <w:tcW w:w="240" w:type="dxa"/>
            <w:vAlign w:val="bottom"/>
            <w:tcBorders>
              <w:top w:val="single" w:sz="8" w:color="auto"/>
              <w:bottom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(41)</w:t>
            </w:r>
          </w:p>
        </w:tc>
        <w:tc>
          <w:tcPr>
            <w:tcW w:w="100" w:type="dxa"/>
            <w:vAlign w:val="bottom"/>
            <w:tcBorders>
              <w:top w:val="single" w:sz="8" w:color="E5FFFF"/>
              <w:bottom w:val="single" w:sz="8" w:color="auto"/>
            </w:tcBorders>
            <w:shd w:val="clear" w:color="auto" w:fill="E5FFFF"/>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environmental matters are described in Note 19, Commitments and Contingencies, of Notes to Consolidated Financial Statements in our 2016 Annual Report on Form 10-K.</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p>
      <w:pPr>
        <w:spacing w:after="0" w:line="195"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7000" w:type="dxa"/>
            <w:vAlign w:val="bottom"/>
            <w:shd w:val="clear" w:color="auto" w:fill="E5FFFF"/>
          </w:tcPr>
          <w:p>
            <w:pPr>
              <w:spacing w:after="0"/>
              <w:rPr>
                <w:sz w:val="20"/>
                <w:szCs w:val="20"/>
                <w:color w:val="auto"/>
              </w:rPr>
            </w:pPr>
            <w:r>
              <w:rPr>
                <w:rFonts w:ascii="Arial" w:cs="Arial" w:eastAsia="Arial" w:hAnsi="Arial"/>
                <w:sz w:val="18"/>
                <w:szCs w:val="18"/>
                <w:color w:val="auto"/>
              </w:rPr>
              <w:t>December 31, 2016</w:t>
            </w:r>
          </w:p>
        </w:tc>
        <w:tc>
          <w:tcPr>
            <w:tcW w:w="360" w:type="dxa"/>
            <w:vAlign w:val="bottom"/>
            <w:shd w:val="clear" w:color="auto" w:fill="E5FFFF"/>
          </w:tcPr>
          <w:p>
            <w:pPr>
              <w:jc w:val="right"/>
              <w:ind w:right="1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511</w:t>
            </w:r>
          </w:p>
        </w:tc>
      </w:tr>
      <w:tr>
        <w:trPr>
          <w:trHeight w:val="203"/>
        </w:trPr>
        <w:tc>
          <w:tcPr>
            <w:tcW w:w="7000" w:type="dxa"/>
            <w:vAlign w:val="bottom"/>
          </w:tcPr>
          <w:p>
            <w:pPr>
              <w:ind w:left="180"/>
              <w:spacing w:after="0" w:line="202" w:lineRule="exact"/>
              <w:rPr>
                <w:sz w:val="20"/>
                <w:szCs w:val="20"/>
                <w:color w:val="auto"/>
              </w:rPr>
            </w:pPr>
            <w:r>
              <w:rPr>
                <w:rFonts w:ascii="Arial" w:cs="Arial" w:eastAsia="Arial" w:hAnsi="Arial"/>
                <w:sz w:val="18"/>
                <w:szCs w:val="18"/>
                <w:color w:val="auto"/>
              </w:rPr>
              <w:t>Accruals for environmental matters deemed probable and reasonably estimable</w:t>
            </w:r>
          </w:p>
        </w:tc>
        <w:tc>
          <w:tcPr>
            <w:tcW w:w="3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03"/>
        </w:trPr>
        <w:tc>
          <w:tcPr>
            <w:tcW w:w="700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Environmental liability payments</w:t>
            </w:r>
          </w:p>
        </w:tc>
        <w:tc>
          <w:tcPr>
            <w:tcW w:w="360" w:type="dxa"/>
            <w:vAlign w:val="bottom"/>
            <w:shd w:val="clear" w:color="auto" w:fill="E5FFFF"/>
          </w:tcPr>
          <w:p>
            <w:pPr>
              <w:spacing w:after="0"/>
              <w:rPr>
                <w:sz w:val="17"/>
                <w:szCs w:val="17"/>
                <w:color w:val="auto"/>
              </w:rPr>
            </w:pPr>
          </w:p>
        </w:tc>
        <w:tc>
          <w:tcPr>
            <w:tcW w:w="6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03"/>
        </w:trPr>
        <w:tc>
          <w:tcPr>
            <w:tcW w:w="7000" w:type="dxa"/>
            <w:vAlign w:val="bottom"/>
            <w:tcBorders>
              <w:bottom w:val="single" w:sz="8" w:color="E5FFFF"/>
            </w:tcBorders>
          </w:tcPr>
          <w:p>
            <w:pPr>
              <w:ind w:left="180"/>
              <w:spacing w:after="0" w:line="202" w:lineRule="exact"/>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r>
      <w:tr>
        <w:trPr>
          <w:trHeight w:val="196"/>
        </w:trPr>
        <w:tc>
          <w:tcPr>
            <w:tcW w:w="7000" w:type="dxa"/>
            <w:vAlign w:val="bottom"/>
            <w:tcBorders>
              <w:bottom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March 31, 2017</w:t>
            </w:r>
          </w:p>
        </w:tc>
        <w:tc>
          <w:tcPr>
            <w:tcW w:w="360" w:type="dxa"/>
            <w:vAlign w:val="bottom"/>
            <w:tcBorders>
              <w:bottom w:val="single" w:sz="8" w:color="auto"/>
            </w:tcBorders>
            <w:shd w:val="clear" w:color="auto" w:fill="E5FF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538</w:t>
            </w:r>
          </w:p>
        </w:tc>
      </w:tr>
      <w:tr>
        <w:trPr>
          <w:trHeight w:val="20"/>
        </w:trPr>
        <w:tc>
          <w:tcPr>
            <w:tcW w:w="7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Environmental liabilities are included in the following balance sheet accounts: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37"/>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77"/>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20" w:type="dxa"/>
            <w:vAlign w:val="bottom"/>
          </w:tcPr>
          <w:p>
            <w:pPr>
              <w:spacing w:after="0"/>
              <w:rPr>
                <w:sz w:val="16"/>
                <w:szCs w:val="16"/>
                <w:color w:val="auto"/>
              </w:rPr>
            </w:pPr>
          </w:p>
        </w:tc>
        <w:tc>
          <w:tcPr>
            <w:tcW w:w="4020" w:type="dxa"/>
            <w:vAlign w:val="bottom"/>
            <w:tcBorders>
              <w:bottom w:val="single" w:sz="8" w:color="E5FFFF"/>
            </w:tcBorders>
          </w:tcPr>
          <w:p>
            <w:pPr>
              <w:spacing w:after="0"/>
              <w:rPr>
                <w:sz w:val="16"/>
                <w:szCs w:val="16"/>
                <w:color w:val="auto"/>
              </w:rPr>
            </w:pPr>
          </w:p>
        </w:tc>
        <w:tc>
          <w:tcPr>
            <w:tcW w:w="2640" w:type="dxa"/>
            <w:vAlign w:val="bottom"/>
            <w:tcBorders>
              <w:bottom w:val="single" w:sz="8" w:color="E5FF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E5FF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2016</w:t>
            </w:r>
          </w:p>
        </w:tc>
      </w:tr>
      <w:tr>
        <w:trPr>
          <w:trHeight w:val="196"/>
        </w:trPr>
        <w:tc>
          <w:tcPr>
            <w:tcW w:w="20" w:type="dxa"/>
            <w:vAlign w:val="bottom"/>
          </w:tcPr>
          <w:p>
            <w:pPr>
              <w:spacing w:after="0"/>
              <w:rPr>
                <w:sz w:val="17"/>
                <w:szCs w:val="17"/>
                <w:color w:val="auto"/>
              </w:rPr>
            </w:pPr>
          </w:p>
        </w:tc>
        <w:tc>
          <w:tcPr>
            <w:tcW w:w="40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Accrued liabilities</w:t>
            </w:r>
          </w:p>
        </w:tc>
        <w:tc>
          <w:tcPr>
            <w:tcW w:w="2640" w:type="dxa"/>
            <w:vAlign w:val="bottom"/>
            <w:shd w:val="clear" w:color="auto" w:fill="E5FFFF"/>
          </w:tcPr>
          <w:p>
            <w:pPr>
              <w:spacing w:after="0"/>
              <w:rPr>
                <w:sz w:val="17"/>
                <w:szCs w:val="17"/>
                <w:color w:val="auto"/>
              </w:rPr>
            </w:pP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252</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252</w:t>
            </w:r>
          </w:p>
        </w:tc>
      </w:tr>
      <w:tr>
        <w:trPr>
          <w:trHeight w:val="216"/>
        </w:trPr>
        <w:tc>
          <w:tcPr>
            <w:tcW w:w="20" w:type="dxa"/>
            <w:vAlign w:val="bottom"/>
          </w:tcPr>
          <w:p>
            <w:pPr>
              <w:spacing w:after="0"/>
              <w:rPr>
                <w:sz w:val="18"/>
                <w:szCs w:val="18"/>
                <w:color w:val="auto"/>
              </w:rPr>
            </w:pPr>
          </w:p>
        </w:tc>
        <w:tc>
          <w:tcPr>
            <w:tcW w:w="40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 liabilities</w:t>
            </w:r>
          </w:p>
        </w:tc>
        <w:tc>
          <w:tcPr>
            <w:tcW w:w="264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286</w:t>
            </w:r>
          </w:p>
        </w:tc>
        <w:tc>
          <w:tcPr>
            <w:tcW w:w="26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37"/>
        </w:trPr>
        <w:tc>
          <w:tcPr>
            <w:tcW w:w="20" w:type="dxa"/>
            <w:vAlign w:val="bottom"/>
          </w:tcPr>
          <w:p>
            <w:pPr>
              <w:spacing w:after="0"/>
              <w:rPr>
                <w:sz w:val="20"/>
                <w:szCs w:val="20"/>
                <w:color w:val="auto"/>
              </w:rPr>
            </w:pPr>
          </w:p>
        </w:tc>
        <w:tc>
          <w:tcPr>
            <w:tcW w:w="4020" w:type="dxa"/>
            <w:vAlign w:val="bottom"/>
            <w:shd w:val="clear" w:color="auto" w:fill="E5FFFF"/>
          </w:tcPr>
          <w:p>
            <w:pPr>
              <w:spacing w:after="0"/>
              <w:rPr>
                <w:sz w:val="20"/>
                <w:szCs w:val="20"/>
                <w:color w:val="auto"/>
              </w:rPr>
            </w:pPr>
          </w:p>
        </w:tc>
        <w:tc>
          <w:tcPr>
            <w:tcW w:w="27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ind w:right="17"/>
              <w:spacing w:after="0"/>
              <w:rPr>
                <w:sz w:val="20"/>
                <w:szCs w:val="20"/>
                <w:color w:val="auto"/>
              </w:rPr>
            </w:pPr>
            <w:r>
              <w:rPr>
                <w:rFonts w:ascii="Arial" w:cs="Arial" w:eastAsia="Arial" w:hAnsi="Arial"/>
                <w:sz w:val="18"/>
                <w:szCs w:val="18"/>
                <w:color w:val="auto"/>
              </w:rPr>
              <w:t>538</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511</w:t>
            </w: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E5FFFF"/>
            </w:tcBorders>
          </w:tcPr>
          <w:p>
            <w:pPr>
              <w:spacing w:after="0" w:line="20" w:lineRule="exact"/>
              <w:rPr>
                <w:sz w:val="1"/>
                <w:szCs w:val="1"/>
                <w:color w:val="auto"/>
              </w:rPr>
            </w:pPr>
          </w:p>
        </w:tc>
        <w:tc>
          <w:tcPr>
            <w:tcW w:w="26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do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spacing w:after="0" w:line="16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b w:val="1"/>
          <w:bCs w:val="1"/>
          <w:i w:val="1"/>
          <w:iCs w:val="1"/>
          <w:color w:val="auto"/>
        </w:rPr>
        <w:t>Onondaga Lake, Syracuse, NY</w:t>
      </w:r>
      <w:r>
        <w:rPr>
          <w:rFonts w:ascii="Arial" w:cs="Arial" w:eastAsia="Arial" w:hAnsi="Arial"/>
          <w:sz w:val="18"/>
          <w:szCs w:val="18"/>
          <w:color w:val="auto"/>
        </w:rPr>
        <w:t>—In 2016, we largely completed a dredging/capping remedy of Onondaga Lake pursuant to a consent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decree approved by the United States District Court for the Northern District of New York in January 2007. Some additional long-term monitoring and maintenance activities will continue, as required by the consent decree. Honeywell is also conducting remedial investigations and activities at other sites in Syracuse. We have recorded reserves for these investigations and activities where appropriate, consistent with the accounting policy described above.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has entered into a cooperative agreement with potential natural resource trustees to assess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alleged natural resource damages relating to this site. It is not possible to predict the outcome or duration of this assessment, or the amounts of, or responsibility for, any damages.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is a defendant in asbestos related personal injury actions related to two predecessor companies:</w:t>
      </w:r>
    </w:p>
    <w:p>
      <w:pPr>
        <w:spacing w:after="0" w:line="198" w:lineRule="exact"/>
        <w:rPr>
          <w:sz w:val="20"/>
          <w:szCs w:val="20"/>
          <w:color w:val="auto"/>
        </w:rPr>
      </w:pPr>
    </w:p>
    <w:p>
      <w:pPr>
        <w:ind w:left="660" w:right="10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American Refractories Company (NARCO), which was sold in 1986, produced refractory products (bricks and cement used in high temperature applications). Claimants consist largely of individuals who allege exposure to NARCO asbestos-containing refractory products in an occupational setting.</w:t>
      </w:r>
    </w:p>
    <w:p>
      <w:pPr>
        <w:spacing w:after="0" w:line="202" w:lineRule="exact"/>
        <w:rPr>
          <w:rFonts w:ascii="Arial" w:cs="Arial" w:eastAsia="Arial" w:hAnsi="Arial"/>
          <w:sz w:val="18"/>
          <w:szCs w:val="18"/>
          <w:color w:val="auto"/>
        </w:rPr>
      </w:pPr>
    </w:p>
    <w:p>
      <w:pPr>
        <w:jc w:val="both"/>
        <w:ind w:left="660" w:right="28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Bendix Friction Materials (Bendix) business, which was sold in 2014, manufactured automotive brake parts that contained chrysotile asbestos in an encapsulated form. Claimants consist largely of individuals who allege exposure to asbestos from brakes from either performing or being in the vicinity of individuals who performed brake replacements.</w:t>
      </w:r>
    </w:p>
    <w:p>
      <w:pPr>
        <w:spacing w:after="0" w:line="18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tables summarize information concerning NARCO and Bendix asbestos related balances: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6120" w:type="dxa"/>
            <w:vAlign w:val="bottom"/>
            <w:gridSpan w:val="3"/>
          </w:tcPr>
          <w:p>
            <w:pPr>
              <w:spacing w:after="0"/>
              <w:rPr>
                <w:sz w:val="20"/>
                <w:szCs w:val="20"/>
                <w:color w:val="auto"/>
              </w:rPr>
            </w:pPr>
            <w:r>
              <w:rPr>
                <w:rFonts w:ascii="Arial" w:cs="Arial" w:eastAsia="Arial" w:hAnsi="Arial"/>
                <w:sz w:val="14"/>
                <w:szCs w:val="14"/>
                <w:b w:val="1"/>
                <w:bCs w:val="1"/>
                <w:color w:val="auto"/>
              </w:rPr>
              <w:t>Asbestos Related Liabilities</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20" w:type="dxa"/>
            <w:vAlign w:val="bottom"/>
            <w:tcBorders>
              <w:top w:val="single" w:sz="8" w:color="auto"/>
              <w:bottom w:val="single" w:sz="8" w:color="E5FFFF"/>
            </w:tcBorders>
          </w:tcPr>
          <w:p>
            <w:pPr>
              <w:spacing w:after="0"/>
              <w:rPr>
                <w:sz w:val="15"/>
                <w:szCs w:val="15"/>
                <w:color w:val="auto"/>
              </w:rPr>
            </w:pPr>
          </w:p>
        </w:tc>
        <w:tc>
          <w:tcPr>
            <w:tcW w:w="1740" w:type="dxa"/>
            <w:vAlign w:val="bottom"/>
            <w:tcBorders>
              <w:bottom w:val="single" w:sz="8" w:color="E5FFFF"/>
            </w:tcBorders>
          </w:tcPr>
          <w:p>
            <w:pPr>
              <w:spacing w:after="0"/>
              <w:rPr>
                <w:sz w:val="15"/>
                <w:szCs w:val="15"/>
                <w:color w:val="auto"/>
              </w:rPr>
            </w:pPr>
          </w:p>
        </w:tc>
        <w:tc>
          <w:tcPr>
            <w:tcW w:w="246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Bendix</w:t>
            </w:r>
          </w:p>
        </w:tc>
        <w:tc>
          <w:tcPr>
            <w:tcW w:w="26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NARCO</w:t>
            </w:r>
          </w:p>
        </w:tc>
        <w:tc>
          <w:tcPr>
            <w:tcW w:w="26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120" w:type="dxa"/>
            <w:vAlign w:val="bottom"/>
            <w:gridSpan w:val="3"/>
            <w:shd w:val="clear" w:color="auto" w:fill="E5FFFF"/>
          </w:tcPr>
          <w:p>
            <w:pPr>
              <w:spacing w:after="0" w:line="196" w:lineRule="exact"/>
              <w:rPr>
                <w:sz w:val="20"/>
                <w:szCs w:val="20"/>
                <w:color w:val="auto"/>
              </w:rPr>
            </w:pPr>
            <w:r>
              <w:rPr>
                <w:rFonts w:ascii="Arial" w:cs="Arial" w:eastAsia="Arial" w:hAnsi="Arial"/>
                <w:sz w:val="18"/>
                <w:szCs w:val="18"/>
                <w:color w:val="auto"/>
              </w:rPr>
              <w:t>December 31, 2016</w:t>
            </w: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641</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919</w:t>
            </w:r>
          </w:p>
        </w:tc>
        <w:tc>
          <w:tcPr>
            <w:tcW w:w="2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60" w:type="dxa"/>
            <w:vAlign w:val="bottom"/>
            <w:shd w:val="clear" w:color="auto" w:fill="E5FF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03"/>
        </w:trPr>
        <w:tc>
          <w:tcPr>
            <w:tcW w:w="61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Accrual for update to estimated liability</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E5FFFF"/>
          </w:tcPr>
          <w:p>
            <w:pPr>
              <w:ind w:left="220"/>
              <w:spacing w:after="0"/>
              <w:rPr>
                <w:sz w:val="20"/>
                <w:szCs w:val="20"/>
                <w:color w:val="auto"/>
              </w:rPr>
            </w:pPr>
            <w:r>
              <w:rPr>
                <w:rFonts w:ascii="Arial" w:cs="Arial" w:eastAsia="Arial" w:hAnsi="Arial"/>
                <w:sz w:val="18"/>
                <w:szCs w:val="18"/>
                <w:color w:val="auto"/>
              </w:rPr>
              <w:t>Asbestos related liability payments</w:t>
            </w:r>
          </w:p>
        </w:tc>
        <w:tc>
          <w:tcPr>
            <w:tcW w:w="140" w:type="dxa"/>
            <w:vAlign w:val="bottom"/>
            <w:tcBorders>
              <w:bottom w:val="single" w:sz="8" w:color="auto"/>
            </w:tcBorders>
            <w:shd w:val="clear" w:color="auto" w:fill="E5FFFF"/>
          </w:tcPr>
          <w:p>
            <w:pPr>
              <w:spacing w:after="0"/>
              <w:rPr>
                <w:sz w:val="18"/>
                <w:szCs w:val="18"/>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6120" w:type="dxa"/>
            <w:vAlign w:val="bottom"/>
            <w:gridSpan w:val="3"/>
          </w:tcPr>
          <w:p>
            <w:pPr>
              <w:spacing w:after="0"/>
              <w:rPr>
                <w:sz w:val="20"/>
                <w:szCs w:val="20"/>
                <w:color w:val="auto"/>
              </w:rPr>
            </w:pPr>
            <w:r>
              <w:rPr>
                <w:rFonts w:ascii="Arial" w:cs="Arial" w:eastAsia="Arial" w:hAnsi="Arial"/>
                <w:sz w:val="18"/>
                <w:szCs w:val="18"/>
                <w:color w:val="auto"/>
              </w:rPr>
              <w:t>March 31, 2017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629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919</w:t>
            </w:r>
          </w:p>
        </w:tc>
        <w:tc>
          <w:tcPr>
            <w:tcW w:w="44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0"/>
        </w:trPr>
        <w:tc>
          <w:tcPr>
            <w:tcW w:w="6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Insurance Recoveries for Asbestos Related 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1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20" w:type="dxa"/>
            <w:vAlign w:val="bottom"/>
            <w:tcBorders>
              <w:top w:val="single" w:sz="8" w:color="auto"/>
              <w:bottom w:val="single" w:sz="8" w:color="E5FFFF"/>
            </w:tcBorders>
          </w:tcPr>
          <w:p>
            <w:pPr>
              <w:spacing w:after="0"/>
              <w:rPr>
                <w:sz w:val="17"/>
                <w:szCs w:val="17"/>
                <w:color w:val="auto"/>
              </w:rPr>
            </w:pPr>
          </w:p>
        </w:tc>
        <w:tc>
          <w:tcPr>
            <w:tcW w:w="1740" w:type="dxa"/>
            <w:vAlign w:val="bottom"/>
            <w:tcBorders>
              <w:top w:val="single" w:sz="8" w:color="auto"/>
              <w:bottom w:val="single" w:sz="8" w:color="E5FFFF"/>
            </w:tcBorders>
          </w:tcPr>
          <w:p>
            <w:pPr>
              <w:spacing w:after="0"/>
              <w:rPr>
                <w:sz w:val="17"/>
                <w:szCs w:val="17"/>
                <w:color w:val="auto"/>
              </w:rPr>
            </w:pPr>
          </w:p>
        </w:tc>
        <w:tc>
          <w:tcPr>
            <w:tcW w:w="246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Bendix</w:t>
            </w:r>
          </w:p>
        </w:tc>
        <w:tc>
          <w:tcPr>
            <w:tcW w:w="26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NARCO</w:t>
            </w:r>
          </w:p>
        </w:tc>
        <w:tc>
          <w:tcPr>
            <w:tcW w:w="26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120" w:type="dxa"/>
            <w:vAlign w:val="bottom"/>
            <w:gridSpan w:val="3"/>
            <w:shd w:val="clear" w:color="auto" w:fill="E5FFFF"/>
          </w:tcPr>
          <w:p>
            <w:pPr>
              <w:ind w:left="40"/>
              <w:spacing w:after="0" w:line="196" w:lineRule="exact"/>
              <w:rPr>
                <w:sz w:val="20"/>
                <w:szCs w:val="20"/>
                <w:color w:val="auto"/>
              </w:rPr>
            </w:pPr>
            <w:r>
              <w:rPr>
                <w:rFonts w:ascii="Arial" w:cs="Arial" w:eastAsia="Arial" w:hAnsi="Arial"/>
                <w:sz w:val="18"/>
                <w:szCs w:val="18"/>
                <w:color w:val="auto"/>
              </w:rPr>
              <w:t>December 31, 2016</w:t>
            </w: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121</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319</w:t>
            </w:r>
          </w:p>
        </w:tc>
        <w:tc>
          <w:tcPr>
            <w:tcW w:w="280" w:type="dxa"/>
            <w:vAlign w:val="bottom"/>
            <w:gridSpan w:val="2"/>
            <w:shd w:val="clear" w:color="auto" w:fill="E5FFFF"/>
          </w:tcPr>
          <w:p>
            <w:pPr>
              <w:spacing w:after="0"/>
              <w:rPr>
                <w:sz w:val="17"/>
                <w:szCs w:val="17"/>
                <w:color w:val="auto"/>
              </w:rPr>
            </w:pPr>
          </w:p>
        </w:tc>
        <w:tc>
          <w:tcPr>
            <w:tcW w:w="160" w:type="dxa"/>
            <w:vAlign w:val="bottom"/>
            <w:shd w:val="clear" w:color="auto" w:fill="E5FF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3"/>
        </w:trPr>
        <w:tc>
          <w:tcPr>
            <w:tcW w:w="61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Probable insurance recoveries related to estimated liability</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E5FFFF"/>
          </w:tcPr>
          <w:p>
            <w:pPr>
              <w:ind w:left="180"/>
              <w:spacing w:after="0"/>
              <w:rPr>
                <w:sz w:val="20"/>
                <w:szCs w:val="20"/>
                <w:color w:val="auto"/>
              </w:rPr>
            </w:pPr>
            <w:r>
              <w:rPr>
                <w:rFonts w:ascii="Arial" w:cs="Arial" w:eastAsia="Arial" w:hAnsi="Arial"/>
                <w:sz w:val="18"/>
                <w:szCs w:val="18"/>
                <w:color w:val="auto"/>
              </w:rPr>
              <w:t>Insurance receipts for asbestos related liabilities</w:t>
            </w:r>
          </w:p>
        </w:tc>
        <w:tc>
          <w:tcPr>
            <w:tcW w:w="140" w:type="dxa"/>
            <w:vAlign w:val="bottom"/>
            <w:tcBorders>
              <w:bottom w:val="single" w:sz="8" w:color="auto"/>
            </w:tcBorders>
            <w:shd w:val="clear" w:color="auto" w:fill="E5FFFF"/>
          </w:tcPr>
          <w:p>
            <w:pPr>
              <w:spacing w:after="0"/>
              <w:rPr>
                <w:sz w:val="18"/>
                <w:szCs w:val="18"/>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9"/>
        </w:trPr>
        <w:tc>
          <w:tcPr>
            <w:tcW w:w="6120" w:type="dxa"/>
            <w:vAlign w:val="bottom"/>
            <w:gridSpan w:val="3"/>
          </w:tcPr>
          <w:p>
            <w:pPr>
              <w:ind w:left="40"/>
              <w:spacing w:after="0"/>
              <w:rPr>
                <w:sz w:val="20"/>
                <w:szCs w:val="20"/>
                <w:color w:val="auto"/>
              </w:rPr>
            </w:pPr>
            <w:r>
              <w:rPr>
                <w:rFonts w:ascii="Arial" w:cs="Arial" w:eastAsia="Arial" w:hAnsi="Arial"/>
                <w:sz w:val="18"/>
                <w:szCs w:val="18"/>
                <w:color w:val="auto"/>
              </w:rPr>
              <w:t>March 31, 2017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318</w:t>
            </w:r>
          </w:p>
        </w:tc>
        <w:tc>
          <w:tcPr>
            <w:tcW w:w="44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NARCO and Bendix asbestos related balances are included in the following balance sheet accounts:</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628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r>
      <w:tr>
        <w:trPr>
          <w:trHeight w:val="196"/>
        </w:trPr>
        <w:tc>
          <w:tcPr>
            <w:tcW w:w="62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23</w:t>
            </w:r>
          </w:p>
        </w:tc>
        <w:tc>
          <w:tcPr>
            <w:tcW w:w="2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16"/>
        </w:trPr>
        <w:tc>
          <w:tcPr>
            <w:tcW w:w="62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Insurance recoveries for asbestos related liabilities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6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r>
      <w:tr>
        <w:trPr>
          <w:trHeight w:val="237"/>
        </w:trPr>
        <w:tc>
          <w:tcPr>
            <w:tcW w:w="6280" w:type="dxa"/>
            <w:vAlign w:val="bottom"/>
            <w:shd w:val="clear" w:color="auto" w:fill="E5FFFF"/>
          </w:tcPr>
          <w:p>
            <w:pPr>
              <w:spacing w:after="0"/>
              <w:rPr>
                <w:sz w:val="20"/>
                <w:szCs w:val="20"/>
                <w:color w:val="auto"/>
              </w:rPr>
            </w:pP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430</w:t>
            </w:r>
          </w:p>
        </w:tc>
        <w:tc>
          <w:tcPr>
            <w:tcW w:w="260" w:type="dxa"/>
            <w:vAlign w:val="bottom"/>
            <w:shd w:val="clear" w:color="auto" w:fill="E5FFFF"/>
          </w:tcPr>
          <w:p>
            <w:pPr>
              <w:spacing w:after="0"/>
              <w:rPr>
                <w:sz w:val="20"/>
                <w:szCs w:val="20"/>
                <w:color w:val="auto"/>
              </w:rPr>
            </w:pPr>
          </w:p>
        </w:tc>
        <w:tc>
          <w:tcPr>
            <w:tcW w:w="1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440</w:t>
            </w:r>
          </w:p>
        </w:tc>
      </w:tr>
      <w:tr>
        <w:trPr>
          <w:trHeight w:val="20"/>
        </w:trPr>
        <w:tc>
          <w:tcPr>
            <w:tcW w:w="62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6280" w:type="dxa"/>
            <w:vAlign w:val="bottom"/>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546</w:t>
            </w:r>
          </w:p>
        </w:tc>
        <w:tc>
          <w:tcPr>
            <w:tcW w:w="26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16"/>
        </w:trPr>
        <w:tc>
          <w:tcPr>
            <w:tcW w:w="6280" w:type="dxa"/>
            <w:vAlign w:val="bottom"/>
            <w:shd w:val="clear" w:color="auto" w:fill="E5FFFF"/>
          </w:tcPr>
          <w:p>
            <w:pPr>
              <w:spacing w:after="0"/>
              <w:rPr>
                <w:sz w:val="20"/>
                <w:szCs w:val="20"/>
                <w:color w:val="auto"/>
              </w:rPr>
            </w:pPr>
            <w:r>
              <w:rPr>
                <w:rFonts w:ascii="Arial" w:cs="Arial" w:eastAsia="Arial" w:hAnsi="Arial"/>
                <w:sz w:val="18"/>
                <w:szCs w:val="18"/>
                <w:color w:val="auto"/>
              </w:rPr>
              <w:t>Asbestos related liabilities</w:t>
            </w:r>
          </w:p>
        </w:tc>
        <w:tc>
          <w:tcPr>
            <w:tcW w:w="200" w:type="dxa"/>
            <w:vAlign w:val="bottom"/>
            <w:tcBorders>
              <w:bottom w:val="single" w:sz="8" w:color="auto"/>
            </w:tcBorders>
            <w:shd w:val="clear" w:color="auto" w:fill="E5FFFF"/>
          </w:tcPr>
          <w:p>
            <w:pPr>
              <w:spacing w:after="0"/>
              <w:rPr>
                <w:sz w:val="18"/>
                <w:szCs w:val="18"/>
                <w:color w:val="auto"/>
              </w:rPr>
            </w:pPr>
          </w:p>
        </w:tc>
        <w:tc>
          <w:tcPr>
            <w:tcW w:w="1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1,002</w:t>
            </w:r>
          </w:p>
        </w:tc>
        <w:tc>
          <w:tcPr>
            <w:tcW w:w="2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1,014</w:t>
            </w:r>
          </w:p>
        </w:tc>
      </w:tr>
      <w:tr>
        <w:trPr>
          <w:trHeight w:val="237"/>
        </w:trPr>
        <w:tc>
          <w:tcPr>
            <w:tcW w:w="628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260" w:type="dxa"/>
            <w:vAlign w:val="bottom"/>
          </w:tcPr>
          <w:p>
            <w:pPr>
              <w:spacing w:after="0"/>
              <w:rPr>
                <w:sz w:val="20"/>
                <w:szCs w:val="20"/>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–In connection with NARCO’s emergence from bankruptcy on April 30, 2013, a federally authorized 524(g) trust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(NARCO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asbestos-containing products to be made against the NARCO Trust. The NARCO Trust reviews submitted claims and determines award amounts in accordance with established Trust Distribution Procedures approved by the Bankruptcy Court which set forth the criteria claimants must meet to qualify for compensation including, among other things, exposure and medical criteria that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determine the award amount. In addition, Honeywell provided, and continues to provide, input to the design of control procedures for processing NARCO claims, and has on-going audit rights to review and monitor the claims processors’ adherence to the established requirements of the Trust Distribution Procedures.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Honeywell is obligated to fund NARCO asbestos claims submitted to the NARCO Trust which qualify for payment under the Trust Distribution Procedures (Annual Contribution Claims), subject to annual caps of $140 million in the years 2017 and 2018 and $145 million for each year thereafter. However, the initial $100 million of claims processed through the NARCO Trust (the Initial Claims Amount) will not count against the annual cap and any unused portion of the Initial Claims Amount will roll over to subsequent years until fully utilized. In 2015, Honeywell filed suit against the NARCO Trust in Bankruptcy Court alleging breach of certain provisions of the Trust Agreement and Trust Distribution Procedures. The parties agreed to dismiss the proceeding without prejudice pursuant to an 18 month Standstill Agreement that expires in October 2017. Claims processing will continue during this period subject to a defined dispute resolution process. As of March 31, 2017, Honeywell has not made any payments to the NARCO Trust for Annual Contribution Claims.</w:t>
      </w:r>
    </w:p>
    <w:p>
      <w:pPr>
        <w:spacing w:after="0" w:line="19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Honeywell is also responsible for payments due to claimants pursuant to settlement agreements reached during the pendency of the NARCO bankruptcy proceedings that provide for the right to submit claims to the NARCO Trust subject to qualification under the terms of the settlement agreements and Trust Distribution Procedures criteria (Pre-established Unliquidated Claims), which amounts are estimated at $ 150 million and are expected to be paid during the initial years of trust operations ($5 million of which has been paid since the effective date of the NARCO Trust). Such payments are not subject to the annual cap described above.</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consolidated financial statements reflect an estimated liability for pre-established unliquidated claims ($145 million), unsettled claims pending as of the time NARCO filed for bankruptcy protection ($31 million) and for the estimated value of future NARCO asbestos claims expected to be asserted against the NARCO Trust ($743 million). The estimate of future NARCO claims is based on a commonly accepted methodology used by numerous bankruptcy courts addressing 524(g) trusts and also reflects disputes concerning implementation of the Trust Distribution Procedures by the NARCO Trust, a lack of sufficient trust claims processing experience, as well as the stay of all NARCO asbestos claims which remained in place throughout NARCO’s Chapter 11 case. Some critical assumptions underlying this commonly accepted methodology include claims filing rates, disease criteria and payment values contained in the Trust Distribution Procedures, estimated approval rates of claims submitted to the NARCO Trust and epidemiological studies estimating disease instances. The estimated value of future NARCO claims was originally established at the time of the NARCO Chapter 11 filing reflecting claims expected to be asserted against NARCO over a fifteen year period. This projection resulted in a range of estimated liability of $743 million to $961 million. We believe that no amount within this range is a better estimate than any other amount, and accordingly, we have recorded the minimum amount in the range.</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insurance receivable corresponding to the estimated liability for pending and future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19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Projecting future events is subject to many uncertainties that could cause the NARCO-related asbestos liabilities or assets to be higher or lower than those projected and recorded. Given the uncertainties,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Bendix Products</w:t>
      </w:r>
      <w:r>
        <w:rPr>
          <w:rFonts w:ascii="Arial" w:cs="Arial" w:eastAsia="Arial" w:hAnsi="Arial"/>
          <w:sz w:val="17"/>
          <w:szCs w:val="17"/>
          <w:color w:val="auto"/>
        </w:rPr>
        <w:t>—The following tables present information regarding Bendix related asbestos claims activity:</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Claims Activity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Claims Unresolved at the beginning of period</w:t>
      </w:r>
    </w:p>
    <w:p>
      <w:pPr>
        <w:spacing w:after="0" w:line="234" w:lineRule="auto"/>
        <w:rPr>
          <w:sz w:val="20"/>
          <w:szCs w:val="20"/>
          <w:color w:val="auto"/>
        </w:rPr>
      </w:pPr>
      <w:r>
        <w:rPr>
          <w:rFonts w:ascii="Arial" w:cs="Arial" w:eastAsia="Arial" w:hAnsi="Arial"/>
          <w:sz w:val="18"/>
          <w:szCs w:val="18"/>
          <w:color w:val="auto"/>
        </w:rPr>
        <w:t>Claims Filed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Claims Resolved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Claims Unresolved at the end of period</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3"/>
          </w:tcPr>
          <w:p>
            <w:pPr>
              <w:jc w:val="center"/>
              <w:ind w:left="698"/>
              <w:spacing w:after="0"/>
              <w:rPr>
                <w:sz w:val="20"/>
                <w:szCs w:val="20"/>
                <w:color w:val="auto"/>
              </w:rPr>
            </w:pPr>
            <w:r>
              <w:rPr>
                <w:rFonts w:ascii="Arial" w:cs="Arial" w:eastAsia="Arial" w:hAnsi="Arial"/>
                <w:sz w:val="14"/>
                <w:szCs w:val="14"/>
                <w:b w:val="1"/>
                <w:bCs w:val="1"/>
                <w:color w:val="auto"/>
              </w:rPr>
              <w:t>Years Ended</w:t>
            </w:r>
          </w:p>
        </w:tc>
        <w:tc>
          <w:tcPr>
            <w:tcW w:w="780" w:type="dxa"/>
            <w:vAlign w:val="bottom"/>
          </w:tcPr>
          <w:p>
            <w:pPr>
              <w:spacing w:after="0"/>
              <w:rPr>
                <w:sz w:val="14"/>
                <w:szCs w:val="14"/>
                <w:color w:val="auto"/>
              </w:rPr>
            </w:pPr>
          </w:p>
        </w:tc>
      </w:tr>
      <w:tr>
        <w:trPr>
          <w:trHeight w:val="189"/>
        </w:trPr>
        <w:tc>
          <w:tcPr>
            <w:tcW w:w="1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March 31,</w:t>
            </w:r>
          </w:p>
        </w:tc>
        <w:tc>
          <w:tcPr>
            <w:tcW w:w="1800" w:type="dxa"/>
            <w:vAlign w:val="bottom"/>
            <w:tcBorders>
              <w:bottom w:val="single" w:sz="8" w:color="auto"/>
            </w:tcBorders>
            <w:gridSpan w:val="3"/>
          </w:tcPr>
          <w:p>
            <w:pPr>
              <w:jc w:val="center"/>
              <w:ind w:left="698"/>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96"/>
        </w:trPr>
        <w:tc>
          <w:tcPr>
            <w:tcW w:w="16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7"/>
                <w:szCs w:val="17"/>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r>
      <w:tr>
        <w:trPr>
          <w:trHeight w:val="195"/>
        </w:trPr>
        <w:tc>
          <w:tcPr>
            <w:tcW w:w="1620" w:type="dxa"/>
            <w:vAlign w:val="bottom"/>
          </w:tcPr>
          <w:p>
            <w:pPr>
              <w:jc w:val="right"/>
              <w:ind w:right="38"/>
              <w:spacing w:after="0" w:line="195" w:lineRule="exact"/>
              <w:rPr>
                <w:sz w:val="20"/>
                <w:szCs w:val="20"/>
                <w:color w:val="auto"/>
              </w:rPr>
            </w:pPr>
            <w:r>
              <w:rPr>
                <w:rFonts w:ascii="Arial" w:cs="Arial" w:eastAsia="Arial" w:hAnsi="Arial"/>
                <w:sz w:val="18"/>
                <w:szCs w:val="18"/>
                <w:color w:val="auto"/>
              </w:rPr>
              <w:t>7,724</w:t>
            </w:r>
          </w:p>
        </w:tc>
        <w:tc>
          <w:tcPr>
            <w:tcW w:w="360" w:type="dxa"/>
            <w:vAlign w:val="bottom"/>
          </w:tcPr>
          <w:p>
            <w:pPr>
              <w:spacing w:after="0"/>
              <w:rPr>
                <w:sz w:val="16"/>
                <w:szCs w:val="16"/>
                <w:color w:val="auto"/>
              </w:rPr>
            </w:pPr>
          </w:p>
        </w:tc>
        <w:tc>
          <w:tcPr>
            <w:tcW w:w="1120" w:type="dxa"/>
            <w:vAlign w:val="bottom"/>
          </w:tcPr>
          <w:p>
            <w:pPr>
              <w:jc w:val="right"/>
              <w:ind w:right="18"/>
              <w:spacing w:after="0" w:line="195" w:lineRule="exact"/>
              <w:rPr>
                <w:sz w:val="20"/>
                <w:szCs w:val="20"/>
                <w:color w:val="auto"/>
              </w:rPr>
            </w:pPr>
            <w:r>
              <w:rPr>
                <w:rFonts w:ascii="Arial" w:cs="Arial" w:eastAsia="Arial" w:hAnsi="Arial"/>
                <w:sz w:val="18"/>
                <w:szCs w:val="18"/>
                <w:color w:val="auto"/>
              </w:rPr>
              <w:t>7,779</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ind w:right="14"/>
              <w:spacing w:after="0" w:line="195" w:lineRule="exact"/>
              <w:rPr>
                <w:sz w:val="20"/>
                <w:szCs w:val="20"/>
                <w:color w:val="auto"/>
              </w:rPr>
            </w:pPr>
            <w:r>
              <w:rPr>
                <w:rFonts w:ascii="Arial" w:cs="Arial" w:eastAsia="Arial" w:hAnsi="Arial"/>
                <w:sz w:val="18"/>
                <w:szCs w:val="18"/>
                <w:color w:val="auto"/>
              </w:rPr>
              <w:t>9,267</w:t>
            </w:r>
          </w:p>
        </w:tc>
      </w:tr>
      <w:tr>
        <w:trPr>
          <w:trHeight w:val="203"/>
        </w:trPr>
        <w:tc>
          <w:tcPr>
            <w:tcW w:w="16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709</w:t>
            </w:r>
          </w:p>
        </w:tc>
        <w:tc>
          <w:tcPr>
            <w:tcW w:w="360" w:type="dxa"/>
            <w:vAlign w:val="bottom"/>
          </w:tcPr>
          <w:p>
            <w:pPr>
              <w:spacing w:after="0"/>
              <w:rPr>
                <w:sz w:val="17"/>
                <w:szCs w:val="17"/>
                <w:color w:val="auto"/>
              </w:rPr>
            </w:pPr>
          </w:p>
        </w:tc>
        <w:tc>
          <w:tcPr>
            <w:tcW w:w="112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2,830</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2,862</w:t>
            </w:r>
          </w:p>
        </w:tc>
      </w:tr>
      <w:tr>
        <w:trPr>
          <w:trHeight w:val="217"/>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3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r>
      <w:tr>
        <w:trPr>
          <w:trHeight w:val="237"/>
        </w:trPr>
        <w:tc>
          <w:tcPr>
            <w:tcW w:w="16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6,626</w:t>
            </w:r>
          </w:p>
        </w:tc>
        <w:tc>
          <w:tcPr>
            <w:tcW w:w="360" w:type="dxa"/>
            <w:vAlign w:val="bottom"/>
          </w:tcPr>
          <w:p>
            <w:pPr>
              <w:spacing w:after="0"/>
              <w:rPr>
                <w:sz w:val="20"/>
                <w:szCs w:val="20"/>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7,724</w:t>
            </w: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7,779</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-591185</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-325120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6140" w:space="720"/>
            <w:col w:w="4560"/>
          </w:cols>
          <w:pgMar w:left="240" w:top="400" w:right="2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Disease Distribution of Unresolved Claims</w:t>
            </w: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740" w:type="dxa"/>
            <w:vAlign w:val="bottom"/>
            <w:gridSpan w:val="3"/>
          </w:tcPr>
          <w:p>
            <w:pPr>
              <w:ind w:left="76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20"/>
                <w:szCs w:val="20"/>
                <w:color w:val="auto"/>
              </w:rPr>
            </w:pPr>
          </w:p>
        </w:tc>
      </w:tr>
      <w:tr>
        <w:trPr>
          <w:trHeight w:val="203"/>
        </w:trPr>
        <w:tc>
          <w:tcPr>
            <w:tcW w:w="3640" w:type="dxa"/>
            <w:vAlign w:val="bottom"/>
            <w:tcBorders>
              <w:top w:val="single" w:sz="8" w:color="auto"/>
              <w:bottom w:val="single" w:sz="8" w:color="E5FFFF"/>
            </w:tcBorders>
          </w:tcPr>
          <w:p>
            <w:pPr>
              <w:spacing w:after="0"/>
              <w:rPr>
                <w:sz w:val="17"/>
                <w:szCs w:val="17"/>
                <w:color w:val="auto"/>
              </w:rPr>
            </w:pPr>
          </w:p>
        </w:tc>
        <w:tc>
          <w:tcPr>
            <w:tcW w:w="3300" w:type="dxa"/>
            <w:vAlign w:val="bottom"/>
            <w:tcBorders>
              <w:bottom w:val="single" w:sz="8" w:color="E5FFFF"/>
            </w:tcBorders>
          </w:tcPr>
          <w:p>
            <w:pPr>
              <w:spacing w:after="0"/>
              <w:rPr>
                <w:sz w:val="17"/>
                <w:szCs w:val="17"/>
                <w:color w:val="auto"/>
              </w:rPr>
            </w:pPr>
          </w:p>
        </w:tc>
        <w:tc>
          <w:tcPr>
            <w:tcW w:w="11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E5FF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E5FF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r>
      <w:tr>
        <w:trPr>
          <w:trHeight w:val="196"/>
        </w:trPr>
        <w:tc>
          <w:tcPr>
            <w:tcW w:w="694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Mesothelioma and Other Cancer Claims</w:t>
            </w:r>
          </w:p>
        </w:tc>
        <w:tc>
          <w:tcPr>
            <w:tcW w:w="1100" w:type="dxa"/>
            <w:vAlign w:val="bottom"/>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3,057</w:t>
            </w:r>
          </w:p>
        </w:tc>
        <w:tc>
          <w:tcPr>
            <w:tcW w:w="32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3,490</w:t>
            </w:r>
          </w:p>
        </w:tc>
        <w:tc>
          <w:tcPr>
            <w:tcW w:w="3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3,772</w:t>
            </w:r>
          </w:p>
        </w:tc>
      </w:tr>
      <w:tr>
        <w:trPr>
          <w:trHeight w:val="216"/>
        </w:trPr>
        <w:tc>
          <w:tcPr>
            <w:tcW w:w="694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Nonmalignant Claims</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3,569</w:t>
            </w:r>
          </w:p>
        </w:tc>
        <w:tc>
          <w:tcPr>
            <w:tcW w:w="320" w:type="dxa"/>
            <w:vAlign w:val="bottom"/>
            <w:tcBorders>
              <w:bottom w:val="single" w:sz="8" w:color="E5FFFF"/>
            </w:tcBorders>
          </w:tcPr>
          <w:p>
            <w:pPr>
              <w:spacing w:after="0"/>
              <w:rPr>
                <w:sz w:val="18"/>
                <w:szCs w:val="18"/>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4,234</w:t>
            </w:r>
          </w:p>
        </w:tc>
        <w:tc>
          <w:tcPr>
            <w:tcW w:w="32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4,007</w:t>
            </w:r>
          </w:p>
        </w:tc>
      </w:tr>
      <w:tr>
        <w:trPr>
          <w:trHeight w:val="237"/>
        </w:trPr>
        <w:tc>
          <w:tcPr>
            <w:tcW w:w="6940" w:type="dxa"/>
            <w:vAlign w:val="bottom"/>
            <w:tcBorders>
              <w:bottom w:val="single" w:sz="8" w:color="E5FFFF"/>
            </w:tcBorders>
            <w:gridSpan w:val="2"/>
            <w:shd w:val="clear" w:color="auto" w:fill="E5FFFF"/>
          </w:tcPr>
          <w:p>
            <w:pPr>
              <w:ind w:left="240"/>
              <w:spacing w:after="0"/>
              <w:rPr>
                <w:sz w:val="20"/>
                <w:szCs w:val="20"/>
                <w:color w:val="auto"/>
              </w:rPr>
            </w:pPr>
            <w:r>
              <w:rPr>
                <w:rFonts w:ascii="Arial" w:cs="Arial" w:eastAsia="Arial" w:hAnsi="Arial"/>
                <w:sz w:val="18"/>
                <w:szCs w:val="18"/>
                <w:color w:val="auto"/>
              </w:rPr>
              <w:t>Total Claims</w:t>
            </w:r>
          </w:p>
        </w:tc>
        <w:tc>
          <w:tcPr>
            <w:tcW w:w="1100" w:type="dxa"/>
            <w:vAlign w:val="bottom"/>
            <w:tcBorders>
              <w:bottom w:val="single" w:sz="8" w:color="auto"/>
            </w:tcBorders>
            <w:shd w:val="clear" w:color="auto" w:fill="E5FFFF"/>
          </w:tcPr>
          <w:p>
            <w:pPr>
              <w:jc w:val="right"/>
              <w:ind w:right="37"/>
              <w:spacing w:after="0"/>
              <w:rPr>
                <w:sz w:val="20"/>
                <w:szCs w:val="20"/>
                <w:color w:val="auto"/>
              </w:rPr>
            </w:pPr>
            <w:r>
              <w:rPr>
                <w:rFonts w:ascii="Arial" w:cs="Arial" w:eastAsia="Arial" w:hAnsi="Arial"/>
                <w:sz w:val="18"/>
                <w:szCs w:val="18"/>
                <w:color w:val="auto"/>
              </w:rPr>
              <w:t>6,626</w:t>
            </w:r>
          </w:p>
        </w:tc>
        <w:tc>
          <w:tcPr>
            <w:tcW w:w="320" w:type="dxa"/>
            <w:vAlign w:val="bottom"/>
            <w:tcBorders>
              <w:bottom w:val="single" w:sz="8" w:color="E5FFFF"/>
            </w:tcBorders>
            <w:shd w:val="clear" w:color="auto" w:fill="E5FFFF"/>
          </w:tcPr>
          <w:p>
            <w:pPr>
              <w:spacing w:after="0"/>
              <w:rPr>
                <w:sz w:val="20"/>
                <w:szCs w:val="20"/>
                <w:color w:val="auto"/>
              </w:rPr>
            </w:pPr>
          </w:p>
        </w:tc>
        <w:tc>
          <w:tcPr>
            <w:tcW w:w="1080" w:type="dxa"/>
            <w:vAlign w:val="bottom"/>
            <w:tcBorders>
              <w:bottom w:val="single" w:sz="8" w:color="auto"/>
            </w:tcBorders>
            <w:shd w:val="clear" w:color="auto" w:fill="E5FFFF"/>
          </w:tcPr>
          <w:p>
            <w:pPr>
              <w:jc w:val="right"/>
              <w:ind w:right="37"/>
              <w:spacing w:after="0"/>
              <w:rPr>
                <w:sz w:val="20"/>
                <w:szCs w:val="20"/>
                <w:color w:val="auto"/>
              </w:rPr>
            </w:pPr>
            <w:r>
              <w:rPr>
                <w:rFonts w:ascii="Arial" w:cs="Arial" w:eastAsia="Arial" w:hAnsi="Arial"/>
                <w:sz w:val="18"/>
                <w:szCs w:val="18"/>
                <w:color w:val="auto"/>
              </w:rPr>
              <w:t>7,724</w:t>
            </w:r>
          </w:p>
        </w:tc>
        <w:tc>
          <w:tcPr>
            <w:tcW w:w="320" w:type="dxa"/>
            <w:vAlign w:val="bottom"/>
            <w:tcBorders>
              <w:bottom w:val="single" w:sz="8" w:color="E5FFFF"/>
            </w:tcBorders>
            <w:shd w:val="clear" w:color="auto" w:fill="E5FFFF"/>
          </w:tcPr>
          <w:p>
            <w:pPr>
              <w:spacing w:after="0"/>
              <w:rPr>
                <w:sz w:val="20"/>
                <w:szCs w:val="20"/>
                <w:color w:val="auto"/>
              </w:rPr>
            </w:pPr>
          </w:p>
        </w:tc>
        <w:tc>
          <w:tcPr>
            <w:tcW w:w="340" w:type="dxa"/>
            <w:vAlign w:val="bottom"/>
            <w:tcBorders>
              <w:bottom w:val="single" w:sz="8" w:color="auto"/>
            </w:tcBorders>
            <w:shd w:val="clear" w:color="auto" w:fill="E5FFFF"/>
          </w:tcPr>
          <w:p>
            <w:pPr>
              <w:spacing w:after="0"/>
              <w:rPr>
                <w:sz w:val="20"/>
                <w:szCs w:val="20"/>
                <w:color w:val="auto"/>
              </w:rPr>
            </w:pPr>
          </w:p>
        </w:tc>
        <w:tc>
          <w:tcPr>
            <w:tcW w:w="74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7,779</w:t>
            </w:r>
          </w:p>
        </w:tc>
      </w:tr>
      <w:tr>
        <w:trPr>
          <w:trHeight w:val="20"/>
        </w:trPr>
        <w:tc>
          <w:tcPr>
            <w:tcW w:w="36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96"/>
        </w:trPr>
        <w:tc>
          <w:tcPr>
            <w:tcW w:w="4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r>
      <w:tr>
        <w:trPr>
          <w:trHeight w:val="182"/>
        </w:trPr>
        <w:tc>
          <w:tcPr>
            <w:tcW w:w="4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20" w:type="dxa"/>
            <w:vAlign w:val="bottom"/>
          </w:tcPr>
          <w:p>
            <w:pPr>
              <w:jc w:val="right"/>
              <w:ind w:right="319"/>
              <w:spacing w:after="0"/>
              <w:rPr>
                <w:sz w:val="20"/>
                <w:szCs w:val="20"/>
                <w:color w:val="auto"/>
              </w:rPr>
            </w:pPr>
            <w:r>
              <w:rPr>
                <w:rFonts w:ascii="Arial" w:cs="Arial" w:eastAsia="Arial" w:hAnsi="Arial"/>
                <w:sz w:val="14"/>
                <w:szCs w:val="14"/>
                <w:b w:val="1"/>
                <w:bCs w:val="1"/>
                <w:color w:val="auto"/>
              </w:rPr>
              <w:t>(in whole dollars)</w:t>
            </w: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Malignant claims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44,000</w:t>
            </w:r>
          </w:p>
        </w:tc>
        <w:tc>
          <w:tcPr>
            <w:tcW w:w="4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44,000</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59"/>
              <w:spacing w:after="0" w:line="202" w:lineRule="exact"/>
              <w:rPr>
                <w:sz w:val="20"/>
                <w:szCs w:val="20"/>
                <w:color w:val="auto"/>
              </w:rPr>
            </w:pPr>
            <w:r>
              <w:rPr>
                <w:rFonts w:ascii="Arial" w:cs="Arial" w:eastAsia="Arial" w:hAnsi="Arial"/>
                <w:sz w:val="18"/>
                <w:szCs w:val="18"/>
                <w:color w:val="auto"/>
              </w:rPr>
              <w:t>53,500</w:t>
            </w:r>
          </w:p>
        </w:tc>
        <w:tc>
          <w:tcPr>
            <w:tcW w:w="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51,000</w:t>
            </w:r>
          </w:p>
        </w:tc>
        <w:tc>
          <w:tcPr>
            <w:tcW w:w="4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49,000</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Nonmalignant claims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4,485</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59"/>
              <w:spacing w:after="0"/>
              <w:rPr>
                <w:sz w:val="20"/>
                <w:szCs w:val="20"/>
                <w:color w:val="auto"/>
              </w:rPr>
            </w:pPr>
            <w:r>
              <w:rPr>
                <w:rFonts w:ascii="Arial" w:cs="Arial" w:eastAsia="Arial" w:hAnsi="Arial"/>
                <w:sz w:val="18"/>
                <w:szCs w:val="18"/>
                <w:color w:val="auto"/>
              </w:rPr>
              <w:t>120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850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1,400</w:t>
            </w: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rPr>
          <w:sz w:val="20"/>
          <w:szCs w:val="20"/>
          <w:color w:val="auto"/>
        </w:rPr>
      </w:pPr>
      <w:r>
        <w:rPr>
          <w:rFonts w:ascii="Arial" w:cs="Arial" w:eastAsia="Arial" w:hAnsi="Arial"/>
          <w:sz w:val="18"/>
          <w:szCs w:val="18"/>
          <w:color w:val="auto"/>
        </w:rPr>
        <w:t>future.</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consolidated financial statements reflect an estimated liability for resolution of pending (claims actually filed as of the financial statement date) and future Bendix-related asbestos claims. We have valued Bendix pending and future claims using average resolution values for the previous five years. We update the resolution values used to estimate the cost of Bendix pending and future claims during the fourth quarter each year.</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liability for future claims represents the estimated value of future asbestos related bodily injury claims expected to be asserted against Bendix over the next five years. Such estimated cost of future Bendix-related asbestos claims is based on historic claims filing experience and dismissal rates, disease classifications, and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The methodology used to estimate the liability for future claims is similar to that used to estimate the liability for future NARCO-related asbestos claims.</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insurance receivable corresponding to the liability for settlement of pending and future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 believes it has sufficient insurance coverage and reserves to cover all pending Bendix-related asbestos claims and Bendix-related asbestos claims estimated to be filed within the next five years. Although it is impossible to predict the outcome of either pending or future Bendix-related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Bendix-related asbestos claims to have a material adverse effect on our results of operations or operating cash flows in any fiscal year. No assurances can be given, however, that the Variable Claims Factors will not change.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employment,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16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July 2011, Honeywell filed an action in federal court (District of New Jersey)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against the UAW and all former employees who retired under a series of Master Collective Bargaining Agreements (MCBAs) between Honeywell and the UAW seeking a declaratory judgment that certain express limitations on its obligation to contribute toward the healthcare coverage of such retirees (the CAPS) set forth in the MCBAs may be implemented, effective January 1, 2012. The UAW and certain retiree defendants filed a mirror suit in the Eastern District of Michigan alleging that the MCBAs do not provide for CAPS on the Company’s liability for healthcare coverage. The New Jersey action was dismissed and Honeywell subsequently answered the UAW’s complaint in Michigan and asserted counterclaims for fraudulent inducement, negligent misrepresentation and breach of implied warranty. The UAW filed a motion to dismiss these counterclaims. The court dismissed Honeywell’s fraudulent inducement and negligent misrepresentation claims, but let stand the claim for breach of implied warranty. In the second quarter of 2014, the parties agreed to stay the proceedings with respect to those retirees who retired before the initial inclusions of the CAPS in the 2003 MCBA until the Supreme Court decided the </w:t>
      </w:r>
      <w:r>
        <w:rPr>
          <w:rFonts w:ascii="Arial" w:cs="Arial" w:eastAsia="Arial" w:hAnsi="Arial"/>
          <w:sz w:val="18"/>
          <w:szCs w:val="18"/>
          <w:i w:val="1"/>
          <w:iCs w:val="1"/>
          <w:color w:val="auto"/>
        </w:rPr>
        <w:t>M&amp;G Polymers USA, LLC v.</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Tackett </w:t>
      </w:r>
      <w:r>
        <w:rPr>
          <w:rFonts w:ascii="Arial" w:cs="Arial" w:eastAsia="Arial" w:hAnsi="Arial"/>
          <w:sz w:val="18"/>
          <w:szCs w:val="18"/>
          <w:color w:val="auto"/>
        </w:rPr>
        <w:t>case</w:t>
      </w:r>
      <w:r>
        <w:rPr>
          <w:rFonts w:ascii="Arial" w:cs="Arial" w:eastAsia="Arial" w:hAnsi="Arial"/>
          <w:sz w:val="21"/>
          <w:szCs w:val="2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a ruling on January 26, 2015, the Supreme Court held that retiree health insurance benefits provided in collective bargaining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do not carry an inference that they are vested or guaranteed to continue for life and that the “vesting” issue must be decided pursuant to ordinary principles of contract law. The stay of the proceedings has been lifted and the case is again proceeding. Based on the Supreme Court’s ruling, Honeywell is confident that the CAPS will be upheld and that its liability for healthcare coverage premiums with respect to the putative class will be limited as negotiated and expressly set forth in the applicable MCBAs. In the event of an adverse ruling, however, Honeywell’s other postretirement benefits for pre-2003 retirees would increase by approximately $129 million, reflecting the estimated value of these CAPS.</w:t>
      </w:r>
    </w:p>
    <w:p>
      <w:pPr>
        <w:spacing w:after="0" w:line="19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December 2013, the UAW and certain of the plaintiffs filed a motion for partial summary judgment with respect to those retirees who retired after the initial inclusion of the CAPS in the 2003 MCBA. The UAW sought a ruling that the 2003 MCBA did not limit Honeywell’s obligation to contribute to healthcare coverage for the post-2003 retirees. That motion remains pending. Honeywell is confident that the Court will find that the 2003 MCBA does, in fact, limit Honeywell’s retiree healthcare obligation for post-2003 retirees. In the event of an adverse ruling, however, Honeywell’s other postretirement benefits for post-2003 retirees would increase by approximately $95 million, reflecting the estimated value of these CAPS.</w:t>
      </w:r>
    </w:p>
    <w:p>
      <w:pPr>
        <w:spacing w:after="0" w:line="17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i w:val="1"/>
          <w:iCs w:val="1"/>
          <w:color w:val="auto"/>
        </w:rPr>
        <w:t xml:space="preserve">Joint Strike Fighter Investigation - </w:t>
      </w:r>
      <w:r>
        <w:rPr>
          <w:rFonts w:ascii="Arial" w:cs="Arial" w:eastAsia="Arial" w:hAnsi="Arial"/>
          <w:sz w:val="18"/>
          <w:szCs w:val="18"/>
          <w:color w:val="auto"/>
        </w:rPr>
        <w:t>In 2013 the Company received subpoenas from the Department of Justice requesting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primarily to parts manufactured in the United Kingdom and China used in the F-35 fighter jet. The Company is cooperating fully with the investigation. While we believe that Honeywell has complied with all relevant U.S. laws and regulations regarding the manufacture of these sensors, it is not possible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predict the outcome of the investigation or what action, if any, may result from it.</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6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MANAGEMENT’S DISCUSSION AND ANALYSIS OF</w:t>
            </w:r>
          </w:p>
        </w:tc>
      </w:tr>
      <w:tr>
        <w:trPr>
          <w:trHeight w:val="198"/>
        </w:trPr>
        <w:tc>
          <w:tcPr>
            <w:tcW w:w="2920" w:type="dxa"/>
            <w:vAlign w:val="bottom"/>
          </w:tcPr>
          <w:p>
            <w:pPr>
              <w:spacing w:after="0"/>
              <w:rPr>
                <w:sz w:val="17"/>
                <w:szCs w:val="17"/>
                <w:color w:val="auto"/>
              </w:rPr>
            </w:pPr>
          </w:p>
        </w:tc>
        <w:tc>
          <w:tcPr>
            <w:tcW w:w="5620" w:type="dxa"/>
            <w:vAlign w:val="bottom"/>
            <w:gridSpan w:val="2"/>
          </w:tcPr>
          <w:p>
            <w:pPr>
              <w:jc w:val="center"/>
              <w:ind w:right="20"/>
              <w:spacing w:after="0" w:line="199" w:lineRule="exact"/>
              <w:rPr>
                <w:sz w:val="20"/>
                <w:szCs w:val="20"/>
                <w:color w:val="auto"/>
              </w:rPr>
            </w:pPr>
            <w:r>
              <w:rPr>
                <w:rFonts w:ascii="Arial" w:cs="Arial" w:eastAsia="Arial" w:hAnsi="Arial"/>
                <w:sz w:val="18"/>
                <w:szCs w:val="18"/>
                <w:b w:val="1"/>
                <w:bCs w:val="1"/>
                <w:color w:val="auto"/>
                <w:w w:val="99"/>
              </w:rPr>
              <w:t>FINANCIAL CONDITION AND RESULTS OF OPERATIONS (MD&amp;A)</w:t>
            </w:r>
          </w:p>
        </w:tc>
      </w:tr>
      <w:tr>
        <w:trPr>
          <w:trHeight w:val="232"/>
        </w:trPr>
        <w:tc>
          <w:tcPr>
            <w:tcW w:w="292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c>
          <w:tcPr>
            <w:tcW w:w="2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following MD&amp;A is intended to help the reader understand the results of operations and financial condition of Honeywell International Inc. and its consolidated subsidiaries (Honeywell or the Company) for the three months ended March 31, 2017. The financial information as of March 31, 2017 should be read in conjunction with the consolidated financial statements for the year ended December 31, 2016 contained in our 2016 Annual Report on Form 10-K.</w:t>
      </w:r>
    </w:p>
    <w:p>
      <w:pPr>
        <w:spacing w:after="0" w:line="166" w:lineRule="exact"/>
        <w:rPr>
          <w:sz w:val="20"/>
          <w:szCs w:val="20"/>
          <w:color w:val="auto"/>
        </w:rPr>
      </w:pPr>
    </w:p>
    <w:p>
      <w:pPr>
        <w:ind w:right="1220" w:firstLine="8"/>
        <w:spacing w:after="0" w:line="475" w:lineRule="auto"/>
        <w:tabs>
          <w:tab w:leader="none" w:pos="3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Results of Operations – three months ended March 31, 2017 compared with the three months ended March 31, 2016 </w:t>
      </w:r>
      <w:r>
        <w:rPr>
          <w:rFonts w:ascii="Arial" w:cs="Arial" w:eastAsia="Arial" w:hAnsi="Arial"/>
          <w:sz w:val="18"/>
          <w:szCs w:val="18"/>
          <w:b w:val="1"/>
          <w:bCs w:val="1"/>
          <w:color w:val="auto"/>
        </w:rPr>
        <w:t>Net Sales</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76"/>
        </w:trPr>
        <w:tc>
          <w:tcPr>
            <w:tcW w:w="8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6"/>
          </w:tcPr>
          <w:p>
            <w:pPr>
              <w:jc w:val="center"/>
              <w:ind w:right="133"/>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8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center"/>
              <w:ind w:left="148"/>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r>
      <w:tr>
        <w:trPr>
          <w:trHeight w:val="169"/>
        </w:trPr>
        <w:tc>
          <w:tcPr>
            <w:tcW w:w="840" w:type="dxa"/>
            <w:vAlign w:val="bottom"/>
          </w:tcPr>
          <w:p>
            <w:pPr>
              <w:spacing w:after="0"/>
              <w:rPr>
                <w:sz w:val="14"/>
                <w:szCs w:val="14"/>
                <w:color w:val="auto"/>
              </w:rPr>
            </w:pPr>
          </w:p>
        </w:tc>
        <w:tc>
          <w:tcPr>
            <w:tcW w:w="4560" w:type="dxa"/>
            <w:vAlign w:val="bottom"/>
            <w:tcBorders>
              <w:bottom w:val="single" w:sz="8" w:color="E5FFFF"/>
            </w:tcBorders>
          </w:tcPr>
          <w:p>
            <w:pPr>
              <w:spacing w:after="0"/>
              <w:rPr>
                <w:sz w:val="14"/>
                <w:szCs w:val="14"/>
                <w:color w:val="auto"/>
              </w:rPr>
            </w:pPr>
          </w:p>
        </w:tc>
        <w:tc>
          <w:tcPr>
            <w:tcW w:w="1580" w:type="dxa"/>
            <w:vAlign w:val="bottom"/>
            <w:tcBorders>
              <w:bottom w:val="single" w:sz="8" w:color="E5FF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E5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196"/>
        </w:trPr>
        <w:tc>
          <w:tcPr>
            <w:tcW w:w="840" w:type="dxa"/>
            <w:vAlign w:val="bottom"/>
          </w:tcPr>
          <w:p>
            <w:pPr>
              <w:spacing w:after="0"/>
              <w:rPr>
                <w:sz w:val="17"/>
                <w:szCs w:val="17"/>
                <w:color w:val="auto"/>
              </w:rPr>
            </w:pPr>
          </w:p>
        </w:tc>
        <w:tc>
          <w:tcPr>
            <w:tcW w:w="45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158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9,492</w:t>
            </w:r>
          </w:p>
        </w:tc>
        <w:tc>
          <w:tcPr>
            <w:tcW w:w="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9,522</w:t>
            </w:r>
          </w:p>
        </w:tc>
      </w:tr>
      <w:tr>
        <w:trPr>
          <w:trHeight w:val="217"/>
        </w:trPr>
        <w:tc>
          <w:tcPr>
            <w:tcW w:w="8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 change compared with prior period</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04"/>
        </w:trPr>
        <w:tc>
          <w:tcPr>
            <w:tcW w:w="7180" w:type="dxa"/>
            <w:vAlign w:val="bottom"/>
            <w:gridSpan w:val="4"/>
          </w:tcPr>
          <w:p>
            <w:pPr>
              <w:jc w:val="right"/>
              <w:ind w:right="65"/>
              <w:spacing w:after="0"/>
              <w:rPr>
                <w:sz w:val="20"/>
                <w:szCs w:val="20"/>
                <w:color w:val="auto"/>
              </w:rPr>
            </w:pPr>
            <w:r>
              <w:rPr>
                <w:rFonts w:ascii="Arial" w:cs="Arial" w:eastAsia="Arial" w:hAnsi="Arial"/>
                <w:sz w:val="18"/>
                <w:szCs w:val="18"/>
                <w:color w:val="auto"/>
                <w:w w:val="99"/>
              </w:rPr>
              <w:t>The change in net sales compared to the prior year period is attributable to the following:</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05"/>
        </w:trPr>
        <w:tc>
          <w:tcPr>
            <w:tcW w:w="840" w:type="dxa"/>
            <w:vAlign w:val="bottom"/>
          </w:tcPr>
          <w:p>
            <w:pPr>
              <w:spacing w:after="0"/>
              <w:rPr>
                <w:sz w:val="24"/>
                <w:szCs w:val="24"/>
                <w:color w:val="auto"/>
              </w:rPr>
            </w:pPr>
          </w:p>
        </w:tc>
        <w:tc>
          <w:tcPr>
            <w:tcW w:w="4560" w:type="dxa"/>
            <w:vAlign w:val="bottom"/>
            <w:tcBorders>
              <w:bottom w:val="single" w:sz="8" w:color="E5FFFF"/>
            </w:tcBorders>
          </w:tcPr>
          <w:p>
            <w:pPr>
              <w:spacing w:after="0"/>
              <w:rPr>
                <w:sz w:val="24"/>
                <w:szCs w:val="24"/>
                <w:color w:val="auto"/>
              </w:rPr>
            </w:pPr>
          </w:p>
        </w:tc>
        <w:tc>
          <w:tcPr>
            <w:tcW w:w="1580" w:type="dxa"/>
            <w:vAlign w:val="bottom"/>
            <w:tcBorders>
              <w:bottom w:val="single" w:sz="8" w:color="E5FFFF"/>
            </w:tcBorders>
          </w:tcPr>
          <w:p>
            <w:pPr>
              <w:spacing w:after="0"/>
              <w:rPr>
                <w:sz w:val="24"/>
                <w:szCs w:val="24"/>
                <w:color w:val="auto"/>
              </w:rPr>
            </w:pPr>
          </w:p>
        </w:tc>
        <w:tc>
          <w:tcPr>
            <w:tcW w:w="200" w:type="dxa"/>
            <w:vAlign w:val="bottom"/>
            <w:tcBorders>
              <w:bottom w:val="single" w:sz="8" w:color="E5FFFF"/>
            </w:tcBorders>
          </w:tcPr>
          <w:p>
            <w:pPr>
              <w:spacing w:after="0"/>
              <w:rPr>
                <w:sz w:val="24"/>
                <w:szCs w:val="24"/>
                <w:color w:val="auto"/>
              </w:rPr>
            </w:pPr>
          </w:p>
        </w:tc>
        <w:tc>
          <w:tcPr>
            <w:tcW w:w="380" w:type="dxa"/>
            <w:vAlign w:val="bottom"/>
            <w:tcBorders>
              <w:bottom w:val="single" w:sz="8" w:color="E5FF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Three Months</w:t>
            </w:r>
          </w:p>
        </w:tc>
      </w:tr>
      <w:tr>
        <w:trPr>
          <w:trHeight w:val="196"/>
        </w:trPr>
        <w:tc>
          <w:tcPr>
            <w:tcW w:w="840" w:type="dxa"/>
            <w:vAlign w:val="bottom"/>
          </w:tcPr>
          <w:p>
            <w:pPr>
              <w:spacing w:after="0"/>
              <w:rPr>
                <w:sz w:val="17"/>
                <w:szCs w:val="17"/>
                <w:color w:val="auto"/>
              </w:rPr>
            </w:pPr>
          </w:p>
        </w:tc>
        <w:tc>
          <w:tcPr>
            <w:tcW w:w="45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Volume</w:t>
            </w:r>
          </w:p>
        </w:tc>
        <w:tc>
          <w:tcPr>
            <w:tcW w:w="15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3"/>
        </w:trPr>
        <w:tc>
          <w:tcPr>
            <w:tcW w:w="84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Foreign Exchange</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16"/>
        </w:trPr>
        <w:tc>
          <w:tcPr>
            <w:tcW w:w="840" w:type="dxa"/>
            <w:vAlign w:val="bottom"/>
          </w:tcPr>
          <w:p>
            <w:pPr>
              <w:spacing w:after="0"/>
              <w:rPr>
                <w:sz w:val="18"/>
                <w:szCs w:val="18"/>
                <w:color w:val="auto"/>
              </w:rPr>
            </w:pPr>
          </w:p>
        </w:tc>
        <w:tc>
          <w:tcPr>
            <w:tcW w:w="4560" w:type="dxa"/>
            <w:vAlign w:val="bottom"/>
            <w:shd w:val="clear" w:color="auto" w:fill="E5FFFF"/>
          </w:tcPr>
          <w:p>
            <w:pPr>
              <w:spacing w:after="0"/>
              <w:rPr>
                <w:sz w:val="20"/>
                <w:szCs w:val="20"/>
                <w:color w:val="auto"/>
              </w:rPr>
            </w:pPr>
            <w:r>
              <w:rPr>
                <w:rFonts w:ascii="Arial" w:cs="Arial" w:eastAsia="Arial" w:hAnsi="Arial"/>
                <w:sz w:val="18"/>
                <w:szCs w:val="18"/>
                <w:color w:val="auto"/>
              </w:rPr>
              <w:t>Acquisitions/Divestitures</w:t>
            </w:r>
          </w:p>
        </w:tc>
        <w:tc>
          <w:tcPr>
            <w:tcW w:w="15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400" w:type="dxa"/>
            <w:vAlign w:val="bottom"/>
            <w:tcBorders>
              <w:bottom w:val="single" w:sz="8" w:color="auto"/>
            </w:tcBorders>
            <w:shd w:val="clear" w:color="auto" w:fill="E5FFFF"/>
          </w:tcPr>
          <w:p>
            <w:pPr>
              <w:spacing w:after="0"/>
              <w:rPr>
                <w:sz w:val="18"/>
                <w:szCs w:val="18"/>
                <w:color w:val="auto"/>
              </w:rPr>
            </w:pPr>
          </w:p>
        </w:tc>
        <w:tc>
          <w:tcPr>
            <w:tcW w:w="60" w:type="dxa"/>
            <w:vAlign w:val="bottom"/>
            <w:tcBorders>
              <w:bottom w:val="single" w:sz="8" w:color="auto"/>
            </w:tcBorders>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8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r>
      <w:tr>
        <w:trPr>
          <w:trHeight w:val="20"/>
        </w:trPr>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-1362710</wp:posOffset>
            </wp:positionV>
            <wp:extent cx="5428615" cy="266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28615" cy="266065"/>
                    </a:xfrm>
                    <a:prstGeom prst="rect">
                      <a:avLst/>
                    </a:prstGeom>
                    <a:noFill/>
                  </pic:spPr>
                </pic:pic>
              </a:graphicData>
            </a:graphic>
          </wp:anchor>
        </w:drawing>
      </w:r>
    </w:p>
    <w:p>
      <w:pPr>
        <w:spacing w:after="0" w:line="18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A discussion of net sales by segment can be found in the Review of Business Segments section of this MD&amp;A. The foreign currency translation impact is principally driven by the weakening of the British Pound and Euro against the U.S. Dollar.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Products and Services Sold</w:t>
      </w:r>
    </w:p>
    <w:p>
      <w:pPr>
        <w:spacing w:after="0" w:line="208" w:lineRule="exact"/>
        <w:rPr>
          <w:sz w:val="20"/>
          <w:szCs w:val="20"/>
          <w:color w:val="auto"/>
        </w:rPr>
      </w:pPr>
    </w:p>
    <w:tbl>
      <w:tblPr>
        <w:tblLayout w:type="fixed"/>
        <w:tblInd w:w="1180" w:type="dxa"/>
        <w:tblCellMar>
          <w:top w:w="0" w:type="dxa"/>
          <w:left w:w="0" w:type="dxa"/>
          <w:bottom w:w="0" w:type="dxa"/>
          <w:right w:w="0" w:type="dxa"/>
        </w:tblCellMar>
      </w:tblPr>
      <w:tr>
        <w:trPr>
          <w:trHeight w:val="176"/>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4"/>
          </w:tcPr>
          <w:p>
            <w:pPr>
              <w:jc w:val="center"/>
              <w:ind w:right="196"/>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5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r>
      <w:tr>
        <w:trPr>
          <w:trHeight w:val="169"/>
        </w:trPr>
        <w:tc>
          <w:tcPr>
            <w:tcW w:w="5980" w:type="dxa"/>
            <w:vAlign w:val="bottom"/>
            <w:tcBorders>
              <w:bottom w:val="single" w:sz="8" w:color="E5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E5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r>
      <w:tr>
        <w:trPr>
          <w:trHeight w:val="196"/>
        </w:trPr>
        <w:tc>
          <w:tcPr>
            <w:tcW w:w="59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FFFF"/>
          </w:tcPr>
          <w:p>
            <w:pPr>
              <w:jc w:val="right"/>
              <w:ind w:right="199"/>
              <w:spacing w:after="0" w:line="196" w:lineRule="exact"/>
              <w:rPr>
                <w:sz w:val="20"/>
                <w:szCs w:val="20"/>
                <w:color w:val="auto"/>
              </w:rPr>
            </w:pPr>
            <w:r>
              <w:rPr>
                <w:rFonts w:ascii="Arial" w:cs="Arial" w:eastAsia="Arial" w:hAnsi="Arial"/>
                <w:sz w:val="18"/>
                <w:szCs w:val="18"/>
                <w:color w:val="auto"/>
              </w:rPr>
              <w:t>6,356</w:t>
            </w:r>
          </w:p>
        </w:tc>
        <w:tc>
          <w:tcPr>
            <w:tcW w:w="24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96"/>
              <w:spacing w:after="0" w:line="196" w:lineRule="exact"/>
              <w:rPr>
                <w:sz w:val="20"/>
                <w:szCs w:val="20"/>
                <w:color w:val="auto"/>
              </w:rPr>
            </w:pPr>
            <w:r>
              <w:rPr>
                <w:rFonts w:ascii="Arial" w:cs="Arial" w:eastAsia="Arial" w:hAnsi="Arial"/>
                <w:sz w:val="18"/>
                <w:szCs w:val="18"/>
                <w:color w:val="auto"/>
              </w:rPr>
              <w:t>6,547</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 change compared with prior period</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9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Gross margin percentage</w:t>
            </w:r>
          </w:p>
        </w:tc>
        <w:tc>
          <w:tcPr>
            <w:tcW w:w="28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33.0 %</w:t>
            </w:r>
          </w:p>
        </w:tc>
        <w:tc>
          <w:tcPr>
            <w:tcW w:w="2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31.2%</w:t>
            </w: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Cost of products and services sold decreased principally due to lower labor costs of approximately $125 million and decreased direct and indirect material costs of approximately $80 million (driven primarily by productivity, net of inflation, and divestitures, net of acquisitions, and foreign currency translation, partially offset by higher sales volumes).</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Gross margin percentage increased primarily due to higher gross margin in Aerospace and Performance Materials and Technologies (approximately 1.9 percentage point impact collectively) and increased pension and other postretirement income allocated to cost of products and services sold (approximately 0.1 percentage point impact), partially offset by higher repositioning and other charges allocated to cost of products and services sold (approximately 0.3 percentage point impact).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2" w:name="page23"/>
    <w:bookmarkEnd w:id="22"/>
    <w:p>
      <w:pPr>
        <w:ind w:left="10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08" w:lineRule="exact"/>
        <w:rPr>
          <w:sz w:val="20"/>
          <w:szCs w:val="20"/>
          <w:color w:val="auto"/>
        </w:rPr>
      </w:pPr>
    </w:p>
    <w:p>
      <w:pPr>
        <w:jc w:val="center"/>
        <w:ind w:left="55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5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-1905</wp:posOffset>
            </wp:positionV>
            <wp:extent cx="15779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4" w:lineRule="exact"/>
        <w:rPr>
          <w:sz w:val="20"/>
          <w:szCs w:val="20"/>
          <w:color w:val="auto"/>
        </w:rPr>
      </w:pPr>
    </w:p>
    <w:tbl>
      <w:tblPr>
        <w:tblLayout w:type="fixed"/>
        <w:tblInd w:w="1180" w:type="dxa"/>
        <w:tblCellMar>
          <w:top w:w="0" w:type="dxa"/>
          <w:left w:w="0" w:type="dxa"/>
          <w:bottom w:w="0" w:type="dxa"/>
          <w:right w:w="0" w:type="dxa"/>
        </w:tblCellMar>
      </w:tblPr>
      <w:tr>
        <w:trPr>
          <w:trHeight w:val="189"/>
        </w:trPr>
        <w:tc>
          <w:tcPr>
            <w:tcW w:w="6060" w:type="dxa"/>
            <w:vAlign w:val="bottom"/>
            <w:tcBorders>
              <w:bottom w:val="single" w:sz="8" w:color="E5FF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E5FF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r>
      <w:tr>
        <w:trPr>
          <w:trHeight w:val="196"/>
        </w:trPr>
        <w:tc>
          <w:tcPr>
            <w:tcW w:w="60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1,349</w:t>
            </w:r>
          </w:p>
        </w:tc>
        <w:tc>
          <w:tcPr>
            <w:tcW w:w="26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5FFFF"/>
          </w:tcPr>
          <w:p>
            <w:pPr>
              <w:jc w:val="right"/>
              <w:ind w:right="96"/>
              <w:spacing w:after="0" w:line="196" w:lineRule="exact"/>
              <w:rPr>
                <w:sz w:val="20"/>
                <w:szCs w:val="20"/>
                <w:color w:val="auto"/>
              </w:rPr>
            </w:pPr>
            <w:r>
              <w:rPr>
                <w:rFonts w:ascii="Arial" w:cs="Arial" w:eastAsia="Arial" w:hAnsi="Arial"/>
                <w:sz w:val="18"/>
                <w:szCs w:val="18"/>
                <w:color w:val="auto"/>
              </w:rPr>
              <w:t>1,280</w:t>
            </w:r>
          </w:p>
        </w:tc>
      </w:tr>
      <w:tr>
        <w:trPr>
          <w:trHeight w:val="217"/>
        </w:trPr>
        <w:tc>
          <w:tcPr>
            <w:tcW w:w="6060" w:type="dxa"/>
            <w:vAlign w:val="bottom"/>
          </w:tcPr>
          <w:p>
            <w:pPr>
              <w:spacing w:after="0"/>
              <w:rPr>
                <w:sz w:val="20"/>
                <w:szCs w:val="20"/>
                <w:color w:val="auto"/>
              </w:rPr>
            </w:pPr>
            <w:r>
              <w:rPr>
                <w:rFonts w:ascii="Arial" w:cs="Arial" w:eastAsia="Arial" w:hAnsi="Arial"/>
                <w:sz w:val="18"/>
                <w:szCs w:val="18"/>
                <w:color w:val="auto"/>
              </w:rPr>
              <w:t>% of sales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-274320</wp:posOffset>
            </wp:positionV>
            <wp:extent cx="5428615" cy="266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28615" cy="266065"/>
                    </a:xfrm>
                    <a:prstGeom prst="rect">
                      <a:avLst/>
                    </a:prstGeom>
                    <a:noFill/>
                  </pic:spPr>
                </pic:pic>
              </a:graphicData>
            </a:graphic>
          </wp:anchor>
        </w:drawing>
      </w:r>
    </w:p>
    <w:p>
      <w:pPr>
        <w:spacing w:after="0" w:line="16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Selling, general and administrative expenses increased primarily driven by an increase in labor costs (principally attributed to acquisitions, net of divestitures, merit increases and investment for growth) and higher sales volumes, partially offset by lower repositioning charges allocated to selling, general and administrative expenses and the favorable impact from foreign currency translation.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Expense</w:t>
      </w:r>
    </w:p>
    <w:p>
      <w:pPr>
        <w:spacing w:after="0" w:line="248" w:lineRule="exact"/>
        <w:rPr>
          <w:sz w:val="20"/>
          <w:szCs w:val="20"/>
          <w:color w:val="auto"/>
        </w:rPr>
      </w:pPr>
    </w:p>
    <w:tbl>
      <w:tblPr>
        <w:tblLayout w:type="fixed"/>
        <w:tblInd w:w="118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jc w:val="center"/>
              <w:ind w:right="176"/>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6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196"/>
        </w:trPr>
        <w:tc>
          <w:tcPr>
            <w:tcW w:w="600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r>
      <w:tr>
        <w:trPr>
          <w:trHeight w:val="196"/>
        </w:trPr>
        <w:tc>
          <w:tcPr>
            <w:tcW w:w="60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Tax expense</w:t>
            </w: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392</w:t>
            </w:r>
          </w:p>
        </w:tc>
        <w:tc>
          <w:tcPr>
            <w:tcW w:w="1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96"/>
              <w:spacing w:after="0" w:line="196" w:lineRule="exact"/>
              <w:rPr>
                <w:sz w:val="20"/>
                <w:szCs w:val="20"/>
                <w:color w:val="auto"/>
              </w:rPr>
            </w:pPr>
            <w:r>
              <w:rPr>
                <w:rFonts w:ascii="Arial" w:cs="Arial" w:eastAsia="Arial" w:hAnsi="Arial"/>
                <w:sz w:val="18"/>
                <w:szCs w:val="18"/>
                <w:color w:val="auto"/>
              </w:rPr>
              <w:t>402</w:t>
            </w:r>
          </w:p>
        </w:tc>
      </w:tr>
      <w:tr>
        <w:trPr>
          <w:trHeight w:val="217"/>
        </w:trPr>
        <w:tc>
          <w:tcPr>
            <w:tcW w:w="6000" w:type="dxa"/>
            <w:vAlign w:val="bottom"/>
          </w:tcPr>
          <w:p>
            <w:pPr>
              <w:spacing w:after="0"/>
              <w:rPr>
                <w:sz w:val="20"/>
                <w:szCs w:val="20"/>
                <w:color w:val="auto"/>
              </w:rPr>
            </w:pPr>
            <w:r>
              <w:rPr>
                <w:rFonts w:ascii="Arial" w:cs="Arial" w:eastAsia="Arial" w:hAnsi="Arial"/>
                <w:sz w:val="18"/>
                <w:szCs w:val="18"/>
                <w:color w:val="auto"/>
              </w:rPr>
              <w:t>Effective tax rate</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-274320</wp:posOffset>
            </wp:positionV>
            <wp:extent cx="5428615" cy="266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28615" cy="266065"/>
                    </a:xfrm>
                    <a:prstGeom prst="rect">
                      <a:avLst/>
                    </a:prstGeom>
                    <a:noFill/>
                  </pic:spPr>
                </pic:pic>
              </a:graphicData>
            </a:graphic>
          </wp:anchor>
        </w:drawing>
      </w:r>
    </w:p>
    <w:p>
      <w:pPr>
        <w:spacing w:after="0" w:line="16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 decreased for the quarter primarily due to the resolution of tax matters with non-U.S. jurisdictions and increased tax benefits from employee share-based payments, partially offset by increased expense for reserves and taxes on the unremitted earnings of certain foreign affiliates that are not deemed permanently reinvested.</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rates for the three months ended in 2017 and 2016 were lower than the U.S. federal statutory rate of 35% resulting in part from non-U.S. earnings taxed at lower rates, the vast majority of which we intend to permanently reinvest outside the United States, and from benefits from manufacturing incentives.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 currently expects the effective tax rate for 2017 to be approximately 25%. The effective tax rate can vary from quarter to quarter for unusual or infrequently occurring items, the resolution of income tax audits, changes in tax laws or other items such as pension mark-to-market adjustments and the tax impact from employee share-based payments.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208" w:lineRule="exact"/>
        <w:rPr>
          <w:sz w:val="20"/>
          <w:szCs w:val="20"/>
          <w:color w:val="auto"/>
        </w:rPr>
      </w:pPr>
    </w:p>
    <w:tbl>
      <w:tblPr>
        <w:tblLayout w:type="fixed"/>
        <w:tblInd w:w="118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4"/>
          </w:tcPr>
          <w:p>
            <w:pPr>
              <w:jc w:val="center"/>
              <w:ind w:right="156"/>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5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r>
      <w:tr>
        <w:trPr>
          <w:trHeight w:val="169"/>
        </w:trPr>
        <w:tc>
          <w:tcPr>
            <w:tcW w:w="5360" w:type="dxa"/>
            <w:vAlign w:val="bottom"/>
            <w:tcBorders>
              <w:bottom w:val="single" w:sz="8" w:color="E5FFFF"/>
            </w:tcBorders>
          </w:tcPr>
          <w:p>
            <w:pPr>
              <w:spacing w:after="0"/>
              <w:rPr>
                <w:sz w:val="14"/>
                <w:szCs w:val="14"/>
                <w:color w:val="auto"/>
              </w:rPr>
            </w:pPr>
          </w:p>
        </w:tc>
        <w:tc>
          <w:tcPr>
            <w:tcW w:w="780" w:type="dxa"/>
            <w:vAlign w:val="bottom"/>
            <w:tcBorders>
              <w:bottom w:val="single" w:sz="8" w:color="E5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E5FF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2016</w:t>
            </w:r>
          </w:p>
        </w:tc>
      </w:tr>
      <w:tr>
        <w:trPr>
          <w:trHeight w:val="196"/>
        </w:trPr>
        <w:tc>
          <w:tcPr>
            <w:tcW w:w="53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income attributable to Honeywell</w:t>
            </w:r>
          </w:p>
        </w:tc>
        <w:tc>
          <w:tcPr>
            <w:tcW w:w="78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5FFFF"/>
          </w:tcPr>
          <w:p>
            <w:pPr>
              <w:jc w:val="right"/>
              <w:ind w:right="21"/>
              <w:spacing w:after="0" w:line="196" w:lineRule="exact"/>
              <w:rPr>
                <w:sz w:val="20"/>
                <w:szCs w:val="20"/>
                <w:color w:val="auto"/>
              </w:rPr>
            </w:pPr>
            <w:r>
              <w:rPr>
                <w:rFonts w:ascii="Arial" w:cs="Arial" w:eastAsia="Arial" w:hAnsi="Arial"/>
                <w:sz w:val="18"/>
                <w:szCs w:val="18"/>
                <w:color w:val="auto"/>
              </w:rPr>
              <w:t>1,326</w:t>
            </w: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1,216</w:t>
            </w:r>
          </w:p>
        </w:tc>
      </w:tr>
      <w:tr>
        <w:trPr>
          <w:trHeight w:val="419"/>
        </w:trPr>
        <w:tc>
          <w:tcPr>
            <w:tcW w:w="5360" w:type="dxa"/>
            <w:vAlign w:val="bottom"/>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10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
              <w:spacing w:after="0"/>
              <w:rPr>
                <w:sz w:val="20"/>
                <w:szCs w:val="20"/>
                <w:color w:val="auto"/>
              </w:rPr>
            </w:pPr>
            <w:r>
              <w:rPr>
                <w:rFonts w:ascii="Arial" w:cs="Arial" w:eastAsia="Arial" w:hAnsi="Arial"/>
                <w:sz w:val="18"/>
                <w:szCs w:val="18"/>
                <w:color w:val="auto"/>
              </w:rPr>
              <w:t>1.71</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-402590</wp:posOffset>
            </wp:positionV>
            <wp:extent cx="542861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16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Earnings per share of common stock – assuming dilution increased, primarily driven by increased segment profit in Safety and Productivity Solutions, Home and Building Technologies and Performance Materials and Technologies, lower effective tax rate and higher pension and other postretirement income.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Review of Business Segments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gridSpan w:val="6"/>
          </w:tcPr>
          <w:p>
            <w:pPr>
              <w:jc w:val="center"/>
              <w:ind w:left="35"/>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3"/>
            <w:vMerge w:val="restart"/>
          </w:tcPr>
          <w:p>
            <w:pPr>
              <w:jc w:val="center"/>
              <w:ind w:left="11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rPr>
              <w:t>March 31,</w:t>
            </w: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15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220" w:type="dxa"/>
            <w:vAlign w:val="bottom"/>
            <w:tcBorders>
              <w:right w:val="single" w:sz="8" w:color="E5FFFF"/>
            </w:tcBorders>
          </w:tcPr>
          <w:p>
            <w:pPr>
              <w:spacing w:after="0"/>
              <w:rPr>
                <w:sz w:val="14"/>
                <w:szCs w:val="14"/>
                <w:color w:val="auto"/>
              </w:rPr>
            </w:pPr>
          </w:p>
        </w:tc>
        <w:tc>
          <w:tcPr>
            <w:tcW w:w="5300" w:type="dxa"/>
            <w:vAlign w:val="bottom"/>
            <w:tcBorders>
              <w:top w:val="single" w:sz="8" w:color="E5FFFF"/>
            </w:tcBorders>
            <w:gridSpan w:val="4"/>
            <w:shd w:val="clear" w:color="auto" w:fill="E5FFFF"/>
          </w:tcPr>
          <w:p>
            <w:pPr>
              <w:spacing w:after="0" w:line="170" w:lineRule="exact"/>
              <w:rPr>
                <w:sz w:val="20"/>
                <w:szCs w:val="20"/>
                <w:color w:val="auto"/>
              </w:rPr>
            </w:pPr>
            <w:r>
              <w:rPr>
                <w:rFonts w:ascii="Arial" w:cs="Arial" w:eastAsia="Arial" w:hAnsi="Arial"/>
                <w:sz w:val="18"/>
                <w:szCs w:val="18"/>
                <w:color w:val="auto"/>
              </w:rPr>
              <w:t>Aerospace Sales</w:t>
            </w:r>
          </w:p>
        </w:tc>
        <w:tc>
          <w:tcPr>
            <w:tcW w:w="780" w:type="dxa"/>
            <w:vAlign w:val="bottom"/>
            <w:tcBorders>
              <w:top w:val="single" w:sz="8" w:color="E5FFFF"/>
            </w:tcBorders>
            <w:shd w:val="clear" w:color="auto" w:fill="E5FFFF"/>
          </w:tcPr>
          <w:p>
            <w:pPr>
              <w:spacing w:after="0"/>
              <w:rPr>
                <w:sz w:val="14"/>
                <w:szCs w:val="14"/>
                <w:color w:val="auto"/>
              </w:rPr>
            </w:pPr>
          </w:p>
        </w:tc>
        <w:tc>
          <w:tcPr>
            <w:tcW w:w="60" w:type="dxa"/>
            <w:vAlign w:val="bottom"/>
            <w:tcBorders>
              <w:top w:val="single" w:sz="8" w:color="E5FFFF"/>
            </w:tcBorders>
            <w:shd w:val="clear" w:color="auto" w:fill="E5FFFF"/>
          </w:tcPr>
          <w:p>
            <w:pPr>
              <w:spacing w:after="0"/>
              <w:rPr>
                <w:sz w:val="14"/>
                <w:szCs w:val="14"/>
                <w:color w:val="auto"/>
              </w:rPr>
            </w:pPr>
          </w:p>
        </w:tc>
        <w:tc>
          <w:tcPr>
            <w:tcW w:w="380" w:type="dxa"/>
            <w:vAlign w:val="bottom"/>
            <w:tcBorders>
              <w:top w:val="single" w:sz="8" w:color="auto"/>
            </w:tcBorders>
            <w:shd w:val="clear" w:color="auto" w:fill="E5FFFF"/>
          </w:tcPr>
          <w:p>
            <w:pPr>
              <w:spacing w:after="0"/>
              <w:rPr>
                <w:sz w:val="14"/>
                <w:szCs w:val="14"/>
                <w:color w:val="auto"/>
              </w:rPr>
            </w:pPr>
          </w:p>
        </w:tc>
        <w:tc>
          <w:tcPr>
            <w:tcW w:w="780" w:type="dxa"/>
            <w:vAlign w:val="bottom"/>
            <w:tcBorders>
              <w:top w:val="single" w:sz="8" w:color="auto"/>
            </w:tcBorders>
            <w:shd w:val="clear" w:color="auto" w:fill="E5FFFF"/>
          </w:tcPr>
          <w:p>
            <w:pPr>
              <w:spacing w:after="0"/>
              <w:rPr>
                <w:sz w:val="14"/>
                <w:szCs w:val="14"/>
                <w:color w:val="auto"/>
              </w:rPr>
            </w:pPr>
          </w:p>
        </w:tc>
        <w:tc>
          <w:tcPr>
            <w:tcW w:w="60" w:type="dxa"/>
            <w:vAlign w:val="bottom"/>
            <w:tcBorders>
              <w:top w:val="single" w:sz="8" w:color="auto"/>
            </w:tcBorders>
            <w:shd w:val="clear" w:color="auto" w:fill="E5FFFF"/>
          </w:tcPr>
          <w:p>
            <w:pPr>
              <w:spacing w:after="0"/>
              <w:rPr>
                <w:sz w:val="14"/>
                <w:szCs w:val="14"/>
                <w:color w:val="auto"/>
              </w:rPr>
            </w:pPr>
          </w:p>
        </w:tc>
        <w:tc>
          <w:tcPr>
            <w:tcW w:w="360" w:type="dxa"/>
            <w:vAlign w:val="bottom"/>
            <w:tcBorders>
              <w:top w:val="single" w:sz="8" w:color="E5FFFF"/>
            </w:tcBorders>
            <w:shd w:val="clear" w:color="auto" w:fill="E5FFFF"/>
          </w:tcPr>
          <w:p>
            <w:pPr>
              <w:spacing w:after="0"/>
              <w:rPr>
                <w:sz w:val="14"/>
                <w:szCs w:val="14"/>
                <w:color w:val="auto"/>
              </w:rPr>
            </w:pPr>
          </w:p>
        </w:tc>
        <w:tc>
          <w:tcPr>
            <w:tcW w:w="20" w:type="dxa"/>
            <w:vAlign w:val="bottom"/>
            <w:tcBorders>
              <w:top w:val="single" w:sz="8" w:color="E5FFFF"/>
            </w:tcBorders>
            <w:shd w:val="clear" w:color="auto" w:fill="E5FFFF"/>
          </w:tcPr>
          <w:p>
            <w:pPr>
              <w:spacing w:after="0"/>
              <w:rPr>
                <w:sz w:val="14"/>
                <w:szCs w:val="14"/>
                <w:color w:val="auto"/>
              </w:rPr>
            </w:pPr>
          </w:p>
        </w:tc>
        <w:tc>
          <w:tcPr>
            <w:tcW w:w="20" w:type="dxa"/>
            <w:vAlign w:val="bottom"/>
            <w:tcBorders>
              <w:top w:val="single" w:sz="8" w:color="E5FFFF"/>
            </w:tcBorders>
            <w:shd w:val="clear" w:color="auto" w:fill="E5FFFF"/>
          </w:tcPr>
          <w:p>
            <w:pPr>
              <w:spacing w:after="0"/>
              <w:rPr>
                <w:sz w:val="14"/>
                <w:szCs w:val="14"/>
                <w:color w:val="auto"/>
              </w:rPr>
            </w:pPr>
          </w:p>
        </w:tc>
        <w:tc>
          <w:tcPr>
            <w:tcW w:w="620" w:type="dxa"/>
            <w:vAlign w:val="bottom"/>
            <w:tcBorders>
              <w:top w:val="single" w:sz="8" w:color="auto"/>
            </w:tcBorders>
            <w:shd w:val="clear" w:color="auto" w:fill="E5FFFF"/>
          </w:tcPr>
          <w:p>
            <w:pPr>
              <w:spacing w:after="0"/>
              <w:rPr>
                <w:sz w:val="14"/>
                <w:szCs w:val="14"/>
                <w:color w:val="auto"/>
              </w:rPr>
            </w:pPr>
          </w:p>
        </w:tc>
        <w:tc>
          <w:tcPr>
            <w:tcW w:w="140" w:type="dxa"/>
            <w:vAlign w:val="bottom"/>
            <w:tcBorders>
              <w:top w:val="single" w:sz="8" w:color="auto"/>
            </w:tcBorders>
            <w:shd w:val="clear" w:color="auto" w:fill="E5FFFF"/>
          </w:tcPr>
          <w:p>
            <w:pPr>
              <w:spacing w:after="0"/>
              <w:rPr>
                <w:sz w:val="14"/>
                <w:szCs w:val="14"/>
                <w:color w:val="auto"/>
              </w:rPr>
            </w:pPr>
          </w:p>
        </w:tc>
        <w:tc>
          <w:tcPr>
            <w:tcW w:w="420" w:type="dxa"/>
            <w:vAlign w:val="bottom"/>
            <w:tcBorders>
              <w:top w:val="single" w:sz="8" w:color="auto"/>
            </w:tcBorders>
            <w:shd w:val="clear" w:color="auto" w:fill="E5FFFF"/>
          </w:tcPr>
          <w:p>
            <w:pPr>
              <w:spacing w:after="0"/>
              <w:rPr>
                <w:sz w:val="14"/>
                <w:szCs w:val="14"/>
                <w:color w:val="auto"/>
              </w:rPr>
            </w:pPr>
          </w:p>
        </w:tc>
        <w:tc>
          <w:tcPr>
            <w:tcW w:w="60" w:type="dxa"/>
            <w:vAlign w:val="bottom"/>
            <w:tcBorders>
              <w:top w:val="single" w:sz="8" w:color="auto"/>
            </w:tcBorders>
            <w:shd w:val="clear" w:color="auto" w:fill="E5FFFF"/>
          </w:tcPr>
          <w:p>
            <w:pPr>
              <w:spacing w:after="0"/>
              <w:rPr>
                <w:sz w:val="14"/>
                <w:szCs w:val="14"/>
                <w:color w:val="auto"/>
              </w:rPr>
            </w:pPr>
          </w:p>
        </w:tc>
        <w:tc>
          <w:tcPr>
            <w:tcW w:w="140" w:type="dxa"/>
            <w:vAlign w:val="bottom"/>
            <w:tcBorders>
              <w:top w:val="single" w:sz="8" w:color="E5FFFF"/>
            </w:tcBorders>
            <w:shd w:val="clear" w:color="auto" w:fill="E5FFFF"/>
          </w:tcPr>
          <w:p>
            <w:pPr>
              <w:spacing w:after="0"/>
              <w:rPr>
                <w:sz w:val="14"/>
                <w:szCs w:val="14"/>
                <w:color w:val="auto"/>
              </w:rPr>
            </w:pPr>
          </w:p>
        </w:tc>
        <w:tc>
          <w:tcPr>
            <w:tcW w:w="60" w:type="dxa"/>
            <w:vAlign w:val="bottom"/>
            <w:tcBorders>
              <w:top w:val="single" w:sz="8" w:color="E5FFFF"/>
            </w:tcBorders>
            <w:shd w:val="clear" w:color="auto" w:fill="E5FFFF"/>
          </w:tcPr>
          <w:p>
            <w:pPr>
              <w:spacing w:after="0"/>
              <w:rPr>
                <w:sz w:val="14"/>
                <w:szCs w:val="14"/>
                <w:color w:val="auto"/>
              </w:rPr>
            </w:pPr>
          </w:p>
        </w:tc>
        <w:tc>
          <w:tcPr>
            <w:tcW w:w="1020" w:type="dxa"/>
            <w:vAlign w:val="bottom"/>
            <w:tcBorders>
              <w:top w:val="single" w:sz="8" w:color="auto"/>
            </w:tcBorders>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220" w:type="dxa"/>
            <w:vAlign w:val="bottom"/>
            <w:tcBorders>
              <w:right w:val="single" w:sz="8" w:color="E5FFFF"/>
            </w:tcBorders>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760" w:type="dxa"/>
            <w:vAlign w:val="bottom"/>
            <w:shd w:val="clear" w:color="auto" w:fill="E5FFFF"/>
          </w:tcPr>
          <w:p>
            <w:pPr>
              <w:spacing w:after="0"/>
              <w:rPr>
                <w:sz w:val="2"/>
                <w:szCs w:val="2"/>
                <w:color w:val="auto"/>
              </w:rPr>
            </w:pPr>
          </w:p>
        </w:tc>
        <w:tc>
          <w:tcPr>
            <w:tcW w:w="640" w:type="dxa"/>
            <w:vAlign w:val="bottom"/>
            <w:shd w:val="clear" w:color="auto" w:fill="E5FFFF"/>
          </w:tcPr>
          <w:p>
            <w:pPr>
              <w:spacing w:after="0"/>
              <w:rPr>
                <w:sz w:val="2"/>
                <w:szCs w:val="2"/>
                <w:color w:val="auto"/>
              </w:rPr>
            </w:pPr>
          </w:p>
        </w:tc>
        <w:tc>
          <w:tcPr>
            <w:tcW w:w="1540" w:type="dxa"/>
            <w:vAlign w:val="bottom"/>
            <w:shd w:val="clear" w:color="auto" w:fill="E5FFFF"/>
          </w:tcPr>
          <w:p>
            <w:pPr>
              <w:spacing w:after="0"/>
              <w:rPr>
                <w:sz w:val="2"/>
                <w:szCs w:val="2"/>
                <w:color w:val="auto"/>
              </w:rPr>
            </w:pPr>
          </w:p>
        </w:tc>
        <w:tc>
          <w:tcPr>
            <w:tcW w:w="780" w:type="dxa"/>
            <w:vAlign w:val="bottom"/>
            <w:shd w:val="clear" w:color="auto" w:fill="E5FFFF"/>
          </w:tcPr>
          <w:p>
            <w:pPr>
              <w:spacing w:after="0"/>
              <w:rPr>
                <w:sz w:val="2"/>
                <w:szCs w:val="2"/>
                <w:color w:val="auto"/>
              </w:rPr>
            </w:pPr>
          </w:p>
        </w:tc>
        <w:tc>
          <w:tcPr>
            <w:tcW w:w="60" w:type="dxa"/>
            <w:vAlign w:val="bottom"/>
            <w:shd w:val="clear" w:color="auto" w:fill="E5FFFF"/>
          </w:tcPr>
          <w:p>
            <w:pPr>
              <w:spacing w:after="0"/>
              <w:rPr>
                <w:sz w:val="2"/>
                <w:szCs w:val="2"/>
                <w:color w:val="auto"/>
              </w:rPr>
            </w:pPr>
          </w:p>
        </w:tc>
        <w:tc>
          <w:tcPr>
            <w:tcW w:w="380" w:type="dxa"/>
            <w:vAlign w:val="bottom"/>
            <w:shd w:val="clear" w:color="auto" w:fill="E5FFFF"/>
          </w:tcPr>
          <w:p>
            <w:pPr>
              <w:spacing w:after="0"/>
              <w:rPr>
                <w:sz w:val="2"/>
                <w:szCs w:val="2"/>
                <w:color w:val="auto"/>
              </w:rPr>
            </w:pPr>
          </w:p>
        </w:tc>
        <w:tc>
          <w:tcPr>
            <w:tcW w:w="780" w:type="dxa"/>
            <w:vAlign w:val="bottom"/>
            <w:shd w:val="clear" w:color="auto" w:fill="E5FFFF"/>
          </w:tcPr>
          <w:p>
            <w:pPr>
              <w:spacing w:after="0"/>
              <w:rPr>
                <w:sz w:val="2"/>
                <w:szCs w:val="2"/>
                <w:color w:val="auto"/>
              </w:rPr>
            </w:pPr>
          </w:p>
        </w:tc>
        <w:tc>
          <w:tcPr>
            <w:tcW w:w="60" w:type="dxa"/>
            <w:vAlign w:val="bottom"/>
            <w:shd w:val="clear" w:color="auto" w:fill="E5FFFF"/>
          </w:tcPr>
          <w:p>
            <w:pPr>
              <w:spacing w:after="0"/>
              <w:rPr>
                <w:sz w:val="2"/>
                <w:szCs w:val="2"/>
                <w:color w:val="auto"/>
              </w:rPr>
            </w:pPr>
          </w:p>
        </w:tc>
        <w:tc>
          <w:tcPr>
            <w:tcW w:w="360" w:type="dxa"/>
            <w:vAlign w:val="bottom"/>
            <w:shd w:val="clear" w:color="auto" w:fill="E5FFFF"/>
          </w:tcPr>
          <w:p>
            <w:pPr>
              <w:spacing w:after="0"/>
              <w:rPr>
                <w:sz w:val="2"/>
                <w:szCs w:val="2"/>
                <w:color w:val="auto"/>
              </w:rPr>
            </w:pPr>
          </w:p>
        </w:tc>
        <w:tc>
          <w:tcPr>
            <w:tcW w:w="20" w:type="dxa"/>
            <w:vAlign w:val="bottom"/>
            <w:shd w:val="clear" w:color="auto" w:fill="E5FFFF"/>
          </w:tcPr>
          <w:p>
            <w:pPr>
              <w:spacing w:after="0"/>
              <w:rPr>
                <w:sz w:val="2"/>
                <w:szCs w:val="2"/>
                <w:color w:val="auto"/>
              </w:rPr>
            </w:pPr>
          </w:p>
        </w:tc>
        <w:tc>
          <w:tcPr>
            <w:tcW w:w="20" w:type="dxa"/>
            <w:vAlign w:val="bottom"/>
            <w:shd w:val="clear" w:color="auto" w:fill="E5FFFF"/>
          </w:tcPr>
          <w:p>
            <w:pPr>
              <w:spacing w:after="0"/>
              <w:rPr>
                <w:sz w:val="2"/>
                <w:szCs w:val="2"/>
                <w:color w:val="auto"/>
              </w:rPr>
            </w:pPr>
          </w:p>
        </w:tc>
        <w:tc>
          <w:tcPr>
            <w:tcW w:w="620" w:type="dxa"/>
            <w:vAlign w:val="bottom"/>
            <w:shd w:val="clear" w:color="auto" w:fill="E5FFFF"/>
          </w:tcPr>
          <w:p>
            <w:pPr>
              <w:spacing w:after="0"/>
              <w:rPr>
                <w:sz w:val="2"/>
                <w:szCs w:val="2"/>
                <w:color w:val="auto"/>
              </w:rPr>
            </w:pPr>
          </w:p>
        </w:tc>
        <w:tc>
          <w:tcPr>
            <w:tcW w:w="140" w:type="dxa"/>
            <w:vAlign w:val="bottom"/>
            <w:shd w:val="clear" w:color="auto" w:fill="E5FFFF"/>
          </w:tcPr>
          <w:p>
            <w:pPr>
              <w:spacing w:after="0"/>
              <w:rPr>
                <w:sz w:val="2"/>
                <w:szCs w:val="2"/>
                <w:color w:val="auto"/>
              </w:rPr>
            </w:pPr>
          </w:p>
        </w:tc>
        <w:tc>
          <w:tcPr>
            <w:tcW w:w="420" w:type="dxa"/>
            <w:vAlign w:val="bottom"/>
            <w:shd w:val="clear" w:color="auto" w:fill="E5FFFF"/>
          </w:tcPr>
          <w:p>
            <w:pPr>
              <w:spacing w:after="0"/>
              <w:rPr>
                <w:sz w:val="2"/>
                <w:szCs w:val="2"/>
                <w:color w:val="auto"/>
              </w:rPr>
            </w:pPr>
          </w:p>
        </w:tc>
        <w:tc>
          <w:tcPr>
            <w:tcW w:w="60" w:type="dxa"/>
            <w:vAlign w:val="bottom"/>
            <w:shd w:val="clear" w:color="auto" w:fill="E5FFFF"/>
          </w:tcPr>
          <w:p>
            <w:pPr>
              <w:spacing w:after="0"/>
              <w:rPr>
                <w:sz w:val="2"/>
                <w:szCs w:val="2"/>
                <w:color w:val="auto"/>
              </w:rPr>
            </w:pPr>
          </w:p>
        </w:tc>
        <w:tc>
          <w:tcPr>
            <w:tcW w:w="140" w:type="dxa"/>
            <w:vAlign w:val="bottom"/>
            <w:shd w:val="clear" w:color="auto" w:fill="E5FFFF"/>
          </w:tcPr>
          <w:p>
            <w:pPr>
              <w:spacing w:after="0"/>
              <w:rPr>
                <w:sz w:val="2"/>
                <w:szCs w:val="2"/>
                <w:color w:val="auto"/>
              </w:rPr>
            </w:pPr>
          </w:p>
        </w:tc>
        <w:tc>
          <w:tcPr>
            <w:tcW w:w="60" w:type="dxa"/>
            <w:vAlign w:val="bottom"/>
            <w:shd w:val="clear" w:color="auto" w:fill="E5FFFF"/>
          </w:tcPr>
          <w:p>
            <w:pPr>
              <w:spacing w:after="0"/>
              <w:rPr>
                <w:sz w:val="2"/>
                <w:szCs w:val="2"/>
                <w:color w:val="auto"/>
              </w:rPr>
            </w:pPr>
          </w:p>
        </w:tc>
        <w:tc>
          <w:tcPr>
            <w:tcW w:w="1020" w:type="dxa"/>
            <w:vAlign w:val="bottom"/>
            <w:shd w:val="clear" w:color="auto" w:fill="E5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20" w:type="dxa"/>
            <w:vAlign w:val="bottom"/>
          </w:tcPr>
          <w:p>
            <w:pPr>
              <w:spacing w:after="0"/>
              <w:rPr>
                <w:sz w:val="17"/>
                <w:szCs w:val="17"/>
                <w:color w:val="auto"/>
              </w:rPr>
            </w:pPr>
          </w:p>
        </w:tc>
        <w:tc>
          <w:tcPr>
            <w:tcW w:w="530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Commercial Aviation Original Equipment</w:t>
            </w:r>
          </w:p>
        </w:tc>
        <w:tc>
          <w:tcPr>
            <w:tcW w:w="12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611</w:t>
            </w:r>
          </w:p>
        </w:tc>
        <w:tc>
          <w:tcPr>
            <w:tcW w:w="60" w:type="dxa"/>
            <w:vAlign w:val="bottom"/>
          </w:tcPr>
          <w:p>
            <w:pPr>
              <w:spacing w:after="0"/>
              <w:rPr>
                <w:sz w:val="17"/>
                <w:szCs w:val="17"/>
                <w:color w:val="auto"/>
              </w:rPr>
            </w:pPr>
          </w:p>
        </w:tc>
        <w:tc>
          <w:tcPr>
            <w:tcW w:w="1020" w:type="dxa"/>
            <w:vAlign w:val="bottom"/>
            <w:gridSpan w:val="4"/>
          </w:tcPr>
          <w:p>
            <w:pPr>
              <w:ind w:left="40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701</w:t>
            </w:r>
          </w:p>
        </w:tc>
        <w:tc>
          <w:tcPr>
            <w:tcW w:w="60" w:type="dxa"/>
            <w:vAlign w:val="bottom"/>
          </w:tcPr>
          <w:p>
            <w:pPr>
              <w:spacing w:after="0"/>
              <w:rPr>
                <w:sz w:val="17"/>
                <w:szCs w:val="17"/>
                <w:color w:val="auto"/>
              </w:rPr>
            </w:pPr>
          </w:p>
        </w:tc>
        <w:tc>
          <w:tcPr>
            <w:tcW w:w="1220" w:type="dxa"/>
            <w:vAlign w:val="bottom"/>
            <w:gridSpan w:val="3"/>
          </w:tcPr>
          <w:p>
            <w:pPr>
              <w:jc w:val="center"/>
              <w:ind w:left="93"/>
              <w:spacing w:after="0" w:line="202" w:lineRule="exact"/>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03"/>
        </w:trPr>
        <w:tc>
          <w:tcPr>
            <w:tcW w:w="1220" w:type="dxa"/>
            <w:vAlign w:val="bottom"/>
            <w:tcBorders>
              <w:right w:val="single" w:sz="8" w:color="E5FFFF"/>
            </w:tcBorders>
          </w:tcPr>
          <w:p>
            <w:pPr>
              <w:spacing w:after="0"/>
              <w:rPr>
                <w:sz w:val="17"/>
                <w:szCs w:val="17"/>
                <w:color w:val="auto"/>
              </w:rPr>
            </w:pPr>
          </w:p>
        </w:tc>
        <w:tc>
          <w:tcPr>
            <w:tcW w:w="5300" w:type="dxa"/>
            <w:vAlign w:val="bottom"/>
            <w:gridSpan w:val="4"/>
            <w:shd w:val="clear" w:color="auto" w:fill="E5FFFF"/>
          </w:tcPr>
          <w:p>
            <w:pPr>
              <w:ind w:left="140"/>
              <w:spacing w:after="0" w:line="202" w:lineRule="exact"/>
              <w:rPr>
                <w:sz w:val="20"/>
                <w:szCs w:val="20"/>
                <w:color w:val="auto"/>
              </w:rPr>
            </w:pPr>
            <w:r>
              <w:rPr>
                <w:rFonts w:ascii="Arial" w:cs="Arial" w:eastAsia="Arial" w:hAnsi="Arial"/>
                <w:sz w:val="18"/>
                <w:szCs w:val="18"/>
                <w:color w:val="auto"/>
              </w:rPr>
              <w:t>Commercial Aviation Aftermarket</w:t>
            </w:r>
          </w:p>
        </w:tc>
        <w:tc>
          <w:tcPr>
            <w:tcW w:w="78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1,201</w:t>
            </w:r>
          </w:p>
        </w:tc>
        <w:tc>
          <w:tcPr>
            <w:tcW w:w="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5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1,148</w:t>
            </w:r>
          </w:p>
        </w:tc>
        <w:tc>
          <w:tcPr>
            <w:tcW w:w="60" w:type="dxa"/>
            <w:vAlign w:val="bottom"/>
            <w:shd w:val="clear" w:color="auto" w:fill="E5FFFF"/>
          </w:tcPr>
          <w:p>
            <w:pPr>
              <w:spacing w:after="0"/>
              <w:rPr>
                <w:sz w:val="17"/>
                <w:szCs w:val="17"/>
                <w:color w:val="auto"/>
              </w:rPr>
            </w:pPr>
          </w:p>
        </w:tc>
        <w:tc>
          <w:tcPr>
            <w:tcW w:w="1220" w:type="dxa"/>
            <w:vAlign w:val="bottom"/>
            <w:gridSpan w:val="3"/>
            <w:shd w:val="clear" w:color="auto" w:fill="E5FFFF"/>
          </w:tcPr>
          <w:p>
            <w:pPr>
              <w:jc w:val="center"/>
              <w:ind w:left="113"/>
              <w:spacing w:after="0" w:line="202"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30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Defense and Space</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950</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1,069</w:t>
            </w:r>
          </w:p>
        </w:tc>
        <w:tc>
          <w:tcPr>
            <w:tcW w:w="60" w:type="dxa"/>
            <w:vAlign w:val="bottom"/>
          </w:tcPr>
          <w:p>
            <w:pPr>
              <w:spacing w:after="0"/>
              <w:rPr>
                <w:sz w:val="17"/>
                <w:szCs w:val="17"/>
                <w:color w:val="auto"/>
              </w:rPr>
            </w:pPr>
          </w:p>
        </w:tc>
        <w:tc>
          <w:tcPr>
            <w:tcW w:w="1220" w:type="dxa"/>
            <w:vAlign w:val="bottom"/>
            <w:gridSpan w:val="3"/>
          </w:tcPr>
          <w:p>
            <w:pPr>
              <w:jc w:val="center"/>
              <w:ind w:left="93"/>
              <w:spacing w:after="0" w:line="202" w:lineRule="exact"/>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16"/>
        </w:trPr>
        <w:tc>
          <w:tcPr>
            <w:tcW w:w="1220" w:type="dxa"/>
            <w:vAlign w:val="bottom"/>
            <w:tcBorders>
              <w:right w:val="single" w:sz="8" w:color="E5FFFF"/>
            </w:tcBorders>
          </w:tcPr>
          <w:p>
            <w:pPr>
              <w:spacing w:after="0"/>
              <w:rPr>
                <w:sz w:val="18"/>
                <w:szCs w:val="18"/>
                <w:color w:val="auto"/>
              </w:rPr>
            </w:pPr>
          </w:p>
        </w:tc>
        <w:tc>
          <w:tcPr>
            <w:tcW w:w="5300" w:type="dxa"/>
            <w:vAlign w:val="bottom"/>
            <w:gridSpan w:val="4"/>
            <w:shd w:val="clear" w:color="auto" w:fill="E5FFFF"/>
          </w:tcPr>
          <w:p>
            <w:pPr>
              <w:ind w:left="140"/>
              <w:spacing w:after="0"/>
              <w:rPr>
                <w:sz w:val="20"/>
                <w:szCs w:val="20"/>
                <w:color w:val="auto"/>
              </w:rPr>
            </w:pPr>
            <w:r>
              <w:rPr>
                <w:rFonts w:ascii="Arial" w:cs="Arial" w:eastAsia="Arial" w:hAnsi="Arial"/>
                <w:sz w:val="18"/>
                <w:szCs w:val="18"/>
                <w:color w:val="auto"/>
              </w:rPr>
              <w:t>Transportation Systems</w:t>
            </w:r>
          </w:p>
        </w:tc>
        <w:tc>
          <w:tcPr>
            <w:tcW w:w="7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8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784</w:t>
            </w:r>
          </w:p>
        </w:tc>
        <w:tc>
          <w:tcPr>
            <w:tcW w:w="60" w:type="dxa"/>
            <w:vAlign w:val="bottom"/>
            <w:tcBorders>
              <w:bottom w:val="single" w:sz="8" w:color="auto"/>
            </w:tcBorders>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20" w:type="dxa"/>
            <w:vAlign w:val="bottom"/>
            <w:tcBorders>
              <w:bottom w:val="single" w:sz="8" w:color="auto"/>
            </w:tcBorders>
            <w:shd w:val="clear" w:color="auto" w:fill="E5FFFF"/>
          </w:tcPr>
          <w:p>
            <w:pPr>
              <w:spacing w:after="0"/>
              <w:rPr>
                <w:sz w:val="18"/>
                <w:szCs w:val="18"/>
                <w:color w:val="auto"/>
              </w:rPr>
            </w:pPr>
          </w:p>
        </w:tc>
        <w:tc>
          <w:tcPr>
            <w:tcW w:w="56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787</w:t>
            </w:r>
          </w:p>
        </w:tc>
        <w:tc>
          <w:tcPr>
            <w:tcW w:w="60" w:type="dxa"/>
            <w:vAlign w:val="bottom"/>
            <w:tcBorders>
              <w:bottom w:val="single" w:sz="8" w:color="auto"/>
            </w:tcBorders>
            <w:shd w:val="clear" w:color="auto" w:fill="E5FFFF"/>
          </w:tcPr>
          <w:p>
            <w:pPr>
              <w:spacing w:after="0"/>
              <w:rPr>
                <w:sz w:val="18"/>
                <w:szCs w:val="18"/>
                <w:color w:val="auto"/>
              </w:rPr>
            </w:pPr>
          </w:p>
        </w:tc>
        <w:tc>
          <w:tcPr>
            <w:tcW w:w="1220" w:type="dxa"/>
            <w:vAlign w:val="bottom"/>
            <w:gridSpan w:val="3"/>
            <w:shd w:val="clear" w:color="auto" w:fill="E5FFFF"/>
          </w:tcPr>
          <w:p>
            <w:pPr>
              <w:jc w:val="center"/>
              <w:ind w:left="1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300" w:type="dxa"/>
            <w:vAlign w:val="bottom"/>
            <w:gridSpan w:val="4"/>
          </w:tcPr>
          <w:p>
            <w:pPr>
              <w:ind w:left="320"/>
              <w:spacing w:after="0"/>
              <w:rPr>
                <w:sz w:val="20"/>
                <w:szCs w:val="20"/>
                <w:color w:val="auto"/>
              </w:rPr>
            </w:pPr>
            <w:r>
              <w:rPr>
                <w:rFonts w:ascii="Arial" w:cs="Arial" w:eastAsia="Arial" w:hAnsi="Arial"/>
                <w:sz w:val="18"/>
                <w:szCs w:val="18"/>
                <w:color w:val="auto"/>
              </w:rPr>
              <w:t>Total Aerospace Sales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3,705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20" w:type="dxa"/>
            <w:vAlign w:val="bottom"/>
            <w:tcBorders>
              <w:right w:val="single" w:sz="8" w:color="E5FFFF"/>
            </w:tcBorders>
          </w:tcPr>
          <w:p>
            <w:pPr>
              <w:spacing w:after="0"/>
              <w:rPr>
                <w:sz w:val="15"/>
                <w:szCs w:val="15"/>
                <w:color w:val="auto"/>
              </w:rPr>
            </w:pPr>
          </w:p>
        </w:tc>
        <w:tc>
          <w:tcPr>
            <w:tcW w:w="5300" w:type="dxa"/>
            <w:vAlign w:val="bottom"/>
            <w:gridSpan w:val="4"/>
            <w:shd w:val="clear" w:color="auto" w:fill="E5FFFF"/>
          </w:tcPr>
          <w:p>
            <w:pPr>
              <w:spacing w:after="0" w:line="176" w:lineRule="exact"/>
              <w:rPr>
                <w:sz w:val="20"/>
                <w:szCs w:val="20"/>
                <w:color w:val="auto"/>
              </w:rPr>
            </w:pPr>
            <w:r>
              <w:rPr>
                <w:rFonts w:ascii="Arial" w:cs="Arial" w:eastAsia="Arial" w:hAnsi="Arial"/>
                <w:sz w:val="18"/>
                <w:szCs w:val="18"/>
                <w:color w:val="auto"/>
              </w:rPr>
              <w:t>Home and Building Technologies Sales</w:t>
            </w:r>
          </w:p>
        </w:tc>
        <w:tc>
          <w:tcPr>
            <w:tcW w:w="78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380" w:type="dxa"/>
            <w:vAlign w:val="bottom"/>
            <w:shd w:val="clear" w:color="auto" w:fill="E5FFFF"/>
          </w:tcPr>
          <w:p>
            <w:pPr>
              <w:spacing w:after="0"/>
              <w:rPr>
                <w:sz w:val="15"/>
                <w:szCs w:val="15"/>
                <w:color w:val="auto"/>
              </w:rPr>
            </w:pPr>
          </w:p>
        </w:tc>
        <w:tc>
          <w:tcPr>
            <w:tcW w:w="78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36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62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42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102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120" w:type="dxa"/>
            <w:vAlign w:val="bottom"/>
            <w:tcBorders>
              <w:top w:val="single" w:sz="8" w:color="auto"/>
            </w:tcBorders>
            <w:gridSpan w:val="2"/>
          </w:tcPr>
          <w:p>
            <w:pPr>
              <w:ind w:left="140"/>
              <w:spacing w:after="0" w:line="202" w:lineRule="exact"/>
              <w:rPr>
                <w:sz w:val="20"/>
                <w:szCs w:val="20"/>
                <w:color w:val="auto"/>
              </w:rPr>
            </w:pPr>
            <w:r>
              <w:rPr>
                <w:rFonts w:ascii="Arial" w:cs="Arial" w:eastAsia="Arial" w:hAnsi="Arial"/>
                <w:sz w:val="18"/>
                <w:szCs w:val="18"/>
                <w:color w:val="auto"/>
              </w:rPr>
              <w:t>Home and Building Products</w:t>
            </w:r>
          </w:p>
        </w:tc>
        <w:tc>
          <w:tcPr>
            <w:tcW w:w="2180" w:type="dxa"/>
            <w:vAlign w:val="bottom"/>
            <w:tcBorders>
              <w:top w:val="single" w:sz="8" w:color="E5FFFF"/>
            </w:tcBorders>
            <w:gridSpan w:val="2"/>
          </w:tcPr>
          <w:p>
            <w:pPr>
              <w:spacing w:after="0"/>
              <w:rPr>
                <w:sz w:val="17"/>
                <w:szCs w:val="17"/>
                <w:color w:val="auto"/>
              </w:rPr>
            </w:pPr>
          </w:p>
        </w:tc>
        <w:tc>
          <w:tcPr>
            <w:tcW w:w="780" w:type="dxa"/>
            <w:vAlign w:val="bottom"/>
            <w:tcBorders>
              <w:top w:val="single" w:sz="8" w:color="E5FFFF"/>
            </w:tcBorders>
          </w:tcPr>
          <w:p>
            <w:pPr>
              <w:spacing w:after="0"/>
              <w:rPr>
                <w:sz w:val="17"/>
                <w:szCs w:val="17"/>
                <w:color w:val="auto"/>
              </w:rPr>
            </w:pPr>
          </w:p>
        </w:tc>
        <w:tc>
          <w:tcPr>
            <w:tcW w:w="60" w:type="dxa"/>
            <w:vAlign w:val="bottom"/>
            <w:tcBorders>
              <w:top w:val="single" w:sz="8" w:color="E5FFFF"/>
            </w:tcBorders>
          </w:tcPr>
          <w:p>
            <w:pPr>
              <w:spacing w:after="0"/>
              <w:rPr>
                <w:sz w:val="17"/>
                <w:szCs w:val="17"/>
                <w:color w:val="auto"/>
              </w:rPr>
            </w:pPr>
          </w:p>
        </w:tc>
        <w:tc>
          <w:tcPr>
            <w:tcW w:w="380" w:type="dxa"/>
            <w:vAlign w:val="bottom"/>
            <w:tcBorders>
              <w:top w:val="single" w:sz="8" w:color="E5FFFF"/>
            </w:tcBorders>
          </w:tcPr>
          <w:p>
            <w:pPr>
              <w:spacing w:after="0"/>
              <w:rPr>
                <w:sz w:val="17"/>
                <w:szCs w:val="17"/>
                <w:color w:val="auto"/>
              </w:rPr>
            </w:pPr>
          </w:p>
        </w:tc>
        <w:tc>
          <w:tcPr>
            <w:tcW w:w="780" w:type="dxa"/>
            <w:vAlign w:val="bottom"/>
            <w:tcBorders>
              <w:top w:val="single" w:sz="8" w:color="E5FFFF"/>
            </w:tcBorders>
          </w:tcPr>
          <w:p>
            <w:pPr>
              <w:jc w:val="right"/>
              <w:spacing w:after="0" w:line="202" w:lineRule="exact"/>
              <w:rPr>
                <w:sz w:val="20"/>
                <w:szCs w:val="20"/>
                <w:color w:val="auto"/>
              </w:rPr>
            </w:pPr>
            <w:r>
              <w:rPr>
                <w:rFonts w:ascii="Arial" w:cs="Arial" w:eastAsia="Arial" w:hAnsi="Arial"/>
                <w:sz w:val="18"/>
                <w:szCs w:val="18"/>
                <w:color w:val="auto"/>
              </w:rPr>
              <w:t>1,441</w:t>
            </w:r>
          </w:p>
        </w:tc>
        <w:tc>
          <w:tcPr>
            <w:tcW w:w="60" w:type="dxa"/>
            <w:vAlign w:val="bottom"/>
            <w:tcBorders>
              <w:top w:val="single" w:sz="8" w:color="E5FFFF"/>
            </w:tcBorders>
          </w:tcPr>
          <w:p>
            <w:pPr>
              <w:spacing w:after="0"/>
              <w:rPr>
                <w:sz w:val="17"/>
                <w:szCs w:val="17"/>
                <w:color w:val="auto"/>
              </w:rPr>
            </w:pPr>
          </w:p>
        </w:tc>
        <w:tc>
          <w:tcPr>
            <w:tcW w:w="360" w:type="dxa"/>
            <w:vAlign w:val="bottom"/>
            <w:tcBorders>
              <w:top w:val="single" w:sz="8" w:color="E5FFFF"/>
            </w:tcBorders>
          </w:tcPr>
          <w:p>
            <w:pPr>
              <w:spacing w:after="0"/>
              <w:rPr>
                <w:sz w:val="17"/>
                <w:szCs w:val="17"/>
                <w:color w:val="auto"/>
              </w:rPr>
            </w:pPr>
          </w:p>
        </w:tc>
        <w:tc>
          <w:tcPr>
            <w:tcW w:w="20" w:type="dxa"/>
            <w:vAlign w:val="bottom"/>
            <w:tcBorders>
              <w:top w:val="single" w:sz="8" w:color="E5FFFF"/>
            </w:tcBorders>
          </w:tcPr>
          <w:p>
            <w:pPr>
              <w:spacing w:after="0"/>
              <w:rPr>
                <w:sz w:val="17"/>
                <w:szCs w:val="17"/>
                <w:color w:val="auto"/>
              </w:rPr>
            </w:pPr>
          </w:p>
        </w:tc>
        <w:tc>
          <w:tcPr>
            <w:tcW w:w="20" w:type="dxa"/>
            <w:vAlign w:val="bottom"/>
            <w:tcBorders>
              <w:top w:val="single" w:sz="8" w:color="E5FFFF"/>
            </w:tcBorders>
          </w:tcPr>
          <w:p>
            <w:pPr>
              <w:spacing w:after="0"/>
              <w:rPr>
                <w:sz w:val="17"/>
                <w:szCs w:val="17"/>
                <w:color w:val="auto"/>
              </w:rPr>
            </w:pPr>
          </w:p>
        </w:tc>
        <w:tc>
          <w:tcPr>
            <w:tcW w:w="620" w:type="dxa"/>
            <w:vAlign w:val="bottom"/>
            <w:tcBorders>
              <w:top w:val="single" w:sz="8" w:color="E5FFFF"/>
            </w:tcBorders>
          </w:tcPr>
          <w:p>
            <w:pPr>
              <w:spacing w:after="0"/>
              <w:rPr>
                <w:sz w:val="17"/>
                <w:szCs w:val="17"/>
                <w:color w:val="auto"/>
              </w:rPr>
            </w:pPr>
          </w:p>
        </w:tc>
        <w:tc>
          <w:tcPr>
            <w:tcW w:w="560" w:type="dxa"/>
            <w:vAlign w:val="bottom"/>
            <w:tcBorders>
              <w:top w:val="single" w:sz="8" w:color="E5FFFF"/>
            </w:tcBorders>
            <w:gridSpan w:val="2"/>
          </w:tcPr>
          <w:p>
            <w:pPr>
              <w:jc w:val="right"/>
              <w:ind w:right="40"/>
              <w:spacing w:after="0" w:line="202" w:lineRule="exact"/>
              <w:rPr>
                <w:sz w:val="20"/>
                <w:szCs w:val="20"/>
                <w:color w:val="auto"/>
              </w:rPr>
            </w:pPr>
            <w:r>
              <w:rPr>
                <w:rFonts w:ascii="Arial" w:cs="Arial" w:eastAsia="Arial" w:hAnsi="Arial"/>
                <w:sz w:val="18"/>
                <w:szCs w:val="18"/>
                <w:color w:val="auto"/>
              </w:rPr>
              <w:t>1,398</w:t>
            </w:r>
          </w:p>
        </w:tc>
        <w:tc>
          <w:tcPr>
            <w:tcW w:w="60" w:type="dxa"/>
            <w:vAlign w:val="bottom"/>
            <w:tcBorders>
              <w:top w:val="single" w:sz="8" w:color="E5FFFF"/>
            </w:tcBorders>
          </w:tcPr>
          <w:p>
            <w:pPr>
              <w:spacing w:after="0"/>
              <w:rPr>
                <w:sz w:val="17"/>
                <w:szCs w:val="17"/>
                <w:color w:val="auto"/>
              </w:rPr>
            </w:pPr>
          </w:p>
        </w:tc>
        <w:tc>
          <w:tcPr>
            <w:tcW w:w="1220" w:type="dxa"/>
            <w:vAlign w:val="bottom"/>
            <w:tcBorders>
              <w:top w:val="single" w:sz="8" w:color="E5FFFF"/>
            </w:tcBorders>
            <w:gridSpan w:val="3"/>
          </w:tcPr>
          <w:p>
            <w:pPr>
              <w:jc w:val="center"/>
              <w:ind w:left="113"/>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1220" w:type="dxa"/>
            <w:vAlign w:val="bottom"/>
            <w:tcBorders>
              <w:right w:val="single" w:sz="8" w:color="E5FFFF"/>
            </w:tcBorders>
          </w:tcPr>
          <w:p>
            <w:pPr>
              <w:spacing w:after="0"/>
              <w:rPr>
                <w:sz w:val="18"/>
                <w:szCs w:val="18"/>
                <w:color w:val="auto"/>
              </w:rPr>
            </w:pPr>
          </w:p>
        </w:tc>
        <w:tc>
          <w:tcPr>
            <w:tcW w:w="5300" w:type="dxa"/>
            <w:vAlign w:val="bottom"/>
            <w:gridSpan w:val="4"/>
            <w:shd w:val="clear" w:color="auto" w:fill="E5FFFF"/>
          </w:tcPr>
          <w:p>
            <w:pPr>
              <w:ind w:left="140"/>
              <w:spacing w:after="0"/>
              <w:rPr>
                <w:sz w:val="20"/>
                <w:szCs w:val="20"/>
                <w:color w:val="auto"/>
              </w:rPr>
            </w:pPr>
            <w:r>
              <w:rPr>
                <w:rFonts w:ascii="Arial" w:cs="Arial" w:eastAsia="Arial" w:hAnsi="Arial"/>
                <w:sz w:val="18"/>
                <w:szCs w:val="18"/>
                <w:color w:val="auto"/>
              </w:rPr>
              <w:t>Home and Building Distribution</w:t>
            </w:r>
          </w:p>
        </w:tc>
        <w:tc>
          <w:tcPr>
            <w:tcW w:w="7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8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1,112</w:t>
            </w:r>
          </w:p>
        </w:tc>
        <w:tc>
          <w:tcPr>
            <w:tcW w:w="60" w:type="dxa"/>
            <w:vAlign w:val="bottom"/>
            <w:tcBorders>
              <w:bottom w:val="single" w:sz="8" w:color="auto"/>
            </w:tcBorders>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20" w:type="dxa"/>
            <w:vAlign w:val="bottom"/>
            <w:tcBorders>
              <w:bottom w:val="single" w:sz="8" w:color="auto"/>
            </w:tcBorders>
            <w:shd w:val="clear" w:color="auto" w:fill="E5FFFF"/>
          </w:tcPr>
          <w:p>
            <w:pPr>
              <w:spacing w:after="0"/>
              <w:rPr>
                <w:sz w:val="18"/>
                <w:szCs w:val="18"/>
                <w:color w:val="auto"/>
              </w:rPr>
            </w:pPr>
          </w:p>
        </w:tc>
        <w:tc>
          <w:tcPr>
            <w:tcW w:w="56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1,079</w:t>
            </w:r>
          </w:p>
        </w:tc>
        <w:tc>
          <w:tcPr>
            <w:tcW w:w="60" w:type="dxa"/>
            <w:vAlign w:val="bottom"/>
            <w:tcBorders>
              <w:bottom w:val="single" w:sz="8" w:color="auto"/>
            </w:tcBorders>
            <w:shd w:val="clear" w:color="auto" w:fill="E5FFFF"/>
          </w:tcPr>
          <w:p>
            <w:pPr>
              <w:spacing w:after="0"/>
              <w:rPr>
                <w:sz w:val="18"/>
                <w:szCs w:val="18"/>
                <w:color w:val="auto"/>
              </w:rPr>
            </w:pPr>
          </w:p>
        </w:tc>
        <w:tc>
          <w:tcPr>
            <w:tcW w:w="1220" w:type="dxa"/>
            <w:vAlign w:val="bottom"/>
            <w:gridSpan w:val="3"/>
            <w:shd w:val="clear" w:color="auto" w:fill="E5FFFF"/>
          </w:tcPr>
          <w:p>
            <w:pPr>
              <w:jc w:val="center"/>
              <w:ind w:left="113"/>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300" w:type="dxa"/>
            <w:vAlign w:val="bottom"/>
            <w:gridSpan w:val="4"/>
          </w:tcPr>
          <w:p>
            <w:pPr>
              <w:ind w:left="320"/>
              <w:spacing w:after="0"/>
              <w:rPr>
                <w:sz w:val="20"/>
                <w:szCs w:val="20"/>
                <w:color w:val="auto"/>
              </w:rPr>
            </w:pPr>
            <w:r>
              <w:rPr>
                <w:rFonts w:ascii="Arial" w:cs="Arial" w:eastAsia="Arial" w:hAnsi="Arial"/>
                <w:sz w:val="18"/>
                <w:szCs w:val="18"/>
                <w:color w:val="auto"/>
              </w:rPr>
              <w:t>Total Home and Building Technologies Sales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2,553</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20" w:type="dxa"/>
            <w:vAlign w:val="bottom"/>
            <w:tcBorders>
              <w:right w:val="single" w:sz="8" w:color="E5FFFF"/>
            </w:tcBorders>
          </w:tcPr>
          <w:p>
            <w:pPr>
              <w:spacing w:after="0"/>
              <w:rPr>
                <w:sz w:val="15"/>
                <w:szCs w:val="15"/>
                <w:color w:val="auto"/>
              </w:rPr>
            </w:pPr>
          </w:p>
        </w:tc>
        <w:tc>
          <w:tcPr>
            <w:tcW w:w="5300" w:type="dxa"/>
            <w:vAlign w:val="bottom"/>
            <w:gridSpan w:val="4"/>
            <w:shd w:val="clear" w:color="auto" w:fill="E5FFFF"/>
          </w:tcPr>
          <w:p>
            <w:pPr>
              <w:spacing w:after="0" w:line="176" w:lineRule="exact"/>
              <w:rPr>
                <w:sz w:val="20"/>
                <w:szCs w:val="20"/>
                <w:color w:val="auto"/>
              </w:rPr>
            </w:pPr>
            <w:r>
              <w:rPr>
                <w:rFonts w:ascii="Arial" w:cs="Arial" w:eastAsia="Arial" w:hAnsi="Arial"/>
                <w:sz w:val="18"/>
                <w:szCs w:val="18"/>
                <w:color w:val="auto"/>
              </w:rPr>
              <w:t>Performance Materials and Technologies Sales</w:t>
            </w:r>
          </w:p>
        </w:tc>
        <w:tc>
          <w:tcPr>
            <w:tcW w:w="78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380" w:type="dxa"/>
            <w:vAlign w:val="bottom"/>
            <w:shd w:val="clear" w:color="auto" w:fill="E5FFFF"/>
          </w:tcPr>
          <w:p>
            <w:pPr>
              <w:spacing w:after="0"/>
              <w:rPr>
                <w:sz w:val="15"/>
                <w:szCs w:val="15"/>
                <w:color w:val="auto"/>
              </w:rPr>
            </w:pPr>
          </w:p>
        </w:tc>
        <w:tc>
          <w:tcPr>
            <w:tcW w:w="78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36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62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42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102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3760" w:type="dxa"/>
            <w:vAlign w:val="bottom"/>
            <w:tcBorders>
              <w:top w:val="single" w:sz="8" w:color="auto"/>
            </w:tcBorders>
            <w:gridSpan w:val="3"/>
          </w:tcPr>
          <w:p>
            <w:pPr>
              <w:ind w:left="140"/>
              <w:spacing w:after="0" w:line="202" w:lineRule="exact"/>
              <w:rPr>
                <w:sz w:val="20"/>
                <w:szCs w:val="20"/>
                <w:color w:val="auto"/>
              </w:rPr>
            </w:pPr>
            <w:r>
              <w:rPr>
                <w:rFonts w:ascii="Arial" w:cs="Arial" w:eastAsia="Arial" w:hAnsi="Arial"/>
                <w:sz w:val="18"/>
                <w:szCs w:val="18"/>
                <w:color w:val="auto"/>
              </w:rPr>
              <w:t>UOP</w:t>
            </w:r>
          </w:p>
        </w:tc>
        <w:tc>
          <w:tcPr>
            <w:tcW w:w="1540" w:type="dxa"/>
            <w:vAlign w:val="bottom"/>
            <w:tcBorders>
              <w:top w:val="single" w:sz="8" w:color="E5FFFF"/>
            </w:tcBorders>
          </w:tcPr>
          <w:p>
            <w:pPr>
              <w:spacing w:after="0"/>
              <w:rPr>
                <w:sz w:val="17"/>
                <w:szCs w:val="17"/>
                <w:color w:val="auto"/>
              </w:rPr>
            </w:pPr>
          </w:p>
        </w:tc>
        <w:tc>
          <w:tcPr>
            <w:tcW w:w="780" w:type="dxa"/>
            <w:vAlign w:val="bottom"/>
            <w:tcBorders>
              <w:top w:val="single" w:sz="8" w:color="E5FFFF"/>
            </w:tcBorders>
          </w:tcPr>
          <w:p>
            <w:pPr>
              <w:spacing w:after="0"/>
              <w:rPr>
                <w:sz w:val="17"/>
                <w:szCs w:val="17"/>
                <w:color w:val="auto"/>
              </w:rPr>
            </w:pPr>
          </w:p>
        </w:tc>
        <w:tc>
          <w:tcPr>
            <w:tcW w:w="60" w:type="dxa"/>
            <w:vAlign w:val="bottom"/>
            <w:tcBorders>
              <w:top w:val="single" w:sz="8" w:color="E5FFFF"/>
            </w:tcBorders>
          </w:tcPr>
          <w:p>
            <w:pPr>
              <w:spacing w:after="0"/>
              <w:rPr>
                <w:sz w:val="17"/>
                <w:szCs w:val="17"/>
                <w:color w:val="auto"/>
              </w:rPr>
            </w:pPr>
          </w:p>
        </w:tc>
        <w:tc>
          <w:tcPr>
            <w:tcW w:w="380" w:type="dxa"/>
            <w:vAlign w:val="bottom"/>
            <w:tcBorders>
              <w:top w:val="single" w:sz="8" w:color="E5FFFF"/>
            </w:tcBorders>
          </w:tcPr>
          <w:p>
            <w:pPr>
              <w:spacing w:after="0"/>
              <w:rPr>
                <w:sz w:val="17"/>
                <w:szCs w:val="17"/>
                <w:color w:val="auto"/>
              </w:rPr>
            </w:pPr>
          </w:p>
        </w:tc>
        <w:tc>
          <w:tcPr>
            <w:tcW w:w="780" w:type="dxa"/>
            <w:vAlign w:val="bottom"/>
            <w:tcBorders>
              <w:top w:val="single" w:sz="8" w:color="E5FFFF"/>
            </w:tcBorders>
          </w:tcPr>
          <w:p>
            <w:pPr>
              <w:jc w:val="right"/>
              <w:spacing w:after="0" w:line="202" w:lineRule="exact"/>
              <w:rPr>
                <w:sz w:val="20"/>
                <w:szCs w:val="20"/>
                <w:color w:val="auto"/>
              </w:rPr>
            </w:pPr>
            <w:r>
              <w:rPr>
                <w:rFonts w:ascii="Arial" w:cs="Arial" w:eastAsia="Arial" w:hAnsi="Arial"/>
                <w:sz w:val="18"/>
                <w:szCs w:val="18"/>
                <w:color w:val="auto"/>
              </w:rPr>
              <w:t>577</w:t>
            </w:r>
          </w:p>
        </w:tc>
        <w:tc>
          <w:tcPr>
            <w:tcW w:w="60" w:type="dxa"/>
            <w:vAlign w:val="bottom"/>
            <w:tcBorders>
              <w:top w:val="single" w:sz="8" w:color="E5FFFF"/>
            </w:tcBorders>
          </w:tcPr>
          <w:p>
            <w:pPr>
              <w:spacing w:after="0"/>
              <w:rPr>
                <w:sz w:val="17"/>
                <w:szCs w:val="17"/>
                <w:color w:val="auto"/>
              </w:rPr>
            </w:pPr>
          </w:p>
        </w:tc>
        <w:tc>
          <w:tcPr>
            <w:tcW w:w="360" w:type="dxa"/>
            <w:vAlign w:val="bottom"/>
            <w:tcBorders>
              <w:top w:val="single" w:sz="8" w:color="E5FFFF"/>
            </w:tcBorders>
          </w:tcPr>
          <w:p>
            <w:pPr>
              <w:spacing w:after="0"/>
              <w:rPr>
                <w:sz w:val="17"/>
                <w:szCs w:val="17"/>
                <w:color w:val="auto"/>
              </w:rPr>
            </w:pPr>
          </w:p>
        </w:tc>
        <w:tc>
          <w:tcPr>
            <w:tcW w:w="20" w:type="dxa"/>
            <w:vAlign w:val="bottom"/>
            <w:tcBorders>
              <w:top w:val="single" w:sz="8" w:color="E5FFFF"/>
            </w:tcBorders>
          </w:tcPr>
          <w:p>
            <w:pPr>
              <w:spacing w:after="0"/>
              <w:rPr>
                <w:sz w:val="17"/>
                <w:szCs w:val="17"/>
                <w:color w:val="auto"/>
              </w:rPr>
            </w:pPr>
          </w:p>
        </w:tc>
        <w:tc>
          <w:tcPr>
            <w:tcW w:w="20" w:type="dxa"/>
            <w:vAlign w:val="bottom"/>
            <w:tcBorders>
              <w:top w:val="single" w:sz="8" w:color="E5FFFF"/>
            </w:tcBorders>
          </w:tcPr>
          <w:p>
            <w:pPr>
              <w:spacing w:after="0"/>
              <w:rPr>
                <w:sz w:val="17"/>
                <w:szCs w:val="17"/>
                <w:color w:val="auto"/>
              </w:rPr>
            </w:pPr>
          </w:p>
        </w:tc>
        <w:tc>
          <w:tcPr>
            <w:tcW w:w="620" w:type="dxa"/>
            <w:vAlign w:val="bottom"/>
            <w:tcBorders>
              <w:top w:val="single" w:sz="8" w:color="E5FFFF"/>
            </w:tcBorders>
          </w:tcPr>
          <w:p>
            <w:pPr>
              <w:spacing w:after="0"/>
              <w:rPr>
                <w:sz w:val="17"/>
                <w:szCs w:val="17"/>
                <w:color w:val="auto"/>
              </w:rPr>
            </w:pPr>
          </w:p>
        </w:tc>
        <w:tc>
          <w:tcPr>
            <w:tcW w:w="560" w:type="dxa"/>
            <w:vAlign w:val="bottom"/>
            <w:tcBorders>
              <w:top w:val="single" w:sz="8" w:color="E5FFFF"/>
            </w:tcBorders>
            <w:gridSpan w:val="2"/>
          </w:tcPr>
          <w:p>
            <w:pPr>
              <w:jc w:val="right"/>
              <w:ind w:right="40"/>
              <w:spacing w:after="0" w:line="202" w:lineRule="exact"/>
              <w:rPr>
                <w:sz w:val="20"/>
                <w:szCs w:val="20"/>
                <w:color w:val="auto"/>
              </w:rPr>
            </w:pPr>
            <w:r>
              <w:rPr>
                <w:rFonts w:ascii="Arial" w:cs="Arial" w:eastAsia="Arial" w:hAnsi="Arial"/>
                <w:sz w:val="18"/>
                <w:szCs w:val="18"/>
                <w:color w:val="auto"/>
              </w:rPr>
              <w:t>568</w:t>
            </w:r>
          </w:p>
        </w:tc>
        <w:tc>
          <w:tcPr>
            <w:tcW w:w="60" w:type="dxa"/>
            <w:vAlign w:val="bottom"/>
            <w:tcBorders>
              <w:top w:val="single" w:sz="8" w:color="E5FFFF"/>
            </w:tcBorders>
          </w:tcPr>
          <w:p>
            <w:pPr>
              <w:spacing w:after="0"/>
              <w:rPr>
                <w:sz w:val="17"/>
                <w:szCs w:val="17"/>
                <w:color w:val="auto"/>
              </w:rPr>
            </w:pPr>
          </w:p>
        </w:tc>
        <w:tc>
          <w:tcPr>
            <w:tcW w:w="1220" w:type="dxa"/>
            <w:vAlign w:val="bottom"/>
            <w:tcBorders>
              <w:top w:val="single" w:sz="8" w:color="E5FFFF"/>
            </w:tcBorders>
            <w:gridSpan w:val="3"/>
          </w:tcPr>
          <w:p>
            <w:pPr>
              <w:jc w:val="center"/>
              <w:ind w:left="113"/>
              <w:spacing w:after="0" w:line="202"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1220" w:type="dxa"/>
            <w:vAlign w:val="bottom"/>
            <w:tcBorders>
              <w:right w:val="single" w:sz="8" w:color="E5FFFF"/>
            </w:tcBorders>
          </w:tcPr>
          <w:p>
            <w:pPr>
              <w:spacing w:after="0"/>
              <w:rPr>
                <w:sz w:val="17"/>
                <w:szCs w:val="17"/>
                <w:color w:val="auto"/>
              </w:rPr>
            </w:pPr>
          </w:p>
        </w:tc>
        <w:tc>
          <w:tcPr>
            <w:tcW w:w="5300" w:type="dxa"/>
            <w:vAlign w:val="bottom"/>
            <w:gridSpan w:val="4"/>
            <w:shd w:val="clear" w:color="auto" w:fill="E5FFFF"/>
          </w:tcPr>
          <w:p>
            <w:pPr>
              <w:ind w:left="140"/>
              <w:spacing w:after="0" w:line="202" w:lineRule="exact"/>
              <w:rPr>
                <w:sz w:val="20"/>
                <w:szCs w:val="20"/>
                <w:color w:val="auto"/>
              </w:rPr>
            </w:pPr>
            <w:r>
              <w:rPr>
                <w:rFonts w:ascii="Arial" w:cs="Arial" w:eastAsia="Arial" w:hAnsi="Arial"/>
                <w:sz w:val="18"/>
                <w:szCs w:val="18"/>
                <w:color w:val="auto"/>
              </w:rPr>
              <w:t>Process Solutions</w:t>
            </w:r>
          </w:p>
        </w:tc>
        <w:tc>
          <w:tcPr>
            <w:tcW w:w="78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825</w:t>
            </w:r>
          </w:p>
        </w:tc>
        <w:tc>
          <w:tcPr>
            <w:tcW w:w="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5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837</w:t>
            </w:r>
          </w:p>
        </w:tc>
        <w:tc>
          <w:tcPr>
            <w:tcW w:w="60" w:type="dxa"/>
            <w:vAlign w:val="bottom"/>
            <w:shd w:val="clear" w:color="auto" w:fill="E5FFFF"/>
          </w:tcPr>
          <w:p>
            <w:pPr>
              <w:spacing w:after="0"/>
              <w:rPr>
                <w:sz w:val="17"/>
                <w:szCs w:val="17"/>
                <w:color w:val="auto"/>
              </w:rPr>
            </w:pPr>
          </w:p>
        </w:tc>
        <w:tc>
          <w:tcPr>
            <w:tcW w:w="1220" w:type="dxa"/>
            <w:vAlign w:val="bottom"/>
            <w:gridSpan w:val="3"/>
            <w:shd w:val="clear" w:color="auto" w:fill="E5FFFF"/>
          </w:tcPr>
          <w:p>
            <w:pPr>
              <w:jc w:val="center"/>
              <w:ind w:left="113"/>
              <w:spacing w:after="0" w:line="20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300" w:type="dxa"/>
            <w:vAlign w:val="bottom"/>
            <w:tcBorders>
              <w:bottom w:val="single" w:sz="8" w:color="E5FFFF"/>
            </w:tcBorders>
            <w:gridSpan w:val="4"/>
          </w:tcPr>
          <w:p>
            <w:pPr>
              <w:ind w:left="140"/>
              <w:spacing w:after="0"/>
              <w:rPr>
                <w:sz w:val="20"/>
                <w:szCs w:val="20"/>
                <w:color w:val="auto"/>
              </w:rPr>
            </w:pPr>
            <w:r>
              <w:rPr>
                <w:rFonts w:ascii="Arial" w:cs="Arial" w:eastAsia="Arial" w:hAnsi="Arial"/>
                <w:sz w:val="18"/>
                <w:szCs w:val="18"/>
                <w:color w:val="auto"/>
              </w:rPr>
              <w:t>Advanced Materials</w:t>
            </w:r>
          </w:p>
        </w:tc>
        <w:tc>
          <w:tcPr>
            <w:tcW w:w="780" w:type="dxa"/>
            <w:vAlign w:val="bottom"/>
            <w:tcBorders>
              <w:bottom w:val="single" w:sz="8" w:color="E5FFFF"/>
            </w:tcBorders>
          </w:tcPr>
          <w:p>
            <w:pPr>
              <w:spacing w:after="0"/>
              <w:rPr>
                <w:sz w:val="18"/>
                <w:szCs w:val="18"/>
                <w:color w:val="auto"/>
              </w:rPr>
            </w:pPr>
          </w:p>
        </w:tc>
        <w:tc>
          <w:tcPr>
            <w:tcW w:w="60" w:type="dxa"/>
            <w:vAlign w:val="bottom"/>
            <w:tcBorders>
              <w:bottom w:val="single" w:sz="8" w:color="E5FF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876</w:t>
            </w:r>
          </w:p>
        </w:tc>
        <w:tc>
          <w:tcPr>
            <w:tcW w:w="60" w:type="dxa"/>
            <w:vAlign w:val="bottom"/>
            <w:tcBorders>
              <w:bottom w:val="single" w:sz="8" w:color="auto"/>
            </w:tcBorders>
          </w:tcPr>
          <w:p>
            <w:pPr>
              <w:spacing w:after="0"/>
              <w:rPr>
                <w:sz w:val="18"/>
                <w:szCs w:val="18"/>
                <w:color w:val="auto"/>
              </w:rPr>
            </w:pPr>
          </w:p>
        </w:tc>
        <w:tc>
          <w:tcPr>
            <w:tcW w:w="1220" w:type="dxa"/>
            <w:vAlign w:val="bottom"/>
            <w:tcBorders>
              <w:bottom w:val="single" w:sz="8" w:color="E5FFFF"/>
            </w:tcBorders>
            <w:gridSpan w:val="3"/>
          </w:tcPr>
          <w:p>
            <w:pPr>
              <w:jc w:val="center"/>
              <w:ind w:left="93"/>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196"/>
        </w:trPr>
        <w:tc>
          <w:tcPr>
            <w:tcW w:w="1220" w:type="dxa"/>
            <w:vAlign w:val="bottom"/>
            <w:tcBorders>
              <w:right w:val="single" w:sz="8" w:color="E5FFFF"/>
            </w:tcBorders>
          </w:tcPr>
          <w:p>
            <w:pPr>
              <w:spacing w:after="0"/>
              <w:rPr>
                <w:sz w:val="17"/>
                <w:szCs w:val="17"/>
                <w:color w:val="auto"/>
              </w:rPr>
            </w:pPr>
          </w:p>
        </w:tc>
        <w:tc>
          <w:tcPr>
            <w:tcW w:w="5300" w:type="dxa"/>
            <w:vAlign w:val="bottom"/>
            <w:gridSpan w:val="4"/>
            <w:shd w:val="clear" w:color="auto" w:fill="E5FFFF"/>
          </w:tcPr>
          <w:p>
            <w:pPr>
              <w:ind w:left="320"/>
              <w:spacing w:after="0" w:line="196" w:lineRule="exact"/>
              <w:rPr>
                <w:sz w:val="20"/>
                <w:szCs w:val="20"/>
                <w:color w:val="auto"/>
              </w:rPr>
            </w:pPr>
            <w:r>
              <w:rPr>
                <w:rFonts w:ascii="Arial" w:cs="Arial" w:eastAsia="Arial" w:hAnsi="Arial"/>
                <w:sz w:val="18"/>
                <w:szCs w:val="18"/>
                <w:color w:val="auto"/>
              </w:rPr>
              <w:t>Total Performance Materials and Technologies Sales</w:t>
            </w:r>
          </w:p>
        </w:tc>
        <w:tc>
          <w:tcPr>
            <w:tcW w:w="78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2,069</w:t>
            </w:r>
          </w:p>
        </w:tc>
        <w:tc>
          <w:tcPr>
            <w:tcW w:w="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560" w:type="dxa"/>
            <w:vAlign w:val="bottom"/>
            <w:gridSpan w:val="2"/>
            <w:shd w:val="clear" w:color="auto" w:fill="E5FFFF"/>
          </w:tcPr>
          <w:p>
            <w:pPr>
              <w:jc w:val="right"/>
              <w:ind w:right="40"/>
              <w:spacing w:after="0" w:line="196" w:lineRule="exact"/>
              <w:rPr>
                <w:sz w:val="20"/>
                <w:szCs w:val="20"/>
                <w:color w:val="auto"/>
              </w:rPr>
            </w:pPr>
            <w:r>
              <w:rPr>
                <w:rFonts w:ascii="Arial" w:cs="Arial" w:eastAsia="Arial" w:hAnsi="Arial"/>
                <w:sz w:val="18"/>
                <w:szCs w:val="18"/>
                <w:color w:val="auto"/>
              </w:rPr>
              <w:t>2,281</w:t>
            </w:r>
          </w:p>
        </w:tc>
        <w:tc>
          <w:tcPr>
            <w:tcW w:w="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220" w:type="dxa"/>
            <w:vAlign w:val="bottom"/>
          </w:tcPr>
          <w:p>
            <w:pPr>
              <w:spacing w:after="0"/>
              <w:rPr>
                <w:sz w:val="24"/>
                <w:szCs w:val="24"/>
                <w:color w:val="auto"/>
              </w:rPr>
            </w:pPr>
          </w:p>
        </w:tc>
        <w:tc>
          <w:tcPr>
            <w:tcW w:w="5300" w:type="dxa"/>
            <w:vAlign w:val="bottom"/>
            <w:gridSpan w:val="4"/>
          </w:tcPr>
          <w:p>
            <w:pPr>
              <w:spacing w:after="0"/>
              <w:rPr>
                <w:sz w:val="20"/>
                <w:szCs w:val="20"/>
                <w:color w:val="auto"/>
              </w:rPr>
            </w:pPr>
            <w:r>
              <w:rPr>
                <w:rFonts w:ascii="Arial" w:cs="Arial" w:eastAsia="Arial" w:hAnsi="Arial"/>
                <w:sz w:val="18"/>
                <w:szCs w:val="18"/>
                <w:color w:val="auto"/>
              </w:rPr>
              <w:t>Safety and Productivity Solutions Sales</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20" w:type="dxa"/>
            <w:vAlign w:val="bottom"/>
            <w:tcBorders>
              <w:right w:val="single" w:sz="8" w:color="E5FFFF"/>
            </w:tcBorders>
          </w:tcPr>
          <w:p>
            <w:pPr>
              <w:spacing w:after="0"/>
              <w:rPr>
                <w:sz w:val="17"/>
                <w:szCs w:val="17"/>
                <w:color w:val="auto"/>
              </w:rPr>
            </w:pPr>
          </w:p>
        </w:tc>
        <w:tc>
          <w:tcPr>
            <w:tcW w:w="3120" w:type="dxa"/>
            <w:vAlign w:val="bottom"/>
            <w:tcBorders>
              <w:top w:val="single" w:sz="8" w:color="auto"/>
            </w:tcBorders>
            <w:gridSpan w:val="2"/>
            <w:shd w:val="clear" w:color="auto" w:fill="E5FFFF"/>
          </w:tcPr>
          <w:p>
            <w:pPr>
              <w:ind w:left="140"/>
              <w:spacing w:after="0" w:line="202" w:lineRule="exact"/>
              <w:rPr>
                <w:sz w:val="20"/>
                <w:szCs w:val="20"/>
                <w:color w:val="auto"/>
              </w:rPr>
            </w:pPr>
            <w:r>
              <w:rPr>
                <w:rFonts w:ascii="Arial" w:cs="Arial" w:eastAsia="Arial" w:hAnsi="Arial"/>
                <w:sz w:val="18"/>
                <w:szCs w:val="18"/>
                <w:color w:val="auto"/>
              </w:rPr>
              <w:t>Safety</w:t>
            </w:r>
          </w:p>
        </w:tc>
        <w:tc>
          <w:tcPr>
            <w:tcW w:w="2180" w:type="dxa"/>
            <w:vAlign w:val="bottom"/>
            <w:gridSpan w:val="2"/>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521</w:t>
            </w:r>
          </w:p>
        </w:tc>
        <w:tc>
          <w:tcPr>
            <w:tcW w:w="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5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508</w:t>
            </w:r>
          </w:p>
        </w:tc>
        <w:tc>
          <w:tcPr>
            <w:tcW w:w="60" w:type="dxa"/>
            <w:vAlign w:val="bottom"/>
            <w:shd w:val="clear" w:color="auto" w:fill="E5FFFF"/>
          </w:tcPr>
          <w:p>
            <w:pPr>
              <w:spacing w:after="0"/>
              <w:rPr>
                <w:sz w:val="17"/>
                <w:szCs w:val="17"/>
                <w:color w:val="auto"/>
              </w:rPr>
            </w:pPr>
          </w:p>
        </w:tc>
        <w:tc>
          <w:tcPr>
            <w:tcW w:w="1220" w:type="dxa"/>
            <w:vAlign w:val="bottom"/>
            <w:gridSpan w:val="3"/>
            <w:shd w:val="clear" w:color="auto" w:fill="E5FFFF"/>
          </w:tcPr>
          <w:p>
            <w:pPr>
              <w:jc w:val="center"/>
              <w:ind w:left="113"/>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300" w:type="dxa"/>
            <w:vAlign w:val="bottom"/>
            <w:tcBorders>
              <w:bottom w:val="single" w:sz="8" w:color="E5FFFF"/>
            </w:tcBorders>
            <w:gridSpan w:val="4"/>
          </w:tcPr>
          <w:p>
            <w:pPr>
              <w:ind w:left="140"/>
              <w:spacing w:after="0"/>
              <w:rPr>
                <w:sz w:val="20"/>
                <w:szCs w:val="20"/>
                <w:color w:val="auto"/>
              </w:rPr>
            </w:pPr>
            <w:r>
              <w:rPr>
                <w:rFonts w:ascii="Arial" w:cs="Arial" w:eastAsia="Arial" w:hAnsi="Arial"/>
                <w:sz w:val="18"/>
                <w:szCs w:val="18"/>
                <w:color w:val="auto"/>
              </w:rPr>
              <w:t>Productivity Solutions</w:t>
            </w:r>
          </w:p>
        </w:tc>
        <w:tc>
          <w:tcPr>
            <w:tcW w:w="780" w:type="dxa"/>
            <w:vAlign w:val="bottom"/>
            <w:tcBorders>
              <w:bottom w:val="single" w:sz="8" w:color="E5FFFF"/>
            </w:tcBorders>
          </w:tcPr>
          <w:p>
            <w:pPr>
              <w:spacing w:after="0"/>
              <w:rPr>
                <w:sz w:val="18"/>
                <w:szCs w:val="18"/>
                <w:color w:val="auto"/>
              </w:rPr>
            </w:pPr>
          </w:p>
        </w:tc>
        <w:tc>
          <w:tcPr>
            <w:tcW w:w="60" w:type="dxa"/>
            <w:vAlign w:val="bottom"/>
            <w:tcBorders>
              <w:bottom w:val="single" w:sz="8" w:color="E5FF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551</w:t>
            </w:r>
          </w:p>
        </w:tc>
        <w:tc>
          <w:tcPr>
            <w:tcW w:w="60" w:type="dxa"/>
            <w:vAlign w:val="bottom"/>
            <w:tcBorders>
              <w:bottom w:val="single" w:sz="8" w:color="auto"/>
            </w:tcBorders>
          </w:tcPr>
          <w:p>
            <w:pPr>
              <w:spacing w:after="0"/>
              <w:rPr>
                <w:sz w:val="18"/>
                <w:szCs w:val="18"/>
                <w:color w:val="auto"/>
              </w:rPr>
            </w:pPr>
          </w:p>
        </w:tc>
        <w:tc>
          <w:tcPr>
            <w:tcW w:w="1220" w:type="dxa"/>
            <w:vAlign w:val="bottom"/>
            <w:tcBorders>
              <w:bottom w:val="single" w:sz="8" w:color="E5FFFF"/>
            </w:tcBorders>
            <w:gridSpan w:val="3"/>
          </w:tcPr>
          <w:p>
            <w:pPr>
              <w:jc w:val="center"/>
              <w:ind w:left="93"/>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196"/>
        </w:trPr>
        <w:tc>
          <w:tcPr>
            <w:tcW w:w="1220" w:type="dxa"/>
            <w:vAlign w:val="bottom"/>
            <w:tcBorders>
              <w:right w:val="single" w:sz="8" w:color="E5FFFF"/>
            </w:tcBorders>
          </w:tcPr>
          <w:p>
            <w:pPr>
              <w:spacing w:after="0"/>
              <w:rPr>
                <w:sz w:val="17"/>
                <w:szCs w:val="17"/>
                <w:color w:val="auto"/>
              </w:rPr>
            </w:pPr>
          </w:p>
        </w:tc>
        <w:tc>
          <w:tcPr>
            <w:tcW w:w="5300" w:type="dxa"/>
            <w:vAlign w:val="bottom"/>
            <w:gridSpan w:val="4"/>
            <w:shd w:val="clear" w:color="auto" w:fill="E5FFFF"/>
          </w:tcPr>
          <w:p>
            <w:pPr>
              <w:ind w:left="320"/>
              <w:spacing w:after="0" w:line="196" w:lineRule="exact"/>
              <w:rPr>
                <w:sz w:val="20"/>
                <w:szCs w:val="20"/>
                <w:color w:val="auto"/>
              </w:rPr>
            </w:pPr>
            <w:r>
              <w:rPr>
                <w:rFonts w:ascii="Arial" w:cs="Arial" w:eastAsia="Arial" w:hAnsi="Arial"/>
                <w:sz w:val="18"/>
                <w:szCs w:val="18"/>
                <w:color w:val="auto"/>
              </w:rPr>
              <w:t>Total Safety and Productivity Solutions Sales</w:t>
            </w:r>
          </w:p>
        </w:tc>
        <w:tc>
          <w:tcPr>
            <w:tcW w:w="78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1,324</w:t>
            </w:r>
          </w:p>
        </w:tc>
        <w:tc>
          <w:tcPr>
            <w:tcW w:w="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560" w:type="dxa"/>
            <w:vAlign w:val="bottom"/>
            <w:gridSpan w:val="2"/>
            <w:shd w:val="clear" w:color="auto" w:fill="E5FFFF"/>
          </w:tcPr>
          <w:p>
            <w:pPr>
              <w:jc w:val="right"/>
              <w:ind w:right="40"/>
              <w:spacing w:after="0" w:line="196" w:lineRule="exact"/>
              <w:rPr>
                <w:sz w:val="20"/>
                <w:szCs w:val="20"/>
                <w:color w:val="auto"/>
              </w:rPr>
            </w:pPr>
            <w:r>
              <w:rPr>
                <w:rFonts w:ascii="Arial" w:cs="Arial" w:eastAsia="Arial" w:hAnsi="Arial"/>
                <w:sz w:val="18"/>
                <w:szCs w:val="18"/>
                <w:color w:val="auto"/>
              </w:rPr>
              <w:t>1,059</w:t>
            </w:r>
          </w:p>
        </w:tc>
        <w:tc>
          <w:tcPr>
            <w:tcW w:w="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300" w:type="dxa"/>
            <w:vAlign w:val="bottom"/>
            <w:gridSpan w:val="4"/>
            <w:vMerge w:val="restart"/>
          </w:tcPr>
          <w:p>
            <w:pPr>
              <w:spacing w:after="0"/>
              <w:rPr>
                <w:sz w:val="20"/>
                <w:szCs w:val="20"/>
                <w:color w:val="auto"/>
              </w:rPr>
            </w:pPr>
            <w:r>
              <w:rPr>
                <w:rFonts w:ascii="Arial" w:cs="Arial" w:eastAsia="Arial" w:hAnsi="Arial"/>
                <w:sz w:val="18"/>
                <w:szCs w:val="18"/>
                <w:color w:val="auto"/>
              </w:rPr>
              <w:t>Net Sales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300" w:type="dxa"/>
            <w:vAlign w:val="bottom"/>
            <w:gridSpan w:val="4"/>
            <w:vMerge w:val="continue"/>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9,492</w:t>
            </w:r>
          </w:p>
        </w:tc>
        <w:tc>
          <w:tcPr>
            <w:tcW w:w="60" w:type="dxa"/>
            <w:vAlign w:val="bottom"/>
          </w:tcPr>
          <w:p>
            <w:pPr>
              <w:spacing w:after="0"/>
              <w:rPr>
                <w:sz w:val="18"/>
                <w:szCs w:val="18"/>
                <w:color w:val="auto"/>
              </w:rPr>
            </w:pPr>
          </w:p>
        </w:tc>
        <w:tc>
          <w:tcPr>
            <w:tcW w:w="102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9,522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Aerospace</w:t>
            </w: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520" w:type="dxa"/>
            <w:vAlign w:val="bottom"/>
            <w:gridSpan w:val="5"/>
            <w:vMerge w:val="continue"/>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right"/>
              <w:ind w:right="428"/>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116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1220" w:type="dxa"/>
            <w:vAlign w:val="bottom"/>
            <w:tcBorders>
              <w:right w:val="single" w:sz="8" w:color="E5FFFF"/>
            </w:tcBorders>
          </w:tcPr>
          <w:p>
            <w:pPr>
              <w:spacing w:after="0"/>
              <w:rPr>
                <w:sz w:val="17"/>
                <w:szCs w:val="17"/>
                <w:color w:val="auto"/>
              </w:rPr>
            </w:pPr>
          </w:p>
        </w:tc>
        <w:tc>
          <w:tcPr>
            <w:tcW w:w="5300" w:type="dxa"/>
            <w:vAlign w:val="bottom"/>
            <w:tcBorders>
              <w:top w:val="single" w:sz="8" w:color="E5FFFF"/>
            </w:tcBorders>
            <w:gridSpan w:val="4"/>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78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auto"/>
            </w:tcBorders>
            <w:gridSpan w:val="2"/>
            <w:shd w:val="clear" w:color="auto" w:fill="E5FFFF"/>
          </w:tcPr>
          <w:p>
            <w:pPr>
              <w:jc w:val="right"/>
              <w:ind w:right="34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3,546</w:t>
            </w:r>
          </w:p>
        </w:tc>
        <w:tc>
          <w:tcPr>
            <w:tcW w:w="60" w:type="dxa"/>
            <w:vAlign w:val="bottom"/>
            <w:tcBorders>
              <w:top w:val="single" w:sz="8" w:color="E5FFFF"/>
            </w:tcBorders>
            <w:shd w:val="clear" w:color="auto" w:fill="E5FFFF"/>
          </w:tcPr>
          <w:p>
            <w:pPr>
              <w:spacing w:after="0"/>
              <w:rPr>
                <w:sz w:val="17"/>
                <w:szCs w:val="17"/>
                <w:color w:val="auto"/>
              </w:rPr>
            </w:pPr>
          </w:p>
        </w:tc>
        <w:tc>
          <w:tcPr>
            <w:tcW w:w="380" w:type="dxa"/>
            <w:vAlign w:val="bottom"/>
            <w:tcBorders>
              <w:top w:val="single" w:sz="8" w:color="E5FFFF"/>
            </w:tcBorders>
            <w:gridSpan w:val="2"/>
            <w:shd w:val="clear" w:color="auto" w:fill="E5FFFF"/>
          </w:tcPr>
          <w:p>
            <w:pPr>
              <w:spacing w:after="0"/>
              <w:rPr>
                <w:sz w:val="17"/>
                <w:szCs w:val="17"/>
                <w:color w:val="auto"/>
              </w:rPr>
            </w:pPr>
          </w:p>
        </w:tc>
        <w:tc>
          <w:tcPr>
            <w:tcW w:w="640" w:type="dxa"/>
            <w:vAlign w:val="bottom"/>
            <w:tcBorders>
              <w:top w:val="single" w:sz="8" w:color="auto"/>
            </w:tcBorders>
            <w:gridSpan w:val="2"/>
            <w:shd w:val="clear" w:color="auto" w:fill="E5FF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w w:val="97"/>
              </w:rPr>
              <w:t>3,705</w:t>
            </w:r>
          </w:p>
        </w:tc>
        <w:tc>
          <w:tcPr>
            <w:tcW w:w="6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1080" w:type="dxa"/>
            <w:vAlign w:val="bottom"/>
            <w:tcBorders>
              <w:top w:val="single" w:sz="8" w:color="auto"/>
            </w:tcBorders>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530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Cost of products and service sold</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2,468</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7"/>
              </w:rPr>
              <w:t>2,682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Borders>
              <w:right w:val="single" w:sz="8" w:color="E5FFFF"/>
            </w:tcBorders>
          </w:tcPr>
          <w:p>
            <w:pPr>
              <w:spacing w:after="0"/>
              <w:rPr>
                <w:sz w:val="18"/>
                <w:szCs w:val="18"/>
                <w:color w:val="auto"/>
              </w:rPr>
            </w:pPr>
          </w:p>
        </w:tc>
        <w:tc>
          <w:tcPr>
            <w:tcW w:w="5300" w:type="dxa"/>
            <w:vAlign w:val="bottom"/>
            <w:gridSpan w:val="4"/>
            <w:shd w:val="clear" w:color="auto" w:fill="E5FFFF"/>
          </w:tcPr>
          <w:p>
            <w:pPr>
              <w:ind w:left="140"/>
              <w:spacing w:after="0"/>
              <w:rPr>
                <w:sz w:val="20"/>
                <w:szCs w:val="20"/>
                <w:color w:val="auto"/>
              </w:rPr>
            </w:pPr>
            <w:r>
              <w:rPr>
                <w:rFonts w:ascii="Arial" w:cs="Arial" w:eastAsia="Arial" w:hAnsi="Arial"/>
                <w:sz w:val="18"/>
                <w:szCs w:val="18"/>
                <w:color w:val="auto"/>
              </w:rPr>
              <w:t>Selling, general and administrative expenses and other</w:t>
            </w:r>
          </w:p>
        </w:tc>
        <w:tc>
          <w:tcPr>
            <w:tcW w:w="780" w:type="dxa"/>
            <w:vAlign w:val="bottom"/>
            <w:shd w:val="clear" w:color="auto" w:fill="E5FFFF"/>
          </w:tcPr>
          <w:p>
            <w:pPr>
              <w:spacing w:after="0"/>
              <w:rPr>
                <w:sz w:val="18"/>
                <w:szCs w:val="18"/>
                <w:color w:val="auto"/>
              </w:rPr>
            </w:pPr>
          </w:p>
        </w:tc>
        <w:tc>
          <w:tcPr>
            <w:tcW w:w="60" w:type="dxa"/>
            <w:vAlign w:val="bottom"/>
            <w:tcBorders>
              <w:bottom w:val="single" w:sz="8" w:color="auto"/>
            </w:tcBorders>
            <w:shd w:val="clear" w:color="auto" w:fill="E5FFFF"/>
          </w:tcPr>
          <w:p>
            <w:pPr>
              <w:spacing w:after="0"/>
              <w:rPr>
                <w:sz w:val="18"/>
                <w:szCs w:val="18"/>
                <w:color w:val="auto"/>
              </w:rPr>
            </w:pPr>
          </w:p>
        </w:tc>
        <w:tc>
          <w:tcPr>
            <w:tcW w:w="38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0" w:type="dxa"/>
            <w:vAlign w:val="bottom"/>
            <w:tcBorders>
              <w:bottom w:val="single" w:sz="8" w:color="auto"/>
            </w:tcBorders>
            <w:shd w:val="clear" w:color="auto" w:fill="E5FFFF"/>
          </w:tcPr>
          <w:p>
            <w:pPr>
              <w:spacing w:after="0"/>
              <w:rPr>
                <w:sz w:val="18"/>
                <w:szCs w:val="18"/>
                <w:color w:val="auto"/>
              </w:rPr>
            </w:pPr>
          </w:p>
        </w:tc>
        <w:tc>
          <w:tcPr>
            <w:tcW w:w="620" w:type="dxa"/>
            <w:vAlign w:val="bottom"/>
            <w:tcBorders>
              <w:bottom w:val="single" w:sz="8" w:color="auto"/>
            </w:tcBorders>
            <w:shd w:val="clear" w:color="auto" w:fill="E5FFFF"/>
          </w:tcPr>
          <w:p>
            <w:pPr>
              <w:spacing w:after="0"/>
              <w:rPr>
                <w:sz w:val="18"/>
                <w:szCs w:val="18"/>
                <w:color w:val="auto"/>
              </w:rPr>
            </w:pPr>
          </w:p>
        </w:tc>
        <w:tc>
          <w:tcPr>
            <w:tcW w:w="56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225</w:t>
            </w: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5300" w:type="dxa"/>
            <w:vAlign w:val="bottom"/>
            <w:gridSpan w:val="4"/>
          </w:tcPr>
          <w:p>
            <w:pPr>
              <w:spacing w:after="0" w:line="196" w:lineRule="exact"/>
              <w:rPr>
                <w:sz w:val="20"/>
                <w:szCs w:val="20"/>
                <w:color w:val="auto"/>
              </w:rPr>
            </w:pPr>
            <w:r>
              <w:rPr>
                <w:rFonts w:ascii="Arial" w:cs="Arial" w:eastAsia="Arial" w:hAnsi="Arial"/>
                <w:sz w:val="18"/>
                <w:szCs w:val="18"/>
                <w:color w:val="auto"/>
              </w:rPr>
              <w:t>Segment profit</w:t>
            </w:r>
          </w:p>
        </w:tc>
        <w:tc>
          <w:tcPr>
            <w:tcW w:w="780" w:type="dxa"/>
            <w:vAlign w:val="bottom"/>
          </w:tcPr>
          <w:p>
            <w:pPr>
              <w:spacing w:after="0"/>
              <w:rPr>
                <w:sz w:val="17"/>
                <w:szCs w:val="17"/>
                <w:color w:val="auto"/>
              </w:rPr>
            </w:pPr>
          </w:p>
        </w:tc>
        <w:tc>
          <w:tcPr>
            <w:tcW w:w="440" w:type="dxa"/>
            <w:vAlign w:val="bottom"/>
            <w:tcBorders>
              <w:bottom w:val="single" w:sz="8" w:color="auto"/>
            </w:tcBorders>
            <w:gridSpan w:val="2"/>
          </w:tcPr>
          <w:p>
            <w:pPr>
              <w:jc w:val="right"/>
              <w:ind w:right="34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796</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798</w:t>
            </w:r>
          </w:p>
        </w:tc>
        <w:tc>
          <w:tcPr>
            <w:tcW w:w="60" w:type="dxa"/>
            <w:vAlign w:val="bottom"/>
          </w:tcPr>
          <w:p>
            <w:pPr>
              <w:spacing w:after="0"/>
              <w:rPr>
                <w:sz w:val="17"/>
                <w:szCs w:val="17"/>
                <w:color w:val="auto"/>
              </w:rPr>
            </w:pPr>
          </w:p>
        </w:tc>
        <w:tc>
          <w:tcPr>
            <w:tcW w:w="1220" w:type="dxa"/>
            <w:vAlign w:val="bottom"/>
            <w:gridSpan w:val="3"/>
          </w:tcPr>
          <w:p>
            <w:pPr>
              <w:jc w:val="right"/>
              <w:ind w:right="128"/>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2"/>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tcBorders>
              <w:bottom w:val="single" w:sz="8" w:color="auto"/>
            </w:tcBorders>
            <w:gridSpan w:val="6"/>
          </w:tcPr>
          <w:p>
            <w:pPr>
              <w:jc w:val="center"/>
              <w:ind w:left="15"/>
              <w:spacing w:after="0"/>
              <w:rPr>
                <w:sz w:val="20"/>
                <w:szCs w:val="20"/>
                <w:color w:val="auto"/>
              </w:rPr>
            </w:pPr>
            <w:r>
              <w:rPr>
                <w:rFonts w:ascii="Arial" w:cs="Arial" w:eastAsia="Arial" w:hAnsi="Arial"/>
                <w:sz w:val="14"/>
                <w:szCs w:val="14"/>
                <w:b w:val="1"/>
                <w:bCs w:val="1"/>
                <w:color w:val="auto"/>
              </w:rPr>
              <w:t>2017 vs. 2016</w:t>
            </w:r>
          </w:p>
        </w:tc>
        <w:tc>
          <w:tcPr>
            <w:tcW w:w="1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6"/>
          </w:tcPr>
          <w:p>
            <w:pPr>
              <w:jc w:val="center"/>
              <w:ind w:left="35"/>
              <w:spacing w:after="0" w:line="156" w:lineRule="exact"/>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Borders>
              <w:bottom w:val="single" w:sz="8" w:color="auto"/>
            </w:tcBorders>
            <w:gridSpan w:val="6"/>
          </w:tcPr>
          <w:p>
            <w:pPr>
              <w:jc w:val="center"/>
              <w:ind w:left="35"/>
              <w:spacing w:after="0"/>
              <w:rPr>
                <w:sz w:val="20"/>
                <w:szCs w:val="20"/>
                <w:color w:val="auto"/>
              </w:rPr>
            </w:pPr>
            <w:r>
              <w:rPr>
                <w:rFonts w:ascii="Arial" w:cs="Arial" w:eastAsia="Arial" w:hAnsi="Arial"/>
                <w:sz w:val="14"/>
                <w:szCs w:val="14"/>
                <w:b w:val="1"/>
                <w:bCs w:val="1"/>
                <w:color w:val="auto"/>
              </w:rPr>
              <w:t>March 31,</w:t>
            </w:r>
          </w:p>
        </w:tc>
        <w:tc>
          <w:tcPr>
            <w:tcW w:w="1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Segment</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20" w:type="dxa"/>
            <w:vAlign w:val="bottom"/>
          </w:tcPr>
          <w:p>
            <w:pPr>
              <w:spacing w:after="0"/>
              <w:rPr>
                <w:sz w:val="16"/>
                <w:szCs w:val="16"/>
                <w:color w:val="auto"/>
              </w:rPr>
            </w:pPr>
          </w:p>
        </w:tc>
        <w:tc>
          <w:tcPr>
            <w:tcW w:w="5300" w:type="dxa"/>
            <w:vAlign w:val="bottom"/>
            <w:gridSpan w:val="4"/>
          </w:tcPr>
          <w:p>
            <w:pPr>
              <w:ind w:left="1300"/>
              <w:spacing w:after="0"/>
              <w:rPr>
                <w:sz w:val="20"/>
                <w:szCs w:val="20"/>
                <w:color w:val="auto"/>
              </w:rPr>
            </w:pPr>
            <w:r>
              <w:rPr>
                <w:rFonts w:ascii="Arial" w:cs="Arial" w:eastAsia="Arial" w:hAnsi="Arial"/>
                <w:sz w:val="14"/>
                <w:szCs w:val="14"/>
                <w:b w:val="1"/>
                <w:bCs w:val="1"/>
                <w:color w:val="auto"/>
              </w:rPr>
              <w:t>Factors Contributing to Year-Over-Year Change</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ind w:left="260"/>
              <w:spacing w:after="0"/>
              <w:rPr>
                <w:sz w:val="20"/>
                <w:szCs w:val="20"/>
                <w:color w:val="auto"/>
              </w:rPr>
            </w:pPr>
            <w:r>
              <w:rPr>
                <w:rFonts w:ascii="Arial" w:cs="Arial" w:eastAsia="Arial" w:hAnsi="Arial"/>
                <w:sz w:val="14"/>
                <w:szCs w:val="14"/>
                <w:b w:val="1"/>
                <w:bCs w:val="1"/>
                <w:color w:val="auto"/>
              </w:rPr>
              <w:t>Sales</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Profit</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-7620</wp:posOffset>
            </wp:positionV>
            <wp:extent cx="542861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ectPr>
          <w:pgSz w:w="11900" w:h="16838" w:orient="portrait"/>
          <w:cols w:equalWidth="0" w:num="1">
            <w:col w:w="11440"/>
          </w:cols>
          <w:pgMar w:left="240" w:top="400" w:right="219" w:bottom="1440" w:gutter="0" w:footer="0" w:header="0"/>
        </w:sectPr>
      </w:pPr>
    </w:p>
    <w:p>
      <w:pPr>
        <w:ind w:left="1220"/>
        <w:spacing w:after="0" w:line="234" w:lineRule="auto"/>
        <w:rPr>
          <w:sz w:val="20"/>
          <w:szCs w:val="20"/>
          <w:color w:val="auto"/>
        </w:rPr>
      </w:pPr>
      <w:r>
        <w:rPr>
          <w:rFonts w:ascii="Arial" w:cs="Arial" w:eastAsia="Arial" w:hAnsi="Arial"/>
          <w:sz w:val="18"/>
          <w:szCs w:val="18"/>
          <w:color w:val="auto"/>
        </w:rPr>
        <w:t>Organic growth/ Operational segment profit</w:t>
      </w:r>
    </w:p>
    <w:p>
      <w:pPr>
        <w:ind w:left="1220"/>
        <w:spacing w:after="0" w:line="235" w:lineRule="auto"/>
        <w:rPr>
          <w:sz w:val="20"/>
          <w:szCs w:val="20"/>
          <w:color w:val="auto"/>
        </w:rPr>
      </w:pPr>
      <w:r>
        <w:rPr>
          <w:rFonts w:ascii="Arial" w:cs="Arial" w:eastAsia="Arial" w:hAnsi="Arial"/>
          <w:sz w:val="18"/>
          <w:szCs w:val="18"/>
          <w:color w:val="auto"/>
        </w:rPr>
        <w:t>Foreign exchange</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Acquisitions and divestitures,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-130175</wp:posOffset>
            </wp:positionV>
            <wp:extent cx="542861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8"/>
          <w:szCs w:val="18"/>
          <w:color w:val="auto"/>
        </w:rPr>
        <w:t>Total % Change</w:t>
      </w:r>
    </w:p>
    <w:p>
      <w:pPr>
        <w:spacing w:after="0" w:line="252"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line="234"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-1905</wp:posOffset>
            </wp:positionV>
            <wp:extent cx="5829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-1905</wp:posOffset>
            </wp:positionV>
            <wp:extent cx="5829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-334010</wp:posOffset>
            </wp:positionH>
            <wp:positionV relativeFrom="paragraph">
              <wp:posOffset>14605</wp:posOffset>
            </wp:positionV>
            <wp:extent cx="5829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720"/>
        <w:spacing w:after="0" w:line="234" w:lineRule="auto"/>
        <w:rPr>
          <w:sz w:val="20"/>
          <w:szCs w:val="20"/>
          <w:color w:val="auto"/>
        </w:rPr>
      </w:pPr>
      <w:r>
        <w:rPr>
          <w:rFonts w:ascii="Arial" w:cs="Arial" w:eastAsia="Arial" w:hAnsi="Arial"/>
          <w:sz w:val="18"/>
          <w:szCs w:val="18"/>
          <w:color w:val="auto"/>
        </w:rPr>
        <w:t>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-1905</wp:posOffset>
            </wp:positionV>
            <wp:extent cx="5829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-1905</wp:posOffset>
            </wp:positionV>
            <wp:extent cx="5829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-334010</wp:posOffset>
            </wp:positionH>
            <wp:positionV relativeFrom="paragraph">
              <wp:posOffset>14605</wp:posOffset>
            </wp:positionV>
            <wp:extent cx="5829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ectPr>
          <w:pgSz w:w="11900" w:h="16838" w:orient="portrait"/>
          <w:cols w:equalWidth="0" w:num="3">
            <w:col w:w="7540" w:space="720"/>
            <w:col w:w="380" w:space="700"/>
            <w:col w:w="2100"/>
          </w:cols>
          <w:pgMar w:left="240" w:top="400" w:right="219" w:bottom="1440" w:gutter="0" w:footer="0" w:header="0"/>
          <w:type w:val="continuous"/>
        </w:sectPr>
      </w:pPr>
    </w:p>
    <w:bookmarkStart w:id="24" w:name="page25"/>
    <w:bookmarkEnd w:id="24"/>
    <w:p>
      <w:pPr>
        <w:ind w:firstLine="648"/>
        <w:spacing w:after="0" w:line="246" w:lineRule="auto"/>
        <w:rPr>
          <w:sz w:val="20"/>
          <w:szCs w:val="20"/>
          <w:color w:val="auto"/>
        </w:rPr>
      </w:pPr>
      <w:r>
        <w:rPr>
          <w:rFonts w:ascii="Arial" w:cs="Arial" w:eastAsia="Arial" w:hAnsi="Arial"/>
          <w:sz w:val="18"/>
          <w:szCs w:val="18"/>
          <w:color w:val="auto"/>
        </w:rPr>
        <w:t>Aerospace sales decreased primarily due to the government services business divestiture and the unfavorable impact of foreign currency translation.</w:t>
      </w:r>
    </w:p>
    <w:p>
      <w:pPr>
        <w:spacing w:after="0" w:line="183" w:lineRule="exact"/>
        <w:rPr>
          <w:sz w:val="20"/>
          <w:szCs w:val="20"/>
          <w:color w:val="auto"/>
        </w:rPr>
      </w:pPr>
    </w:p>
    <w:p>
      <w:pPr>
        <w:ind w:left="840" w:right="20" w:hanging="184"/>
        <w:spacing w:after="0" w:line="246"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Aviation Original Equipment sales decreased by 13% (decreased 13% organic) primarily due to lower shipments to business jet original equipment manufacturers (OEMs).</w:t>
      </w:r>
    </w:p>
    <w:p>
      <w:pPr>
        <w:spacing w:after="0" w:line="183" w:lineRule="exact"/>
        <w:rPr>
          <w:rFonts w:ascii="Arial" w:cs="Arial" w:eastAsia="Arial" w:hAnsi="Arial"/>
          <w:sz w:val="18"/>
          <w:szCs w:val="18"/>
          <w:color w:val="auto"/>
        </w:rPr>
      </w:pPr>
    </w:p>
    <w:p>
      <w:pPr>
        <w:ind w:left="840" w:hanging="184"/>
        <w:spacing w:after="0" w:line="246"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Aviation Aftermarket sales increased by 5% (increased 5% organic) driven primarily by higher repair and overhaul activities and increased spares shipments to air transport and regional customers.</w:t>
      </w:r>
    </w:p>
    <w:p>
      <w:pPr>
        <w:spacing w:after="0" w:line="183" w:lineRule="exact"/>
        <w:rPr>
          <w:rFonts w:ascii="Arial" w:cs="Arial" w:eastAsia="Arial" w:hAnsi="Arial"/>
          <w:sz w:val="18"/>
          <w:szCs w:val="18"/>
          <w:color w:val="auto"/>
        </w:rPr>
      </w:pPr>
    </w:p>
    <w:p>
      <w:pPr>
        <w:jc w:val="both"/>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Defense and Space sales decreased by 11% (flat organic) primarily due to the government services business divestiture. Organic sales are flat primarily due to growth in our core U.S. defense business, offset by lower sales in our commercial helicopter and space businesses.</w:t>
      </w:r>
    </w:p>
    <w:p>
      <w:pPr>
        <w:spacing w:after="0" w:line="189" w:lineRule="exact"/>
        <w:rPr>
          <w:rFonts w:ascii="Arial" w:cs="Arial" w:eastAsia="Arial" w:hAnsi="Arial"/>
          <w:sz w:val="18"/>
          <w:szCs w:val="18"/>
          <w:color w:val="auto"/>
        </w:rPr>
      </w:pPr>
    </w:p>
    <w:p>
      <w:pPr>
        <w:ind w:left="840" w:right="20" w:hanging="184"/>
        <w:spacing w:after="0" w:line="246"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Transportation Systems sales were flat (increased 2% organic) driven primarily by higher commercial vehicle volumes and gas turbo penetration, offset by diesel turbo platform completions and the unfavorable impact of foreign currency translation.</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Aerospace segment profit was flat primarily due to an increase in operational segment profit, offset by the government services business divestiture and the unfavorable impact of foreign currency translation. The increase in operational segment profit is driven primarily by restructuring benefits and pricing, partially offset by lower sales volumes to business jet OEMs. Cost of products and services sold decreased primarily due to the government services business divestiture, productivity, net of inflation, and restructuring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and Building Technologies</w:t>
      </w:r>
    </w:p>
    <w:p>
      <w:pPr>
        <w:spacing w:after="0" w:line="235" w:lineRule="exact"/>
        <w:rPr>
          <w:sz w:val="20"/>
          <w:szCs w:val="20"/>
          <w:color w:val="auto"/>
        </w:rPr>
      </w:pPr>
    </w:p>
    <w:tbl>
      <w:tblPr>
        <w:tblLayout w:type="fixed"/>
        <w:tblInd w:w="118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75"/>
        </w:trPr>
        <w:tc>
          <w:tcPr>
            <w:tcW w:w="5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374"/>
              <w:spacing w:after="0"/>
              <w:rPr>
                <w:sz w:val="20"/>
                <w:szCs w:val="20"/>
                <w:color w:val="auto"/>
              </w:rPr>
            </w:pPr>
            <w:r>
              <w:rPr>
                <w:rFonts w:ascii="Arial" w:cs="Arial" w:eastAsia="Arial" w:hAnsi="Arial"/>
                <w:sz w:val="14"/>
                <w:szCs w:val="14"/>
                <w:b w:val="1"/>
                <w:bCs w:val="1"/>
                <w:color w:val="auto"/>
              </w:rPr>
              <w:t>March 31,</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83"/>
        </w:trPr>
        <w:tc>
          <w:tcPr>
            <w:tcW w:w="5840" w:type="dxa"/>
            <w:vAlign w:val="bottom"/>
            <w:tcBorders>
              <w:bottom w:val="single" w:sz="8" w:color="E5FF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E5FFFF"/>
            </w:tcBorders>
          </w:tcPr>
          <w:p>
            <w:pPr>
              <w:spacing w:after="0"/>
              <w:rPr>
                <w:sz w:val="15"/>
                <w:szCs w:val="15"/>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840" w:type="dxa"/>
            <w:vAlign w:val="bottom"/>
            <w:shd w:val="clear" w:color="auto" w:fill="E5FFFF"/>
          </w:tcPr>
          <w:p>
            <w:pPr>
              <w:ind w:left="40"/>
              <w:spacing w:after="0" w:line="196" w:lineRule="exact"/>
              <w:rPr>
                <w:sz w:val="20"/>
                <w:szCs w:val="20"/>
                <w:color w:val="auto"/>
              </w:rPr>
            </w:pPr>
            <w:r>
              <w:rPr>
                <w:rFonts w:ascii="Arial" w:cs="Arial" w:eastAsia="Arial" w:hAnsi="Arial"/>
                <w:sz w:val="18"/>
                <w:szCs w:val="18"/>
                <w:color w:val="auto"/>
              </w:rPr>
              <w:t>Net sales</w:t>
            </w: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2,553</w:t>
            </w:r>
          </w:p>
        </w:tc>
        <w:tc>
          <w:tcPr>
            <w:tcW w:w="380" w:type="dxa"/>
            <w:vAlign w:val="bottom"/>
            <w:gridSpan w:val="2"/>
            <w:shd w:val="clear" w:color="auto" w:fill="E5FFFF"/>
          </w:tcPr>
          <w:p>
            <w:pPr>
              <w:spacing w:after="0"/>
              <w:rPr>
                <w:sz w:val="17"/>
                <w:szCs w:val="17"/>
                <w:color w:val="auto"/>
              </w:rPr>
            </w:pPr>
          </w:p>
        </w:tc>
        <w:tc>
          <w:tcPr>
            <w:tcW w:w="240" w:type="dxa"/>
            <w:vAlign w:val="bottom"/>
            <w:shd w:val="clear" w:color="auto" w:fill="E5FFFF"/>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2,477</w:t>
            </w:r>
          </w:p>
        </w:tc>
        <w:tc>
          <w:tcPr>
            <w:tcW w:w="18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3"/>
        </w:trPr>
        <w:tc>
          <w:tcPr>
            <w:tcW w:w="5840" w:type="dxa"/>
            <w:vAlign w:val="bottom"/>
          </w:tcPr>
          <w:p>
            <w:pPr>
              <w:ind w:left="180"/>
              <w:spacing w:after="0" w:line="202" w:lineRule="exact"/>
              <w:rPr>
                <w:sz w:val="20"/>
                <w:szCs w:val="20"/>
                <w:color w:val="auto"/>
              </w:rPr>
            </w:pPr>
            <w:r>
              <w:rPr>
                <w:rFonts w:ascii="Arial" w:cs="Arial" w:eastAsia="Arial" w:hAnsi="Arial"/>
                <w:sz w:val="18"/>
                <w:szCs w:val="18"/>
                <w:color w:val="auto"/>
              </w:rPr>
              <w:t>Cost of products and services sold</w:t>
            </w:r>
          </w:p>
        </w:tc>
        <w:tc>
          <w:tcPr>
            <w:tcW w:w="26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1,712</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1,657</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58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expenses and other</w:t>
            </w:r>
          </w:p>
        </w:tc>
        <w:tc>
          <w:tcPr>
            <w:tcW w:w="260" w:type="dxa"/>
            <w:vAlign w:val="bottom"/>
            <w:tcBorders>
              <w:bottom w:val="single" w:sz="8" w:color="auto"/>
            </w:tcBorders>
            <w:shd w:val="clear" w:color="auto" w:fill="E5FFFF"/>
          </w:tcPr>
          <w:p>
            <w:pPr>
              <w:spacing w:after="0"/>
              <w:rPr>
                <w:sz w:val="18"/>
                <w:szCs w:val="18"/>
                <w:color w:val="auto"/>
              </w:rPr>
            </w:pPr>
          </w:p>
        </w:tc>
        <w:tc>
          <w:tcPr>
            <w:tcW w:w="92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452</w:t>
            </w:r>
          </w:p>
        </w:tc>
        <w:tc>
          <w:tcPr>
            <w:tcW w:w="3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92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r>
      <w:tr>
        <w:trPr>
          <w:trHeight w:val="196"/>
        </w:trPr>
        <w:tc>
          <w:tcPr>
            <w:tcW w:w="5840" w:type="dxa"/>
            <w:vAlign w:val="bottom"/>
          </w:tcPr>
          <w:p>
            <w:pPr>
              <w:ind w:left="40"/>
              <w:spacing w:after="0" w:line="196" w:lineRule="exact"/>
              <w:rPr>
                <w:sz w:val="20"/>
                <w:szCs w:val="20"/>
                <w:color w:val="auto"/>
              </w:rPr>
            </w:pPr>
            <w:r>
              <w:rPr>
                <w:rFonts w:ascii="Arial" w:cs="Arial" w:eastAsia="Arial" w:hAnsi="Arial"/>
                <w:sz w:val="18"/>
                <w:szCs w:val="18"/>
                <w:color w:val="auto"/>
              </w:rPr>
              <w:t>Segment profit</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389</w:t>
            </w:r>
          </w:p>
        </w:tc>
        <w:tc>
          <w:tcPr>
            <w:tcW w:w="3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360</w:t>
            </w: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r>
    </w:tbl>
    <w:p>
      <w:pPr>
        <w:spacing w:after="0" w:line="203" w:lineRule="exact"/>
        <w:rPr>
          <w:sz w:val="20"/>
          <w:szCs w:val="20"/>
          <w:color w:val="auto"/>
        </w:rPr>
      </w:pPr>
    </w:p>
    <w:tbl>
      <w:tblPr>
        <w:tblLayout w:type="fixed"/>
        <w:tblInd w:w="258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2017 vs. 2016</w:t>
            </w:r>
          </w:p>
        </w:tc>
      </w:tr>
      <w:tr>
        <w:trPr>
          <w:trHeight w:val="156"/>
        </w:trPr>
        <w:tc>
          <w:tcPr>
            <w:tcW w:w="5280" w:type="dxa"/>
            <w:vAlign w:val="bottom"/>
          </w:tcPr>
          <w:p>
            <w:pPr>
              <w:spacing w:after="0"/>
              <w:rPr>
                <w:sz w:val="13"/>
                <w:szCs w:val="13"/>
                <w:color w:val="auto"/>
              </w:rPr>
            </w:pPr>
          </w:p>
        </w:tc>
        <w:tc>
          <w:tcPr>
            <w:tcW w:w="188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Three Months Ended</w:t>
            </w:r>
          </w:p>
        </w:tc>
      </w:tr>
      <w:tr>
        <w:trPr>
          <w:trHeight w:val="175"/>
        </w:trPr>
        <w:tc>
          <w:tcPr>
            <w:tcW w:w="5280" w:type="dxa"/>
            <w:vAlign w:val="bottom"/>
          </w:tcPr>
          <w:p>
            <w:pPr>
              <w:spacing w:after="0"/>
              <w:rPr>
                <w:sz w:val="15"/>
                <w:szCs w:val="15"/>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jc w:val="center"/>
              <w:ind w:left="48"/>
              <w:spacing w:after="0" w:line="143" w:lineRule="exact"/>
              <w:rPr>
                <w:sz w:val="20"/>
                <w:szCs w:val="20"/>
                <w:color w:val="auto"/>
              </w:rPr>
            </w:pPr>
            <w:r>
              <w:rPr>
                <w:rFonts w:ascii="Arial" w:cs="Arial" w:eastAsia="Arial" w:hAnsi="Arial"/>
                <w:sz w:val="14"/>
                <w:szCs w:val="14"/>
                <w:b w:val="1"/>
                <w:bCs w:val="1"/>
                <w:color w:val="auto"/>
              </w:rPr>
              <w:t>Segment</w:t>
            </w:r>
          </w:p>
        </w:tc>
      </w:tr>
      <w:tr>
        <w:trPr>
          <w:trHeight w:val="188"/>
        </w:trPr>
        <w:tc>
          <w:tcPr>
            <w:tcW w:w="5280" w:type="dxa"/>
            <w:vAlign w:val="bottom"/>
          </w:tcPr>
          <w:p>
            <w:pPr>
              <w:spacing w:after="0"/>
              <w:rPr>
                <w:sz w:val="20"/>
                <w:szCs w:val="20"/>
                <w:color w:val="auto"/>
              </w:rPr>
            </w:pPr>
            <w:r>
              <w:rPr>
                <w:rFonts w:ascii="Arial" w:cs="Arial" w:eastAsia="Arial" w:hAnsi="Arial"/>
                <w:sz w:val="14"/>
                <w:szCs w:val="14"/>
                <w:b w:val="1"/>
                <w:bCs w:val="1"/>
                <w:color w:val="auto"/>
              </w:rPr>
              <w:t>Factors Contributing to Year-Over-Year Change</w:t>
            </w:r>
          </w:p>
        </w:tc>
        <w:tc>
          <w:tcPr>
            <w:tcW w:w="880" w:type="dxa"/>
            <w:vAlign w:val="bottom"/>
          </w:tcPr>
          <w:p>
            <w:pPr>
              <w:ind w:left="240"/>
              <w:spacing w:after="0"/>
              <w:rPr>
                <w:sz w:val="20"/>
                <w:szCs w:val="20"/>
                <w:color w:val="auto"/>
              </w:rPr>
            </w:pPr>
            <w:r>
              <w:rPr>
                <w:rFonts w:ascii="Arial" w:cs="Arial" w:eastAsia="Arial" w:hAnsi="Arial"/>
                <w:sz w:val="14"/>
                <w:szCs w:val="14"/>
                <w:b w:val="1"/>
                <w:bCs w:val="1"/>
                <w:color w:val="auto"/>
              </w:rPr>
              <w:t>Sales</w:t>
            </w:r>
          </w:p>
        </w:tc>
        <w:tc>
          <w:tcPr>
            <w:tcW w:w="1000" w:type="dxa"/>
            <w:vAlign w:val="bottom"/>
          </w:tcPr>
          <w:p>
            <w:pPr>
              <w:jc w:val="center"/>
              <w:ind w:left="48"/>
              <w:spacing w:after="0"/>
              <w:rPr>
                <w:sz w:val="20"/>
                <w:szCs w:val="20"/>
                <w:color w:val="auto"/>
              </w:rPr>
            </w:pPr>
            <w:r>
              <w:rPr>
                <w:rFonts w:ascii="Arial" w:cs="Arial" w:eastAsia="Arial" w:hAnsi="Arial"/>
                <w:sz w:val="14"/>
                <w:szCs w:val="14"/>
                <w:b w:val="1"/>
                <w:bCs w:val="1"/>
                <w:color w:val="auto"/>
                <w:w w:val="98"/>
              </w:rPr>
              <w:t>Profit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-7620</wp:posOffset>
            </wp:positionV>
            <wp:extent cx="542861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p>
      <w:pPr>
        <w:ind w:left="1220"/>
        <w:spacing w:after="0"/>
        <w:rPr>
          <w:sz w:val="20"/>
          <w:szCs w:val="20"/>
          <w:color w:val="auto"/>
        </w:rPr>
      </w:pPr>
      <w:r>
        <w:rPr>
          <w:rFonts w:ascii="Arial" w:cs="Arial" w:eastAsia="Arial" w:hAnsi="Arial"/>
          <w:sz w:val="17"/>
          <w:szCs w:val="17"/>
          <w:color w:val="auto"/>
        </w:rPr>
        <w:t>Organic growth/ Operational segment profit</w:t>
      </w:r>
    </w:p>
    <w:p>
      <w:pPr>
        <w:spacing w:after="0" w:line="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Foreign currency translation</w:t>
      </w:r>
    </w:p>
    <w:p>
      <w:pPr>
        <w:ind w:left="1220"/>
        <w:spacing w:after="0"/>
        <w:rPr>
          <w:sz w:val="20"/>
          <w:szCs w:val="20"/>
          <w:color w:val="auto"/>
        </w:rPr>
      </w:pPr>
      <w:r>
        <w:rPr>
          <w:rFonts w:ascii="Arial" w:cs="Arial" w:eastAsia="Arial" w:hAnsi="Arial"/>
          <w:sz w:val="18"/>
          <w:szCs w:val="18"/>
          <w:color w:val="auto"/>
        </w:rPr>
        <w:t>Acquisitions and divestitures,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-130175</wp:posOffset>
            </wp:positionV>
            <wp:extent cx="542861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jc w:val="right"/>
        <w:spacing w:after="0" w:line="234" w:lineRule="auto"/>
        <w:rPr>
          <w:sz w:val="20"/>
          <w:szCs w:val="20"/>
          <w:color w:val="auto"/>
        </w:rPr>
      </w:pPr>
      <w:r>
        <w:rPr>
          <w:rFonts w:ascii="Arial" w:cs="Arial" w:eastAsia="Arial" w:hAnsi="Arial"/>
          <w:sz w:val="18"/>
          <w:szCs w:val="18"/>
          <w:color w:val="auto"/>
        </w:rPr>
        <w:t>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-1905</wp:posOffset>
            </wp:positionV>
            <wp:extent cx="5403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-1905</wp:posOffset>
            </wp:positionV>
            <wp:extent cx="5403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14605</wp:posOffset>
            </wp:positionV>
            <wp:extent cx="5403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740"/>
        <w:spacing w:after="0" w:line="234" w:lineRule="auto"/>
        <w:rPr>
          <w:sz w:val="20"/>
          <w:szCs w:val="20"/>
          <w:color w:val="auto"/>
        </w:rPr>
      </w:pPr>
      <w:r>
        <w:rPr>
          <w:rFonts w:ascii="Arial" w:cs="Arial" w:eastAsia="Arial" w:hAnsi="Arial"/>
          <w:sz w:val="18"/>
          <w:szCs w:val="18"/>
          <w:color w:val="auto"/>
        </w:rPr>
        <w:t>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-1905</wp:posOffset>
            </wp:positionV>
            <wp:extent cx="5403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3"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-1905</wp:posOffset>
            </wp:positionV>
            <wp:extent cx="5403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14605</wp:posOffset>
            </wp:positionV>
            <wp:extent cx="5403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560" w:space="720"/>
            <w:col w:w="380" w:space="640"/>
            <w:col w:w="2120"/>
          </w:cols>
          <w:pgMar w:left="240" w:top="422" w:right="239" w:bottom="1440" w:gutter="0" w:footer="0" w:header="0"/>
          <w:type w:val="continuous"/>
        </w:sectPr>
      </w:pPr>
    </w:p>
    <w:p>
      <w:pPr>
        <w:spacing w:after="0" w:line="39"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Home and Building Technologies sales increased primarily due to organic sales growth and acquisitions partially offset by the unfavorable impact of foreign currency translation.</w:t>
      </w:r>
    </w:p>
    <w:p>
      <w:pPr>
        <w:spacing w:after="0" w:line="183" w:lineRule="exact"/>
        <w:rPr>
          <w:sz w:val="20"/>
          <w:szCs w:val="20"/>
          <w:color w:val="auto"/>
        </w:rPr>
      </w:pPr>
    </w:p>
    <w:p>
      <w:pPr>
        <w:jc w:val="both"/>
        <w:ind w:left="840" w:hanging="18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in Home and Building Products increased by 3% (increased 3% organic) principally due to organic growth and acquisitions partially offset by the unfavorable impact of foreign currency translation. Organic growth was primarily attributable to new product introductions in Environmental and Energy Solutions and volume growth in Security and Fire.</w:t>
      </w:r>
    </w:p>
    <w:p>
      <w:pPr>
        <w:spacing w:after="0" w:line="189" w:lineRule="exact"/>
        <w:rPr>
          <w:rFonts w:ascii="Arial" w:cs="Arial" w:eastAsia="Arial" w:hAnsi="Arial"/>
          <w:sz w:val="18"/>
          <w:szCs w:val="18"/>
          <w:color w:val="auto"/>
        </w:rPr>
      </w:pPr>
    </w:p>
    <w:p>
      <w:pPr>
        <w:jc w:val="both"/>
        <w:ind w:left="840" w:hanging="18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in Home and Building Distribution increased by 3% (increased 4% organic) principally due to organic growth partially offset by the unfavorable impact of foreign currency translation. Organic sales growth was primarily driven by increased sales volume in the global distribution business.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type w:val="continuous"/>
        </w:sectPr>
      </w:pPr>
    </w:p>
    <w:bookmarkStart w:id="25" w:name="page26"/>
    <w:bookmarkEnd w:id="25"/>
    <w:p>
      <w:pPr>
        <w:jc w:val="both"/>
        <w:ind w:firstLine="648"/>
        <w:spacing w:after="0" w:line="239" w:lineRule="auto"/>
        <w:rPr>
          <w:sz w:val="20"/>
          <w:szCs w:val="20"/>
          <w:color w:val="auto"/>
        </w:rPr>
      </w:pPr>
      <w:r>
        <w:rPr>
          <w:rFonts w:ascii="Arial" w:cs="Arial" w:eastAsia="Arial" w:hAnsi="Arial"/>
          <w:sz w:val="18"/>
          <w:szCs w:val="18"/>
          <w:color w:val="auto"/>
        </w:rPr>
        <w:t>Home and Building Technologies segment profit increased due to higher operational segment profit and acquisitions, partially offset by the unfavorable impact of foreign currency translation. The increase in operational segment profit is primarily due to restructuring benefits and volume partially offset by investments for growth. Cost of products and services sold increased primarily due to higher sales volume and acquisitions partially offset by the impact of foreign currency translation.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208" w:lineRule="exact"/>
        <w:rPr>
          <w:sz w:val="20"/>
          <w:szCs w:val="20"/>
          <w:color w:val="auto"/>
        </w:rPr>
      </w:pPr>
    </w:p>
    <w:tbl>
      <w:tblPr>
        <w:tblLayout w:type="fixed"/>
        <w:tblInd w:w="1180" w:type="dxa"/>
        <w:tblCellMar>
          <w:top w:w="0" w:type="dxa"/>
          <w:left w:w="0" w:type="dxa"/>
          <w:bottom w:w="0" w:type="dxa"/>
          <w:right w:w="0" w:type="dxa"/>
        </w:tblCellMar>
      </w:tblPr>
      <w:tr>
        <w:trPr>
          <w:trHeight w:val="176"/>
        </w:trPr>
        <w:tc>
          <w:tcPr>
            <w:tcW w:w="5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5"/>
        </w:trPr>
        <w:tc>
          <w:tcPr>
            <w:tcW w:w="5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334"/>
              <w:spacing w:after="0"/>
              <w:rPr>
                <w:sz w:val="20"/>
                <w:szCs w:val="20"/>
                <w:color w:val="auto"/>
              </w:rPr>
            </w:pPr>
            <w:r>
              <w:rPr>
                <w:rFonts w:ascii="Arial" w:cs="Arial" w:eastAsia="Arial" w:hAnsi="Arial"/>
                <w:sz w:val="14"/>
                <w:szCs w:val="14"/>
                <w:b w:val="1"/>
                <w:bCs w:val="1"/>
                <w:color w:val="auto"/>
              </w:rPr>
              <w:t>March 31,</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69"/>
        </w:trPr>
        <w:tc>
          <w:tcPr>
            <w:tcW w:w="5780" w:type="dxa"/>
            <w:vAlign w:val="bottom"/>
            <w:tcBorders>
              <w:bottom w:val="single" w:sz="8" w:color="E5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E5FFFF"/>
            </w:tcBorders>
          </w:tcPr>
          <w:p>
            <w:pPr>
              <w:spacing w:after="0"/>
              <w:rPr>
                <w:sz w:val="14"/>
                <w:szCs w:val="14"/>
                <w:color w:val="auto"/>
              </w:rPr>
            </w:pPr>
          </w:p>
        </w:tc>
        <w:tc>
          <w:tcPr>
            <w:tcW w:w="20" w:type="dxa"/>
            <w:vAlign w:val="bottom"/>
            <w:tcBorders>
              <w:bottom w:val="single" w:sz="8" w:color="E5FF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E5FFFF"/>
            </w:tcBorders>
          </w:tcPr>
          <w:p>
            <w:pPr>
              <w:spacing w:after="0"/>
              <w:rPr>
                <w:sz w:val="14"/>
                <w:szCs w:val="14"/>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7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2,069</w:t>
            </w:r>
          </w:p>
        </w:tc>
        <w:tc>
          <w:tcPr>
            <w:tcW w:w="400" w:type="dxa"/>
            <w:vAlign w:val="bottom"/>
            <w:gridSpan w:val="2"/>
            <w:shd w:val="clear" w:color="auto" w:fill="E5FFFF"/>
          </w:tcPr>
          <w:p>
            <w:pPr>
              <w:spacing w:after="0"/>
              <w:rPr>
                <w:sz w:val="17"/>
                <w:szCs w:val="17"/>
                <w:color w:val="auto"/>
              </w:rPr>
            </w:pPr>
          </w:p>
        </w:tc>
        <w:tc>
          <w:tcPr>
            <w:tcW w:w="240" w:type="dxa"/>
            <w:vAlign w:val="bottom"/>
            <w:shd w:val="clear" w:color="auto" w:fill="E5FF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2,281</w:t>
            </w:r>
          </w:p>
        </w:tc>
        <w:tc>
          <w:tcPr>
            <w:tcW w:w="20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3"/>
        </w:trPr>
        <w:tc>
          <w:tcPr>
            <w:tcW w:w="5780" w:type="dxa"/>
            <w:vAlign w:val="bottom"/>
          </w:tcPr>
          <w:p>
            <w:pPr>
              <w:ind w:left="180"/>
              <w:spacing w:after="0" w:line="202" w:lineRule="exact"/>
              <w:rPr>
                <w:sz w:val="20"/>
                <w:szCs w:val="20"/>
                <w:color w:val="auto"/>
              </w:rPr>
            </w:pPr>
            <w:r>
              <w:rPr>
                <w:rFonts w:ascii="Arial" w:cs="Arial" w:eastAsia="Arial" w:hAnsi="Arial"/>
                <w:sz w:val="18"/>
                <w:szCs w:val="18"/>
                <w:color w:val="auto"/>
              </w:rPr>
              <w:t>Cost of products and services sold</w:t>
            </w:r>
          </w:p>
        </w:tc>
        <w:tc>
          <w:tcPr>
            <w:tcW w:w="260" w:type="dxa"/>
            <w:vAlign w:val="bottom"/>
          </w:tcPr>
          <w:p>
            <w:pPr>
              <w:spacing w:after="0"/>
              <w:rPr>
                <w:sz w:val="17"/>
                <w:szCs w:val="17"/>
                <w:color w:val="auto"/>
              </w:rPr>
            </w:pP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1,315</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1,528</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57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expenses and other</w:t>
            </w: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283</w:t>
            </w:r>
          </w:p>
        </w:tc>
        <w:tc>
          <w:tcPr>
            <w:tcW w:w="3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r>
      <w:tr>
        <w:trPr>
          <w:trHeight w:val="196"/>
        </w:trPr>
        <w:tc>
          <w:tcPr>
            <w:tcW w:w="5780" w:type="dxa"/>
            <w:vAlign w:val="bottom"/>
          </w:tcPr>
          <w:p>
            <w:pPr>
              <w:spacing w:after="0" w:line="196" w:lineRule="exact"/>
              <w:rPr>
                <w:sz w:val="20"/>
                <w:szCs w:val="20"/>
                <w:color w:val="auto"/>
              </w:rPr>
            </w:pPr>
            <w:r>
              <w:rPr>
                <w:rFonts w:ascii="Arial" w:cs="Arial" w:eastAsia="Arial" w:hAnsi="Arial"/>
                <w:sz w:val="18"/>
                <w:szCs w:val="18"/>
                <w:color w:val="auto"/>
              </w:rPr>
              <w:t>Segment profit</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471</w:t>
            </w:r>
          </w:p>
        </w:tc>
        <w:tc>
          <w:tcPr>
            <w:tcW w:w="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461</w:t>
            </w: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bl>
    <w:p>
      <w:pPr>
        <w:spacing w:after="0" w:line="203" w:lineRule="exact"/>
        <w:rPr>
          <w:sz w:val="20"/>
          <w:szCs w:val="20"/>
          <w:color w:val="auto"/>
        </w:rPr>
      </w:pPr>
    </w:p>
    <w:tbl>
      <w:tblPr>
        <w:tblLayout w:type="fixed"/>
        <w:tblInd w:w="1180" w:type="dxa"/>
        <w:tblCellMar>
          <w:top w:w="0" w:type="dxa"/>
          <w:left w:w="0" w:type="dxa"/>
          <w:bottom w:w="0" w:type="dxa"/>
          <w:right w:w="0" w:type="dxa"/>
        </w:tblCellMar>
      </w:tblPr>
      <w:tr>
        <w:trPr>
          <w:trHeight w:val="175"/>
        </w:trPr>
        <w:tc>
          <w:tcPr>
            <w:tcW w:w="6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2017 vs. 2016</w:t>
            </w:r>
          </w:p>
        </w:tc>
      </w:tr>
      <w:tr>
        <w:trPr>
          <w:trHeight w:val="156"/>
        </w:trPr>
        <w:tc>
          <w:tcPr>
            <w:tcW w:w="6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80" w:type="dxa"/>
            <w:vAlign w:val="bottom"/>
            <w:gridSpan w:val="3"/>
          </w:tcPr>
          <w:p>
            <w:pPr>
              <w:jc w:val="center"/>
              <w:spacing w:after="0" w:line="156" w:lineRule="exact"/>
              <w:rPr>
                <w:sz w:val="20"/>
                <w:szCs w:val="20"/>
                <w:color w:val="auto"/>
              </w:rPr>
            </w:pPr>
            <w:r>
              <w:rPr>
                <w:rFonts w:ascii="Arial" w:cs="Arial" w:eastAsia="Arial" w:hAnsi="Arial"/>
                <w:sz w:val="14"/>
                <w:szCs w:val="14"/>
                <w:b w:val="1"/>
                <w:bCs w:val="1"/>
                <w:color w:val="auto"/>
              </w:rPr>
              <w:t>Three Months Ended</w:t>
            </w:r>
          </w:p>
        </w:tc>
      </w:tr>
      <w:tr>
        <w:trPr>
          <w:trHeight w:val="175"/>
        </w:trPr>
        <w:tc>
          <w:tcPr>
            <w:tcW w:w="6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56"/>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6680" w:type="dxa"/>
            <w:vAlign w:val="bottom"/>
            <w:gridSpan w:val="2"/>
          </w:tcPr>
          <w:p>
            <w:pPr>
              <w:ind w:left="1380"/>
              <w:spacing w:after="0"/>
              <w:rPr>
                <w:sz w:val="20"/>
                <w:szCs w:val="20"/>
                <w:color w:val="auto"/>
              </w:rPr>
            </w:pPr>
            <w:r>
              <w:rPr>
                <w:rFonts w:ascii="Arial" w:cs="Arial" w:eastAsia="Arial" w:hAnsi="Arial"/>
                <w:sz w:val="14"/>
                <w:szCs w:val="14"/>
                <w:b w:val="1"/>
                <w:bCs w:val="1"/>
                <w:color w:val="auto"/>
              </w:rPr>
              <w:t>Factors Contributing to Year-Over-Year Change</w:t>
            </w: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Sales</w:t>
            </w:r>
          </w:p>
        </w:tc>
        <w:tc>
          <w:tcPr>
            <w:tcW w:w="860" w:type="dxa"/>
            <w:vAlign w:val="bottom"/>
          </w:tcPr>
          <w:p>
            <w:pPr>
              <w:jc w:val="right"/>
              <w:ind w:right="176"/>
              <w:spacing w:after="0"/>
              <w:rPr>
                <w:sz w:val="20"/>
                <w:szCs w:val="20"/>
                <w:color w:val="auto"/>
              </w:rPr>
            </w:pPr>
            <w:r>
              <w:rPr>
                <w:rFonts w:ascii="Arial" w:cs="Arial" w:eastAsia="Arial" w:hAnsi="Arial"/>
                <w:sz w:val="14"/>
                <w:szCs w:val="14"/>
                <w:b w:val="1"/>
                <w:bCs w:val="1"/>
                <w:color w:val="auto"/>
              </w:rPr>
              <w:t>Profit</w:t>
            </w:r>
          </w:p>
        </w:tc>
      </w:tr>
      <w:tr>
        <w:trPr>
          <w:trHeight w:val="196"/>
        </w:trPr>
        <w:tc>
          <w:tcPr>
            <w:tcW w:w="600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68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w:t>
            </w:r>
          </w:p>
        </w:tc>
        <w:tc>
          <w:tcPr>
            <w:tcW w:w="16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3"/>
        </w:trPr>
        <w:tc>
          <w:tcPr>
            <w:tcW w:w="668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16"/>
        </w:trPr>
        <w:tc>
          <w:tcPr>
            <w:tcW w:w="66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Acquisitions and divestitures, net</w:t>
            </w: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w:t>
            </w:r>
          </w:p>
        </w:tc>
      </w:tr>
      <w:tr>
        <w:trPr>
          <w:trHeight w:val="196"/>
        </w:trPr>
        <w:tc>
          <w:tcPr>
            <w:tcW w:w="6680" w:type="dxa"/>
            <w:vAlign w:val="bottom"/>
            <w:gridSpan w:val="2"/>
          </w:tcPr>
          <w:p>
            <w:pPr>
              <w:spacing w:after="0" w:line="196" w:lineRule="exact"/>
              <w:rPr>
                <w:sz w:val="20"/>
                <w:szCs w:val="20"/>
                <w:color w:val="auto"/>
              </w:rPr>
            </w:pPr>
            <w:r>
              <w:rPr>
                <w:rFonts w:ascii="Arial" w:cs="Arial" w:eastAsia="Arial" w:hAnsi="Arial"/>
                <w:sz w:val="18"/>
                <w:szCs w:val="18"/>
                <w:color w:val="auto"/>
              </w:rPr>
              <w:t>Total % Change</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r>
    </w:tbl>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Performance Materials and Technologies sales decreased due to divestitures and the unfavorable impact of foreign currency translation, partially offset by growth in organic sales volumes.</w:t>
      </w:r>
    </w:p>
    <w:p>
      <w:pPr>
        <w:spacing w:after="0" w:line="183" w:lineRule="exact"/>
        <w:rPr>
          <w:sz w:val="20"/>
          <w:szCs w:val="20"/>
          <w:color w:val="auto"/>
        </w:rPr>
      </w:pPr>
    </w:p>
    <w:p>
      <w:pPr>
        <w:ind w:left="640" w:right="20" w:hanging="173"/>
        <w:spacing w:after="0" w:line="246"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UOP sales increased by 2% (increased 3% organic) driven primarily by higher gas processing revenues due to an increase in customer projects, partially offset by decreased licensing revenue.</w:t>
      </w:r>
    </w:p>
    <w:p>
      <w:pPr>
        <w:spacing w:after="0" w:line="183" w:lineRule="exact"/>
        <w:rPr>
          <w:rFonts w:ascii="Arial" w:cs="Arial" w:eastAsia="Arial" w:hAnsi="Arial"/>
          <w:sz w:val="18"/>
          <w:szCs w:val="18"/>
          <w:color w:val="auto"/>
        </w:rPr>
      </w:pPr>
    </w:p>
    <w:p>
      <w:pPr>
        <w:ind w:left="640" w:hanging="173"/>
        <w:spacing w:after="0" w:line="246"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Process Solutions sales decreased by 1% (flat organic) driven primarily by decreased revenues in projects and lower field product sales, partially offset by higher revenue in software and services.</w:t>
      </w:r>
    </w:p>
    <w:p>
      <w:pPr>
        <w:spacing w:after="0" w:line="183" w:lineRule="exact"/>
        <w:rPr>
          <w:rFonts w:ascii="Arial" w:cs="Arial" w:eastAsia="Arial" w:hAnsi="Arial"/>
          <w:sz w:val="18"/>
          <w:szCs w:val="18"/>
          <w:color w:val="auto"/>
        </w:rPr>
      </w:pPr>
    </w:p>
    <w:p>
      <w:pPr>
        <w:ind w:left="640" w:hanging="173"/>
        <w:spacing w:after="0" w:line="246"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Advanced Materials sales decreased by 24% (increased 11% organic) driven primarily by the spin-off of the former resins and chemicals business, partially offset by increased fluorine products volumes.</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Performance Materials and Technologies segment profit increased due to an increase in operational segment profit, partially offset by divestitures and the unfavorable impact of foreign currency translation. The increase in operational segment profit is primarily due to productivity, net of inflation, higher organic sales volume and pricing, partially offset by unfavorable product mix and continued investments for growth. Cost of products and services sold decreased primarily due to divestitures and productivity, net of inflation, partially offset by higher organic sales volumes.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Safety and Productivity Solutions</w:t>
      </w:r>
    </w:p>
    <w:p>
      <w:pPr>
        <w:spacing w:after="0" w:line="208" w:lineRule="exact"/>
        <w:rPr>
          <w:sz w:val="20"/>
          <w:szCs w:val="20"/>
          <w:color w:val="auto"/>
        </w:rPr>
      </w:pPr>
    </w:p>
    <w:tbl>
      <w:tblPr>
        <w:tblLayout w:type="fixed"/>
        <w:tblInd w:w="1180" w:type="dxa"/>
        <w:tblCellMar>
          <w:top w:w="0" w:type="dxa"/>
          <w:left w:w="0" w:type="dxa"/>
          <w:bottom w:w="0" w:type="dxa"/>
          <w:right w:w="0" w:type="dxa"/>
        </w:tblCellMar>
      </w:tblPr>
      <w:tr>
        <w:trPr>
          <w:trHeight w:val="176"/>
        </w:trPr>
        <w:tc>
          <w:tcPr>
            <w:tcW w:w="5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374"/>
              <w:spacing w:after="0"/>
              <w:rPr>
                <w:sz w:val="20"/>
                <w:szCs w:val="20"/>
                <w:color w:val="auto"/>
              </w:rPr>
            </w:pPr>
            <w:r>
              <w:rPr>
                <w:rFonts w:ascii="Arial" w:cs="Arial" w:eastAsia="Arial" w:hAnsi="Arial"/>
                <w:sz w:val="14"/>
                <w:szCs w:val="14"/>
                <w:b w:val="1"/>
                <w:bCs w:val="1"/>
                <w:color w:val="auto"/>
              </w:rPr>
              <w:t>March 31,</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2"/>
        </w:trPr>
        <w:tc>
          <w:tcPr>
            <w:tcW w:w="5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gridSpan w:val="2"/>
          </w:tcPr>
          <w:p>
            <w:pPr>
              <w:jc w:val="right"/>
              <w:ind w:right="339"/>
              <w:spacing w:after="0" w:line="143" w:lineRule="exact"/>
              <w:rPr>
                <w:sz w:val="20"/>
                <w:szCs w:val="20"/>
                <w:color w:val="auto"/>
              </w:rPr>
            </w:pPr>
            <w:r>
              <w:rPr>
                <w:rFonts w:ascii="Arial" w:cs="Arial" w:eastAsia="Arial" w:hAnsi="Arial"/>
                <w:sz w:val="14"/>
                <w:szCs w:val="14"/>
                <w:b w:val="1"/>
                <w:bCs w:val="1"/>
                <w:color w:val="auto"/>
              </w:rPr>
              <w:t>%</w:t>
            </w:r>
          </w:p>
        </w:tc>
      </w:tr>
      <w:tr>
        <w:trPr>
          <w:trHeight w:val="175"/>
        </w:trPr>
        <w:tc>
          <w:tcPr>
            <w:tcW w:w="5840" w:type="dxa"/>
            <w:vAlign w:val="bottom"/>
            <w:tcBorders>
              <w:bottom w:val="single" w:sz="8" w:color="E5FF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E5FFFF"/>
            </w:tcBorders>
          </w:tcPr>
          <w:p>
            <w:pPr>
              <w:spacing w:after="0"/>
              <w:rPr>
                <w:sz w:val="15"/>
                <w:szCs w:val="15"/>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r>
      <w:tr>
        <w:trPr>
          <w:trHeight w:val="196"/>
        </w:trPr>
        <w:tc>
          <w:tcPr>
            <w:tcW w:w="58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1,324</w:t>
            </w:r>
          </w:p>
        </w:tc>
        <w:tc>
          <w:tcPr>
            <w:tcW w:w="380" w:type="dxa"/>
            <w:vAlign w:val="bottom"/>
            <w:gridSpan w:val="2"/>
            <w:shd w:val="clear" w:color="auto" w:fill="E5FFFF"/>
          </w:tcPr>
          <w:p>
            <w:pPr>
              <w:spacing w:after="0"/>
              <w:rPr>
                <w:sz w:val="17"/>
                <w:szCs w:val="17"/>
                <w:color w:val="auto"/>
              </w:rPr>
            </w:pPr>
          </w:p>
        </w:tc>
        <w:tc>
          <w:tcPr>
            <w:tcW w:w="240" w:type="dxa"/>
            <w:vAlign w:val="bottom"/>
            <w:shd w:val="clear" w:color="auto" w:fill="E5FFFF"/>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1,059</w:t>
            </w:r>
          </w:p>
        </w:tc>
        <w:tc>
          <w:tcPr>
            <w:tcW w:w="18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3"/>
        </w:trPr>
        <w:tc>
          <w:tcPr>
            <w:tcW w:w="5840" w:type="dxa"/>
            <w:vAlign w:val="bottom"/>
          </w:tcPr>
          <w:p>
            <w:pPr>
              <w:ind w:left="220"/>
              <w:spacing w:after="0" w:line="202" w:lineRule="exact"/>
              <w:rPr>
                <w:sz w:val="20"/>
                <w:szCs w:val="20"/>
                <w:color w:val="auto"/>
              </w:rPr>
            </w:pPr>
            <w:r>
              <w:rPr>
                <w:rFonts w:ascii="Arial" w:cs="Arial" w:eastAsia="Arial" w:hAnsi="Arial"/>
                <w:sz w:val="18"/>
                <w:szCs w:val="18"/>
                <w:color w:val="auto"/>
              </w:rPr>
              <w:t>Cost of products and services sold</w:t>
            </w:r>
          </w:p>
        </w:tc>
        <w:tc>
          <w:tcPr>
            <w:tcW w:w="26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864</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690</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5840" w:type="dxa"/>
            <w:vAlign w:val="bottom"/>
            <w:shd w:val="clear" w:color="auto" w:fill="E5FFFF"/>
          </w:tcPr>
          <w:p>
            <w:pPr>
              <w:ind w:left="220"/>
              <w:spacing w:after="0"/>
              <w:rPr>
                <w:sz w:val="20"/>
                <w:szCs w:val="20"/>
                <w:color w:val="auto"/>
              </w:rPr>
            </w:pPr>
            <w:r>
              <w:rPr>
                <w:rFonts w:ascii="Arial" w:cs="Arial" w:eastAsia="Arial" w:hAnsi="Arial"/>
                <w:sz w:val="18"/>
                <w:szCs w:val="18"/>
                <w:color w:val="auto"/>
              </w:rPr>
              <w:t>Selling, general and administrative expenses and other</w:t>
            </w:r>
          </w:p>
        </w:tc>
        <w:tc>
          <w:tcPr>
            <w:tcW w:w="260" w:type="dxa"/>
            <w:vAlign w:val="bottom"/>
            <w:tcBorders>
              <w:bottom w:val="single" w:sz="8" w:color="auto"/>
            </w:tcBorders>
            <w:shd w:val="clear" w:color="auto" w:fill="E5FFFF"/>
          </w:tcPr>
          <w:p>
            <w:pPr>
              <w:spacing w:after="0"/>
              <w:rPr>
                <w:sz w:val="18"/>
                <w:szCs w:val="18"/>
                <w:color w:val="auto"/>
              </w:rPr>
            </w:pPr>
          </w:p>
        </w:tc>
        <w:tc>
          <w:tcPr>
            <w:tcW w:w="92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266</w:t>
            </w:r>
          </w:p>
        </w:tc>
        <w:tc>
          <w:tcPr>
            <w:tcW w:w="3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92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r>
      <w:tr>
        <w:trPr>
          <w:trHeight w:val="196"/>
        </w:trPr>
        <w:tc>
          <w:tcPr>
            <w:tcW w:w="5840" w:type="dxa"/>
            <w:vAlign w:val="bottom"/>
          </w:tcPr>
          <w:p>
            <w:pPr>
              <w:spacing w:after="0" w:line="196" w:lineRule="exact"/>
              <w:rPr>
                <w:sz w:val="20"/>
                <w:szCs w:val="20"/>
                <w:color w:val="auto"/>
              </w:rPr>
            </w:pPr>
            <w:r>
              <w:rPr>
                <w:rFonts w:ascii="Arial" w:cs="Arial" w:eastAsia="Arial" w:hAnsi="Arial"/>
                <w:sz w:val="18"/>
                <w:szCs w:val="18"/>
                <w:color w:val="auto"/>
              </w:rPr>
              <w:t>Segment profit</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194</w:t>
            </w:r>
          </w:p>
        </w:tc>
        <w:tc>
          <w:tcPr>
            <w:tcW w:w="3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150</w:t>
            </w: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r>
    </w:tbl>
    <w:p>
      <w:pPr>
        <w:spacing w:after="0" w:line="203"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2017 vs.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8890</wp:posOffset>
            </wp:positionV>
            <wp:extent cx="11836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0</wp:posOffset>
            </wp:positionV>
            <wp:extent cx="11836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p>
      <w:pPr>
        <w:spacing w:after="0" w:line="162"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Factors Contributing to Year-Over-Year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8890</wp:posOffset>
            </wp:positionV>
            <wp:extent cx="542861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Organic growth/ Operational segment profit</w:t>
      </w:r>
    </w:p>
    <w:p>
      <w:pPr>
        <w:ind w:left="1180"/>
        <w:spacing w:after="0" w:line="234" w:lineRule="auto"/>
        <w:rPr>
          <w:sz w:val="20"/>
          <w:szCs w:val="20"/>
          <w:color w:val="auto"/>
        </w:rPr>
      </w:pPr>
      <w:r>
        <w:rPr>
          <w:rFonts w:ascii="Arial" w:cs="Arial" w:eastAsia="Arial" w:hAnsi="Arial"/>
          <w:sz w:val="18"/>
          <w:szCs w:val="18"/>
          <w:color w:val="auto"/>
        </w:rPr>
        <w:t>Foreign exchange</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Acquisitions and divestitures,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-130175</wp:posOffset>
            </wp:positionV>
            <wp:extent cx="542861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ind w:left="920"/>
        <w:spacing w:after="0"/>
        <w:rPr>
          <w:sz w:val="20"/>
          <w:szCs w:val="20"/>
          <w:color w:val="auto"/>
        </w:rPr>
      </w:pPr>
      <w:r>
        <w:rPr>
          <w:rFonts w:ascii="Arial" w:cs="Arial" w:eastAsia="Arial" w:hAnsi="Arial"/>
          <w:sz w:val="14"/>
          <w:szCs w:val="14"/>
          <w:b w:val="1"/>
          <w:bCs w:val="1"/>
          <w:color w:val="auto"/>
        </w:rPr>
        <w:t>Segment</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Sales</w:t>
      </w:r>
      <w:r>
        <w:rPr>
          <w:sz w:val="20"/>
          <w:szCs w:val="20"/>
          <w:color w:val="auto"/>
        </w:rPr>
        <w:tab/>
      </w:r>
      <w:r>
        <w:rPr>
          <w:rFonts w:ascii="Arial" w:cs="Arial" w:eastAsia="Arial" w:hAnsi="Arial"/>
          <w:sz w:val="14"/>
          <w:szCs w:val="14"/>
          <w:b w:val="1"/>
          <w:bCs w:val="1"/>
          <w:color w:val="auto"/>
        </w:rPr>
        <w:t>Profit</w:t>
      </w:r>
    </w:p>
    <w:p>
      <w:pPr>
        <w:spacing w:after="0" w:line="9" w:lineRule="exact"/>
        <w:rPr>
          <w:sz w:val="20"/>
          <w:szCs w:val="20"/>
          <w:color w:val="auto"/>
        </w:rPr>
      </w:pPr>
    </w:p>
    <w:p>
      <w:pPr>
        <w:ind w:left="360"/>
        <w:spacing w:after="0"/>
        <w:tabs>
          <w:tab w:leader="none" w:pos="1240" w:val="left"/>
        </w:tabs>
        <w:rPr>
          <w:sz w:val="20"/>
          <w:szCs w:val="20"/>
          <w:color w:val="auto"/>
        </w:rPr>
      </w:pPr>
      <w:r>
        <w:rPr>
          <w:rFonts w:ascii="Arial" w:cs="Arial" w:eastAsia="Arial" w:hAnsi="Arial"/>
          <w:sz w:val="17"/>
          <w:szCs w:val="17"/>
          <w:color w:val="auto"/>
        </w:rPr>
        <w:t>3%</w:t>
      </w:r>
      <w:r>
        <w:rPr>
          <w:sz w:val="20"/>
          <w:szCs w:val="20"/>
          <w:color w:val="auto"/>
        </w:rPr>
        <w:tab/>
      </w:r>
      <w:r>
        <w:rPr>
          <w:rFonts w:ascii="Arial" w:cs="Arial" w:eastAsia="Arial" w:hAnsi="Arial"/>
          <w:sz w:val="17"/>
          <w:szCs w:val="17"/>
          <w:color w:val="auto"/>
        </w:rPr>
        <w:t>27%</w:t>
      </w:r>
    </w:p>
    <w:p>
      <w:pPr>
        <w:spacing w:after="0" w:line="7" w:lineRule="exact"/>
        <w:rPr>
          <w:sz w:val="20"/>
          <w:szCs w:val="20"/>
          <w:color w:val="auto"/>
        </w:rPr>
      </w:pPr>
    </w:p>
    <w:p>
      <w:pPr>
        <w:jc w:val="right"/>
        <w:ind w:right="1700"/>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(1)%</w:t>
      </w:r>
    </w:p>
    <w:p>
      <w:pPr>
        <w:spacing w:after="0" w:line="9" w:lineRule="exact"/>
        <w:rPr>
          <w:sz w:val="20"/>
          <w:szCs w:val="20"/>
          <w:color w:val="auto"/>
        </w:rPr>
      </w:pPr>
    </w:p>
    <w:p>
      <w:pPr>
        <w:jc w:val="both"/>
        <w:ind w:left="260"/>
        <w:spacing w:after="0"/>
        <w:tabs>
          <w:tab w:leader="none" w:pos="13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-1905</wp:posOffset>
            </wp:positionV>
            <wp:extent cx="11836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3" w:lineRule="exact"/>
        <w:rPr>
          <w:sz w:val="20"/>
          <w:szCs w:val="20"/>
          <w:color w:val="auto"/>
        </w:rPr>
      </w:pPr>
    </w:p>
    <w:p>
      <w:pPr>
        <w:ind w:left="260"/>
        <w:spacing w:after="0"/>
        <w:tabs>
          <w:tab w:leader="none" w:pos="124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5080</wp:posOffset>
            </wp:positionV>
            <wp:extent cx="118364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8364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80" w:space="720"/>
            <w:col w:w="3320"/>
          </w:cols>
          <w:pgMar w:left="240" w:top="400" w:right="239" w:bottom="1440" w:gutter="0" w:footer="0" w:header="0"/>
          <w:type w:val="continuous"/>
        </w:sectPr>
      </w:pPr>
    </w:p>
    <w:p>
      <w:pPr>
        <w:spacing w:after="0" w:line="5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Safety and Productivity Solutions sales increased primarily due to growth from acquisitions and organic sales volume, partially offset by the unfavorable impact of foreign currency translation.</w:t>
      </w:r>
    </w:p>
    <w:p>
      <w:pPr>
        <w:spacing w:after="0" w:line="183" w:lineRule="exact"/>
        <w:rPr>
          <w:sz w:val="20"/>
          <w:szCs w:val="20"/>
          <w:color w:val="auto"/>
        </w:rPr>
      </w:pPr>
    </w:p>
    <w:p>
      <w:pPr>
        <w:ind w:left="640" w:hanging="173"/>
        <w:spacing w:after="0" w:line="24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in Safety increased by 3% (increased 3% organic) due to increased sales volume in the Industrial Safety business, partially offset by the unfavorable impact of foreign currency translation.</w:t>
      </w:r>
    </w:p>
    <w:p>
      <w:pPr>
        <w:spacing w:after="0" w:line="183" w:lineRule="exact"/>
        <w:rPr>
          <w:rFonts w:ascii="Arial" w:cs="Arial" w:eastAsia="Arial" w:hAnsi="Arial"/>
          <w:sz w:val="18"/>
          <w:szCs w:val="18"/>
          <w:color w:val="auto"/>
        </w:rPr>
      </w:pPr>
    </w:p>
    <w:p>
      <w:pPr>
        <w:ind w:left="640" w:hanging="173"/>
        <w:spacing w:after="0" w:line="24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in Productivity Solutions increased 46% (increased 3% organic) principally due to growth from acquisitions, primarily Intelligrated, and organic growth in Workflow Solutions, partially offset by the unfavorable impact of foreign currency translation.</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Safety and Productivity Solutions segment profit increased primarily due to an increase in operational segment profit and acquisitions, partially offset by the unfavorable impact of foreign currency translation. The increase in operational segment profit was primarily driven by higher productivity, net of inflation, and sales volume. Cost of products and services sold increased primarily due to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Repositioning</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repositioning actions are expected to generate incremental pretax savings of $200 million to $300 million in 2017 compared with 2016 principally from planned workforce reductions. Cash spending related to our repositioning actions was $54 million in the three months ended March 31, 2017 and was funded through operating cash flows. In 2017, we expect cash spending for repositioning actions to be approximately $225 million and to be funded through operating cash flows.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5"/>
          </w:tcPr>
          <w:p>
            <w:pPr>
              <w:jc w:val="right"/>
              <w:ind w:right="473"/>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5420" w:type="dxa"/>
            <w:vAlign w:val="bottom"/>
            <w:tcBorders>
              <w:bottom w:val="single" w:sz="8" w:color="E5FFFF"/>
            </w:tcBorders>
          </w:tcPr>
          <w:p>
            <w:pPr>
              <w:spacing w:after="0"/>
              <w:rPr>
                <w:sz w:val="14"/>
                <w:szCs w:val="14"/>
                <w:color w:val="auto"/>
              </w:rPr>
            </w:pPr>
          </w:p>
        </w:tc>
        <w:tc>
          <w:tcPr>
            <w:tcW w:w="1160" w:type="dxa"/>
            <w:vAlign w:val="bottom"/>
            <w:tcBorders>
              <w:bottom w:val="single" w:sz="8" w:color="E5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E5FFFF"/>
            </w:tcBorders>
          </w:tcPr>
          <w:p>
            <w:pPr>
              <w:spacing w:after="0"/>
              <w:rPr>
                <w:sz w:val="14"/>
                <w:szCs w:val="14"/>
                <w:color w:val="auto"/>
              </w:rPr>
            </w:pPr>
          </w:p>
        </w:tc>
        <w:tc>
          <w:tcPr>
            <w:tcW w:w="20" w:type="dxa"/>
            <w:vAlign w:val="bottom"/>
            <w:tcBorders>
              <w:bottom w:val="single" w:sz="8" w:color="E5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r>
      <w:tr>
        <w:trPr>
          <w:trHeight w:val="196"/>
        </w:trPr>
        <w:tc>
          <w:tcPr>
            <w:tcW w:w="20" w:type="dxa"/>
            <w:vAlign w:val="bottom"/>
          </w:tcPr>
          <w:p>
            <w:pPr>
              <w:spacing w:after="0"/>
              <w:rPr>
                <w:sz w:val="17"/>
                <w:szCs w:val="17"/>
                <w:color w:val="auto"/>
              </w:rPr>
            </w:pPr>
          </w:p>
        </w:tc>
        <w:tc>
          <w:tcPr>
            <w:tcW w:w="54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Cash provided by (used for):</w:t>
            </w:r>
          </w:p>
        </w:tc>
        <w:tc>
          <w:tcPr>
            <w:tcW w:w="11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160"/>
              <w:spacing w:after="0" w:line="202" w:lineRule="exact"/>
              <w:rPr>
                <w:sz w:val="20"/>
                <w:szCs w:val="20"/>
                <w:color w:val="auto"/>
              </w:rPr>
            </w:pPr>
            <w:r>
              <w:rPr>
                <w:rFonts w:ascii="Arial" w:cs="Arial" w:eastAsia="Arial" w:hAnsi="Arial"/>
                <w:sz w:val="18"/>
                <w:szCs w:val="18"/>
                <w:color w:val="auto"/>
              </w:rPr>
              <w:t>Operating activities</w:t>
            </w:r>
          </w:p>
        </w:tc>
        <w:tc>
          <w:tcPr>
            <w:tcW w:w="13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940</w:t>
            </w:r>
          </w:p>
        </w:tc>
        <w:tc>
          <w:tcPr>
            <w:tcW w:w="360" w:type="dxa"/>
            <w:vAlign w:val="bottom"/>
          </w:tcPr>
          <w:p>
            <w:pPr>
              <w:spacing w:after="0"/>
              <w:rPr>
                <w:sz w:val="17"/>
                <w:szCs w:val="17"/>
                <w:color w:val="auto"/>
              </w:rPr>
            </w:pPr>
          </w:p>
        </w:tc>
        <w:tc>
          <w:tcPr>
            <w:tcW w:w="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319</w:t>
            </w:r>
          </w:p>
        </w:tc>
      </w:tr>
      <w:tr>
        <w:trPr>
          <w:trHeight w:val="203"/>
        </w:trPr>
        <w:tc>
          <w:tcPr>
            <w:tcW w:w="20" w:type="dxa"/>
            <w:vAlign w:val="bottom"/>
          </w:tcPr>
          <w:p>
            <w:pPr>
              <w:spacing w:after="0"/>
              <w:rPr>
                <w:sz w:val="17"/>
                <w:szCs w:val="17"/>
                <w:color w:val="auto"/>
              </w:rPr>
            </w:pPr>
          </w:p>
        </w:tc>
        <w:tc>
          <w:tcPr>
            <w:tcW w:w="54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Investing activities</w:t>
            </w:r>
          </w:p>
        </w:tc>
        <w:tc>
          <w:tcPr>
            <w:tcW w:w="11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(604)</w:t>
            </w:r>
          </w:p>
        </w:tc>
        <w:tc>
          <w:tcPr>
            <w:tcW w:w="3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(1,196)</w:t>
            </w:r>
          </w:p>
        </w:tc>
      </w:tr>
      <w:tr>
        <w:trPr>
          <w:trHeight w:val="203"/>
        </w:trPr>
        <w:tc>
          <w:tcPr>
            <w:tcW w:w="20" w:type="dxa"/>
            <w:vAlign w:val="bottom"/>
          </w:tcPr>
          <w:p>
            <w:pPr>
              <w:spacing w:after="0"/>
              <w:rPr>
                <w:sz w:val="17"/>
                <w:szCs w:val="17"/>
                <w:color w:val="auto"/>
              </w:rPr>
            </w:pPr>
          </w:p>
        </w:tc>
        <w:tc>
          <w:tcPr>
            <w:tcW w:w="5420" w:type="dxa"/>
            <w:vAlign w:val="bottom"/>
          </w:tcPr>
          <w:p>
            <w:pPr>
              <w:ind w:left="160"/>
              <w:spacing w:after="0" w:line="202" w:lineRule="exact"/>
              <w:rPr>
                <w:sz w:val="20"/>
                <w:szCs w:val="20"/>
                <w:color w:val="auto"/>
              </w:rPr>
            </w:pPr>
            <w:r>
              <w:rPr>
                <w:rFonts w:ascii="Arial" w:cs="Arial" w:eastAsia="Arial" w:hAnsi="Arial"/>
                <w:sz w:val="18"/>
                <w:szCs w:val="18"/>
                <w:color w:val="auto"/>
              </w:rPr>
              <w:t>Financing activities</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(618)</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(223)</w:t>
            </w:r>
          </w:p>
        </w:tc>
      </w:tr>
      <w:tr>
        <w:trPr>
          <w:trHeight w:val="216"/>
        </w:trPr>
        <w:tc>
          <w:tcPr>
            <w:tcW w:w="20" w:type="dxa"/>
            <w:vAlign w:val="bottom"/>
          </w:tcPr>
          <w:p>
            <w:pPr>
              <w:spacing w:after="0"/>
              <w:rPr>
                <w:sz w:val="18"/>
                <w:szCs w:val="18"/>
                <w:color w:val="auto"/>
              </w:rPr>
            </w:pPr>
          </w:p>
        </w:tc>
        <w:tc>
          <w:tcPr>
            <w:tcW w:w="54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116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149</w:t>
            </w:r>
          </w:p>
        </w:tc>
        <w:tc>
          <w:tcPr>
            <w:tcW w:w="3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118</w:t>
            </w:r>
          </w:p>
        </w:tc>
      </w:tr>
      <w:tr>
        <w:trPr>
          <w:trHeight w:val="210"/>
        </w:trPr>
        <w:tc>
          <w:tcPr>
            <w:tcW w:w="20" w:type="dxa"/>
            <w:vAlign w:val="bottom"/>
          </w:tcPr>
          <w:p>
            <w:pPr>
              <w:spacing w:after="0"/>
              <w:rPr>
                <w:sz w:val="18"/>
                <w:szCs w:val="18"/>
                <w:color w:val="auto"/>
              </w:rPr>
            </w:pPr>
          </w:p>
        </w:tc>
        <w:tc>
          <w:tcPr>
            <w:tcW w:w="5420" w:type="dxa"/>
            <w:vAlign w:val="bottom"/>
          </w:tcPr>
          <w:p>
            <w:pPr>
              <w:spacing w:after="0" w:line="197" w:lineRule="exact"/>
              <w:rPr>
                <w:sz w:val="20"/>
                <w:szCs w:val="20"/>
                <w:color w:val="auto"/>
              </w:rPr>
            </w:pPr>
            <w:r>
              <w:rPr>
                <w:rFonts w:ascii="Arial" w:cs="Arial" w:eastAsia="Arial" w:hAnsi="Arial"/>
                <w:sz w:val="18"/>
                <w:szCs w:val="18"/>
                <w:color w:val="auto"/>
              </w:rPr>
              <w:t>Net (decrease) increase in cash and cash equivalents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w:t>
            </w:r>
          </w:p>
        </w:tc>
        <w:tc>
          <w:tcPr>
            <w:tcW w:w="36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Cash provided by operating activities increased by $621 million primarily due to a $414 million favorable impact from working capital and an increase in net income of $106 million.</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Cash used for investing activities decreased by $592 million primarily due to a decrease in cash paid for acquisitions of $1,056 million, partially offset by a net $475 million increase in investments, primarily short term marketable securities.</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used for financing activities increased by $395 million primarily due to a decrease in the net proceeds from debt issuances of $1,572 million, partially offset by a decrease in net repurchases of common stock of $962 million and the acquisition in 2016 of the remaining 30% noncontrolling interest of UOP Russell LLC of $238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as well as access to the public debt and equity markets. We continue to balance our cash and financing uses through investment in our existing core businesses, debt reduction, acquisition activity, share repurchases and dividends.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2017, we are not required to make contributions to our U.S. pension plans. We plan to make contributions of cash and/or marketable securities of approximately $130 million ($ 89 million of marketable securities were contributed in January 2017) to our non-U.S. plans in 2017 to satisfy regulatory funding requirements. The timing and amount of contributions to both our U.S. and non-U.S. plans may be impacted by a number of factors, including the funded status of the plans.</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three months ended March 31, 2017, the Company repurchased $310 million of outstanding shares. Under the Company’s previously approved $5 billion share repurchase program, $3.8 billion remained available as of March 31, 2017 for additional share repurchases. Honeywell presently expects to repurchase outstanding shares from time to time to offset the dilutive impact over the long-term of employee stock-based compensation plans, including future option exercises, restricted unit vesting and matching contributions under our savings plans. The amount and timing of future repurchases may vary depending on market conditions and the level of operating, financing and other investing activities.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 Other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Note 12 Commitments and Contingencies of Notes to Consolidated Financial Statements for further discussion of environmental, asbestos and other litigation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financial information as of March 31, 2017 should be read in conjunction with the consolidated financial statements for the year ended December 31, 2016 contained in our 2016 Annual Report on Form 10-K.</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For a discussion of the Company’s critical accounting policies, see Item 7. Management’s Discussion and Analysis of Financial Condition and Results of Operations in our 2016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See Note 2 Recent Accounting Pronouncements of Notes to Consolidated Financial Statements for a discussion of recent accounting pronouncements.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Quantitative and Qualitative Disclosures About Market Risks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2016 Annual Report on Form 10-K. As of March 31, 2017, there has been no material change in this information</w:t>
      </w:r>
      <w:r>
        <w:rPr>
          <w:rFonts w:ascii="Arial" w:cs="Arial" w:eastAsia="Arial" w:hAnsi="Arial"/>
          <w:sz w:val="18"/>
          <w:szCs w:val="18"/>
          <w:b w:val="1"/>
          <w:b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Controls and Procedures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w:t>
      </w:r>
    </w:p>
    <w:p>
      <w:pPr>
        <w:spacing w:after="0" w:line="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 rules and forms, and that it is accumulated and communicated to our management, including our Chief Executive Officer, our Chief Financial Officer, and our Controller, as appropriate, to allow timely decisions regarding required disclosure. There have been no changes that have materially affected, or are reasonably likely to materially affect, Honeywell’s internal control over financial reporting that have occurred during the period covered by this Quarterly Report on Form 10-Q.</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General Legal Matters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Note 12 Commitments and Contingencies of Notes to Consolidated Financial Statements for a discussion of environmental, asbestos and other litigation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Environmental Matters Involving Potential Monetary Sanctions in Excess of $100,000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 purchased 2,575,000 shares of its common stock, par value $ 1 per share, in the quarter ended March 31, 2017. Under the Company’s previously approved $5 billion share repurchase program, $3.8 billion remained available as of March 31, 2017 for additional share repurchases. The following table summarizes Honeywell’s purchase of its common stock for the quarter ended March 31,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0" w:type="dxa"/>
            <w:vAlign w:val="bottom"/>
            <w:gridSpan w:val="4"/>
          </w:tcPr>
          <w:p>
            <w:pPr>
              <w:ind w:left="280"/>
              <w:spacing w:after="0"/>
              <w:rPr>
                <w:sz w:val="20"/>
                <w:szCs w:val="20"/>
                <w:color w:val="auto"/>
              </w:rPr>
            </w:pPr>
            <w:r>
              <w:rPr>
                <w:rFonts w:ascii="Arial" w:cs="Arial" w:eastAsia="Arial" w:hAnsi="Arial"/>
                <w:sz w:val="14"/>
                <w:szCs w:val="14"/>
                <w:b w:val="1"/>
                <w:bCs w:val="1"/>
                <w:color w:val="auto"/>
              </w:rPr>
              <w:t>Issuer Purchases of Equity Securities</w:t>
            </w:r>
          </w:p>
        </w:tc>
        <w:tc>
          <w:tcPr>
            <w:tcW w:w="30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t>
            </w: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w:t>
            </w: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 )</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 Number</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Approximate Dollar</w:t>
            </w: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of Shares</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Purchased as</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May Yet be Purchased</w:t>
            </w: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2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Part of Publicly</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Under Plans or</w:t>
            </w: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Price Paid</w:t>
            </w: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Announced Plans</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Programs</w:t>
            </w:r>
          </w:p>
        </w:tc>
      </w:tr>
      <w:tr>
        <w:trPr>
          <w:trHeight w:val="175"/>
        </w:trPr>
        <w:tc>
          <w:tcPr>
            <w:tcW w:w="20" w:type="dxa"/>
            <w:vAlign w:val="bottom"/>
          </w:tcPr>
          <w:p>
            <w:pPr>
              <w:spacing w:after="0"/>
              <w:rPr>
                <w:sz w:val="15"/>
                <w:szCs w:val="15"/>
                <w:color w:val="auto"/>
              </w:rPr>
            </w:pPr>
          </w:p>
        </w:tc>
        <w:tc>
          <w:tcPr>
            <w:tcW w:w="2280" w:type="dxa"/>
            <w:vAlign w:val="bottom"/>
            <w:gridSpan w:val="2"/>
          </w:tcPr>
          <w:p>
            <w:pPr>
              <w:ind w:left="800"/>
              <w:spacing w:after="0"/>
              <w:rPr>
                <w:sz w:val="20"/>
                <w:szCs w:val="20"/>
                <w:color w:val="auto"/>
              </w:rPr>
            </w:pPr>
            <w:r>
              <w:rPr>
                <w:rFonts w:ascii="Arial" w:cs="Arial" w:eastAsia="Arial" w:hAnsi="Arial"/>
                <w:sz w:val="14"/>
                <w:szCs w:val="14"/>
                <w:b w:val="1"/>
                <w:bCs w:val="1"/>
                <w:color w:val="auto"/>
              </w:rPr>
              <w:t>Period</w:t>
            </w: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Purchased</w:t>
            </w: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per Share</w:t>
            </w: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or Programs</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(Dollars in millions)</w:t>
            </w: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February 2017</w:t>
            </w:r>
          </w:p>
        </w:tc>
        <w:tc>
          <w:tcPr>
            <w:tcW w:w="22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2,575,000</w:t>
            </w:r>
          </w:p>
        </w:tc>
        <w:tc>
          <w:tcPr>
            <w:tcW w:w="22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$120.35</w:t>
            </w:r>
          </w:p>
        </w:tc>
        <w:tc>
          <w:tcPr>
            <w:tcW w:w="220" w:type="dxa"/>
            <w:vAlign w:val="bottom"/>
          </w:tcPr>
          <w:p>
            <w:pPr>
              <w:spacing w:after="0"/>
              <w:rPr>
                <w:sz w:val="18"/>
                <w:szCs w:val="18"/>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2,575,000</w:t>
            </w:r>
          </w:p>
        </w:tc>
        <w:tc>
          <w:tcPr>
            <w:tcW w:w="220" w:type="dxa"/>
            <w:vAlign w:val="bottom"/>
          </w:tcPr>
          <w:p>
            <w:pPr>
              <w:spacing w:after="0"/>
              <w:rPr>
                <w:sz w:val="18"/>
                <w:szCs w:val="18"/>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$3,767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Other Information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Iran Threat Reduction and Syrian Human Rights Act of 2012</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Under the Iran Threat Reduction and Syrian Human Rights Act of 2012, which added Section 13(r) of the Securities Exchange Act of 1934, Honeywell is required to disclose in its periodic reports if it or any of its affiliates knowingly engaged in certain activities, transactions or dealings relating to Iran or with entities or individuals designated pursuant to certain Executive Orders. All of our activities in Iran during the three months ended March 31, 2017, including the activities disclosed below, were conducted by our non-U.S. subsidiaries under General License H and otherwise in compliance with all applicable laws, including sanctions regulations administered by U.S. Treasury’s Office of Foreign Assets Control (OFAC).</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the three months ended March 31, 2017, the UOP business, part of Performance Materials and Technologies, engaged in the following activities related to Iran’s oil, gas and/or petrochemical sectors:</w:t>
      </w:r>
    </w:p>
    <w:p>
      <w:pPr>
        <w:spacing w:after="0" w:line="183" w:lineRule="exact"/>
        <w:rPr>
          <w:sz w:val="20"/>
          <w:szCs w:val="20"/>
          <w:color w:val="auto"/>
        </w:rPr>
      </w:pPr>
    </w:p>
    <w:p>
      <w:pPr>
        <w:ind w:left="640" w:right="180" w:hanging="173"/>
        <w:spacing w:after="0" w:line="246"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Delivered services to Iranian counterparties pursuant to new and existing contracts, which resulted in revenue of approximately $12.5 million in the three months ended March 31, 2017, (expected total value of these contracts is approximately $48.3 million).</w:t>
      </w:r>
    </w:p>
    <w:p>
      <w:pPr>
        <w:spacing w:after="0" w:line="183" w:lineRule="exact"/>
        <w:rPr>
          <w:rFonts w:ascii="Arial" w:cs="Arial" w:eastAsia="Arial" w:hAnsi="Arial"/>
          <w:sz w:val="18"/>
          <w:szCs w:val="18"/>
          <w:color w:val="auto"/>
        </w:rPr>
      </w:pPr>
    </w:p>
    <w:p>
      <w:pPr>
        <w:ind w:left="640" w:right="400" w:hanging="17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Sold non-U.S. origin products to non-U.S. third-parties for end-use in Iran pursuant to new and existing contracts, which resulted in revenue of approximately $0.4 million in the three months ended March 31, 2017 (expected total value of these contracts is approximately $0.9 million).</w:t>
      </w:r>
    </w:p>
    <w:p>
      <w:pPr>
        <w:spacing w:after="0" w:line="189"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In the three months ended March 31, 2017, the Process Solutions business, part of Performance Materials and Technologies, sold less than $0.1 million of non-U.S. origin products to distributors (including an Iranian distributor) for use in the gas distribution sector in Iran.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0" w:name="page31"/>
    <w:bookmarkEnd w:id="30"/>
    <w:p>
      <w:pPr>
        <w:ind w:firstLine="648"/>
        <w:spacing w:after="0" w:line="246" w:lineRule="auto"/>
        <w:rPr>
          <w:sz w:val="20"/>
          <w:szCs w:val="20"/>
          <w:color w:val="auto"/>
        </w:rPr>
      </w:pPr>
      <w:r>
        <w:rPr>
          <w:rFonts w:ascii="Arial" w:cs="Arial" w:eastAsia="Arial" w:hAnsi="Arial"/>
          <w:sz w:val="18"/>
          <w:szCs w:val="18"/>
          <w:color w:val="auto"/>
        </w:rPr>
        <w:t>Our non-U.S. subsidiaries intend to continue doing business in Iran under General License H in compliance with all applicable laws, which sales may require additional disclosure pursuant to Section 13(r) of the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98" w:lineRule="exact"/>
        <w:rPr>
          <w:sz w:val="20"/>
          <w:szCs w:val="20"/>
          <w:color w:val="auto"/>
        </w:rPr>
      </w:pPr>
    </w:p>
    <w:p>
      <w:pPr>
        <w:ind w:left="5620" w:right="4640" w:hanging="4964"/>
        <w:spacing w:after="0" w:line="465" w:lineRule="auto"/>
        <w:tabs>
          <w:tab w:leader="none" w:pos="9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the Exhibit Index on page 33 of this Quarterly Report on Form 10-Q.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460" w:type="dxa"/>
            <w:vAlign w:val="bottom"/>
            <w:gridSpan w:val="3"/>
          </w:tcPr>
          <w:p>
            <w:pPr>
              <w:ind w:left="40"/>
              <w:spacing w:after="0"/>
              <w:rPr>
                <w:sz w:val="20"/>
                <w:szCs w:val="20"/>
                <w:color w:val="auto"/>
              </w:rPr>
            </w:pPr>
            <w:r>
              <w:rPr>
                <w:rFonts w:ascii="Arial" w:cs="Arial" w:eastAsia="Arial" w:hAnsi="Arial"/>
                <w:sz w:val="18"/>
                <w:szCs w:val="18"/>
                <w:color w:val="auto"/>
              </w:rPr>
              <w:t>Honeywell International Inc.</w:t>
            </w:r>
          </w:p>
        </w:tc>
      </w:tr>
      <w:tr>
        <w:trPr>
          <w:trHeight w:val="365"/>
        </w:trPr>
        <w:tc>
          <w:tcPr>
            <w:tcW w:w="3620" w:type="dxa"/>
            <w:vAlign w:val="bottom"/>
          </w:tcPr>
          <w:p>
            <w:pPr>
              <w:spacing w:after="0"/>
              <w:rPr>
                <w:sz w:val="20"/>
                <w:szCs w:val="20"/>
                <w:color w:val="auto"/>
              </w:rPr>
            </w:pPr>
            <w:r>
              <w:rPr>
                <w:rFonts w:ascii="Arial" w:cs="Arial" w:eastAsia="Arial" w:hAnsi="Arial"/>
                <w:sz w:val="18"/>
                <w:szCs w:val="18"/>
                <w:color w:val="auto"/>
              </w:rPr>
              <w:t>Date: April 21, 2017</w:t>
            </w:r>
          </w:p>
        </w:tc>
        <w:tc>
          <w:tcPr>
            <w:tcW w:w="4340" w:type="dxa"/>
            <w:vAlign w:val="bottom"/>
          </w:tcPr>
          <w:p>
            <w:pPr>
              <w:jc w:val="right"/>
              <w:spacing w:after="0"/>
              <w:rPr>
                <w:sz w:val="20"/>
                <w:szCs w:val="20"/>
                <w:color w:val="auto"/>
              </w:rPr>
            </w:pPr>
            <w:r>
              <w:rPr>
                <w:rFonts w:ascii="Arial" w:cs="Arial" w:eastAsia="Arial" w:hAnsi="Arial"/>
                <w:sz w:val="18"/>
                <w:szCs w:val="18"/>
                <w:color w:val="auto"/>
              </w:rPr>
              <w:t>By:</w:t>
            </w:r>
          </w:p>
        </w:tc>
        <w:tc>
          <w:tcPr>
            <w:tcW w:w="280" w:type="dxa"/>
            <w:vAlign w:val="bottom"/>
          </w:tcPr>
          <w:p>
            <w:pPr>
              <w:spacing w:after="0"/>
              <w:rPr>
                <w:sz w:val="24"/>
                <w:szCs w:val="24"/>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Jennifer H. Mak</w:t>
            </w:r>
          </w:p>
        </w:tc>
        <w:tc>
          <w:tcPr>
            <w:tcW w:w="1680" w:type="dxa"/>
            <w:vAlign w:val="bottom"/>
          </w:tcPr>
          <w:p>
            <w:pPr>
              <w:spacing w:after="0"/>
              <w:rPr>
                <w:sz w:val="24"/>
                <w:szCs w:val="24"/>
                <w:color w:val="auto"/>
              </w:rPr>
            </w:pPr>
          </w:p>
        </w:tc>
      </w:tr>
      <w:tr>
        <w:trPr>
          <w:trHeight w:val="209"/>
        </w:trPr>
        <w:tc>
          <w:tcPr>
            <w:tcW w:w="3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Jennifer H. Mak</w:t>
            </w:r>
          </w:p>
        </w:tc>
      </w:tr>
      <w:tr>
        <w:trPr>
          <w:trHeight w:val="203"/>
        </w:trPr>
        <w:tc>
          <w:tcPr>
            <w:tcW w:w="36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80" w:type="dxa"/>
            <w:vAlign w:val="bottom"/>
            <w:gridSpan w:val="2"/>
          </w:tcPr>
          <w:p>
            <w:pPr>
              <w:spacing w:after="0" w:line="202" w:lineRule="exact"/>
              <w:rPr>
                <w:sz w:val="20"/>
                <w:szCs w:val="20"/>
                <w:color w:val="auto"/>
              </w:rPr>
            </w:pPr>
            <w:r>
              <w:rPr>
                <w:rFonts w:ascii="Arial" w:cs="Arial" w:eastAsia="Arial" w:hAnsi="Arial"/>
                <w:sz w:val="18"/>
                <w:szCs w:val="18"/>
                <w:color w:val="auto"/>
              </w:rPr>
              <w:t>Vice President and Controller</w:t>
            </w:r>
          </w:p>
        </w:tc>
      </w:tr>
      <w:tr>
        <w:trPr>
          <w:trHeight w:val="203"/>
        </w:trPr>
        <w:tc>
          <w:tcPr>
            <w:tcW w:w="36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80" w:type="dxa"/>
            <w:vAlign w:val="bottom"/>
            <w:gridSpan w:val="2"/>
          </w:tcPr>
          <w:p>
            <w:pPr>
              <w:spacing w:after="0" w:line="202" w:lineRule="exact"/>
              <w:rPr>
                <w:sz w:val="20"/>
                <w:szCs w:val="20"/>
                <w:color w:val="auto"/>
              </w:rPr>
            </w:pPr>
            <w:r>
              <w:rPr>
                <w:rFonts w:ascii="Arial" w:cs="Arial" w:eastAsia="Arial" w:hAnsi="Arial"/>
                <w:sz w:val="18"/>
                <w:szCs w:val="18"/>
                <w:color w:val="auto"/>
              </w:rPr>
              <w:t>(on behalf of the Registrant</w:t>
            </w:r>
          </w:p>
        </w:tc>
      </w:tr>
      <w:tr>
        <w:trPr>
          <w:trHeight w:val="203"/>
        </w:trPr>
        <w:tc>
          <w:tcPr>
            <w:tcW w:w="36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80" w:type="dxa"/>
            <w:vAlign w:val="bottom"/>
            <w:gridSpan w:val="2"/>
          </w:tcPr>
          <w:p>
            <w:pPr>
              <w:spacing w:after="0" w:line="202" w:lineRule="exact"/>
              <w:rPr>
                <w:sz w:val="20"/>
                <w:szCs w:val="20"/>
                <w:color w:val="auto"/>
              </w:rPr>
            </w:pPr>
            <w:r>
              <w:rPr>
                <w:rFonts w:ascii="Arial" w:cs="Arial" w:eastAsia="Arial" w:hAnsi="Arial"/>
                <w:sz w:val="18"/>
                <w:szCs w:val="18"/>
                <w:color w:val="auto"/>
              </w:rPr>
              <w:t>and as the Registrant’s</w:t>
            </w:r>
          </w:p>
        </w:tc>
      </w:tr>
      <w:tr>
        <w:trPr>
          <w:trHeight w:val="217"/>
        </w:trPr>
        <w:tc>
          <w:tcPr>
            <w:tcW w:w="36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r>
        <w:trPr>
          <w:trHeight w:val="392"/>
        </w:trPr>
        <w:tc>
          <w:tcPr>
            <w:tcW w:w="3620" w:type="dxa"/>
            <w:vAlign w:val="bottom"/>
          </w:tcPr>
          <w:p>
            <w:pPr>
              <w:spacing w:after="0"/>
              <w:rPr>
                <w:sz w:val="24"/>
                <w:szCs w:val="24"/>
                <w:color w:val="auto"/>
              </w:rPr>
            </w:pPr>
          </w:p>
        </w:tc>
        <w:tc>
          <w:tcPr>
            <w:tcW w:w="4340" w:type="dxa"/>
            <w:vAlign w:val="bottom"/>
          </w:tcPr>
          <w:p>
            <w:pPr>
              <w:jc w:val="right"/>
              <w:ind w:right="205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7"/>
        </w:trPr>
        <w:tc>
          <w:tcPr>
            <w:tcW w:w="3620" w:type="dxa"/>
            <w:vAlign w:val="bottom"/>
            <w:tcBorders>
              <w:bottom w:val="single" w:sz="8" w:color="C0C0C0"/>
            </w:tcBorders>
          </w:tcPr>
          <w:p>
            <w:pPr>
              <w:spacing w:after="0"/>
              <w:rPr>
                <w:sz w:val="20"/>
                <w:szCs w:val="20"/>
                <w:color w:val="auto"/>
              </w:rPr>
            </w:pPr>
          </w:p>
        </w:tc>
        <w:tc>
          <w:tcPr>
            <w:tcW w:w="434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1500" w:type="dxa"/>
            <w:vAlign w:val="bottom"/>
            <w:tcBorders>
              <w:bottom w:val="single" w:sz="8" w:color="C0C0C0"/>
            </w:tcBorders>
          </w:tcPr>
          <w:p>
            <w:pPr>
              <w:spacing w:after="0"/>
              <w:rPr>
                <w:sz w:val="20"/>
                <w:szCs w:val="20"/>
                <w:color w:val="auto"/>
              </w:rPr>
            </w:pPr>
          </w:p>
        </w:tc>
        <w:tc>
          <w:tcPr>
            <w:tcW w:w="16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9"/>
        </w:trPr>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Exhibit</w:t>
            </w:r>
          </w:p>
        </w:tc>
        <w:tc>
          <w:tcPr>
            <w:tcW w:w="4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225"/>
        </w:trPr>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No.</w:t>
            </w:r>
          </w:p>
        </w:tc>
        <w:tc>
          <w:tcPr>
            <w:tcW w:w="4100" w:type="dxa"/>
            <w:vAlign w:val="bottom"/>
          </w:tcPr>
          <w:p>
            <w:pPr>
              <w:spacing w:after="0"/>
              <w:rPr>
                <w:sz w:val="19"/>
                <w:szCs w:val="19"/>
                <w:color w:val="auto"/>
              </w:rPr>
            </w:pPr>
          </w:p>
        </w:tc>
        <w:tc>
          <w:tcPr>
            <w:tcW w:w="6360" w:type="dxa"/>
            <w:vAlign w:val="bottom"/>
            <w:gridSpan w:val="2"/>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398"/>
        </w:trPr>
        <w:tc>
          <w:tcPr>
            <w:tcW w:w="7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5"/>
              </w:rPr>
              <w:t>10.1*</w:t>
            </w:r>
          </w:p>
        </w:tc>
        <w:tc>
          <w:tcPr>
            <w:tcW w:w="200" w:type="dxa"/>
            <w:vAlign w:val="bottom"/>
          </w:tcPr>
          <w:p>
            <w:pPr>
              <w:spacing w:after="0"/>
              <w:rPr>
                <w:sz w:val="24"/>
                <w:szCs w:val="24"/>
                <w:color w:val="auto"/>
              </w:rPr>
            </w:pPr>
          </w:p>
        </w:tc>
        <w:tc>
          <w:tcPr>
            <w:tcW w:w="104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Chief Executive Officer Business Continuity Agreement as approved by the Board of Directors of Honeywell International Inc. on</w:t>
            </w:r>
          </w:p>
        </w:tc>
      </w:tr>
      <w:tr>
        <w:trPr>
          <w:trHeight w:val="203"/>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60" w:type="dxa"/>
            <w:vAlign w:val="bottom"/>
            <w:gridSpan w:val="3"/>
          </w:tcPr>
          <w:p>
            <w:pPr>
              <w:spacing w:after="0" w:line="202" w:lineRule="exact"/>
              <w:rPr>
                <w:sz w:val="20"/>
                <w:szCs w:val="20"/>
                <w:color w:val="auto"/>
              </w:rPr>
            </w:pPr>
            <w:r>
              <w:rPr>
                <w:rFonts w:ascii="Arial" w:cs="Arial" w:eastAsia="Arial" w:hAnsi="Arial"/>
                <w:sz w:val="18"/>
                <w:szCs w:val="18"/>
                <w:color w:val="auto"/>
              </w:rPr>
              <w:t>June 28, 2016 (incorporated by reference to Exhibit 99.1 to Honeywell’s Form 8-K filed June 28, 2016), and amended by the</w:t>
            </w:r>
          </w:p>
        </w:tc>
      </w:tr>
      <w:tr>
        <w:trPr>
          <w:trHeight w:val="217"/>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60" w:type="dxa"/>
            <w:vAlign w:val="bottom"/>
            <w:gridSpan w:val="3"/>
          </w:tcPr>
          <w:p>
            <w:pPr>
              <w:spacing w:after="0"/>
              <w:rPr>
                <w:sz w:val="20"/>
                <w:szCs w:val="20"/>
                <w:color w:val="auto"/>
              </w:rPr>
            </w:pPr>
            <w:r>
              <w:rPr>
                <w:rFonts w:ascii="Arial" w:cs="Arial" w:eastAsia="Arial" w:hAnsi="Arial"/>
                <w:sz w:val="18"/>
                <w:szCs w:val="18"/>
                <w:color w:val="auto"/>
              </w:rPr>
              <w:t>attached amendment (filed herewith)</w:t>
            </w:r>
          </w:p>
        </w:tc>
      </w:tr>
    </w:tbl>
    <w:p>
      <w:pPr>
        <w:spacing w:after="0" w:line="188" w:lineRule="exact"/>
        <w:rPr>
          <w:sz w:val="20"/>
          <w:szCs w:val="20"/>
          <w:color w:val="auto"/>
        </w:rPr>
      </w:pPr>
    </w:p>
    <w:p>
      <w:pPr>
        <w:sectPr>
          <w:pgSz w:w="11900" w:h="16838" w:orient="portrait"/>
          <w:cols w:equalWidth="0" w:num="1">
            <w:col w:w="11420"/>
          </w:cols>
          <w:pgMar w:left="240" w:top="392" w:right="239" w:bottom="1440" w:gutter="0" w:footer="0" w:header="0"/>
        </w:sectPr>
      </w:pPr>
    </w:p>
    <w:p>
      <w:pPr>
        <w:spacing w:after="0"/>
        <w:rPr>
          <w:sz w:val="20"/>
          <w:szCs w:val="20"/>
          <w:color w:val="auto"/>
        </w:rPr>
      </w:pPr>
      <w:r>
        <w:rPr>
          <w:rFonts w:ascii="Arial" w:cs="Arial" w:eastAsia="Arial" w:hAnsi="Arial"/>
          <w:sz w:val="17"/>
          <w:szCs w:val="17"/>
          <w:color w:val="auto"/>
        </w:rPr>
        <w:t>10.2*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br w:type="column"/>
      </w:r>
    </w:p>
    <w:p>
      <w:pPr>
        <w:ind w:right="420"/>
        <w:spacing w:after="0" w:line="246" w:lineRule="auto"/>
        <w:rPr>
          <w:sz w:val="20"/>
          <w:szCs w:val="20"/>
          <w:color w:val="auto"/>
        </w:rPr>
      </w:pPr>
      <w:r>
        <w:rPr>
          <w:rFonts w:ascii="Arial" w:cs="Arial" w:eastAsia="Arial" w:hAnsi="Arial"/>
          <w:sz w:val="18"/>
          <w:szCs w:val="18"/>
          <w:color w:val="auto"/>
        </w:rPr>
        <w:t>2016 Stock Incentive Plan of Honeywell International Inc. and its Affiliates – Form of Performance Plan Grant Agreement (filed herewith)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Per Share Earnings</w:t>
      </w:r>
      <w:r>
        <w:rPr>
          <w:rFonts w:ascii="Arial" w:cs="Arial" w:eastAsia="Arial" w:hAnsi="Arial"/>
          <w:sz w:val="30"/>
          <w:szCs w:val="30"/>
          <w:color w:val="auto"/>
          <w:vertAlign w:val="superscript"/>
        </w:rPr>
        <w:t>(1)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(filed herewith)</w:t>
      </w:r>
    </w:p>
    <w:p>
      <w:pPr>
        <w:spacing w:after="0" w:line="198" w:lineRule="exact"/>
        <w:rPr>
          <w:sz w:val="20"/>
          <w:szCs w:val="20"/>
          <w:color w:val="auto"/>
        </w:rPr>
      </w:pPr>
    </w:p>
    <w:p>
      <w:pPr>
        <w:sectPr>
          <w:pgSz w:w="11900" w:h="16838" w:orient="portrait"/>
          <w:cols w:equalWidth="0" w:num="2">
            <w:col w:w="420" w:space="540"/>
            <w:col w:w="10460"/>
          </w:cols>
          <w:pgMar w:left="240" w:top="392" w:right="2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9780" w:type="dxa"/>
            <w:vAlign w:val="bottom"/>
          </w:tcPr>
          <w:p>
            <w:pPr>
              <w:ind w:left="10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 (filed herewith)</w:t>
            </w: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9780" w:type="dxa"/>
            <w:vAlign w:val="bottom"/>
          </w:tcPr>
          <w:p>
            <w:pPr>
              <w:ind w:left="10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 (filed herewith)</w:t>
            </w:r>
          </w:p>
        </w:tc>
      </w:tr>
      <w:tr>
        <w:trPr>
          <w:trHeight w:val="391"/>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9780" w:type="dxa"/>
            <w:vAlign w:val="bottom"/>
          </w:tcPr>
          <w:p>
            <w:pPr>
              <w:ind w:left="100"/>
              <w:spacing w:after="0"/>
              <w:rPr>
                <w:sz w:val="20"/>
                <w:szCs w:val="20"/>
                <w:color w:val="auto"/>
              </w:rPr>
            </w:pPr>
            <w:r>
              <w:rPr>
                <w:rFonts w:ascii="Arial" w:cs="Arial" w:eastAsia="Arial" w:hAnsi="Arial"/>
                <w:sz w:val="18"/>
                <w:szCs w:val="18"/>
                <w:color w:val="auto"/>
                <w:w w:val="99"/>
              </w:rPr>
              <w:t>Certification of Principal Executive Officer Pursuant to 18 U.S.C. Section 1350, as Adopted Pursuant to Section 906 of the</w:t>
            </w:r>
          </w:p>
        </w:tc>
      </w:tr>
      <w:tr>
        <w:trPr>
          <w:trHeight w:val="217"/>
        </w:trPr>
        <w:tc>
          <w:tcPr>
            <w:tcW w:w="860" w:type="dxa"/>
            <w:vAlign w:val="bottom"/>
          </w:tcPr>
          <w:p>
            <w:pPr>
              <w:spacing w:after="0"/>
              <w:rPr>
                <w:sz w:val="18"/>
                <w:szCs w:val="18"/>
                <w:color w:val="auto"/>
              </w:rPr>
            </w:pPr>
          </w:p>
        </w:tc>
        <w:tc>
          <w:tcPr>
            <w:tcW w:w="9780" w:type="dxa"/>
            <w:vAlign w:val="bottom"/>
          </w:tcPr>
          <w:p>
            <w:pPr>
              <w:ind w:left="100"/>
              <w:spacing w:after="0"/>
              <w:rPr>
                <w:sz w:val="20"/>
                <w:szCs w:val="20"/>
                <w:color w:val="auto"/>
              </w:rPr>
            </w:pPr>
            <w:r>
              <w:rPr>
                <w:rFonts w:ascii="Arial" w:cs="Arial" w:eastAsia="Arial" w:hAnsi="Arial"/>
                <w:sz w:val="18"/>
                <w:szCs w:val="18"/>
                <w:color w:val="auto"/>
              </w:rPr>
              <w:t>Sarbanes-Oxley Act of 2002 (filed herewith)</w:t>
            </w:r>
          </w:p>
        </w:tc>
      </w:tr>
      <w:tr>
        <w:trPr>
          <w:trHeight w:val="391"/>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9780" w:type="dxa"/>
            <w:vAlign w:val="bottom"/>
          </w:tcPr>
          <w:p>
            <w:pPr>
              <w:ind w:left="100"/>
              <w:spacing w:after="0"/>
              <w:rPr>
                <w:sz w:val="20"/>
                <w:szCs w:val="20"/>
                <w:color w:val="auto"/>
              </w:rPr>
            </w:pPr>
            <w:r>
              <w:rPr>
                <w:rFonts w:ascii="Arial" w:cs="Arial" w:eastAsia="Arial" w:hAnsi="Arial"/>
                <w:sz w:val="18"/>
                <w:szCs w:val="18"/>
                <w:color w:val="auto"/>
              </w:rPr>
              <w:t>Certification of Principal Financial Officer Pursuant to 18 U.S.C. Section 1350, as Adopted Pursuant to Section 906 of the</w:t>
            </w:r>
          </w:p>
        </w:tc>
      </w:tr>
      <w:tr>
        <w:trPr>
          <w:trHeight w:val="217"/>
        </w:trPr>
        <w:tc>
          <w:tcPr>
            <w:tcW w:w="860" w:type="dxa"/>
            <w:vAlign w:val="bottom"/>
          </w:tcPr>
          <w:p>
            <w:pPr>
              <w:spacing w:after="0"/>
              <w:rPr>
                <w:sz w:val="18"/>
                <w:szCs w:val="18"/>
                <w:color w:val="auto"/>
              </w:rPr>
            </w:pPr>
          </w:p>
        </w:tc>
        <w:tc>
          <w:tcPr>
            <w:tcW w:w="9780" w:type="dxa"/>
            <w:vAlign w:val="bottom"/>
          </w:tcPr>
          <w:p>
            <w:pPr>
              <w:ind w:left="100"/>
              <w:spacing w:after="0"/>
              <w:rPr>
                <w:sz w:val="20"/>
                <w:szCs w:val="20"/>
                <w:color w:val="auto"/>
              </w:rPr>
            </w:pPr>
            <w:r>
              <w:rPr>
                <w:rFonts w:ascii="Arial" w:cs="Arial" w:eastAsia="Arial" w:hAnsi="Arial"/>
                <w:sz w:val="18"/>
                <w:szCs w:val="18"/>
                <w:color w:val="auto"/>
              </w:rPr>
              <w:t>Sarbanes-Oxley Act of 2002 (filed herewith)</w:t>
            </w: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9780" w:type="dxa"/>
            <w:vAlign w:val="bottom"/>
          </w:tcPr>
          <w:p>
            <w:pPr>
              <w:ind w:left="100"/>
              <w:spacing w:after="0"/>
              <w:rPr>
                <w:sz w:val="20"/>
                <w:szCs w:val="20"/>
                <w:color w:val="auto"/>
              </w:rPr>
            </w:pPr>
            <w:r>
              <w:rPr>
                <w:rFonts w:ascii="Arial" w:cs="Arial" w:eastAsia="Arial" w:hAnsi="Arial"/>
                <w:sz w:val="18"/>
                <w:szCs w:val="18"/>
                <w:color w:val="auto"/>
              </w:rPr>
              <w:t>XBRL Instance Document (filed herewith)</w:t>
            </w: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tcPr>
          <w:p>
            <w:pPr>
              <w:ind w:left="100"/>
              <w:spacing w:after="0"/>
              <w:rPr>
                <w:sz w:val="20"/>
                <w:szCs w:val="20"/>
                <w:color w:val="auto"/>
              </w:rPr>
            </w:pPr>
            <w:r>
              <w:rPr>
                <w:rFonts w:ascii="Arial" w:cs="Arial" w:eastAsia="Arial" w:hAnsi="Arial"/>
                <w:sz w:val="18"/>
                <w:szCs w:val="18"/>
                <w:color w:val="auto"/>
              </w:rPr>
              <w:t>XBRL Taxonomy Extension Schema (filed herewith)</w:t>
            </w: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978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978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(filed herewith)</w:t>
            </w: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978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(filed herewith)</w:t>
            </w: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978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Data required is provided in Note 4 Earnings Per Share of Notes to Consolidated Financial Statements.</w:t>
      </w:r>
    </w:p>
    <w:p>
      <w:pPr>
        <w:spacing w:after="0" w:line="19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Exhibits identified above with an asterisk (*) are management contracts or compensatory plans or arrangements.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22"/>
          <w:szCs w:val="22"/>
          <w:color w:val="auto"/>
        </w:rPr>
        <w:t>Exhibit 10.1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BUSINESS CONTINUITY AGREEMENT</w:t>
      </w:r>
    </w:p>
    <w:p>
      <w:pPr>
        <w:spacing w:after="0" w:line="239" w:lineRule="exact"/>
        <w:rPr>
          <w:sz w:val="20"/>
          <w:szCs w:val="20"/>
          <w:color w:val="auto"/>
        </w:rPr>
      </w:pPr>
    </w:p>
    <w:p>
      <w:pPr>
        <w:ind w:right="180"/>
        <w:spacing w:after="0" w:line="258" w:lineRule="auto"/>
        <w:rPr>
          <w:sz w:val="20"/>
          <w:szCs w:val="20"/>
          <w:color w:val="auto"/>
        </w:rPr>
      </w:pPr>
      <w:r>
        <w:rPr>
          <w:rFonts w:ascii="Arial" w:cs="Arial" w:eastAsia="Arial" w:hAnsi="Arial"/>
          <w:sz w:val="21"/>
          <w:szCs w:val="21"/>
          <w:color w:val="auto"/>
        </w:rPr>
        <w:t>This First Amendment (this “First Amendment”) to the Business Continuity Agreement dated June 28, 2016 (the “BCA”) is made and entered into as of April 1, 2017 between Honeywell International Inc. (“Honeywell”) and David M. Cote. Capitalized terms used herein but otherwise not defined herein shall have the meaning ascribed thereto in the BCA.</w:t>
      </w: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Section 1 (“Service as Board Chairman”) is hereby amended by adding the following sentence to the end of the paragraph:</w:t>
      </w:r>
    </w:p>
    <w:p>
      <w:pPr>
        <w:spacing w:after="0" w:line="24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“Until such time as Mr. Adamczyk is granted a security clearance by the relevant governmental authorities and is no longer excluded from access to classified material, you will act as the most senior management official charged with the management of all activities related to the performance by Honeywell in respect of all classified contracts between Honeywell and the Department of Defense and any other Federal Government Contracting Activities (GCA) that requires security clearances in which Honeywell participates under any National Industrial Security Program.”</w:t>
      </w:r>
    </w:p>
    <w:p>
      <w:pPr>
        <w:spacing w:after="0" w:line="215"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All other provisions of the BCA shall remain unchanged and in full force and effect. No further amendments or modifications shall be made to the BCA unless agreed to in writing by both Honeywell and Mr. Cote. This Agreement may be executed in multiple counterparts, with each such counterpart taken together constituting one and the same document until a consolidated execution of this agreement is accomplished.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left intentionally blank.]</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w:t>
      </w:r>
      <w:r>
        <w:rPr>
          <w:rFonts w:ascii="Arial" w:cs="Arial" w:eastAsia="Arial" w:hAnsi="Arial"/>
          <w:sz w:val="20"/>
          <w:szCs w:val="20"/>
          <w:color w:val="auto"/>
        </w:rPr>
        <w:t xml:space="preserve"> of </w:t>
      </w:r>
      <w:r>
        <w:rPr>
          <w:rFonts w:ascii="Arial" w:cs="Arial" w:eastAsia="Arial" w:hAnsi="Arial"/>
          <w:sz w:val="20"/>
          <w:szCs w:val="20"/>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ind w:left="10360"/>
        <w:spacing w:after="0"/>
        <w:rPr>
          <w:sz w:val="20"/>
          <w:szCs w:val="20"/>
          <w:color w:val="auto"/>
        </w:rPr>
      </w:pPr>
      <w:r>
        <w:rPr>
          <w:rFonts w:ascii="Arial" w:cs="Arial" w:eastAsia="Arial" w:hAnsi="Arial"/>
          <w:sz w:val="19"/>
          <w:szCs w:val="19"/>
          <w:color w:val="auto"/>
        </w:rPr>
        <w:t>Exhibit 10.1</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In witness whereof, this First Amendment has been duly executed and delivered as of the date first written above by Honeywell and Mr. David M. Cote.</w:t>
      </w:r>
    </w:p>
    <w:p>
      <w:pPr>
        <w:spacing w:after="0" w:line="200" w:lineRule="exact"/>
        <w:rPr>
          <w:sz w:val="20"/>
          <w:szCs w:val="20"/>
          <w:color w:val="auto"/>
        </w:rPr>
      </w:pPr>
    </w:p>
    <w:p>
      <w:pPr>
        <w:spacing w:after="0" w:line="237"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HONEYWELL INTERNATIONAL INC.</w:t>
      </w:r>
    </w:p>
    <w:p>
      <w:pPr>
        <w:spacing w:after="0" w:line="229" w:lineRule="exact"/>
        <w:rPr>
          <w:sz w:val="20"/>
          <w:szCs w:val="20"/>
          <w:color w:val="auto"/>
        </w:rPr>
      </w:pPr>
    </w:p>
    <w:tbl>
      <w:tblPr>
        <w:tblLayout w:type="fixed"/>
        <w:tblInd w:w="50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460" w:type="dxa"/>
            <w:vAlign w:val="bottom"/>
          </w:tcPr>
          <w:p>
            <w:pPr>
              <w:spacing w:after="0"/>
              <w:rPr>
                <w:sz w:val="20"/>
                <w:szCs w:val="20"/>
                <w:color w:val="auto"/>
              </w:rPr>
            </w:pPr>
            <w:r>
              <w:rPr>
                <w:rFonts w:ascii="Arial" w:cs="Arial" w:eastAsia="Arial" w:hAnsi="Arial"/>
                <w:sz w:val="22"/>
                <w:szCs w:val="22"/>
                <w:color w:val="auto"/>
              </w:rPr>
              <w:t>/s/ D. Scott Davis</w:t>
            </w:r>
          </w:p>
        </w:tc>
        <w:tc>
          <w:tcPr>
            <w:tcW w:w="0" w:type="dxa"/>
            <w:vAlign w:val="bottom"/>
          </w:tcPr>
          <w:p>
            <w:pPr>
              <w:spacing w:after="0"/>
              <w:rPr>
                <w:sz w:val="1"/>
                <w:szCs w:val="1"/>
                <w:color w:val="auto"/>
              </w:rPr>
            </w:pPr>
          </w:p>
        </w:tc>
      </w:tr>
      <w:tr>
        <w:trPr>
          <w:trHeight w:val="21"/>
        </w:trPr>
        <w:tc>
          <w:tcPr>
            <w:tcW w:w="9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5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20" w:type="dxa"/>
            <w:vAlign w:val="bottom"/>
            <w:vMerge w:val="continue"/>
          </w:tcPr>
          <w:p>
            <w:pPr>
              <w:spacing w:after="0"/>
              <w:rPr>
                <w:sz w:val="18"/>
                <w:szCs w:val="18"/>
                <w:color w:val="auto"/>
              </w:rPr>
            </w:pPr>
          </w:p>
        </w:tc>
        <w:tc>
          <w:tcPr>
            <w:tcW w:w="5460" w:type="dxa"/>
            <w:vAlign w:val="bottom"/>
          </w:tcPr>
          <w:p>
            <w:pPr>
              <w:spacing w:after="0" w:line="216" w:lineRule="exact"/>
              <w:rPr>
                <w:sz w:val="20"/>
                <w:szCs w:val="20"/>
                <w:color w:val="auto"/>
              </w:rPr>
            </w:pPr>
            <w:r>
              <w:rPr>
                <w:rFonts w:ascii="Arial" w:cs="Arial" w:eastAsia="Arial" w:hAnsi="Arial"/>
                <w:sz w:val="22"/>
                <w:szCs w:val="22"/>
                <w:color w:val="auto"/>
              </w:rPr>
              <w:t>D. Scott Davis</w:t>
            </w: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5460" w:type="dxa"/>
            <w:vAlign w:val="bottom"/>
          </w:tcPr>
          <w:p>
            <w:pPr>
              <w:spacing w:after="0" w:line="243" w:lineRule="exact"/>
              <w:rPr>
                <w:sz w:val="20"/>
                <w:szCs w:val="20"/>
                <w:color w:val="auto"/>
              </w:rPr>
            </w:pPr>
            <w:r>
              <w:rPr>
                <w:rFonts w:ascii="Arial" w:cs="Arial" w:eastAsia="Arial" w:hAnsi="Arial"/>
                <w:sz w:val="22"/>
                <w:szCs w:val="22"/>
                <w:color w:val="auto"/>
                <w:w w:val="96"/>
              </w:rPr>
              <w:t>Chairman, Management Development and Compensation</w:t>
            </w:r>
          </w:p>
        </w:tc>
        <w:tc>
          <w:tcPr>
            <w:tcW w:w="0" w:type="dxa"/>
            <w:vAlign w:val="bottom"/>
          </w:tcPr>
          <w:p>
            <w:pPr>
              <w:spacing w:after="0"/>
              <w:rPr>
                <w:sz w:val="1"/>
                <w:szCs w:val="1"/>
                <w:color w:val="auto"/>
              </w:rPr>
            </w:pPr>
          </w:p>
        </w:tc>
      </w:tr>
      <w:tr>
        <w:trPr>
          <w:trHeight w:val="275"/>
        </w:trPr>
        <w:tc>
          <w:tcPr>
            <w:tcW w:w="92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Arial" w:cs="Arial" w:eastAsia="Arial" w:hAnsi="Arial"/>
                <w:sz w:val="22"/>
                <w:szCs w:val="22"/>
                <w:color w:val="auto"/>
              </w:rPr>
              <w:t>Committee, Board of Directors</w:t>
            </w:r>
          </w:p>
        </w:tc>
        <w:tc>
          <w:tcPr>
            <w:tcW w:w="0" w:type="dxa"/>
            <w:vAlign w:val="bottom"/>
          </w:tcPr>
          <w:p>
            <w:pPr>
              <w:spacing w:after="0"/>
              <w:rPr>
                <w:sz w:val="1"/>
                <w:szCs w:val="1"/>
                <w:color w:val="auto"/>
              </w:rPr>
            </w:pPr>
          </w:p>
        </w:tc>
      </w:tr>
      <w:tr>
        <w:trPr>
          <w:trHeight w:val="486"/>
        </w:trPr>
        <w:tc>
          <w:tcPr>
            <w:tcW w:w="6380" w:type="dxa"/>
            <w:vAlign w:val="bottom"/>
            <w:gridSpan w:val="2"/>
          </w:tcPr>
          <w:p>
            <w:pPr>
              <w:spacing w:after="0"/>
              <w:rPr>
                <w:sz w:val="20"/>
                <w:szCs w:val="20"/>
                <w:color w:val="auto"/>
              </w:rPr>
            </w:pPr>
            <w:r>
              <w:rPr>
                <w:rFonts w:ascii="Arial" w:cs="Arial" w:eastAsia="Arial" w:hAnsi="Arial"/>
                <w:sz w:val="22"/>
                <w:szCs w:val="22"/>
                <w:b w:val="1"/>
                <w:bCs w:val="1"/>
                <w:color w:val="auto"/>
              </w:rPr>
              <w:t>DAVID M. COTE</w:t>
            </w:r>
          </w:p>
        </w:tc>
        <w:tc>
          <w:tcPr>
            <w:tcW w:w="0" w:type="dxa"/>
            <w:vAlign w:val="bottom"/>
          </w:tcPr>
          <w:p>
            <w:pPr>
              <w:spacing w:after="0"/>
              <w:rPr>
                <w:sz w:val="1"/>
                <w:szCs w:val="1"/>
                <w:color w:val="auto"/>
              </w:rPr>
            </w:pPr>
          </w:p>
        </w:tc>
      </w:tr>
      <w:tr>
        <w:trPr>
          <w:trHeight w:val="476"/>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M. Cote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2</w:t>
      </w:r>
      <w:r>
        <w:rPr>
          <w:rFonts w:ascii="Arial" w:cs="Arial" w:eastAsia="Arial" w:hAnsi="Arial"/>
          <w:sz w:val="20"/>
          <w:szCs w:val="20"/>
          <w:color w:val="auto"/>
        </w:rPr>
        <w:t xml:space="preserve"> of </w:t>
      </w:r>
      <w:r>
        <w:rPr>
          <w:rFonts w:ascii="Arial" w:cs="Arial" w:eastAsia="Arial" w:hAnsi="Arial"/>
          <w:sz w:val="20"/>
          <w:szCs w:val="20"/>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INCENTIVE PLAN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HONEYWELL INTERNATIONAL INC. AND ITS AFFILIATES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PLAN GRANT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9861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986155"/>
                    </a:xfrm>
                    <a:prstGeom prst="rect">
                      <a:avLst/>
                    </a:prstGeom>
                    <a:noFill/>
                  </pic:spPr>
                </pic:pic>
              </a:graphicData>
            </a:graphic>
          </wp:anchor>
        </w:drawing>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EID:</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AME</w:t>
      </w:r>
      <w:r>
        <w:rPr>
          <w:rFonts w:ascii="Arial" w:cs="Arial" w:eastAsia="Arial" w:hAnsi="Arial"/>
          <w:sz w:val="18"/>
          <w:szCs w:val="18"/>
          <w:b w:val="1"/>
          <w:bCs w:val="1"/>
          <w:color w:val="auto"/>
        </w:rPr>
        <w:t>:</w:t>
      </w:r>
    </w:p>
    <w:p>
      <w:pPr>
        <w:spacing w:after="0" w:line="306" w:lineRule="exact"/>
        <w:rPr>
          <w:sz w:val="20"/>
          <w:szCs w:val="20"/>
          <w:color w:val="auto"/>
        </w:rPr>
      </w:pPr>
    </w:p>
    <w:p>
      <w:pPr>
        <w:ind w:left="260" w:hanging="141"/>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2"/>
          <w:szCs w:val="12"/>
          <w:b w:val="1"/>
          <w:bCs w:val="1"/>
          <w:color w:val="auto"/>
        </w:rPr>
        <w:t xml:space="preserve">OF </w:t>
      </w:r>
      <w:r>
        <w:rPr>
          <w:rFonts w:ascii="Arial" w:cs="Arial" w:eastAsia="Arial" w:hAnsi="Arial"/>
          <w:sz w:val="18"/>
          <w:szCs w:val="18"/>
          <w:b w:val="1"/>
          <w:bCs w:val="1"/>
          <w:color w:val="auto"/>
        </w:rPr>
        <w:t>P</w:t>
      </w:r>
      <w:r>
        <w:rPr>
          <w:rFonts w:ascii="Arial" w:cs="Arial" w:eastAsia="Arial" w:hAnsi="Arial"/>
          <w:sz w:val="12"/>
          <w:szCs w:val="12"/>
          <w:b w:val="1"/>
          <w:bCs w:val="1"/>
          <w:color w:val="auto"/>
        </w:rPr>
        <w:t xml:space="preserve">ERFORMANCE </w:t>
      </w:r>
      <w:r>
        <w:rPr>
          <w:rFonts w:ascii="Arial" w:cs="Arial" w:eastAsia="Arial" w:hAnsi="Arial"/>
          <w:sz w:val="18"/>
          <w:szCs w:val="18"/>
          <w:b w:val="1"/>
          <w:bCs w:val="1"/>
          <w:color w:val="auto"/>
        </w:rPr>
        <w:t>S</w:t>
      </w:r>
      <w:r>
        <w:rPr>
          <w:rFonts w:ascii="Arial" w:cs="Arial" w:eastAsia="Arial" w:hAnsi="Arial"/>
          <w:sz w:val="12"/>
          <w:szCs w:val="12"/>
          <w:b w:val="1"/>
          <w:bCs w:val="1"/>
          <w:color w:val="auto"/>
        </w:rPr>
        <w:t xml:space="preserve">TOCK </w:t>
      </w:r>
      <w:r>
        <w:rPr>
          <w:rFonts w:ascii="Arial" w:cs="Arial" w:eastAsia="Arial" w:hAnsi="Arial"/>
          <w:sz w:val="18"/>
          <w:szCs w:val="18"/>
          <w:b w:val="1"/>
          <w:bCs w:val="1"/>
          <w:color w:val="auto"/>
        </w:rPr>
        <w:t>U</w:t>
      </w:r>
      <w:r>
        <w:rPr>
          <w:rFonts w:ascii="Arial" w:cs="Arial" w:eastAsia="Arial" w:hAnsi="Arial"/>
          <w:sz w:val="12"/>
          <w:szCs w:val="12"/>
          <w:b w:val="1"/>
          <w:bCs w:val="1"/>
          <w:color w:val="auto"/>
        </w:rPr>
        <w:t xml:space="preserve">NITS </w:t>
      </w:r>
      <w:r>
        <w:rPr>
          <w:rFonts w:ascii="Arial" w:cs="Arial" w:eastAsia="Arial" w:hAnsi="Arial"/>
          <w:sz w:val="18"/>
          <w:szCs w:val="18"/>
          <w:b w:val="1"/>
          <w:bCs w:val="1"/>
          <w:color w:val="auto"/>
        </w:rPr>
        <w:t>G</w:t>
      </w:r>
      <w:r>
        <w:rPr>
          <w:rFonts w:ascii="Arial" w:cs="Arial" w:eastAsia="Arial" w:hAnsi="Arial"/>
          <w:sz w:val="12"/>
          <w:szCs w:val="12"/>
          <w:b w:val="1"/>
          <w:bCs w:val="1"/>
          <w:color w:val="auto"/>
        </w:rPr>
        <w:t>RANTED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18"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This PERFORMANCE STOCK UNIT AGREEMENT made in Morris Plains, New Jersey, United States of America, as of the [GRANT DATE] (the “Grant Date”), between Honeywell International Inc. (the “Company”) and the Company senior executive named above (the “Employee”).</w:t>
      </w:r>
    </w:p>
    <w:p>
      <w:pPr>
        <w:spacing w:after="0" w:line="143" w:lineRule="exact"/>
        <w:rPr>
          <w:sz w:val="20"/>
          <w:szCs w:val="20"/>
          <w:color w:val="auto"/>
        </w:rPr>
      </w:pPr>
    </w:p>
    <w:p>
      <w:pPr>
        <w:jc w:val="both"/>
        <w:ind w:left="640" w:hanging="443"/>
        <w:spacing w:after="0" w:line="261"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Grant of Performance Award. </w:t>
      </w:r>
      <w:r>
        <w:rPr>
          <w:rFonts w:ascii="Arial" w:cs="Arial" w:eastAsia="Arial" w:hAnsi="Arial"/>
          <w:sz w:val="18"/>
          <w:szCs w:val="18"/>
          <w:color w:val="auto"/>
        </w:rPr>
        <w:t>The Company has granted you a target number of Restricted Stock Units as a Performance Award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subject to the terms of this Agreement and the terms of the 2016 Stock Incentive Plan of Honeywell International Inc. and Its Affiliates (the “Plan”). The target number of Performance Stock Units granted to you and covered by this Agreement is indicated above (“Target Award”).</w:t>
      </w:r>
    </w:p>
    <w:p>
      <w:pPr>
        <w:spacing w:after="0" w:line="184"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Company will hold the Performance Stock Units and [Additional Performance Stock Units (as defined in Section 4)] in a bookkeeping account on your behalf until they become payable or are forfeited or cancelled.</w:t>
      </w:r>
    </w:p>
    <w:p>
      <w:pPr>
        <w:spacing w:after="0" w:line="170"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The details for this grant can be found on the Morgan Stanley StockPlan Connect website at </w:t>
      </w:r>
      <w:r>
        <w:rPr>
          <w:rFonts w:ascii="Arial" w:cs="Arial" w:eastAsia="Arial" w:hAnsi="Arial"/>
          <w:sz w:val="18"/>
          <w:szCs w:val="18"/>
          <w:u w:val="single" w:color="auto"/>
          <w:color w:val="auto"/>
        </w:rPr>
        <w:t>www.stockplanconnect.com</w:t>
      </w:r>
      <w:r>
        <w:rPr>
          <w:rFonts w:ascii="Arial" w:cs="Arial" w:eastAsia="Arial" w:hAnsi="Arial"/>
          <w:sz w:val="18"/>
          <w:szCs w:val="18"/>
          <w:color w:val="auto"/>
        </w:rPr>
        <w:t>. The Company reserves the right to change or correct any information contained on the Morgan Stanley website to reflect the terms of the Performance Award actually made by the Company on the Grant Date or the Plan.</w:t>
      </w:r>
    </w:p>
    <w:p>
      <w:pPr>
        <w:spacing w:after="0" w:line="177" w:lineRule="exact"/>
        <w:rPr>
          <w:rFonts w:ascii="Arial" w:cs="Arial" w:eastAsia="Arial" w:hAnsi="Arial"/>
          <w:sz w:val="18"/>
          <w:szCs w:val="18"/>
          <w:color w:val="auto"/>
        </w:rPr>
      </w:pPr>
    </w:p>
    <w:p>
      <w:pPr>
        <w:ind w:left="640" w:hanging="44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Agreement, the following definitions apply:</w:t>
      </w:r>
    </w:p>
    <w:p>
      <w:pPr>
        <w:spacing w:after="0" w:line="229"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“Actual Award” means (A) the product of (i) the Plan Payout Percentage (as determined under Section 3), and (ii) your Target Award[; plus (B) any Additional Performance Stock Units (as determined under Section 4)]. Notwithstanding anything in this Agreement to the contrary, the Committee may reduce the amount of your Actual Award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left="783" w:hanging="324"/>
        <w:spacing w:after="0"/>
        <w:tabs>
          <w:tab w:leader="none" w:pos="783"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“Performance Cycle” means the [INSERT PERFORMANCE CYCLE DATES].</w:t>
      </w:r>
    </w:p>
    <w:p>
      <w:pPr>
        <w:spacing w:after="0" w:line="221" w:lineRule="exact"/>
        <w:rPr>
          <w:rFonts w:ascii="Arial" w:cs="Arial" w:eastAsia="Arial" w:hAnsi="Arial"/>
          <w:sz w:val="18"/>
          <w:szCs w:val="18"/>
          <w:color w:val="auto"/>
        </w:rPr>
      </w:pPr>
    </w:p>
    <w:p>
      <w:pPr>
        <w:jc w:val="both"/>
        <w:ind w:left="443" w:hanging="443"/>
        <w:spacing w:after="0" w:line="272" w:lineRule="auto"/>
        <w:tabs>
          <w:tab w:leader="none" w:pos="443"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Performance Measures. </w:t>
      </w:r>
      <w:r>
        <w:rPr>
          <w:rFonts w:ascii="Arial" w:cs="Arial" w:eastAsia="Arial" w:hAnsi="Arial"/>
          <w:sz w:val="17"/>
          <w:szCs w:val="17"/>
          <w:color w:val="auto"/>
        </w:rPr>
        <w:t>The Plan Payout Percentage shall be determined based on [DESCRIBE PERFORMANCE MEASURES: actual</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against pre-set goals of (a) total revenue, (b) average return on investment, (c) average segment margin rate, and (d) Total Shareholder Return (collectively the “Performance Measures”) for the Performance Cycle, with each Performance Measure equally weighted (25% each). The Plan Payout for each Performance Measure other than Total Shareholder Return shall be determined at the Company level (“Corporate”) for eligible employees not assigned to one of the Company’s strategic business groups (“SBG”), and 50% at the Company level and 50% at the SBG level for other eligible employees.] For purposes of this determination, if an eligible employee transfers from one of the Company’s business units (i.e., an SBG or Corporate) to another during the Performance Cycle, their Actual Award will be prorated for the number of days actively employed in each business unit during the Performance Cycle.</w:t>
      </w:r>
    </w:p>
    <w:p>
      <w:pPr>
        <w:spacing w:after="0" w:line="176" w:lineRule="exact"/>
        <w:rPr>
          <w:rFonts w:ascii="Arial" w:cs="Arial" w:eastAsia="Arial" w:hAnsi="Arial"/>
          <w:sz w:val="17"/>
          <w:szCs w:val="17"/>
          <w:color w:val="auto"/>
        </w:rPr>
      </w:pPr>
    </w:p>
    <w:p>
      <w:pPr>
        <w:ind w:left="463"/>
        <w:spacing w:after="0"/>
        <w:rPr>
          <w:rFonts w:ascii="Arial" w:cs="Arial" w:eastAsia="Arial" w:hAnsi="Arial"/>
          <w:sz w:val="17"/>
          <w:szCs w:val="17"/>
          <w:color w:val="auto"/>
        </w:rPr>
      </w:pPr>
      <w:r>
        <w:rPr>
          <w:rFonts w:ascii="Arial" w:cs="Arial" w:eastAsia="Arial" w:hAnsi="Arial"/>
          <w:sz w:val="18"/>
          <w:szCs w:val="18"/>
          <w:color w:val="auto"/>
        </w:rPr>
        <w:t>[DESCRIBE ADDITIONAL PERFORMANCE MEASURES]</w:t>
      </w:r>
    </w:p>
    <w:p>
      <w:pPr>
        <w:spacing w:after="0" w:line="221" w:lineRule="exact"/>
        <w:rPr>
          <w:rFonts w:ascii="Arial" w:cs="Arial" w:eastAsia="Arial" w:hAnsi="Arial"/>
          <w:sz w:val="17"/>
          <w:szCs w:val="17"/>
          <w:color w:val="auto"/>
        </w:rPr>
      </w:pPr>
    </w:p>
    <w:p>
      <w:pPr>
        <w:jc w:val="both"/>
        <w:ind w:left="443" w:hanging="443"/>
        <w:spacing w:after="0" w:line="285" w:lineRule="auto"/>
        <w:tabs>
          <w:tab w:leader="none" w:pos="443"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[INCLUDE IF DIVIDEND EQUIVALENTS ARE PROVIDED UNDER GRANT: </w:t>
      </w:r>
      <w:r>
        <w:rPr>
          <w:rFonts w:ascii="Arial" w:cs="Arial" w:eastAsia="Arial" w:hAnsi="Arial"/>
          <w:sz w:val="16"/>
          <w:szCs w:val="16"/>
          <w:b w:val="1"/>
          <w:bCs w:val="1"/>
          <w:color w:val="auto"/>
        </w:rPr>
        <w:t>Dividend Equivalents.</w:t>
      </w:r>
      <w:r>
        <w:rPr>
          <w:rFonts w:ascii="Arial" w:cs="Arial" w:eastAsia="Arial" w:hAnsi="Arial"/>
          <w:sz w:val="16"/>
          <w:szCs w:val="16"/>
          <w:color w:val="auto"/>
        </w:rPr>
        <w:t xml:space="preserve"> Except as otherwise determined by the Committee, in its sole discretion, you will earn Dividend Equivalents in an amount equal to the value of any cash or stock dividends paid by the Company upon one Share of Common Stock for each unvested Performance Stock Unit or Additional Performance Stock Unit (as defined below) credited to your bookkeeping account on a dividend payment date. At the vesting date(s) specified in Section 6, such Dividend Equivalents shall be adjusted up or down based on your Actual Award. In the case of cash dividends, the Company shall credit to your bookkeeping account, on each dividend payment date, an additional number of Performance Stock Units (“Additional Performance Stock Units”) equal to (a) divided by (b), where</w:t>
      </w:r>
    </w:p>
    <w:p>
      <w:pPr>
        <w:spacing w:after="0" w:line="3" w:lineRule="exact"/>
        <w:rPr>
          <w:rFonts w:ascii="Arial" w:cs="Arial" w:eastAsia="Arial" w:hAnsi="Arial"/>
          <w:sz w:val="16"/>
          <w:szCs w:val="16"/>
          <w:color w:val="auto"/>
        </w:rPr>
      </w:pPr>
    </w:p>
    <w:p>
      <w:pPr>
        <w:jc w:val="both"/>
        <w:ind w:left="443"/>
        <w:spacing w:after="0" w:line="287" w:lineRule="auto"/>
        <w:rPr>
          <w:rFonts w:ascii="Arial" w:cs="Arial" w:eastAsia="Arial" w:hAnsi="Arial"/>
          <w:sz w:val="16"/>
          <w:szCs w:val="16"/>
          <w:color w:val="auto"/>
        </w:rPr>
      </w:pPr>
      <w:r>
        <w:rPr>
          <w:rFonts w:ascii="Arial" w:cs="Arial" w:eastAsia="Arial" w:hAnsi="Arial"/>
          <w:sz w:val="16"/>
          <w:szCs w:val="16"/>
          <w:color w:val="auto"/>
        </w:rPr>
        <w:t>(a) equals the total number of unvested Performance Stock Units and Additional Performance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such dividend payment date, Additional Performance Stock Units equal to the total number of unvested Performance Stock Units and Additional Performance Stock Units subject to this Agreement on such date multiplied by the Share dividend paid per Share of Common Stock on such date. Additional Performance Stock Units are subject to the same restrictions, including but not limited to vesting, transferability and payment restrictions, that apply to the Performance Stock Units to which they relate. You will continue to earn Additional Performance Stock Units on unpaid Performance Stock Units and Additional Performance Stock Units that are held in your bookkeeping account until the vested Shares are paid to you.]</w:t>
      </w:r>
    </w:p>
    <w:p>
      <w:pPr>
        <w:spacing w:after="0" w:line="166" w:lineRule="exact"/>
        <w:rPr>
          <w:rFonts w:ascii="Arial" w:cs="Arial" w:eastAsia="Arial" w:hAnsi="Arial"/>
          <w:sz w:val="16"/>
          <w:szCs w:val="16"/>
          <w:color w:val="auto"/>
        </w:rPr>
      </w:pPr>
    </w:p>
    <w:p>
      <w:pPr>
        <w:ind w:left="443" w:hanging="443"/>
        <w:spacing w:after="0" w:line="282" w:lineRule="auto"/>
        <w:tabs>
          <w:tab w:leader="none" w:pos="443"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Payment Amount. </w:t>
      </w:r>
      <w:r>
        <w:rPr>
          <w:rFonts w:ascii="Arial" w:cs="Arial" w:eastAsia="Arial" w:hAnsi="Arial"/>
          <w:sz w:val="18"/>
          <w:szCs w:val="18"/>
          <w:color w:val="auto"/>
        </w:rPr>
        <w:t>Each Performance Stock Unit [and Additional Performance Stock Unit] represents one (1) Share of Common Stock. Your Actual</w:t>
      </w:r>
      <w:r>
        <w:rPr>
          <w:rFonts w:ascii="Arial" w:cs="Arial" w:eastAsia="Arial" w:hAnsi="Arial"/>
          <w:sz w:val="18"/>
          <w:szCs w:val="18"/>
          <w:b w:val="1"/>
          <w:bCs w:val="1"/>
          <w:color w:val="auto"/>
        </w:rPr>
        <w:t xml:space="preserve"> </w:t>
      </w:r>
      <w:r>
        <w:rPr>
          <w:rFonts w:ascii="Arial" w:cs="Arial" w:eastAsia="Arial" w:hAnsi="Arial"/>
          <w:sz w:val="18"/>
          <w:szCs w:val="18"/>
          <w:color w:val="auto"/>
        </w:rPr>
        <w:t>Award will not exceed 200% of your Target Award.</w:t>
      </w:r>
    </w:p>
    <w:p>
      <w:pPr>
        <w:spacing w:after="0" w:line="139" w:lineRule="exact"/>
        <w:rPr>
          <w:sz w:val="20"/>
          <w:szCs w:val="20"/>
          <w:color w:val="auto"/>
        </w:rPr>
      </w:pPr>
    </w:p>
    <w:p>
      <w:pPr>
        <w:jc w:val="center"/>
        <w:ind w:right="177"/>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126365</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23"/>
          </w:cols>
          <w:pgMar w:left="437" w:top="409" w:right="239" w:bottom="1440" w:gutter="0" w:footer="0" w:header="0"/>
        </w:sectPr>
      </w:pPr>
    </w:p>
    <w:bookmarkStart w:id="37" w:name="page38"/>
    <w:bookmarkEnd w:id="37"/>
    <w:p>
      <w:pPr>
        <w:jc w:val="both"/>
        <w:ind w:left="443" w:hanging="443"/>
        <w:spacing w:after="0" w:line="261" w:lineRule="auto"/>
        <w:tabs>
          <w:tab w:leader="none" w:pos="443"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Vesting and Payment. </w:t>
      </w:r>
      <w:r>
        <w:rPr>
          <w:rFonts w:ascii="Arial" w:cs="Arial" w:eastAsia="Arial" w:hAnsi="Arial"/>
          <w:sz w:val="18"/>
          <w:szCs w:val="18"/>
          <w:color w:val="auto"/>
        </w:rPr>
        <w:t>Except as otherwise provided in this Agreement, the vesting and payment of an Actual Award is contingent upon (i) the</w:t>
      </w:r>
      <w:r>
        <w:rPr>
          <w:rFonts w:ascii="Arial" w:cs="Arial" w:eastAsia="Arial" w:hAnsi="Arial"/>
          <w:sz w:val="18"/>
          <w:szCs w:val="18"/>
          <w:b w:val="1"/>
          <w:bCs w:val="1"/>
          <w:color w:val="auto"/>
        </w:rPr>
        <w:t xml:space="preserve"> </w:t>
      </w:r>
      <w:r>
        <w:rPr>
          <w:rFonts w:ascii="Arial" w:cs="Arial" w:eastAsia="Arial" w:hAnsi="Arial"/>
          <w:sz w:val="18"/>
          <w:szCs w:val="18"/>
          <w:color w:val="auto"/>
        </w:rPr>
        <w:t>achievement of a Plan Payout Percentage based on performance as described in Section 3 and Attachment A, and (ii) you remaining actively employed by the Company on [DESCRIBE VESTING PROVISIONS] (“Vesting Date”). [In no event will Additional Performance Stock Units be paid if the related Performance Stock Units have not vested.]</w:t>
      </w:r>
    </w:p>
    <w:p>
      <w:pPr>
        <w:spacing w:after="0" w:line="184" w:lineRule="exact"/>
        <w:rPr>
          <w:rFonts w:ascii="Arial" w:cs="Arial" w:eastAsia="Arial" w:hAnsi="Arial"/>
          <w:sz w:val="18"/>
          <w:szCs w:val="18"/>
          <w:color w:val="auto"/>
        </w:rPr>
      </w:pPr>
    </w:p>
    <w:p>
      <w:pPr>
        <w:jc w:val="both"/>
        <w:ind w:left="463" w:right="20"/>
        <w:spacing w:after="0" w:line="259" w:lineRule="auto"/>
        <w:rPr>
          <w:rFonts w:ascii="Arial" w:cs="Arial" w:eastAsia="Arial" w:hAnsi="Arial"/>
          <w:sz w:val="18"/>
          <w:szCs w:val="18"/>
          <w:color w:val="auto"/>
        </w:rPr>
      </w:pPr>
      <w:r>
        <w:rPr>
          <w:rFonts w:ascii="Arial" w:cs="Arial" w:eastAsia="Arial" w:hAnsi="Arial"/>
          <w:sz w:val="18"/>
          <w:szCs w:val="18"/>
          <w:color w:val="auto"/>
        </w:rPr>
        <w:t>[INCLUDE IF PAYMENT PROVISIONS ARE THE SAME, OTHERWISE DESCRIBE PAYMENT PROVISIONS If earned, the Actual Award will be paid 50% in Shares rounded up to the nearest whole Share, with the net Shares held by you for at least one year from the Vesting Date. The remaining Actual Award will be converted and paid in cash, calculated by multiplying 50% of the Actual Award, stated in Shares, by the Fair Market Value of the Shares on the last trading day of the Performance Cycle.</w:t>
      </w:r>
    </w:p>
    <w:p>
      <w:pPr>
        <w:spacing w:after="0" w:line="186" w:lineRule="exact"/>
        <w:rPr>
          <w:rFonts w:ascii="Arial" w:cs="Arial" w:eastAsia="Arial" w:hAnsi="Arial"/>
          <w:sz w:val="18"/>
          <w:szCs w:val="18"/>
          <w:color w:val="auto"/>
        </w:rPr>
      </w:pPr>
    </w:p>
    <w:p>
      <w:pPr>
        <w:ind w:left="463"/>
        <w:spacing w:after="0" w:line="277" w:lineRule="auto"/>
        <w:rPr>
          <w:rFonts w:ascii="Arial" w:cs="Arial" w:eastAsia="Arial" w:hAnsi="Arial"/>
          <w:sz w:val="18"/>
          <w:szCs w:val="18"/>
          <w:color w:val="auto"/>
        </w:rPr>
      </w:pPr>
      <w:r>
        <w:rPr>
          <w:rFonts w:ascii="Arial" w:cs="Arial" w:eastAsia="Arial" w:hAnsi="Arial"/>
          <w:sz w:val="18"/>
          <w:szCs w:val="18"/>
          <w:color w:val="auto"/>
        </w:rPr>
        <w:t>If an Actual Award is due, payment in cash and Shares will be made as soon as practicable following the Vesting Date, but in no event later than two and one-half months following the end of the year in which vesting occurs.</w:t>
      </w:r>
    </w:p>
    <w:p>
      <w:pPr>
        <w:spacing w:after="0" w:line="170" w:lineRule="exact"/>
        <w:rPr>
          <w:rFonts w:ascii="Arial" w:cs="Arial" w:eastAsia="Arial" w:hAnsi="Arial"/>
          <w:sz w:val="18"/>
          <w:szCs w:val="18"/>
          <w:color w:val="auto"/>
        </w:rPr>
      </w:pPr>
    </w:p>
    <w:p>
      <w:pPr>
        <w:jc w:val="both"/>
        <w:ind w:left="463"/>
        <w:spacing w:after="0" w:line="255" w:lineRule="auto"/>
        <w:rPr>
          <w:rFonts w:ascii="Arial" w:cs="Arial" w:eastAsia="Arial" w:hAnsi="Arial"/>
          <w:sz w:val="18"/>
          <w:szCs w:val="18"/>
          <w:color w:val="auto"/>
        </w:rPr>
      </w:pPr>
      <w:r>
        <w:rPr>
          <w:rFonts w:ascii="Arial" w:cs="Arial" w:eastAsia="Arial" w:hAnsi="Arial"/>
          <w:sz w:val="18"/>
          <w:szCs w:val="18"/>
          <w:color w:val="auto"/>
        </w:rPr>
        <w:t>The cash portion of your Actual Award shall be expressed in U.S. dollars. Cash payment shall be made in the same currency as your pay (“Local Currency”). In the event you receive pay in more than one Local Currency, the currency used for payment will be at the discretion of the Company or your employer. The Company will convert the cash portion of your Actual Award from U.S. dollars to your Local Currency using the exchange rate in effect for the compensation planning cycle in the year of payment (i.e., the same rate used for converting annual bonuses to local currency in the first quarter of the year of payment). No payments will be credited with interest, and you may not defer any portion of the Actual Award hereunder.]</w:t>
      </w:r>
    </w:p>
    <w:p>
      <w:pPr>
        <w:spacing w:after="0" w:line="189" w:lineRule="exact"/>
        <w:rPr>
          <w:rFonts w:ascii="Arial" w:cs="Arial" w:eastAsia="Arial" w:hAnsi="Arial"/>
          <w:sz w:val="18"/>
          <w:szCs w:val="18"/>
          <w:color w:val="auto"/>
        </w:rPr>
      </w:pPr>
    </w:p>
    <w:p>
      <w:pPr>
        <w:jc w:val="both"/>
        <w:ind w:left="443" w:hanging="443"/>
        <w:spacing w:after="0" w:line="266" w:lineRule="auto"/>
        <w:tabs>
          <w:tab w:leader="none" w:pos="443"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Except as otherwise provided in this Agreement, if your Termination of Employment occurs for any reason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death or Disability before the Vesting Date, any unvested Performance Stock Units [and Additional Performance Stock Units] will immediately be forfeited and your rights with respect to future payments under this Agreement will end.</w:t>
      </w:r>
    </w:p>
    <w:p>
      <w:pPr>
        <w:spacing w:after="0" w:line="176" w:lineRule="exact"/>
        <w:rPr>
          <w:rFonts w:ascii="Arial" w:cs="Arial" w:eastAsia="Arial" w:hAnsi="Arial"/>
          <w:sz w:val="18"/>
          <w:szCs w:val="18"/>
          <w:color w:val="auto"/>
        </w:rPr>
      </w:pPr>
    </w:p>
    <w:p>
      <w:pPr>
        <w:jc w:val="both"/>
        <w:ind w:left="443" w:hanging="443"/>
        <w:spacing w:after="0" w:line="292" w:lineRule="auto"/>
        <w:tabs>
          <w:tab w:leader="none" w:pos="443"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Death or Disability. </w:t>
      </w:r>
      <w:r>
        <w:rPr>
          <w:rFonts w:ascii="Arial" w:cs="Arial" w:eastAsia="Arial" w:hAnsi="Arial"/>
          <w:sz w:val="16"/>
          <w:szCs w:val="16"/>
          <w:color w:val="auto"/>
        </w:rPr>
        <w:t>If your Termination of Employment occurs because of your death or you incur a Disability before the Vesting Date, you or your</w:t>
      </w:r>
      <w:r>
        <w:rPr>
          <w:rFonts w:ascii="Arial" w:cs="Arial" w:eastAsia="Arial" w:hAnsi="Arial"/>
          <w:sz w:val="16"/>
          <w:szCs w:val="16"/>
          <w:b w:val="1"/>
          <w:bCs w:val="1"/>
          <w:color w:val="auto"/>
        </w:rPr>
        <w:t xml:space="preserve"> </w:t>
      </w:r>
      <w:r>
        <w:rPr>
          <w:rFonts w:ascii="Arial" w:cs="Arial" w:eastAsia="Arial" w:hAnsi="Arial"/>
          <w:sz w:val="16"/>
          <w:szCs w:val="16"/>
          <w:color w:val="auto"/>
        </w:rPr>
        <w:t>estate will receive the prorated value of your Actual Award. The prorated value of the Actual Award shall be determined by multiplying the Actual Award by a fraction, the numerator of which is the number of days you were actively employed before your death or Disability from your first eligibility date to the last day of the Performance Cycle, and the denominator of which is the total number of days from your first eligibility date to the last day of the Performance Cycle. Such prorated Actual Award, stated in Shares, shall be multiplied by the Fair Market Value of the Shares on the last trading day of the Performance Cycle and paid in cash as soon as practicable, but in no event later than two and one-half months following the end of the Performance Cycle. [Additional Performance Stock Units will be calculated on the prorated Actual Award as provided in Section 4.]</w:t>
      </w:r>
    </w:p>
    <w:p>
      <w:pPr>
        <w:spacing w:after="0" w:line="139" w:lineRule="exact"/>
        <w:rPr>
          <w:sz w:val="20"/>
          <w:szCs w:val="20"/>
          <w:color w:val="auto"/>
        </w:rPr>
      </w:pPr>
    </w:p>
    <w:p>
      <w:pPr>
        <w:jc w:val="center"/>
        <w:ind w:right="177"/>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126365</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23"/>
          </w:cols>
          <w:pgMar w:left="437" w:top="405" w:right="239" w:bottom="1440" w:gutter="0" w:footer="0" w:header="0"/>
        </w:sectPr>
      </w:pPr>
    </w:p>
    <w:bookmarkStart w:id="38" w:name="page39"/>
    <w:bookmarkEnd w:id="38"/>
    <w:p>
      <w:pPr>
        <w:jc w:val="both"/>
        <w:ind w:left="443" w:hanging="443"/>
        <w:spacing w:after="0" w:line="289" w:lineRule="auto"/>
        <w:tabs>
          <w:tab w:leader="none" w:pos="443"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Retirement. </w:t>
      </w:r>
      <w:r>
        <w:rPr>
          <w:rFonts w:ascii="Arial" w:cs="Arial" w:eastAsia="Arial" w:hAnsi="Arial"/>
          <w:sz w:val="17"/>
          <w:szCs w:val="17"/>
          <w:color w:val="auto"/>
        </w:rPr>
        <w:t>For the avoidance of doubt, if your Termination of Employment occurs solely because of your Retirement at any age before the Vesting</w:t>
      </w:r>
      <w:r>
        <w:rPr>
          <w:rFonts w:ascii="Arial" w:cs="Arial" w:eastAsia="Arial" w:hAnsi="Arial"/>
          <w:sz w:val="17"/>
          <w:szCs w:val="17"/>
          <w:b w:val="1"/>
          <w:bCs w:val="1"/>
          <w:color w:val="auto"/>
        </w:rPr>
        <w:t xml:space="preserve"> </w:t>
      </w:r>
      <w:r>
        <w:rPr>
          <w:rFonts w:ascii="Arial" w:cs="Arial" w:eastAsia="Arial" w:hAnsi="Arial"/>
          <w:sz w:val="17"/>
          <w:szCs w:val="17"/>
          <w:color w:val="auto"/>
        </w:rPr>
        <w:t>Date specified above, any unvested Performance Stock Units [and Additional Performance Stock Units] or unpaid Actual Award, as applicable, will immediately be forfeited and your rights with respect to future payments under this Agreement will end.</w:t>
      </w:r>
    </w:p>
    <w:p>
      <w:pPr>
        <w:spacing w:after="0" w:line="158" w:lineRule="exact"/>
        <w:rPr>
          <w:rFonts w:ascii="Arial" w:cs="Arial" w:eastAsia="Arial" w:hAnsi="Arial"/>
          <w:sz w:val="17"/>
          <w:szCs w:val="17"/>
          <w:color w:val="auto"/>
        </w:rPr>
      </w:pPr>
    </w:p>
    <w:p>
      <w:pPr>
        <w:ind w:left="443" w:hanging="443"/>
        <w:spacing w:after="0" w:line="282" w:lineRule="auto"/>
        <w:tabs>
          <w:tab w:leader="none" w:pos="443"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Notwithstanding anything in Sections 2 through 9 to the contrary, in the event of a Change in Control (as defined in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provisions apply:</w:t>
      </w:r>
    </w:p>
    <w:p>
      <w:pPr>
        <w:spacing w:after="0" w:line="161" w:lineRule="exact"/>
        <w:rPr>
          <w:rFonts w:ascii="Arial" w:cs="Arial" w:eastAsia="Arial" w:hAnsi="Arial"/>
          <w:sz w:val="18"/>
          <w:szCs w:val="18"/>
          <w:color w:val="auto"/>
        </w:rPr>
      </w:pPr>
    </w:p>
    <w:p>
      <w:pPr>
        <w:jc w:val="both"/>
        <w:ind w:left="783" w:hanging="324"/>
        <w:spacing w:after="0" w:line="287" w:lineRule="auto"/>
        <w:tabs>
          <w:tab w:leader="none" w:pos="783" w:val="left"/>
        </w:tabs>
        <w:numPr>
          <w:ilvl w:val="1"/>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Rollover of Performance Awards. </w:t>
      </w:r>
      <w:r>
        <w:rPr>
          <w:rFonts w:ascii="Arial" w:cs="Arial" w:eastAsia="Arial" w:hAnsi="Arial"/>
          <w:sz w:val="16"/>
          <w:szCs w:val="16"/>
          <w:color w:val="auto"/>
        </w:rPr>
        <w:t>If adjusted or exchanged pursuant to Section 5.3(c) – (f) of the Plan, Performance Stock Units [and</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Performance Stock Units] that have not vested or terminated as of the date of the Change in Control will continue to vest in accordance with the schedule described in Section 6 of this Agreement (or as adjusted if more favorable); provided, however, that (x) if you incur an involuntary Termination of Employment not for Cause (as defined in Section 2.7 of the Plan) or a voluntary Termination of Employment for Good Reason (as defined in Section 5.4(d) of the Plan) on or before the second anniversary of the date of the Change in Control and after the Performance Cycle has ended, your unpaid Actual Award will immediately vest in full and be paid in cash no later than the earlier of 90 days after the Termination of Employment or two and one-half months after the end of the calendar year in which the Termination of Employment occurs, or (y) if you incur an involuntary Termination of Employment not for Cause (as defined in Section 2.7 of the Plan) or a voluntary Termination of Employment for Good Reason (as defined in Section 5.4(d) of the Plan) during the two-year period following the Change in Control and before the Performance Cycle has ended, an amount equal to the Target Award, pro-rated to reflect the portion of the Performance Cycle that elapsed before such Termination of Employment, will be paid in cash no later than the earlier of 90 days after the Termination of Employment or two and one-half months after the end of the calendar year in which the Termination of Employment occurs.</w:t>
      </w:r>
    </w:p>
    <w:p>
      <w:pPr>
        <w:spacing w:after="0" w:line="168" w:lineRule="exact"/>
        <w:rPr>
          <w:rFonts w:ascii="Arial" w:cs="Arial" w:eastAsia="Arial" w:hAnsi="Arial"/>
          <w:sz w:val="16"/>
          <w:szCs w:val="16"/>
          <w:color w:val="auto"/>
        </w:rPr>
      </w:pPr>
    </w:p>
    <w:p>
      <w:pPr>
        <w:jc w:val="both"/>
        <w:ind w:left="783" w:hanging="324"/>
        <w:spacing w:after="0" w:line="270" w:lineRule="auto"/>
        <w:tabs>
          <w:tab w:leader="none" w:pos="783" w:val="left"/>
        </w:tabs>
        <w:numPr>
          <w:ilvl w:val="1"/>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Cashout of Performance Awards. </w:t>
      </w:r>
      <w:r>
        <w:rPr>
          <w:rFonts w:ascii="Arial" w:cs="Arial" w:eastAsia="Arial" w:hAnsi="Arial"/>
          <w:sz w:val="17"/>
          <w:szCs w:val="17"/>
          <w:color w:val="auto"/>
        </w:rPr>
        <w:t>Unless adjusted or exchanged pursuant to Section 5.3(a) or 5.3(b) of the Plan (concerning rollover of</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awards in certain circumstances), Performance Stock Units [and Additional Performance Stock Units] that have not vested or terminated as of the date of the Change in Control will immediately vest. If the Change in Control occurs after the Performance Cycle has ended, you will receive your unpaid Actual Award. If the Change in Control occurs before the Performance Cycle has ended, the Actual Award will be based on the Target Award or other level of substantially achieved performance, as determined by the Committee prior to the Change in Control. No later than the earlier of 90 days after the date of the Change in Control or two and one-half months after the end of the calendar year in which the Change in Control occurs, you will receive for the Performance Stock Units [and Additional Performance Stock Units] a single cash payment equal to the product of the number of vested and outstanding Performance Stock Units [and Additional Performance Stock Units] as of the date of the Change in Control (including any Performance Stock Units [and Additional Performance Stock Units] that vest pursuant to this Section 10) and an amount equal to the greater of (i)</w:t>
      </w:r>
    </w:p>
    <w:p>
      <w:pPr>
        <w:spacing w:after="0" w:line="155" w:lineRule="exact"/>
        <w:rPr>
          <w:sz w:val="20"/>
          <w:szCs w:val="20"/>
          <w:color w:val="auto"/>
        </w:rPr>
      </w:pPr>
    </w:p>
    <w:p>
      <w:pPr>
        <w:jc w:val="center"/>
        <w:ind w:right="17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126365</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23"/>
          </w:cols>
          <w:pgMar w:left="437" w:top="405" w:right="239" w:bottom="1440" w:gutter="0" w:footer="0" w:header="0"/>
        </w:sectPr>
      </w:pPr>
    </w:p>
    <w:bookmarkStart w:id="39" w:name="page40"/>
    <w:bookmarkEnd w:id="39"/>
    <w:p>
      <w:pPr>
        <w:jc w:val="both"/>
        <w:ind w:left="783"/>
        <w:spacing w:after="0" w:line="302" w:lineRule="auto"/>
        <w:rPr>
          <w:sz w:val="20"/>
          <w:szCs w:val="20"/>
          <w:color w:val="auto"/>
        </w:rPr>
      </w:pPr>
      <w:r>
        <w:rPr>
          <w:rFonts w:ascii="Arial" w:cs="Arial" w:eastAsia="Arial" w:hAnsi="Arial"/>
          <w:sz w:val="16"/>
          <w:szCs w:val="16"/>
          <w:color w:val="auto"/>
        </w:rPr>
        <w:t>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spacing w:after="0" w:line="150" w:lineRule="exact"/>
        <w:rPr>
          <w:sz w:val="20"/>
          <w:szCs w:val="20"/>
          <w:color w:val="auto"/>
        </w:rPr>
      </w:pPr>
    </w:p>
    <w:p>
      <w:pPr>
        <w:jc w:val="both"/>
        <w:ind w:left="443" w:hanging="443"/>
        <w:spacing w:after="0" w:line="303" w:lineRule="auto"/>
        <w:tabs>
          <w:tab w:leader="none" w:pos="443"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Withholdings. </w:t>
      </w:r>
      <w:r>
        <w:rPr>
          <w:rFonts w:ascii="Arial" w:cs="Arial" w:eastAsia="Arial" w:hAnsi="Arial"/>
          <w:sz w:val="16"/>
          <w:szCs w:val="16"/>
          <w:color w:val="auto"/>
        </w:rPr>
        <w:t>The Company or your local employer shall have the power and the right to deduct or withhold, or require you to remit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to your local employer, prior to any issuance or delivery of Shares,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pacing w:after="0" w:line="151" w:lineRule="exact"/>
        <w:rPr>
          <w:rFonts w:ascii="Arial" w:cs="Arial" w:eastAsia="Arial" w:hAnsi="Arial"/>
          <w:sz w:val="16"/>
          <w:szCs w:val="16"/>
          <w:color w:val="auto"/>
        </w:rPr>
      </w:pPr>
    </w:p>
    <w:p>
      <w:pPr>
        <w:jc w:val="both"/>
        <w:ind w:left="443" w:hanging="443"/>
        <w:spacing w:after="0" w:line="266" w:lineRule="auto"/>
        <w:tabs>
          <w:tab w:leader="none" w:pos="443"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Transfer of Performance Award. </w:t>
      </w:r>
      <w:r>
        <w:rPr>
          <w:rFonts w:ascii="Arial" w:cs="Arial" w:eastAsia="Arial" w:hAnsi="Arial"/>
          <w:sz w:val="18"/>
          <w:szCs w:val="18"/>
          <w:color w:val="auto"/>
        </w:rPr>
        <w:t>You may not transfer the Performance Stock Units[, Additional Performance Stock Units] or any interest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Units or any portion of your Actual Award except by will or the laws of descent and distribution or except as permitted by the Committee and as specified in the Plan. Any other attempt to dispose of your interest will be null and void.</w:t>
      </w:r>
    </w:p>
    <w:p>
      <w:pPr>
        <w:spacing w:after="0" w:line="176" w:lineRule="exact"/>
        <w:rPr>
          <w:rFonts w:ascii="Arial" w:cs="Arial" w:eastAsia="Arial" w:hAnsi="Arial"/>
          <w:sz w:val="18"/>
          <w:szCs w:val="18"/>
          <w:color w:val="auto"/>
        </w:rPr>
      </w:pPr>
    </w:p>
    <w:p>
      <w:pPr>
        <w:ind w:left="443" w:hanging="443"/>
        <w:spacing w:after="0"/>
        <w:tabs>
          <w:tab w:leader="none" w:pos="443"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Requirements for and Forfeiture of Award.</w:t>
      </w:r>
    </w:p>
    <w:p>
      <w:pPr>
        <w:spacing w:after="0" w:line="225" w:lineRule="exact"/>
        <w:rPr>
          <w:rFonts w:ascii="Arial" w:cs="Arial" w:eastAsia="Arial" w:hAnsi="Arial"/>
          <w:sz w:val="18"/>
          <w:szCs w:val="18"/>
          <w:color w:val="auto"/>
        </w:rPr>
      </w:pPr>
    </w:p>
    <w:p>
      <w:pPr>
        <w:jc w:val="both"/>
        <w:ind w:left="783" w:hanging="324"/>
        <w:spacing w:after="0" w:line="292" w:lineRule="auto"/>
        <w:tabs>
          <w:tab w:leader="none" w:pos="783" w:val="left"/>
        </w:tabs>
        <w:numPr>
          <w:ilvl w:val="1"/>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This Award is expressly contingent upon you complying with the terms, conditions and definitions contained in this Section 13 and in</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agreement (including but not limited the Stock Option Agreement for the Option granted on February 25, 2011, if applicable) that governs your noncompetition with Honeywell, your nonsolicitation of Honeywell’s employees, customers, suppliers, business partners and vendors, and/or your conduct with respect to Honeywell’s trade secrets and proprietary and confidential information. For purposes of this Section 13, the term “Honeywell” is defined as Honeywell International Inc. (a Delaware corporation having a place of business at 115 Tabor Road, Morris Plains, New Jersey), its predecessors, designees and successors, as well as its past, present and future operating companies, divisions, subsidiaries, affiliates and other business units, including businesses acquired by purchase of assets, stock, merger or otherwise.</w:t>
      </w:r>
    </w:p>
    <w:p>
      <w:pPr>
        <w:spacing w:after="0" w:line="161" w:lineRule="exact"/>
        <w:rPr>
          <w:rFonts w:ascii="Arial" w:cs="Arial" w:eastAsia="Arial" w:hAnsi="Arial"/>
          <w:sz w:val="16"/>
          <w:szCs w:val="16"/>
          <w:color w:val="auto"/>
        </w:rPr>
      </w:pPr>
    </w:p>
    <w:p>
      <w:pPr>
        <w:ind w:left="783" w:hanging="324"/>
        <w:spacing w:after="0"/>
        <w:tabs>
          <w:tab w:leader="none" w:pos="783"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color w:val="auto"/>
        </w:rPr>
      </w:pPr>
    </w:p>
    <w:p>
      <w:pPr>
        <w:jc w:val="both"/>
        <w:ind w:left="1423" w:hanging="315"/>
        <w:spacing w:after="0" w:line="255" w:lineRule="auto"/>
        <w:tabs>
          <w:tab w:leader="none" w:pos="1423" w:val="left"/>
        </w:tabs>
        <w:numPr>
          <w:ilvl w:val="2"/>
          <w:numId w:val="18"/>
        </w:numPr>
        <w:rPr>
          <w:rFonts w:ascii="Arial" w:cs="Arial" w:eastAsia="Arial" w:hAnsi="Arial"/>
          <w:sz w:val="18"/>
          <w:szCs w:val="18"/>
          <w:color w:val="auto"/>
        </w:rPr>
      </w:pPr>
      <w:r>
        <w:rPr>
          <w:rFonts w:ascii="Arial" w:cs="Arial" w:eastAsia="Arial" w:hAnsi="Arial"/>
          <w:sz w:val="18"/>
          <w:szCs w:val="18"/>
          <w:color w:val="auto"/>
        </w:rPr>
        <w:t>You expressly agree and acknowledge that the forfeiture provisions of subsection 13.b.2. of this Agreement shall apply if,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Committee) with Honeywell and the Committee has not approved the agreement or arrangement in writing, or</w:t>
      </w:r>
    </w:p>
    <w:p>
      <w:pPr>
        <w:spacing w:after="0" w:line="166" w:lineRule="exact"/>
        <w:rPr>
          <w:sz w:val="20"/>
          <w:szCs w:val="20"/>
          <w:color w:val="auto"/>
        </w:rPr>
      </w:pPr>
    </w:p>
    <w:p>
      <w:pPr>
        <w:jc w:val="center"/>
        <w:ind w:right="177"/>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126365</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23"/>
          </w:cols>
          <w:pgMar w:left="437" w:top="409" w:right="239" w:bottom="1440" w:gutter="0" w:footer="0" w:header="0"/>
        </w:sectPr>
      </w:pPr>
    </w:p>
    <w:bookmarkStart w:id="40" w:name="page41"/>
    <w:bookmarkEnd w:id="40"/>
    <w:p>
      <w:pPr>
        <w:jc w:val="both"/>
        <w:ind w:left="420" w:firstLine="9"/>
        <w:spacing w:after="0" w:line="286" w:lineRule="auto"/>
        <w:tabs>
          <w:tab w:leader="none" w:pos="697"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pacing w:after="0" w:line="175" w:lineRule="exact"/>
        <w:rPr>
          <w:sz w:val="20"/>
          <w:szCs w:val="20"/>
          <w:color w:val="auto"/>
        </w:rPr>
      </w:pPr>
    </w:p>
    <w:p>
      <w:pPr>
        <w:jc w:val="both"/>
        <w:ind w:left="420"/>
        <w:spacing w:after="0" w:line="312" w:lineRule="auto"/>
        <w:rPr>
          <w:sz w:val="20"/>
          <w:szCs w:val="20"/>
          <w:color w:val="auto"/>
        </w:rPr>
      </w:pPr>
      <w:r>
        <w:rPr>
          <w:rFonts w:ascii="Arial" w:cs="Arial" w:eastAsia="Arial" w:hAnsi="Arial"/>
          <w:sz w:val="16"/>
          <w:szCs w:val="16"/>
          <w:color w:val="auto"/>
        </w:rPr>
        <w:t>For purposes of this subsection 13.b.1,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147" w:lineRule="exact"/>
        <w:rPr>
          <w:sz w:val="20"/>
          <w:szCs w:val="20"/>
          <w:color w:val="auto"/>
        </w:rPr>
      </w:pPr>
    </w:p>
    <w:p>
      <w:pPr>
        <w:jc w:val="both"/>
        <w:ind w:left="420" w:hanging="315"/>
        <w:spacing w:after="0" w:line="290"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Committee determines, in its sole judgment, that you have violated the terms of any such agreement or you have engaged in an act that violates subsection 13.b.1. of this Agreement, (i) any Performance Stock Units [and Additional Performance Stock Units] that have not vested under this Agreement shall immediately be cancelled, and you shall forfeit any rights you have with respect to such Units as of the date of the Committee’s determination, and (ii) you shall immediately deliver to the Company Shares and cash equal in value to the Actual Award you received during the period beginning twelve (12) months prior to your Termination of Employment and ending on the date of the Committee’s determination.</w:t>
      </w:r>
    </w:p>
    <w:p>
      <w:pPr>
        <w:spacing w:after="0" w:line="166" w:lineRule="exact"/>
        <w:rPr>
          <w:rFonts w:ascii="Arial" w:cs="Arial" w:eastAsia="Arial" w:hAnsi="Arial"/>
          <w:sz w:val="16"/>
          <w:szCs w:val="16"/>
          <w:color w:val="auto"/>
        </w:rPr>
      </w:pPr>
    </w:p>
    <w:p>
      <w:pPr>
        <w:ind w:left="420" w:hanging="315"/>
        <w:spacing w:after="0" w:line="277"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Notwithstanding anything in the Plan or this Agreement to the contrary, you acknowledge that the Company may be entitled or required by law, Company</w:t>
      </w:r>
    </w:p>
    <w:p>
      <w:pPr>
        <w:spacing w:after="0" w:line="1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126365</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9" w:right="239" w:bottom="1440" w:gutter="0" w:footer="0" w:header="0"/>
        </w:sectPr>
      </w:pPr>
    </w:p>
    <w:bookmarkStart w:id="41" w:name="page42"/>
    <w:bookmarkEnd w:id="41"/>
    <w:p>
      <w:pPr>
        <w:ind w:left="1423"/>
        <w:spacing w:after="0" w:line="277" w:lineRule="auto"/>
        <w:rPr>
          <w:sz w:val="20"/>
          <w:szCs w:val="20"/>
          <w:color w:val="auto"/>
        </w:rPr>
      </w:pPr>
      <w:r>
        <w:rPr>
          <w:rFonts w:ascii="Arial" w:cs="Arial" w:eastAsia="Arial" w:hAnsi="Arial"/>
          <w:sz w:val="18"/>
          <w:szCs w:val="18"/>
          <w:color w:val="auto"/>
        </w:rPr>
        <w:t>policy or the requirements of an exchange on which the Shares are listed for trading, to recoup compensation paid to you pursuant to the Plan, and you agree to comply with any Company request or demand for recoupment.</w:t>
      </w:r>
    </w:p>
    <w:p>
      <w:pPr>
        <w:spacing w:after="0" w:line="166" w:lineRule="exact"/>
        <w:rPr>
          <w:sz w:val="20"/>
          <w:szCs w:val="20"/>
          <w:color w:val="auto"/>
        </w:rPr>
      </w:pPr>
    </w:p>
    <w:p>
      <w:pPr>
        <w:jc w:val="both"/>
        <w:ind w:left="443" w:hanging="443"/>
        <w:spacing w:after="0" w:line="277" w:lineRule="auto"/>
        <w:tabs>
          <w:tab w:leader="none" w:pos="443"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Restrictions on Payment of Shares. </w:t>
      </w:r>
      <w:r>
        <w:rPr>
          <w:rFonts w:ascii="Arial" w:cs="Arial" w:eastAsia="Arial" w:hAnsi="Arial"/>
          <w:sz w:val="17"/>
          <w:szCs w:val="17"/>
          <w:color w:val="auto"/>
        </w:rPr>
        <w:t>Payment of Shares is subject to the conditions that, to the extent required at the time of exercise, (i)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underlying the Award and/or Actual Award shall be duly listed, upon official notice of redemption, upon the New York Stock Exchange,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168" w:lineRule="exact"/>
        <w:rPr>
          <w:rFonts w:ascii="Arial" w:cs="Arial" w:eastAsia="Arial" w:hAnsi="Arial"/>
          <w:sz w:val="17"/>
          <w:szCs w:val="17"/>
          <w:color w:val="auto"/>
        </w:rPr>
      </w:pPr>
    </w:p>
    <w:p>
      <w:pPr>
        <w:ind w:left="443" w:hanging="443"/>
        <w:spacing w:after="0"/>
        <w:tabs>
          <w:tab w:leader="none" w:pos="443"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Any adjustments to this Performance Award will be governed by Section 5.3 of the Plan.</w:t>
      </w:r>
    </w:p>
    <w:p>
      <w:pPr>
        <w:spacing w:after="0" w:line="225" w:lineRule="exact"/>
        <w:rPr>
          <w:rFonts w:ascii="Arial" w:cs="Arial" w:eastAsia="Arial" w:hAnsi="Arial"/>
          <w:sz w:val="18"/>
          <w:szCs w:val="18"/>
          <w:color w:val="auto"/>
        </w:rPr>
      </w:pPr>
    </w:p>
    <w:p>
      <w:pPr>
        <w:jc w:val="both"/>
        <w:ind w:left="443" w:hanging="443"/>
        <w:spacing w:after="0" w:line="258" w:lineRule="auto"/>
        <w:tabs>
          <w:tab w:leader="none" w:pos="443"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Disposition of Securities. </w:t>
      </w:r>
      <w:r>
        <w:rPr>
          <w:rFonts w:ascii="Arial" w:cs="Arial" w:eastAsia="Arial" w:hAnsi="Arial"/>
          <w:sz w:val="18"/>
          <w:szCs w:val="18"/>
          <w:color w:val="auto"/>
        </w:rPr>
        <w:t>By accepting the Performance Award, you acknowledge that you have read and understand (i) the Company’s policy, and</w:t>
      </w:r>
      <w:r>
        <w:rPr>
          <w:rFonts w:ascii="Arial" w:cs="Arial" w:eastAsia="Arial" w:hAnsi="Arial"/>
          <w:sz w:val="18"/>
          <w:szCs w:val="18"/>
          <w:b w:val="1"/>
          <w:bCs w:val="1"/>
          <w:color w:val="auto"/>
        </w:rPr>
        <w:t xml:space="preserve"> </w:t>
      </w:r>
      <w:r>
        <w:rPr>
          <w:rFonts w:ascii="Arial" w:cs="Arial" w:eastAsia="Arial" w:hAnsi="Arial"/>
          <w:sz w:val="18"/>
          <w:szCs w:val="18"/>
          <w:color w:val="auto"/>
        </w:rPr>
        <w:t>are aware of and understand your obligations under applicable securities laws in respect of trading in the Company’s securities, and (ii) the Company’s stock ownership guidelines as they apply to this Performance Award. The Company shall have the right to recover, or receive reimbursement for, any compensation or profit you realize on the disposition of Shares received to the extent that the Company has a right of recovery or reimbursement under applicable securities laws.</w:t>
      </w:r>
    </w:p>
    <w:p>
      <w:pPr>
        <w:spacing w:after="0" w:line="183" w:lineRule="exact"/>
        <w:rPr>
          <w:rFonts w:ascii="Arial" w:cs="Arial" w:eastAsia="Arial" w:hAnsi="Arial"/>
          <w:sz w:val="18"/>
          <w:szCs w:val="18"/>
          <w:color w:val="auto"/>
        </w:rPr>
      </w:pPr>
    </w:p>
    <w:p>
      <w:pPr>
        <w:jc w:val="both"/>
        <w:ind w:left="443" w:hanging="443"/>
        <w:spacing w:after="0" w:line="271" w:lineRule="auto"/>
        <w:tabs>
          <w:tab w:leader="none" w:pos="443"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Plan Terms Govern. </w:t>
      </w:r>
      <w:r>
        <w:rPr>
          <w:rFonts w:ascii="Arial" w:cs="Arial" w:eastAsia="Arial" w:hAnsi="Arial"/>
          <w:sz w:val="17"/>
          <w:szCs w:val="17"/>
          <w:color w:val="auto"/>
        </w:rPr>
        <w:t>This Award (including the vesting and redemption of Performance Stock Units [or Additional Performance Stock Units], the</w:t>
      </w:r>
      <w:r>
        <w:rPr>
          <w:rFonts w:ascii="Arial" w:cs="Arial" w:eastAsia="Arial" w:hAnsi="Arial"/>
          <w:sz w:val="17"/>
          <w:szCs w:val="17"/>
          <w:b w:val="1"/>
          <w:bCs w:val="1"/>
          <w:color w:val="auto"/>
        </w:rPr>
        <w:t xml:space="preserve"> </w:t>
      </w:r>
      <w:r>
        <w:rPr>
          <w:rFonts w:ascii="Arial" w:cs="Arial" w:eastAsia="Arial" w:hAnsi="Arial"/>
          <w:sz w:val="17"/>
          <w:szCs w:val="17"/>
          <w:color w:val="auto"/>
        </w:rPr>
        <w:t>disposition of any Shares received,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Performance Award, you acknowledge that the Plan and the Plan prospectus, as in effect on the date of this Agreement, have been made available to you for your review. Without limiting the generality of the foregoing, you agree that all determinations made by the Committee of the Performance Metrics described in Section 3 (including but not limited to, Total Shareholder Return and the Company’s ranking within the Compensation Peer Group) shall be final, binding and conclusive on you in accordance with Article III of the Plan.</w:t>
      </w:r>
    </w:p>
    <w:p>
      <w:pPr>
        <w:spacing w:after="0" w:line="174" w:lineRule="exact"/>
        <w:rPr>
          <w:rFonts w:ascii="Arial" w:cs="Arial" w:eastAsia="Arial" w:hAnsi="Arial"/>
          <w:sz w:val="17"/>
          <w:szCs w:val="17"/>
          <w:color w:val="auto"/>
        </w:rPr>
      </w:pPr>
    </w:p>
    <w:p>
      <w:pPr>
        <w:ind w:left="443" w:hanging="443"/>
        <w:spacing w:after="0"/>
        <w:tabs>
          <w:tab w:leader="none" w:pos="443"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Personal Data.</w:t>
      </w:r>
    </w:p>
    <w:p>
      <w:pPr>
        <w:spacing w:after="0" w:line="229" w:lineRule="exact"/>
        <w:rPr>
          <w:sz w:val="20"/>
          <w:szCs w:val="20"/>
          <w:color w:val="auto"/>
        </w:rPr>
      </w:pPr>
    </w:p>
    <w:p>
      <w:pPr>
        <w:ind w:left="783" w:hanging="324"/>
        <w:spacing w:after="0" w:line="308" w:lineRule="auto"/>
        <w:tabs>
          <w:tab w:leader="none" w:pos="783"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By entering into this Agreement, and as a condition of the grant of this Performance Award, you expressly consent to the collection, use, and transfer of personal data as described in this Section to the full extent permitted by and in full compliance with applicable law.</w:t>
      </w:r>
    </w:p>
    <w:p>
      <w:pPr>
        <w:spacing w:after="0" w:line="120" w:lineRule="exact"/>
        <w:rPr>
          <w:sz w:val="20"/>
          <w:szCs w:val="20"/>
          <w:color w:val="auto"/>
        </w:rPr>
      </w:pPr>
    </w:p>
    <w:p>
      <w:pPr>
        <w:jc w:val="center"/>
        <w:ind w:right="177"/>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126365</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23"/>
          </w:cols>
          <w:pgMar w:left="437" w:top="409" w:right="239" w:bottom="1440" w:gutter="0" w:footer="0" w:header="0"/>
        </w:sectPr>
      </w:pPr>
    </w:p>
    <w:bookmarkStart w:id="42" w:name="page43"/>
    <w:bookmarkEnd w:id="42"/>
    <w:p>
      <w:pPr>
        <w:jc w:val="both"/>
        <w:ind w:left="783" w:hanging="324"/>
        <w:spacing w:after="0" w:line="279" w:lineRule="auto"/>
        <w:tabs>
          <w:tab w:leader="none" w:pos="783" w:val="left"/>
        </w:tabs>
        <w:numPr>
          <w:ilvl w:val="1"/>
          <w:numId w:val="23"/>
        </w:numPr>
        <w:rPr>
          <w:rFonts w:ascii="Arial" w:cs="Arial" w:eastAsia="Arial" w:hAnsi="Arial"/>
          <w:sz w:val="17"/>
          <w:szCs w:val="17"/>
          <w:b w:val="1"/>
          <w:bCs w:val="1"/>
          <w:color w:val="auto"/>
        </w:rPr>
      </w:pPr>
      <w:r>
        <w:rPr>
          <w:rFonts w:ascii="Arial" w:cs="Arial" w:eastAsia="Arial" w:hAnsi="Arial"/>
          <w:sz w:val="17"/>
          <w:szCs w:val="17"/>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Performance Stock Units or other entitlement to shares awarded, canceled, exercised, vested, unvested, or outstanding in your favor, for the purpose of managing and administering the Plan (“Data”).</w:t>
      </w:r>
    </w:p>
    <w:p>
      <w:pPr>
        <w:spacing w:after="0" w:line="171" w:lineRule="exact"/>
        <w:rPr>
          <w:rFonts w:ascii="Arial" w:cs="Arial" w:eastAsia="Arial" w:hAnsi="Arial"/>
          <w:sz w:val="17"/>
          <w:szCs w:val="17"/>
          <w:b w:val="1"/>
          <w:bCs w:val="1"/>
          <w:color w:val="auto"/>
        </w:rPr>
      </w:pPr>
    </w:p>
    <w:p>
      <w:pPr>
        <w:jc w:val="both"/>
        <w:ind w:left="783" w:hanging="324"/>
        <w:spacing w:after="0" w:line="264" w:lineRule="auto"/>
        <w:tabs>
          <w:tab w:leader="none" w:pos="783"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You understand that part or all of your Data may be also held by the Company or its Affiliates, pursuant to a transfer made in the past with your consent, in respect of any previous grant of Performance Stock Units or awards, which was made for the same purposes of managing and administering of previous award/incentive plans, or for other purposes.</w:t>
      </w:r>
    </w:p>
    <w:p>
      <w:pPr>
        <w:spacing w:after="0" w:line="181" w:lineRule="exact"/>
        <w:rPr>
          <w:rFonts w:ascii="Arial" w:cs="Arial" w:eastAsia="Arial" w:hAnsi="Arial"/>
          <w:sz w:val="18"/>
          <w:szCs w:val="18"/>
          <w:b w:val="1"/>
          <w:bCs w:val="1"/>
          <w:color w:val="auto"/>
        </w:rPr>
      </w:pPr>
    </w:p>
    <w:p>
      <w:pPr>
        <w:jc w:val="both"/>
        <w:ind w:left="783" w:hanging="324"/>
        <w:spacing w:after="0" w:line="259" w:lineRule="auto"/>
        <w:tabs>
          <w:tab w:leader="none" w:pos="783"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You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86" w:lineRule="exact"/>
        <w:rPr>
          <w:rFonts w:ascii="Arial" w:cs="Arial" w:eastAsia="Arial" w:hAnsi="Arial"/>
          <w:sz w:val="18"/>
          <w:szCs w:val="18"/>
          <w:b w:val="1"/>
          <w:bCs w:val="1"/>
          <w:color w:val="auto"/>
        </w:rPr>
      </w:pPr>
    </w:p>
    <w:p>
      <w:pPr>
        <w:jc w:val="both"/>
        <w:ind w:left="783" w:hanging="324"/>
        <w:spacing w:after="0" w:line="257" w:lineRule="auto"/>
        <w:tabs>
          <w:tab w:leader="none" w:pos="783"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88" w:lineRule="exact"/>
        <w:rPr>
          <w:rFonts w:ascii="Arial" w:cs="Arial" w:eastAsia="Arial" w:hAnsi="Arial"/>
          <w:sz w:val="18"/>
          <w:szCs w:val="18"/>
          <w:b w:val="1"/>
          <w:bCs w:val="1"/>
          <w:color w:val="auto"/>
        </w:rPr>
      </w:pPr>
    </w:p>
    <w:p>
      <w:pPr>
        <w:jc w:val="both"/>
        <w:ind w:left="783" w:hanging="324"/>
        <w:spacing w:after="0" w:line="264" w:lineRule="auto"/>
        <w:tabs>
          <w:tab w:leader="none" w:pos="783"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You understand that you may show your opposition to the processing and transfer of your Data, and, may at any time, review the Data, request that any necessary amendments be made to it, or withdraw your consent herein in writing by contacting the Company. You understand that withdrawing consent may affect your ability to participate in the Plan.</w:t>
      </w:r>
    </w:p>
    <w:p>
      <w:pPr>
        <w:spacing w:after="0" w:line="177" w:lineRule="exact"/>
        <w:rPr>
          <w:rFonts w:ascii="Arial" w:cs="Arial" w:eastAsia="Arial" w:hAnsi="Arial"/>
          <w:sz w:val="18"/>
          <w:szCs w:val="18"/>
          <w:b w:val="1"/>
          <w:bCs w:val="1"/>
          <w:color w:val="auto"/>
        </w:rPr>
      </w:pPr>
    </w:p>
    <w:p>
      <w:pPr>
        <w:ind w:left="443" w:hanging="443"/>
        <w:spacing w:after="0" w:line="282" w:lineRule="auto"/>
        <w:tabs>
          <w:tab w:leader="none" w:pos="443"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Discretionary Nature and Acceptance of Performance Award</w:t>
      </w:r>
      <w:r>
        <w:rPr>
          <w:rFonts w:ascii="Arial" w:cs="Arial" w:eastAsia="Arial" w:hAnsi="Arial"/>
          <w:sz w:val="18"/>
          <w:szCs w:val="18"/>
          <w:color w:val="auto"/>
        </w:rPr>
        <w:t>. By accepting this Performance Award, you agree to be bound by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acknowledge that:</w:t>
      </w:r>
    </w:p>
    <w:p>
      <w:pPr>
        <w:spacing w:after="0" w:line="165" w:lineRule="exact"/>
        <w:rPr>
          <w:rFonts w:ascii="Arial" w:cs="Arial" w:eastAsia="Arial" w:hAnsi="Arial"/>
          <w:sz w:val="18"/>
          <w:szCs w:val="18"/>
          <w:color w:val="auto"/>
        </w:rPr>
      </w:pPr>
    </w:p>
    <w:p>
      <w:pPr>
        <w:ind w:left="783" w:hanging="324"/>
        <w:spacing w:after="0" w:line="308" w:lineRule="auto"/>
        <w:tabs>
          <w:tab w:leader="none" w:pos="783" w:val="left"/>
        </w:tabs>
        <w:numPr>
          <w:ilvl w:val="1"/>
          <w:numId w:val="24"/>
        </w:numPr>
        <w:rPr>
          <w:rFonts w:ascii="Arial" w:cs="Arial" w:eastAsia="Arial" w:hAnsi="Arial"/>
          <w:sz w:val="17"/>
          <w:szCs w:val="17"/>
          <w:b w:val="1"/>
          <w:bCs w:val="1"/>
          <w:color w:val="auto"/>
        </w:rPr>
      </w:pPr>
      <w:r>
        <w:rPr>
          <w:rFonts w:ascii="Arial" w:cs="Arial" w:eastAsia="Arial" w:hAnsi="Arial"/>
          <w:sz w:val="17"/>
          <w:szCs w:val="17"/>
          <w:color w:val="auto"/>
        </w:rPr>
        <w:t>The Company (and not your local employer) is granting these Performance Stock Units [and Additional Performance Stock Units]. This Agreement is not derived from any preexisting labor relationship between you and the Company, but rather from a mercantile relationship.</w:t>
      </w:r>
    </w:p>
    <w:p>
      <w:pPr>
        <w:spacing w:after="0" w:line="146" w:lineRule="exact"/>
        <w:rPr>
          <w:rFonts w:ascii="Arial" w:cs="Arial" w:eastAsia="Arial" w:hAnsi="Arial"/>
          <w:sz w:val="17"/>
          <w:szCs w:val="17"/>
          <w:b w:val="1"/>
          <w:bCs w:val="1"/>
          <w:color w:val="auto"/>
        </w:rPr>
      </w:pPr>
    </w:p>
    <w:p>
      <w:pPr>
        <w:ind w:left="783" w:hanging="324"/>
        <w:spacing w:after="0" w:line="277" w:lineRule="auto"/>
        <w:tabs>
          <w:tab w:leader="none" w:pos="783"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The Company may administer the Plan from outside your country of residence and United States law will govern all Performance Stock Units [and Additional Performance Stock Units] granted under the Plan.</w:t>
      </w:r>
    </w:p>
    <w:p>
      <w:pPr>
        <w:spacing w:after="0" w:line="143" w:lineRule="exact"/>
        <w:rPr>
          <w:sz w:val="20"/>
          <w:szCs w:val="20"/>
          <w:color w:val="auto"/>
        </w:rPr>
      </w:pPr>
    </w:p>
    <w:p>
      <w:pPr>
        <w:jc w:val="center"/>
        <w:ind w:right="177"/>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126365</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23"/>
          </w:cols>
          <w:pgMar w:left="437" w:top="409" w:right="239" w:bottom="1440" w:gutter="0" w:footer="0" w:header="0"/>
        </w:sectPr>
      </w:pPr>
    </w:p>
    <w:bookmarkStart w:id="43" w:name="page44"/>
    <w:bookmarkEnd w:id="43"/>
    <w:p>
      <w:pPr>
        <w:ind w:left="783" w:hanging="324"/>
        <w:spacing w:after="0" w:line="277" w:lineRule="auto"/>
        <w:tabs>
          <w:tab w:leader="none" w:pos="783"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Benefits and rights provided under the Plan are wholly discretionary and, although provided by the Company, do not constitute regular or periodic payments.</w:t>
      </w:r>
    </w:p>
    <w:p>
      <w:pPr>
        <w:spacing w:after="0" w:line="170" w:lineRule="exact"/>
        <w:rPr>
          <w:rFonts w:ascii="Arial" w:cs="Arial" w:eastAsia="Arial" w:hAnsi="Arial"/>
          <w:sz w:val="18"/>
          <w:szCs w:val="18"/>
          <w:b w:val="1"/>
          <w:bCs w:val="1"/>
          <w:color w:val="auto"/>
        </w:rPr>
      </w:pPr>
    </w:p>
    <w:p>
      <w:pPr>
        <w:jc w:val="both"/>
        <w:ind w:left="783" w:hanging="324"/>
        <w:spacing w:after="0" w:line="273" w:lineRule="auto"/>
        <w:tabs>
          <w:tab w:leader="none" w:pos="783" w:val="left"/>
        </w:tabs>
        <w:numPr>
          <w:ilvl w:val="1"/>
          <w:numId w:val="25"/>
        </w:numPr>
        <w:rPr>
          <w:rFonts w:ascii="Arial" w:cs="Arial" w:eastAsia="Arial" w:hAnsi="Arial"/>
          <w:sz w:val="17"/>
          <w:szCs w:val="17"/>
          <w:b w:val="1"/>
          <w:bCs w:val="1"/>
          <w:color w:val="auto"/>
        </w:rPr>
      </w:pPr>
      <w:r>
        <w:rPr>
          <w:rFonts w:ascii="Arial" w:cs="Arial" w:eastAsia="Arial" w:hAnsi="Arial"/>
          <w:sz w:val="17"/>
          <w:szCs w:val="17"/>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78" w:lineRule="exact"/>
        <w:rPr>
          <w:rFonts w:ascii="Arial" w:cs="Arial" w:eastAsia="Arial" w:hAnsi="Arial"/>
          <w:sz w:val="17"/>
          <w:szCs w:val="17"/>
          <w:b w:val="1"/>
          <w:bCs w:val="1"/>
          <w:color w:val="auto"/>
        </w:rPr>
      </w:pPr>
    </w:p>
    <w:p>
      <w:pPr>
        <w:jc w:val="both"/>
        <w:ind w:left="783" w:hanging="324"/>
        <w:spacing w:after="0" w:line="255" w:lineRule="auto"/>
        <w:tabs>
          <w:tab w:leader="none" w:pos="783"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The grant of this Performance Award, and any future grant of Performance Stock Units [or Additional Performance Stock Units] under the Plan, is entirely voluntary, and at the complete discretion of the Company. Neither the grant of the Performance Stock Units[, the Additional Performance Stock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193" w:lineRule="exact"/>
        <w:rPr>
          <w:rFonts w:ascii="Arial" w:cs="Arial" w:eastAsia="Arial" w:hAnsi="Arial"/>
          <w:sz w:val="18"/>
          <w:szCs w:val="18"/>
          <w:b w:val="1"/>
          <w:bCs w:val="1"/>
          <w:color w:val="auto"/>
        </w:rPr>
      </w:pPr>
    </w:p>
    <w:p>
      <w:pPr>
        <w:jc w:val="both"/>
        <w:ind w:left="783" w:hanging="324"/>
        <w:spacing w:after="0" w:line="264" w:lineRule="auto"/>
        <w:tabs>
          <w:tab w:leader="none" w:pos="783"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The Plan will not be deemed to constitute, and will not be construed by you to constitute, part of the terms and conditions of employment. Neither The Company Inc. nor your local employer will incur any liability of any kind to you as a result of any change or amendment, or any cancellation, of the Plan at any time.</w:t>
      </w:r>
    </w:p>
    <w:p>
      <w:pPr>
        <w:spacing w:after="0" w:line="181" w:lineRule="exact"/>
        <w:rPr>
          <w:rFonts w:ascii="Arial" w:cs="Arial" w:eastAsia="Arial" w:hAnsi="Arial"/>
          <w:sz w:val="18"/>
          <w:szCs w:val="18"/>
          <w:b w:val="1"/>
          <w:bCs w:val="1"/>
          <w:color w:val="auto"/>
        </w:rPr>
      </w:pPr>
    </w:p>
    <w:p>
      <w:pPr>
        <w:ind w:left="783" w:hanging="324"/>
        <w:spacing w:after="0" w:line="277" w:lineRule="auto"/>
        <w:tabs>
          <w:tab w:leader="none" w:pos="783"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Participation in the Plan will not be deemed to constitute, and will not be deemed by you to constitute, an employment or labor relationship of any kind with the Company.</w:t>
      </w:r>
    </w:p>
    <w:p>
      <w:pPr>
        <w:spacing w:after="0" w:line="166" w:lineRule="exact"/>
        <w:rPr>
          <w:rFonts w:ascii="Arial" w:cs="Arial" w:eastAsia="Arial" w:hAnsi="Arial"/>
          <w:sz w:val="18"/>
          <w:szCs w:val="18"/>
          <w:b w:val="1"/>
          <w:bCs w:val="1"/>
          <w:color w:val="auto"/>
        </w:rPr>
      </w:pPr>
    </w:p>
    <w:p>
      <w:pPr>
        <w:jc w:val="both"/>
        <w:ind w:left="443" w:hanging="443"/>
        <w:spacing w:after="0" w:line="256" w:lineRule="auto"/>
        <w:tabs>
          <w:tab w:leader="none" w:pos="443"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Limitations. </w:t>
      </w:r>
      <w:r>
        <w:rPr>
          <w:rFonts w:ascii="Arial" w:cs="Arial" w:eastAsia="Arial" w:hAnsi="Arial"/>
          <w:sz w:val="18"/>
          <w:szCs w:val="18"/>
          <w:color w:val="auto"/>
        </w:rPr>
        <w:t>Nothing in this Agreement or the Plan gives you any right to continue in the employ of the Company or any of its Affiliates or to</w:t>
      </w:r>
      <w:r>
        <w:rPr>
          <w:rFonts w:ascii="Arial" w:cs="Arial" w:eastAsia="Arial" w:hAnsi="Arial"/>
          <w:sz w:val="18"/>
          <w:szCs w:val="18"/>
          <w:b w:val="1"/>
          <w:bCs w:val="1"/>
          <w:color w:val="auto"/>
        </w:rPr>
        <w:t xml:space="preserve"> </w:t>
      </w:r>
      <w:r>
        <w:rPr>
          <w:rFonts w:ascii="Arial" w:cs="Arial" w:eastAsia="Arial" w:hAnsi="Arial"/>
          <w:sz w:val="18"/>
          <w:szCs w:val="18"/>
          <w:color w:val="auto"/>
        </w:rPr>
        <w:t>interfere in any way with the right of the Company or any Affiliate to terminate your employment at any time. Payment of your Performance Stock Units [and Additional Performance Stock Units] is not secured by a trust, insurance contract or other funding medium, and you do not have any interest in any fund or specific asset of the Company by reason of this Performance Award or the account established on your behalf. You have no rights as a shareowner of the Company pursuant to the Performance Stock Units [and Additional Performance Stock Units] until Shares are actually delivered to you.</w:t>
      </w:r>
    </w:p>
    <w:p>
      <w:pPr>
        <w:spacing w:after="0" w:line="187" w:lineRule="exact"/>
        <w:rPr>
          <w:rFonts w:ascii="Arial" w:cs="Arial" w:eastAsia="Arial" w:hAnsi="Arial"/>
          <w:sz w:val="18"/>
          <w:szCs w:val="18"/>
          <w:color w:val="auto"/>
        </w:rPr>
      </w:pPr>
    </w:p>
    <w:p>
      <w:pPr>
        <w:jc w:val="both"/>
        <w:ind w:left="443" w:hanging="443"/>
        <w:spacing w:after="0" w:line="266" w:lineRule="auto"/>
        <w:tabs>
          <w:tab w:leader="none" w:pos="443"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Incorporation of Other Agreements. </w:t>
      </w:r>
      <w:r>
        <w:rPr>
          <w:rFonts w:ascii="Arial" w:cs="Arial" w:eastAsia="Arial" w:hAnsi="Arial"/>
          <w:sz w:val="18"/>
          <w:szCs w:val="18"/>
          <w:color w:val="auto"/>
        </w:rPr>
        <w:t>This Agreement and the Plan constitute the entire understanding between you and the Company regarding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Stock Units. This Agreement supersedes any prior agreements, commitments or negotiations concerning the Performance Stock Units [and Additional Performance Stock Units].</w:t>
      </w:r>
    </w:p>
    <w:p>
      <w:pPr>
        <w:spacing w:after="0" w:line="153" w:lineRule="exact"/>
        <w:rPr>
          <w:sz w:val="20"/>
          <w:szCs w:val="20"/>
          <w:color w:val="auto"/>
        </w:rPr>
      </w:pPr>
    </w:p>
    <w:p>
      <w:pPr>
        <w:jc w:val="center"/>
        <w:ind w:right="177"/>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126365</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23"/>
          </w:cols>
          <w:pgMar w:left="437" w:top="409" w:right="239" w:bottom="1440" w:gutter="0" w:footer="0" w:header="0"/>
        </w:sectPr>
      </w:pPr>
    </w:p>
    <w:bookmarkStart w:id="44" w:name="page45"/>
    <w:bookmarkEnd w:id="44"/>
    <w:p>
      <w:pPr>
        <w:jc w:val="both"/>
        <w:ind w:left="443" w:hanging="443"/>
        <w:spacing w:after="0" w:line="289" w:lineRule="auto"/>
        <w:tabs>
          <w:tab w:leader="none" w:pos="443"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invalidity or unenforceability of any provision of this Agreement shall not affect the validity or enforceability of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the Agreement, which shall remain in full force and effect. Moreover, if any provision is found to be excessively broad in duration, scope or covered activity, the provision shall be construed so as to be enforceable to the maximum extent compatible with applicable law.</w:t>
      </w:r>
    </w:p>
    <w:p>
      <w:pPr>
        <w:spacing w:after="0" w:line="158" w:lineRule="exact"/>
        <w:rPr>
          <w:rFonts w:ascii="Arial" w:cs="Arial" w:eastAsia="Arial" w:hAnsi="Arial"/>
          <w:sz w:val="17"/>
          <w:szCs w:val="17"/>
          <w:color w:val="auto"/>
        </w:rPr>
      </w:pPr>
    </w:p>
    <w:p>
      <w:pPr>
        <w:jc w:val="both"/>
        <w:ind w:left="443" w:hanging="443"/>
        <w:spacing w:after="0" w:line="266" w:lineRule="auto"/>
        <w:tabs>
          <w:tab w:leader="none" w:pos="443"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this Agreement, and all determinations made and actions taken under the Plan or this Agreement shall be governed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substantive laws, and not the choice of law rules, of the State of Delaware and construed accordingly, to the extent not superseded by applicable federal law.</w:t>
      </w:r>
    </w:p>
    <w:p>
      <w:pPr>
        <w:spacing w:after="0" w:line="176" w:lineRule="exact"/>
        <w:rPr>
          <w:rFonts w:ascii="Arial" w:cs="Arial" w:eastAsia="Arial" w:hAnsi="Arial"/>
          <w:sz w:val="18"/>
          <w:szCs w:val="18"/>
          <w:color w:val="auto"/>
        </w:rPr>
      </w:pPr>
    </w:p>
    <w:p>
      <w:pPr>
        <w:ind w:left="443" w:hanging="443"/>
        <w:spacing w:after="0" w:line="313" w:lineRule="auto"/>
        <w:tabs>
          <w:tab w:leader="none" w:pos="443"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 xml:space="preserve">Agreement Changes. </w:t>
      </w:r>
      <w:r>
        <w:rPr>
          <w:rFonts w:ascii="Arial" w:cs="Arial" w:eastAsia="Arial" w:hAnsi="Arial"/>
          <w:sz w:val="17"/>
          <w:szCs w:val="17"/>
          <w:color w:val="auto"/>
        </w:rPr>
        <w:t>The Company reserves the right to change the terms of this Agreement and the Plan without your consent to the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or desirable to comply with the requirements of Code section 409A, the Treasury regulations and other guidance thereunder.</w:t>
      </w:r>
    </w:p>
    <w:p>
      <w:pPr>
        <w:spacing w:after="0" w:line="138" w:lineRule="exact"/>
        <w:rPr>
          <w:rFonts w:ascii="Arial" w:cs="Arial" w:eastAsia="Arial" w:hAnsi="Arial"/>
          <w:sz w:val="17"/>
          <w:szCs w:val="17"/>
          <w:color w:val="auto"/>
        </w:rPr>
      </w:pPr>
    </w:p>
    <w:p>
      <w:pPr>
        <w:jc w:val="both"/>
        <w:ind w:left="443" w:hanging="443"/>
        <w:spacing w:after="0" w:line="258" w:lineRule="auto"/>
        <w:tabs>
          <w:tab w:leader="none" w:pos="443"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Acknowledgements and Acceptance. </w:t>
      </w:r>
      <w:r>
        <w:rPr>
          <w:rFonts w:ascii="Arial" w:cs="Arial" w:eastAsia="Arial" w:hAnsi="Arial"/>
          <w:sz w:val="18"/>
          <w:szCs w:val="18"/>
          <w:color w:val="auto"/>
        </w:rPr>
        <w:t>By signing this Agreement (including via electronic signature), you agree that: (i) you have carefully read,</w:t>
      </w:r>
      <w:r>
        <w:rPr>
          <w:rFonts w:ascii="Arial" w:cs="Arial" w:eastAsia="Arial" w:hAnsi="Arial"/>
          <w:sz w:val="18"/>
          <w:szCs w:val="18"/>
          <w:b w:val="1"/>
          <w:bCs w:val="1"/>
          <w:color w:val="auto"/>
        </w:rPr>
        <w:t xml:space="preserve"> </w:t>
      </w:r>
      <w:r>
        <w:rPr>
          <w:rFonts w:ascii="Arial" w:cs="Arial" w:eastAsia="Arial" w:hAnsi="Arial"/>
          <w:sz w:val="18"/>
          <w:szCs w:val="18"/>
          <w:color w:val="auto"/>
        </w:rPr>
        <w:t>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Performance Award, and that any prior agreements, commitments, or negotiations concerning the Performance Award are replaced and superseded.</w:t>
      </w:r>
    </w:p>
    <w:p>
      <w:pPr>
        <w:spacing w:after="0" w:line="187" w:lineRule="exact"/>
        <w:rPr>
          <w:rFonts w:ascii="Arial" w:cs="Arial" w:eastAsia="Arial" w:hAnsi="Arial"/>
          <w:sz w:val="18"/>
          <w:szCs w:val="18"/>
          <w:color w:val="auto"/>
        </w:rPr>
      </w:pPr>
    </w:p>
    <w:p>
      <w:pPr>
        <w:ind w:left="463"/>
        <w:spacing w:after="0" w:line="277" w:lineRule="auto"/>
        <w:rPr>
          <w:rFonts w:ascii="Arial" w:cs="Arial" w:eastAsia="Arial" w:hAnsi="Arial"/>
          <w:sz w:val="18"/>
          <w:szCs w:val="18"/>
          <w:color w:val="auto"/>
        </w:rPr>
      </w:pPr>
      <w:r>
        <w:rPr>
          <w:rFonts w:ascii="Arial" w:cs="Arial" w:eastAsia="Arial" w:hAnsi="Arial"/>
          <w:sz w:val="18"/>
          <w:szCs w:val="18"/>
          <w:color w:val="auto"/>
        </w:rPr>
        <w:t>If you do not wish to accept this Award, you must contact Honeywell International Inc., Executive Compensation/4B-6, 115 Tabor Road, Morris Plains, New Jersey 07950 in writing.</w:t>
      </w:r>
    </w:p>
    <w:p>
      <w:pPr>
        <w:spacing w:after="0" w:line="170" w:lineRule="exact"/>
        <w:rPr>
          <w:rFonts w:ascii="Arial" w:cs="Arial" w:eastAsia="Arial" w:hAnsi="Arial"/>
          <w:sz w:val="18"/>
          <w:szCs w:val="18"/>
          <w:color w:val="auto"/>
        </w:rPr>
      </w:pPr>
    </w:p>
    <w:p>
      <w:pPr>
        <w:ind w:left="463"/>
        <w:spacing w:after="0"/>
        <w:rPr>
          <w:rFonts w:ascii="Arial" w:cs="Arial" w:eastAsia="Arial" w:hAnsi="Arial"/>
          <w:sz w:val="18"/>
          <w:szCs w:val="18"/>
          <w:color w:val="auto"/>
        </w:rPr>
      </w:pPr>
      <w:r>
        <w:rPr>
          <w:rFonts w:ascii="Arial" w:cs="Arial" w:eastAsia="Arial" w:hAnsi="Arial"/>
          <w:sz w:val="18"/>
          <w:szCs w:val="18"/>
          <w:color w:val="auto"/>
        </w:rPr>
        <w:t>Accepted by:</w:t>
      </w:r>
    </w:p>
    <w:p>
      <w:pPr>
        <w:spacing w:after="0" w:line="239" w:lineRule="exact"/>
        <w:rPr>
          <w:sz w:val="20"/>
          <w:szCs w:val="20"/>
          <w:color w:val="auto"/>
        </w:rPr>
      </w:pPr>
    </w:p>
    <w:p>
      <w:pPr>
        <w:ind w:left="463"/>
        <w:spacing w:after="0"/>
        <w:tabs>
          <w:tab w:leader="none" w:pos="6022"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-130175</wp:posOffset>
            </wp:positionV>
            <wp:extent cx="48710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192" w:lineRule="exact"/>
        <w:rPr>
          <w:sz w:val="20"/>
          <w:szCs w:val="20"/>
          <w:color w:val="auto"/>
        </w:rPr>
      </w:pPr>
    </w:p>
    <w:p>
      <w:pPr>
        <w:jc w:val="center"/>
        <w:ind w:right="177"/>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126365</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23"/>
          </w:cols>
          <w:pgMar w:left="437" w:top="40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12</w:t>
      </w:r>
    </w:p>
    <w:p>
      <w:pPr>
        <w:spacing w:after="0" w:line="197"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STATEMENT RE: COMPUTATION OF RATIO OF EARNINGS TO FIXED CHARGES</w:t>
      </w:r>
    </w:p>
    <w:p>
      <w:pPr>
        <w:jc w:val="center"/>
        <w:ind w:right="1140"/>
        <w:spacing w:after="0" w:line="234" w:lineRule="auto"/>
        <w:rPr>
          <w:sz w:val="20"/>
          <w:szCs w:val="20"/>
          <w:color w:val="auto"/>
        </w:rPr>
      </w:pPr>
      <w:r>
        <w:rPr>
          <w:rFonts w:ascii="Arial" w:cs="Arial" w:eastAsia="Arial" w:hAnsi="Arial"/>
          <w:sz w:val="18"/>
          <w:szCs w:val="18"/>
          <w:b w:val="1"/>
          <w:bCs w:val="1"/>
          <w:color w:val="auto"/>
        </w:rPr>
        <w:t>Three Months Ended</w:t>
      </w:r>
    </w:p>
    <w:p>
      <w:pPr>
        <w:jc w:val="center"/>
        <w:ind w:right="1140"/>
        <w:spacing w:after="0" w:line="235" w:lineRule="auto"/>
        <w:rPr>
          <w:sz w:val="20"/>
          <w:szCs w:val="20"/>
          <w:color w:val="auto"/>
        </w:rPr>
      </w:pPr>
      <w:r>
        <w:rPr>
          <w:rFonts w:ascii="Arial" w:cs="Arial" w:eastAsia="Arial" w:hAnsi="Arial"/>
          <w:sz w:val="18"/>
          <w:szCs w:val="18"/>
          <w:b w:val="1"/>
          <w:bCs w:val="1"/>
          <w:color w:val="auto"/>
        </w:rPr>
        <w:t>March 31, 2017</w:t>
      </w:r>
    </w:p>
    <w:p>
      <w:pPr>
        <w:spacing w:after="0" w:line="1"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Determination of Earnings:</w:t>
            </w:r>
          </w:p>
        </w:tc>
        <w:tc>
          <w:tcPr>
            <w:tcW w:w="2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160"/>
              <w:spacing w:after="0" w:line="202" w:lineRule="exact"/>
              <w:rPr>
                <w:sz w:val="20"/>
                <w:szCs w:val="20"/>
                <w:color w:val="auto"/>
              </w:rPr>
            </w:pPr>
            <w:r>
              <w:rPr>
                <w:rFonts w:ascii="Arial" w:cs="Arial" w:eastAsia="Arial" w:hAnsi="Arial"/>
                <w:sz w:val="18"/>
                <w:szCs w:val="18"/>
                <w:color w:val="auto"/>
              </w:rPr>
              <w:t>Income before taxes</w:t>
            </w:r>
          </w:p>
        </w:tc>
        <w:tc>
          <w:tcPr>
            <w:tcW w:w="2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Add (Deduct):</w:t>
            </w:r>
          </w:p>
        </w:tc>
        <w:tc>
          <w:tcPr>
            <w:tcW w:w="2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capitalized interest</w:t>
            </w: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Fixed charges</w:t>
            </w:r>
          </w:p>
        </w:tc>
        <w:tc>
          <w:tcPr>
            <w:tcW w:w="2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E5FFFF"/>
            </w:tcBorders>
          </w:tcPr>
          <w:p>
            <w:pPr>
              <w:ind w:left="340"/>
              <w:spacing w:after="0"/>
              <w:rPr>
                <w:sz w:val="20"/>
                <w:szCs w:val="20"/>
                <w:color w:val="auto"/>
              </w:rPr>
            </w:pPr>
            <w:r>
              <w:rPr>
                <w:rFonts w:ascii="Arial" w:cs="Arial" w:eastAsia="Arial" w:hAnsi="Arial"/>
                <w:sz w:val="18"/>
                <w:szCs w:val="18"/>
                <w:color w:val="auto"/>
              </w:rPr>
              <w:t>Equity income, net of distributions</w:t>
            </w:r>
          </w:p>
        </w:tc>
        <w:tc>
          <w:tcPr>
            <w:tcW w:w="248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shd w:val="clear" w:color="auto" w:fill="E5FFFF"/>
          </w:tcPr>
          <w:p>
            <w:pPr>
              <w:ind w:left="700"/>
              <w:spacing w:after="0"/>
              <w:rPr>
                <w:sz w:val="20"/>
                <w:szCs w:val="20"/>
                <w:color w:val="auto"/>
              </w:rPr>
            </w:pPr>
            <w:r>
              <w:rPr>
                <w:rFonts w:ascii="Arial" w:cs="Arial" w:eastAsia="Arial" w:hAnsi="Arial"/>
                <w:sz w:val="18"/>
                <w:szCs w:val="18"/>
                <w:b w:val="1"/>
                <w:bCs w:val="1"/>
                <w:color w:val="auto"/>
              </w:rPr>
              <w:t>Total earnings, as defined</w:t>
            </w:r>
          </w:p>
        </w:tc>
        <w:tc>
          <w:tcPr>
            <w:tcW w:w="28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shd w:val="clear" w:color="auto" w:fill="E5FFFF"/>
          </w:tcPr>
          <w:p>
            <w:pPr>
              <w:spacing w:after="0" w:line="20" w:lineRule="exact"/>
              <w:rPr>
                <w:sz w:val="1"/>
                <w:szCs w:val="1"/>
                <w:color w:val="auto"/>
              </w:rPr>
            </w:pPr>
          </w:p>
        </w:tc>
        <w:tc>
          <w:tcPr>
            <w:tcW w:w="2480" w:type="dxa"/>
            <w:vAlign w:val="bottom"/>
            <w:shd w:val="clear" w:color="auto" w:fill="E5FF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2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580" w:type="dxa"/>
            <w:vAlign w:val="bottom"/>
            <w:gridSpan w:val="2"/>
            <w:vMerge w:val="continue"/>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shd w:val="clear" w:color="auto" w:fill="E5FFFF"/>
          </w:tcPr>
          <w:p>
            <w:pPr>
              <w:ind w:left="160"/>
              <w:spacing w:after="0" w:line="243" w:lineRule="exact"/>
              <w:rPr>
                <w:sz w:val="20"/>
                <w:szCs w:val="20"/>
                <w:color w:val="auto"/>
              </w:rPr>
            </w:pPr>
            <w:r>
              <w:rPr>
                <w:rFonts w:ascii="Arial" w:cs="Arial" w:eastAsia="Arial" w:hAnsi="Arial"/>
                <w:sz w:val="17"/>
                <w:szCs w:val="17"/>
                <w:color w:val="auto"/>
              </w:rPr>
              <w:t>Rents</w:t>
            </w:r>
            <w:r>
              <w:rPr>
                <w:rFonts w:ascii="Arial" w:cs="Arial" w:eastAsia="Arial" w:hAnsi="Arial"/>
                <w:sz w:val="28"/>
                <w:szCs w:val="28"/>
                <w:color w:val="auto"/>
                <w:vertAlign w:val="superscript"/>
              </w:rPr>
              <w:t>(a)</w:t>
            </w:r>
          </w:p>
        </w:tc>
        <w:tc>
          <w:tcPr>
            <w:tcW w:w="28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Interest and other financial charges</w:t>
            </w:r>
          </w:p>
        </w:tc>
        <w:tc>
          <w:tcPr>
            <w:tcW w:w="248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shd w:val="clear" w:color="auto" w:fill="E5FFFF"/>
          </w:tcPr>
          <w:p>
            <w:pPr>
              <w:spacing w:after="0"/>
              <w:rPr>
                <w:sz w:val="17"/>
                <w:szCs w:val="17"/>
                <w:color w:val="auto"/>
              </w:rPr>
            </w:pPr>
          </w:p>
        </w:tc>
        <w:tc>
          <w:tcPr>
            <w:tcW w:w="24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Capitalized interest</w:t>
            </w:r>
          </w:p>
        </w:tc>
        <w:tc>
          <w:tcPr>
            <w:tcW w:w="248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shd w:val="clear" w:color="auto" w:fill="E5FFFF"/>
          </w:tcPr>
          <w:p>
            <w:pPr>
              <w:ind w:left="520"/>
              <w:spacing w:after="0"/>
              <w:rPr>
                <w:sz w:val="20"/>
                <w:szCs w:val="20"/>
                <w:color w:val="auto"/>
              </w:rPr>
            </w:pPr>
            <w:r>
              <w:rPr>
                <w:rFonts w:ascii="Arial" w:cs="Arial" w:eastAsia="Arial" w:hAnsi="Arial"/>
                <w:sz w:val="18"/>
                <w:szCs w:val="18"/>
                <w:b w:val="1"/>
                <w:bCs w:val="1"/>
                <w:color w:val="auto"/>
              </w:rPr>
              <w:t>Total fixed charges</w:t>
            </w:r>
          </w:p>
        </w:tc>
        <w:tc>
          <w:tcPr>
            <w:tcW w:w="28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E5FFFF"/>
            </w:tcBorders>
          </w:tcPr>
          <w:p>
            <w:pPr>
              <w:spacing w:after="0" w:line="20" w:lineRule="exact"/>
              <w:rPr>
                <w:sz w:val="1"/>
                <w:szCs w:val="1"/>
                <w:color w:val="auto"/>
              </w:rPr>
            </w:pPr>
          </w:p>
        </w:tc>
        <w:tc>
          <w:tcPr>
            <w:tcW w:w="248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380" w:hanging="531"/>
        <w:spacing w:after="0" w:line="246" w:lineRule="auto"/>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Denotes the equivalent of an appropriate portion of rentals representative of the interest factor on all rentals other than for capitalized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236855</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80"/>
          </w:cols>
          <w:pgMar w:left="1380" w:top="11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Darius Adamczyk, President and Chief Executive Officer, certify that:</w:t>
      </w:r>
    </w:p>
    <w:p>
      <w:pPr>
        <w:spacing w:after="0" w:line="198"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20"/>
                <w:szCs w:val="20"/>
                <w:color w:val="auto"/>
              </w:rPr>
            </w:pPr>
            <w:r>
              <w:rPr>
                <w:rFonts w:ascii="Arial" w:cs="Arial" w:eastAsia="Arial" w:hAnsi="Arial"/>
                <w:sz w:val="18"/>
                <w:szCs w:val="18"/>
                <w:color w:val="auto"/>
              </w:rPr>
              <w:t>Date: April 21, 2017</w:t>
            </w:r>
          </w:p>
        </w:tc>
        <w:tc>
          <w:tcPr>
            <w:tcW w:w="7460" w:type="dxa"/>
            <w:vAlign w:val="bottom"/>
            <w:gridSpan w:val="3"/>
          </w:tcPr>
          <w:p>
            <w:pPr>
              <w:ind w:left="2320"/>
              <w:spacing w:after="0"/>
              <w:rPr>
                <w:sz w:val="20"/>
                <w:szCs w:val="20"/>
                <w:color w:val="auto"/>
              </w:rPr>
            </w:pPr>
            <w:r>
              <w:rPr>
                <w:rFonts w:ascii="Arial" w:cs="Arial" w:eastAsia="Arial" w:hAnsi="Arial"/>
                <w:sz w:val="18"/>
                <w:szCs w:val="18"/>
                <w:color w:val="auto"/>
              </w:rPr>
              <w:t>By:   /s/ Darius Adamczyk</w:t>
            </w:r>
          </w:p>
        </w:tc>
      </w:tr>
      <w:tr>
        <w:trPr>
          <w:trHeight w:val="209"/>
        </w:trPr>
        <w:tc>
          <w:tcPr>
            <w:tcW w:w="3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Darius Adamczyk</w:t>
            </w:r>
          </w:p>
        </w:tc>
        <w:tc>
          <w:tcPr>
            <w:tcW w:w="2920" w:type="dxa"/>
            <w:vAlign w:val="bottom"/>
          </w:tcPr>
          <w:p>
            <w:pPr>
              <w:spacing w:after="0"/>
              <w:rPr>
                <w:sz w:val="18"/>
                <w:szCs w:val="18"/>
                <w:color w:val="auto"/>
              </w:rPr>
            </w:pPr>
          </w:p>
        </w:tc>
      </w:tr>
      <w:tr>
        <w:trPr>
          <w:trHeight w:val="217"/>
        </w:trPr>
        <w:tc>
          <w:tcPr>
            <w:tcW w:w="3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412"/>
        </w:trPr>
        <w:tc>
          <w:tcPr>
            <w:tcW w:w="3960" w:type="dxa"/>
            <w:vAlign w:val="bottom"/>
            <w:tcBorders>
              <w:bottom w:val="single" w:sz="8" w:color="C0C0C0"/>
            </w:tcBorders>
          </w:tcPr>
          <w:p>
            <w:pPr>
              <w:spacing w:after="0"/>
              <w:rPr>
                <w:sz w:val="24"/>
                <w:szCs w:val="24"/>
                <w:color w:val="auto"/>
              </w:rPr>
            </w:pPr>
          </w:p>
        </w:tc>
        <w:tc>
          <w:tcPr>
            <w:tcW w:w="2900" w:type="dxa"/>
            <w:vAlign w:val="bottom"/>
            <w:tcBorders>
              <w:bottom w:val="single" w:sz="8" w:color="C0C0C0"/>
            </w:tcBorders>
          </w:tcPr>
          <w:p>
            <w:pPr>
              <w:spacing w:after="0"/>
              <w:rPr>
                <w:sz w:val="24"/>
                <w:szCs w:val="24"/>
                <w:color w:val="auto"/>
              </w:rPr>
            </w:pPr>
          </w:p>
        </w:tc>
        <w:tc>
          <w:tcPr>
            <w:tcW w:w="1640" w:type="dxa"/>
            <w:vAlign w:val="bottom"/>
            <w:tcBorders>
              <w:bottom w:val="single" w:sz="8" w:color="C0C0C0"/>
            </w:tcBorders>
          </w:tcPr>
          <w:p>
            <w:pPr>
              <w:spacing w:after="0"/>
              <w:rPr>
                <w:sz w:val="24"/>
                <w:szCs w:val="24"/>
                <w:color w:val="auto"/>
              </w:rPr>
            </w:pPr>
          </w:p>
        </w:tc>
        <w:tc>
          <w:tcPr>
            <w:tcW w:w="29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Thomas A. Szlosek, Senior Vice President and Chief Financial Officer, certify that:</w:t>
      </w:r>
    </w:p>
    <w:p>
      <w:pPr>
        <w:spacing w:after="0" w:line="198"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20"/>
                <w:szCs w:val="20"/>
                <w:color w:val="auto"/>
              </w:rPr>
            </w:pPr>
            <w:r>
              <w:rPr>
                <w:rFonts w:ascii="Arial" w:cs="Arial" w:eastAsia="Arial" w:hAnsi="Arial"/>
                <w:sz w:val="18"/>
                <w:szCs w:val="18"/>
                <w:color w:val="auto"/>
              </w:rPr>
              <w:t>Date: April 21, 2017</w:t>
            </w:r>
          </w:p>
        </w:tc>
        <w:tc>
          <w:tcPr>
            <w:tcW w:w="7460" w:type="dxa"/>
            <w:vAlign w:val="bottom"/>
            <w:gridSpan w:val="3"/>
          </w:tcPr>
          <w:p>
            <w:pPr>
              <w:ind w:left="2320"/>
              <w:spacing w:after="0"/>
              <w:rPr>
                <w:sz w:val="20"/>
                <w:szCs w:val="20"/>
                <w:color w:val="auto"/>
              </w:rPr>
            </w:pPr>
            <w:r>
              <w:rPr>
                <w:rFonts w:ascii="Arial" w:cs="Arial" w:eastAsia="Arial" w:hAnsi="Arial"/>
                <w:sz w:val="18"/>
                <w:szCs w:val="18"/>
                <w:color w:val="auto"/>
              </w:rPr>
              <w:t>By:  /s/ Thomas A. Szlosek</w:t>
            </w:r>
          </w:p>
        </w:tc>
      </w:tr>
      <w:tr>
        <w:trPr>
          <w:trHeight w:val="209"/>
        </w:trPr>
        <w:tc>
          <w:tcPr>
            <w:tcW w:w="39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A. Szlosek</w:t>
            </w:r>
          </w:p>
        </w:tc>
        <w:tc>
          <w:tcPr>
            <w:tcW w:w="2880" w:type="dxa"/>
            <w:vAlign w:val="bottom"/>
          </w:tcPr>
          <w:p>
            <w:pPr>
              <w:spacing w:after="0"/>
              <w:rPr>
                <w:sz w:val="18"/>
                <w:szCs w:val="18"/>
                <w:color w:val="auto"/>
              </w:rPr>
            </w:pPr>
          </w:p>
        </w:tc>
      </w:tr>
      <w:tr>
        <w:trPr>
          <w:trHeight w:val="217"/>
        </w:trPr>
        <w:tc>
          <w:tcPr>
            <w:tcW w:w="39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412"/>
        </w:trPr>
        <w:tc>
          <w:tcPr>
            <w:tcW w:w="3960" w:type="dxa"/>
            <w:vAlign w:val="bottom"/>
            <w:tcBorders>
              <w:bottom w:val="single" w:sz="8" w:color="C0C0C0"/>
            </w:tcBorders>
          </w:tcPr>
          <w:p>
            <w:pPr>
              <w:spacing w:after="0"/>
              <w:rPr>
                <w:sz w:val="24"/>
                <w:szCs w:val="24"/>
                <w:color w:val="auto"/>
              </w:rPr>
            </w:pPr>
          </w:p>
        </w:tc>
        <w:tc>
          <w:tcPr>
            <w:tcW w:w="2780" w:type="dxa"/>
            <w:vAlign w:val="bottom"/>
            <w:tcBorders>
              <w:bottom w:val="single" w:sz="8" w:color="C0C0C0"/>
            </w:tcBorders>
          </w:tcPr>
          <w:p>
            <w:pPr>
              <w:spacing w:after="0"/>
              <w:rPr>
                <w:sz w:val="24"/>
                <w:szCs w:val="24"/>
                <w:color w:val="auto"/>
              </w:rPr>
            </w:pPr>
          </w:p>
        </w:tc>
        <w:tc>
          <w:tcPr>
            <w:tcW w:w="1800" w:type="dxa"/>
            <w:vAlign w:val="bottom"/>
            <w:tcBorders>
              <w:bottom w:val="single" w:sz="8" w:color="C0C0C0"/>
            </w:tcBorders>
          </w:tcPr>
          <w:p>
            <w:pPr>
              <w:spacing w:after="0"/>
              <w:rPr>
                <w:sz w:val="24"/>
                <w:szCs w:val="24"/>
                <w:color w:val="auto"/>
              </w:rPr>
            </w:pPr>
          </w:p>
        </w:tc>
        <w:tc>
          <w:tcPr>
            <w:tcW w:w="28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March 31, 2017 as filed with the Securities and Exchange Commission on the date hereof (the Report), I, Darius Adamczyk, President and Chief Executive Officer of the Company, certify, pursuant to 18 U.S.C. Section 1350, as adopted pursuant to Section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40" w:hanging="644"/>
        <w:spacing w:after="0" w:line="246"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20"/>
                <w:szCs w:val="20"/>
                <w:color w:val="auto"/>
              </w:rPr>
            </w:pPr>
            <w:r>
              <w:rPr>
                <w:rFonts w:ascii="Arial" w:cs="Arial" w:eastAsia="Arial" w:hAnsi="Arial"/>
                <w:sz w:val="18"/>
                <w:szCs w:val="18"/>
                <w:color w:val="auto"/>
              </w:rPr>
              <w:t>Date: April 21, 2017</w:t>
            </w:r>
          </w:p>
        </w:tc>
        <w:tc>
          <w:tcPr>
            <w:tcW w:w="7060" w:type="dxa"/>
            <w:vAlign w:val="bottom"/>
            <w:gridSpan w:val="3"/>
          </w:tcPr>
          <w:p>
            <w:pPr>
              <w:ind w:left="2720"/>
              <w:spacing w:after="0"/>
              <w:rPr>
                <w:sz w:val="20"/>
                <w:szCs w:val="20"/>
                <w:color w:val="auto"/>
              </w:rPr>
            </w:pPr>
            <w:r>
              <w:rPr>
                <w:rFonts w:ascii="Arial" w:cs="Arial" w:eastAsia="Arial" w:hAnsi="Arial"/>
                <w:sz w:val="18"/>
                <w:szCs w:val="18"/>
                <w:color w:val="auto"/>
              </w:rPr>
              <w:t>By:  /s/ Darius Adamczyk</w:t>
            </w:r>
          </w:p>
        </w:tc>
      </w:tr>
      <w:tr>
        <w:trPr>
          <w:trHeight w:val="209"/>
        </w:trPr>
        <w:tc>
          <w:tcPr>
            <w:tcW w:w="43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Darius Adamczyk</w:t>
            </w:r>
          </w:p>
        </w:tc>
        <w:tc>
          <w:tcPr>
            <w:tcW w:w="2240" w:type="dxa"/>
            <w:vAlign w:val="bottom"/>
          </w:tcPr>
          <w:p>
            <w:pPr>
              <w:spacing w:after="0"/>
              <w:rPr>
                <w:sz w:val="18"/>
                <w:szCs w:val="18"/>
                <w:color w:val="auto"/>
              </w:rPr>
            </w:pPr>
          </w:p>
        </w:tc>
      </w:tr>
      <w:tr>
        <w:trPr>
          <w:trHeight w:val="217"/>
        </w:trPr>
        <w:tc>
          <w:tcPr>
            <w:tcW w:w="43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412"/>
        </w:trPr>
        <w:tc>
          <w:tcPr>
            <w:tcW w:w="4360" w:type="dxa"/>
            <w:vAlign w:val="bottom"/>
            <w:tcBorders>
              <w:bottom w:val="single" w:sz="8" w:color="C0C0C0"/>
            </w:tcBorders>
          </w:tcPr>
          <w:p>
            <w:pPr>
              <w:spacing w:after="0"/>
              <w:rPr>
                <w:sz w:val="24"/>
                <w:szCs w:val="24"/>
                <w:color w:val="auto"/>
              </w:rPr>
            </w:pPr>
          </w:p>
        </w:tc>
        <w:tc>
          <w:tcPr>
            <w:tcW w:w="3180" w:type="dxa"/>
            <w:vAlign w:val="bottom"/>
            <w:tcBorders>
              <w:bottom w:val="single" w:sz="8" w:color="C0C0C0"/>
            </w:tcBorders>
          </w:tcPr>
          <w:p>
            <w:pPr>
              <w:spacing w:after="0"/>
              <w:rPr>
                <w:sz w:val="24"/>
                <w:szCs w:val="24"/>
                <w:color w:val="auto"/>
              </w:rPr>
            </w:pPr>
          </w:p>
        </w:tc>
        <w:tc>
          <w:tcPr>
            <w:tcW w:w="1640" w:type="dxa"/>
            <w:vAlign w:val="bottom"/>
            <w:tcBorders>
              <w:bottom w:val="single" w:sz="8" w:color="C0C0C0"/>
            </w:tcBorders>
          </w:tcPr>
          <w:p>
            <w:pPr>
              <w:spacing w:after="0"/>
              <w:rPr>
                <w:sz w:val="24"/>
                <w:szCs w:val="24"/>
                <w:color w:val="auto"/>
              </w:rPr>
            </w:pPr>
          </w:p>
        </w:tc>
        <w:tc>
          <w:tcPr>
            <w:tcW w:w="224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March 31, 2017 as filed with the Securities and Exchange Commission on the date hereof (the Report), I, Thomas A. Szlosek, Senior Vice President and Chief Financial Officer of the Company, certify, pursuant to 18 U.S.C. Section 1350, as adopted pursuant to Section 906 of the Sarbanes-Oxley Act of 2002, that:</w:t>
      </w:r>
    </w:p>
    <w:p>
      <w:pPr>
        <w:spacing w:after="0" w:line="188"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20"/>
                <w:szCs w:val="20"/>
                <w:color w:val="auto"/>
              </w:rPr>
            </w:pPr>
            <w:r>
              <w:rPr>
                <w:rFonts w:ascii="Arial" w:cs="Arial" w:eastAsia="Arial" w:hAnsi="Arial"/>
                <w:sz w:val="18"/>
                <w:szCs w:val="18"/>
                <w:color w:val="auto"/>
              </w:rPr>
              <w:t>Date: April 21, 2017</w:t>
            </w:r>
          </w:p>
        </w:tc>
        <w:tc>
          <w:tcPr>
            <w:tcW w:w="7460" w:type="dxa"/>
            <w:vAlign w:val="bottom"/>
            <w:gridSpan w:val="3"/>
          </w:tcPr>
          <w:p>
            <w:pPr>
              <w:ind w:left="2320"/>
              <w:spacing w:after="0"/>
              <w:rPr>
                <w:sz w:val="20"/>
                <w:szCs w:val="20"/>
                <w:color w:val="auto"/>
              </w:rPr>
            </w:pPr>
            <w:r>
              <w:rPr>
                <w:rFonts w:ascii="Arial" w:cs="Arial" w:eastAsia="Arial" w:hAnsi="Arial"/>
                <w:sz w:val="18"/>
                <w:szCs w:val="18"/>
                <w:color w:val="auto"/>
              </w:rPr>
              <w:t>By:   /s/ Thomas A. Szlosek</w:t>
            </w:r>
          </w:p>
        </w:tc>
      </w:tr>
      <w:tr>
        <w:trPr>
          <w:trHeight w:val="209"/>
        </w:trPr>
        <w:tc>
          <w:tcPr>
            <w:tcW w:w="3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A. Szlosek</w:t>
            </w:r>
          </w:p>
        </w:tc>
        <w:tc>
          <w:tcPr>
            <w:tcW w:w="2780" w:type="dxa"/>
            <w:vAlign w:val="bottom"/>
          </w:tcPr>
          <w:p>
            <w:pPr>
              <w:spacing w:after="0"/>
              <w:rPr>
                <w:sz w:val="18"/>
                <w:szCs w:val="18"/>
                <w:color w:val="auto"/>
              </w:rPr>
            </w:pPr>
          </w:p>
        </w:tc>
      </w:tr>
      <w:tr>
        <w:trPr>
          <w:trHeight w:val="217"/>
        </w:trPr>
        <w:tc>
          <w:tcPr>
            <w:tcW w:w="3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453"/>
        </w:trPr>
        <w:tc>
          <w:tcPr>
            <w:tcW w:w="3960" w:type="dxa"/>
            <w:vAlign w:val="bottom"/>
            <w:tcBorders>
              <w:bottom w:val="single" w:sz="8" w:color="C0C0C0"/>
            </w:tcBorders>
          </w:tcPr>
          <w:p>
            <w:pPr>
              <w:spacing w:after="0"/>
              <w:rPr>
                <w:sz w:val="24"/>
                <w:szCs w:val="24"/>
                <w:color w:val="auto"/>
              </w:rPr>
            </w:pPr>
          </w:p>
        </w:tc>
        <w:tc>
          <w:tcPr>
            <w:tcW w:w="2900" w:type="dxa"/>
            <w:vAlign w:val="bottom"/>
            <w:tcBorders>
              <w:bottom w:val="single" w:sz="8" w:color="C0C0C0"/>
            </w:tcBorders>
          </w:tcPr>
          <w:p>
            <w:pPr>
              <w:spacing w:after="0"/>
              <w:rPr>
                <w:sz w:val="24"/>
                <w:szCs w:val="24"/>
                <w:color w:val="auto"/>
              </w:rPr>
            </w:pPr>
          </w:p>
        </w:tc>
        <w:tc>
          <w:tcPr>
            <w:tcW w:w="1780" w:type="dxa"/>
            <w:vAlign w:val="bottom"/>
            <w:tcBorders>
              <w:bottom w:val="single" w:sz="8" w:color="C0C0C0"/>
            </w:tcBorders>
          </w:tcPr>
          <w:p>
            <w:pPr>
              <w:spacing w:after="0"/>
              <w:rPr>
                <w:sz w:val="24"/>
                <w:szCs w:val="24"/>
                <w:color w:val="auto"/>
              </w:rPr>
            </w:pPr>
          </w:p>
        </w:tc>
        <w:tc>
          <w:tcPr>
            <w:tcW w:w="2780" w:type="dxa"/>
            <w:vAlign w:val="bottom"/>
            <w:tcBorders>
              <w:bottom w:val="single" w:sz="8" w:color="C0C0C0"/>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lowerLetter"/>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upperLetter"/>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lowerLetter"/>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lvl w:ilvl="1">
      <w:lvlJc w:val="left"/>
      <w:lvlText w:val="%2."/>
      <w:numFmt w:val="lowerLetter"/>
      <w:start w:val="1"/>
    </w:lvl>
  </w:abstractNum>
  <w:abstractNum w:abstractNumId="13">
    <w:nsid w:val="2D1D5AE9"/>
    <w:multiLevelType w:val="hybridMultilevel"/>
    <w:lvl w:ilvl="0">
      <w:lvlJc w:val="left"/>
      <w:lvlText w:val="%1"/>
      <w:numFmt w:val="decimal"/>
      <w:start w:val="1"/>
    </w:lvl>
    <w:lvl w:ilvl="1">
      <w:lvlJc w:val="left"/>
      <w:lvlText w:val="%2."/>
      <w:numFmt w:val="lowerLetter"/>
      <w:start w:val="2"/>
    </w:lvl>
  </w:abstractNum>
  <w:abstractNum w:abstractNumId="14">
    <w:nsid w:val="6763845E"/>
    <w:multiLevelType w:val="hybridMultilevel"/>
    <w:lvl w:ilvl="0">
      <w:lvlJc w:val="left"/>
      <w:lvlText w:val="%1."/>
      <w:numFmt w:val="decimal"/>
      <w:start w:val="3"/>
    </w:lvl>
    <w:lvl w:ilvl="1">
      <w:lvlJc w:val="left"/>
      <w:lvlText w:val="%2"/>
      <w:numFmt w:val="lowerLetter"/>
      <w:start w:val="1"/>
    </w:lvl>
  </w:abstractNum>
  <w:abstractNum w:abstractNumId="15">
    <w:nsid w:val="75A2A8D4"/>
    <w:multiLevelType w:val="hybridMultilevel"/>
    <w:lvl w:ilvl="0">
      <w:lvlJc w:val="left"/>
      <w:lvlText w:val="%1."/>
      <w:numFmt w:val="decimal"/>
      <w:start w:val="6"/>
    </w:lvl>
  </w:abstractNum>
  <w:abstractNum w:abstractNumId="16">
    <w:nsid w:val="8EDBDAB"/>
    <w:multiLevelType w:val="hybridMultilevel"/>
    <w:lvl w:ilvl="0">
      <w:lvlJc w:val="left"/>
      <w:lvlText w:val="%1."/>
      <w:numFmt w:val="decimal"/>
      <w:start w:val="9"/>
    </w:lvl>
    <w:lvl w:ilvl="1">
      <w:lvlJc w:val="left"/>
      <w:lvlText w:val="%2."/>
      <w:numFmt w:val="lowerLetter"/>
      <w:start w:val="1"/>
    </w:lvl>
  </w:abstractNum>
  <w:abstractNum w:abstractNumId="17">
    <w:nsid w:val="79838CB2"/>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18">
    <w:nsid w:val="4353D0CD"/>
    <w:multiLevelType w:val="hybridMultilevel"/>
    <w:lvl w:ilvl="0">
      <w:lvlJc w:val="left"/>
      <w:lvlText w:val="(%1)"/>
      <w:numFmt w:val="lowerRoman"/>
      <w:start w:val="2"/>
    </w:lvl>
  </w:abstractNum>
  <w:abstractNum w:abstractNumId="19">
    <w:nsid w:val="B03E0C6"/>
    <w:multiLevelType w:val="hybridMultilevel"/>
    <w:lvl w:ilvl="0">
      <w:lvlJc w:val="left"/>
      <w:lvlText w:val="%1."/>
      <w:numFmt w:val="decimal"/>
      <w:start w:val="2"/>
    </w:lvl>
  </w:abstractNum>
  <w:abstractNum w:abstractNumId="20">
    <w:nsid w:val="189A769B"/>
    <w:multiLevelType w:val="hybridMultilevel"/>
    <w:lvl w:ilvl="0">
      <w:lvlJc w:val="left"/>
      <w:lvlText w:val="%1."/>
      <w:numFmt w:val="decimal"/>
      <w:start w:val="14"/>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decimal"/>
      <w:start w:val="1"/>
    </w:lvl>
    <w:lvl w:ilvl="1">
      <w:lvlJc w:val="left"/>
      <w:lvlText w:val="%2."/>
      <w:numFmt w:val="lowerLetter"/>
      <w:start w:val="2"/>
    </w:lvl>
  </w:abstractNum>
  <w:abstractNum w:abstractNumId="23">
    <w:nsid w:val="2CA88611"/>
    <w:multiLevelType w:val="hybridMultilevel"/>
    <w:lvl w:ilvl="0">
      <w:lvlJc w:val="left"/>
      <w:lvlText w:val="%1."/>
      <w:numFmt w:val="decimal"/>
      <w:start w:val="19"/>
    </w:lvl>
    <w:lvl w:ilvl="1">
      <w:lvlJc w:val="left"/>
      <w:lvlText w:val="%2."/>
      <w:numFmt w:val="lowerLetter"/>
      <w:start w:val="1"/>
    </w:lvl>
  </w:abstractNum>
  <w:abstractNum w:abstractNumId="24">
    <w:nsid w:val="836C40E"/>
    <w:multiLevelType w:val="hybridMultilevel"/>
    <w:lvl w:ilvl="0">
      <w:lvlJc w:val="left"/>
      <w:lvlText w:val="%1"/>
      <w:numFmt w:val="decimal"/>
      <w:start w:val="1"/>
    </w:lvl>
    <w:lvl w:ilvl="1">
      <w:lvlJc w:val="left"/>
      <w:lvlText w:val="%2."/>
      <w:numFmt w:val="lowerLetter"/>
      <w:start w:val="3"/>
    </w:lvl>
  </w:abstractNum>
  <w:abstractNum w:abstractNumId="25">
    <w:nsid w:val="2901D82"/>
    <w:multiLevelType w:val="hybridMultilevel"/>
    <w:lvl w:ilvl="0">
      <w:lvlJc w:val="left"/>
      <w:lvlText w:val="%1."/>
      <w:numFmt w:val="decimal"/>
      <w:start w:val="20"/>
    </w:lvl>
    <w:lvl w:ilvl="1">
      <w:lvlJc w:val="left"/>
      <w:lvlText w:val="%2"/>
      <w:numFmt w:val="lowerLetter"/>
      <w:start w:val="1"/>
    </w:lvl>
  </w:abstractNum>
  <w:abstractNum w:abstractNumId="26">
    <w:nsid w:val="3A95F874"/>
    <w:multiLevelType w:val="hybridMultilevel"/>
    <w:lvl w:ilvl="0">
      <w:lvlJc w:val="left"/>
      <w:lvlText w:val="%1."/>
      <w:numFmt w:val="decimal"/>
      <w:start w:val="22"/>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2020-01-16T23:28:42Z</dcterms:created>
  <dcterms:modified xsi:type="dcterms:W3CDTF">2020-01-16T23:28:42Z</dcterms:modified>
</cp:coreProperties>
</file>