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60"/>
        <w:spacing w:after="0"/>
        <w:rPr>
          <w:sz w:val="20"/>
          <w:szCs w:val="20"/>
          <w:color w:val="auto"/>
        </w:rPr>
      </w:pPr>
      <w:r>
        <w:rPr>
          <w:rFonts w:ascii="Arial" w:cs="Arial" w:eastAsia="Arial" w:hAnsi="Arial"/>
          <w:sz w:val="14"/>
          <w:szCs w:val="14"/>
          <w:color w:val="auto"/>
        </w:rPr>
        <w:t>UNITED STATES</w:t>
      </w:r>
    </w:p>
    <w:p>
      <w:pPr>
        <w:spacing w:after="0" w:line="29"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SECURITIES AND EXCHANGE COMMISSION</w:t>
      </w:r>
    </w:p>
    <w:p>
      <w:pPr>
        <w:spacing w:after="0" w:line="15" w:lineRule="exact"/>
        <w:rPr>
          <w:sz w:val="24"/>
          <w:szCs w:val="24"/>
          <w:color w:val="auto"/>
        </w:rPr>
      </w:pPr>
    </w:p>
    <w:p>
      <w:pPr>
        <w:ind w:left="4840"/>
        <w:spacing w:after="0"/>
        <w:rPr>
          <w:sz w:val="20"/>
          <w:szCs w:val="20"/>
          <w:color w:val="auto"/>
        </w:rPr>
      </w:pPr>
      <w:r>
        <w:rPr>
          <w:rFonts w:ascii="Arial" w:cs="Arial" w:eastAsia="Arial" w:hAnsi="Arial"/>
          <w:sz w:val="14"/>
          <w:szCs w:val="14"/>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10-Q</w:t>
      </w:r>
    </w:p>
    <w:p>
      <w:pPr>
        <w:spacing w:after="0" w:line="15" w:lineRule="exact"/>
        <w:rPr>
          <w:sz w:val="24"/>
          <w:szCs w:val="24"/>
          <w:color w:val="auto"/>
        </w:rPr>
      </w:pPr>
    </w:p>
    <w:p>
      <w:pPr>
        <w:ind w:left="4900"/>
        <w:spacing w:after="0"/>
        <w:rPr>
          <w:sz w:val="20"/>
          <w:szCs w:val="20"/>
          <w:color w:val="auto"/>
        </w:rPr>
      </w:pPr>
      <w:r>
        <w:rPr>
          <w:rFonts w:ascii="Arial" w:cs="Arial" w:eastAsia="Arial" w:hAnsi="Arial"/>
          <w:sz w:val="14"/>
          <w:szCs w:val="14"/>
          <w:color w:val="auto"/>
        </w:rPr>
        <w:t>__________________</w:t>
      </w:r>
    </w:p>
    <w:p>
      <w:pPr>
        <w:spacing w:after="0" w:line="11" w:lineRule="exact"/>
        <w:rPr>
          <w:sz w:val="24"/>
          <w:szCs w:val="24"/>
          <w:color w:val="auto"/>
        </w:rPr>
      </w:pPr>
    </w:p>
    <w:p>
      <w:pPr>
        <w:ind w:left="3680" w:hanging="185"/>
        <w:spacing w:after="0"/>
        <w:tabs>
          <w:tab w:leader="none" w:pos="36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w:t>
      </w:r>
    </w:p>
    <w:p>
      <w:pPr>
        <w:spacing w:after="0" w:line="17" w:lineRule="exact"/>
        <w:rPr>
          <w:rFonts w:ascii="MS PGothic" w:cs="MS PGothic" w:eastAsia="MS PGothic" w:hAnsi="MS PGothic"/>
          <w:sz w:val="14"/>
          <w:szCs w:val="14"/>
          <w:color w:val="auto"/>
        </w:rPr>
      </w:pPr>
    </w:p>
    <w:p>
      <w:pPr>
        <w:jc w:val="center"/>
        <w:ind w:left="4140" w:right="4020" w:hanging="115"/>
        <w:spacing w:after="0" w:line="271" w:lineRule="auto"/>
        <w:rPr>
          <w:rFonts w:ascii="MS PGothic" w:cs="MS PGothic" w:eastAsia="MS PGothic" w:hAnsi="MS PGothic"/>
          <w:sz w:val="14"/>
          <w:szCs w:val="14"/>
          <w:color w:val="auto"/>
        </w:rPr>
      </w:pPr>
      <w:r>
        <w:rPr>
          <w:rFonts w:ascii="Arial" w:cs="Arial" w:eastAsia="Arial" w:hAnsi="Arial"/>
          <w:sz w:val="14"/>
          <w:szCs w:val="14"/>
          <w:color w:val="auto"/>
        </w:rPr>
        <w:t xml:space="preserve">OF THE SECURITIES EXCHANGE ACT OF 1934 For the quarterly period ended </w:t>
      </w:r>
      <w:r>
        <w:rPr>
          <w:rFonts w:ascii="Arial" w:cs="Arial" w:eastAsia="Arial" w:hAnsi="Arial"/>
          <w:sz w:val="14"/>
          <w:szCs w:val="14"/>
          <w:u w:val="single" w:color="auto"/>
          <w:color w:val="auto"/>
        </w:rPr>
        <w:t>March 31, 2026</w:t>
      </w:r>
    </w:p>
    <w:p>
      <w:pPr>
        <w:jc w:val="center"/>
        <w:ind w:right="-19"/>
        <w:spacing w:after="0"/>
        <w:rPr>
          <w:sz w:val="20"/>
          <w:szCs w:val="20"/>
          <w:color w:val="auto"/>
        </w:rPr>
      </w:pPr>
      <w:r>
        <w:rPr>
          <w:rFonts w:ascii="Arial" w:cs="Arial" w:eastAsia="Arial" w:hAnsi="Arial"/>
          <w:sz w:val="14"/>
          <w:szCs w:val="14"/>
          <w:color w:val="auto"/>
        </w:rPr>
        <w:t>OR</w:t>
      </w:r>
    </w:p>
    <w:p>
      <w:pPr>
        <w:spacing w:after="0" w:line="25" w:lineRule="exact"/>
        <w:rPr>
          <w:sz w:val="24"/>
          <w:szCs w:val="24"/>
          <w:color w:val="auto"/>
        </w:rPr>
      </w:pPr>
    </w:p>
    <w:p>
      <w:pPr>
        <w:ind w:left="3660" w:hanging="167"/>
        <w:spacing w:after="0"/>
        <w:tabs>
          <w:tab w:leader="none" w:pos="3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w:t>
      </w:r>
    </w:p>
    <w:p>
      <w:pPr>
        <w:spacing w:after="0" w:line="17" w:lineRule="exact"/>
        <w:rPr>
          <w:rFonts w:ascii="MS PGothic" w:cs="MS PGothic" w:eastAsia="MS PGothic" w:hAnsi="MS PGothic"/>
          <w:sz w:val="14"/>
          <w:szCs w:val="14"/>
          <w:color w:val="auto"/>
        </w:rPr>
      </w:pPr>
    </w:p>
    <w:p>
      <w:pPr>
        <w:jc w:val="center"/>
        <w:ind w:left="4140" w:right="4020" w:hanging="119"/>
        <w:spacing w:after="0" w:line="241" w:lineRule="auto"/>
        <w:rPr>
          <w:rFonts w:ascii="MS PGothic" w:cs="MS PGothic" w:eastAsia="MS PGothic" w:hAnsi="MS PGothic"/>
          <w:sz w:val="14"/>
          <w:szCs w:val="14"/>
          <w:color w:val="auto"/>
        </w:rPr>
      </w:pPr>
      <w:r>
        <w:rPr>
          <w:rFonts w:ascii="Arial" w:cs="Arial" w:eastAsia="Arial" w:hAnsi="Arial"/>
          <w:sz w:val="14"/>
          <w:szCs w:val="14"/>
          <w:color w:val="auto"/>
        </w:rPr>
        <w:t>OF THE SECURITIES EXCHANGE ACT OF 1934 For the transition period from ______ to _____</w:t>
      </w:r>
    </w:p>
    <w:p>
      <w:pPr>
        <w:ind w:left="4600"/>
        <w:spacing w:after="0"/>
        <w:rPr>
          <w:rFonts w:ascii="MS PGothic" w:cs="MS PGothic" w:eastAsia="MS PGothic" w:hAnsi="MS PGothic"/>
          <w:sz w:val="14"/>
          <w:szCs w:val="14"/>
          <w:color w:val="auto"/>
        </w:rPr>
      </w:pPr>
      <w:r>
        <w:rPr>
          <w:rFonts w:ascii="Arial" w:cs="Arial" w:eastAsia="Arial" w:hAnsi="Arial"/>
          <w:sz w:val="14"/>
          <w:szCs w:val="14"/>
          <w:color w:val="auto"/>
        </w:rPr>
        <w:t xml:space="preserve">Commission file number </w:t>
      </w:r>
      <w:r>
        <w:rPr>
          <w:rFonts w:ascii="Arial" w:cs="Arial" w:eastAsia="Arial" w:hAnsi="Arial"/>
          <w:sz w:val="14"/>
          <w:szCs w:val="14"/>
          <w:u w:val="single" w:color="auto"/>
          <w:color w:val="auto"/>
        </w:rPr>
        <w:t>1-8974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6350</wp:posOffset>
            </wp:positionV>
            <wp:extent cx="1757045"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704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Honeywell International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1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2"/>
          </w:tcPr>
          <w:p>
            <w:pPr>
              <w:jc w:val="center"/>
              <w:ind w:left="648"/>
              <w:spacing w:after="0"/>
              <w:rPr>
                <w:sz w:val="20"/>
                <w:szCs w:val="20"/>
                <w:color w:val="auto"/>
              </w:rPr>
            </w:pPr>
            <w:r>
              <w:rPr>
                <w:rFonts w:ascii="Arial" w:cs="Arial" w:eastAsia="Arial" w:hAnsi="Arial"/>
                <w:sz w:val="14"/>
                <w:szCs w:val="14"/>
                <w:color w:val="auto"/>
              </w:rPr>
              <w:t>Delaware</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22-2640650</w:t>
            </w:r>
          </w:p>
        </w:tc>
        <w:tc>
          <w:tcPr>
            <w:tcW w:w="720" w:type="dxa"/>
            <w:vAlign w:val="bottom"/>
            <w:tcBorders>
              <w:bottom w:val="single" w:sz="8" w:color="auto"/>
            </w:tcBorders>
          </w:tcPr>
          <w:p>
            <w:pPr>
              <w:spacing w:after="0"/>
              <w:rPr>
                <w:sz w:val="16"/>
                <w:szCs w:val="16"/>
                <w:color w:val="auto"/>
              </w:rPr>
            </w:pPr>
          </w:p>
        </w:tc>
        <w:tc>
          <w:tcPr>
            <w:tcW w:w="1040" w:type="dxa"/>
            <w:vAlign w:val="bottom"/>
          </w:tcPr>
          <w:p>
            <w:pPr>
              <w:spacing w:after="0"/>
              <w:rPr>
                <w:sz w:val="16"/>
                <w:szCs w:val="16"/>
                <w:color w:val="auto"/>
              </w:rPr>
            </w:pPr>
          </w:p>
        </w:tc>
      </w:tr>
      <w:tr>
        <w:trPr>
          <w:trHeight w:val="150"/>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40" w:type="dxa"/>
            <w:vAlign w:val="bottom"/>
            <w:gridSpan w:val="2"/>
          </w:tcPr>
          <w:p>
            <w:pPr>
              <w:jc w:val="center"/>
              <w:ind w:left="648"/>
              <w:spacing w:after="0" w:line="151" w:lineRule="exact"/>
              <w:rPr>
                <w:sz w:val="20"/>
                <w:szCs w:val="20"/>
                <w:color w:val="auto"/>
              </w:rPr>
            </w:pPr>
            <w:r>
              <w:rPr>
                <w:rFonts w:ascii="Arial" w:cs="Arial" w:eastAsia="Arial" w:hAnsi="Arial"/>
                <w:sz w:val="14"/>
                <w:szCs w:val="14"/>
                <w:color w:val="auto"/>
              </w:rPr>
              <w:t>(State or other jurisdiction of</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40" w:type="dxa"/>
            <w:vAlign w:val="bottom"/>
            <w:gridSpan w:val="2"/>
          </w:tcPr>
          <w:p>
            <w:pPr>
              <w:jc w:val="center"/>
              <w:ind w:right="160"/>
              <w:spacing w:after="0" w:line="151" w:lineRule="exact"/>
              <w:rPr>
                <w:sz w:val="20"/>
                <w:szCs w:val="20"/>
                <w:color w:val="auto"/>
              </w:rPr>
            </w:pPr>
            <w:r>
              <w:rPr>
                <w:rFonts w:ascii="Arial" w:cs="Arial" w:eastAsia="Arial" w:hAnsi="Arial"/>
                <w:sz w:val="14"/>
                <w:szCs w:val="14"/>
                <w:color w:val="auto"/>
              </w:rPr>
              <w:t>(I.R.S. Employer</w:t>
            </w:r>
          </w:p>
        </w:tc>
        <w:tc>
          <w:tcPr>
            <w:tcW w:w="1040" w:type="dxa"/>
            <w:vAlign w:val="bottom"/>
          </w:tcPr>
          <w:p>
            <w:pPr>
              <w:spacing w:after="0"/>
              <w:rPr>
                <w:sz w:val="13"/>
                <w:szCs w:val="13"/>
                <w:color w:val="auto"/>
              </w:rPr>
            </w:pPr>
          </w:p>
        </w:tc>
      </w:tr>
      <w:tr>
        <w:trPr>
          <w:trHeight w:val="190"/>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incorporation or organization)</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Identification No.)</w:t>
            </w:r>
          </w:p>
        </w:tc>
        <w:tc>
          <w:tcPr>
            <w:tcW w:w="1040" w:type="dxa"/>
            <w:vAlign w:val="bottom"/>
          </w:tcPr>
          <w:p>
            <w:pPr>
              <w:spacing w:after="0"/>
              <w:rPr>
                <w:sz w:val="16"/>
                <w:szCs w:val="16"/>
                <w:color w:val="auto"/>
              </w:rPr>
            </w:pPr>
          </w:p>
        </w:tc>
      </w:tr>
      <w:tr>
        <w:trPr>
          <w:trHeight w:val="297"/>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855 South Mint Street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1"/>
        </w:trPr>
        <w:tc>
          <w:tcPr>
            <w:tcW w:w="12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color w:val="auto"/>
              </w:rPr>
              <w:t>Charlotte, North Carolina</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jc w:val="right"/>
              <w:ind w:right="1168"/>
              <w:spacing w:after="0"/>
              <w:rPr>
                <w:sz w:val="20"/>
                <w:szCs w:val="20"/>
                <w:color w:val="auto"/>
              </w:rPr>
            </w:pPr>
            <w:r>
              <w:rPr>
                <w:rFonts w:ascii="Arial" w:cs="Arial" w:eastAsia="Arial" w:hAnsi="Arial"/>
                <w:sz w:val="14"/>
                <w:szCs w:val="14"/>
                <w:color w:val="auto"/>
              </w:rPr>
              <w:t>28202</w:t>
            </w:r>
          </w:p>
        </w:tc>
        <w:tc>
          <w:tcPr>
            <w:tcW w:w="720" w:type="dxa"/>
            <w:vAlign w:val="bottom"/>
            <w:tcBorders>
              <w:bottom w:val="single" w:sz="8" w:color="auto"/>
            </w:tcBorders>
          </w:tcPr>
          <w:p>
            <w:pPr>
              <w:spacing w:after="0"/>
              <w:rPr>
                <w:sz w:val="22"/>
                <w:szCs w:val="22"/>
                <w:color w:val="auto"/>
              </w:rPr>
            </w:pPr>
          </w:p>
        </w:tc>
        <w:tc>
          <w:tcPr>
            <w:tcW w:w="1040" w:type="dxa"/>
            <w:vAlign w:val="bottom"/>
          </w:tcPr>
          <w:p>
            <w:pPr>
              <w:spacing w:after="0"/>
              <w:rPr>
                <w:sz w:val="22"/>
                <w:szCs w:val="22"/>
                <w:color w:val="auto"/>
              </w:rPr>
            </w:pPr>
          </w:p>
        </w:tc>
      </w:tr>
      <w:tr>
        <w:trPr>
          <w:trHeight w:val="192"/>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100" w:type="dxa"/>
            <w:vAlign w:val="bottom"/>
            <w:gridSpan w:val="6"/>
          </w:tcPr>
          <w:p>
            <w:pPr>
              <w:jc w:val="center"/>
              <w:ind w:right="720"/>
              <w:spacing w:after="0"/>
              <w:rPr>
                <w:sz w:val="20"/>
                <w:szCs w:val="20"/>
                <w:color w:val="auto"/>
              </w:rPr>
            </w:pPr>
            <w:r>
              <w:rPr>
                <w:rFonts w:ascii="Arial" w:cs="Arial" w:eastAsia="Arial" w:hAnsi="Arial"/>
                <w:sz w:val="14"/>
                <w:szCs w:val="14"/>
                <w:color w:val="auto"/>
              </w:rPr>
              <w:t>(Address of principal executive offices)</w:t>
            </w: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(Zip Code)</w:t>
            </w:r>
          </w:p>
        </w:tc>
        <w:tc>
          <w:tcPr>
            <w:tcW w:w="1040" w:type="dxa"/>
            <w:vAlign w:val="bottom"/>
          </w:tcPr>
          <w:p>
            <w:pPr>
              <w:spacing w:after="0"/>
              <w:rPr>
                <w:sz w:val="16"/>
                <w:szCs w:val="16"/>
                <w:color w:val="auto"/>
              </w:rPr>
            </w:pPr>
          </w:p>
        </w:tc>
      </w:tr>
      <w:tr>
        <w:trPr>
          <w:trHeight w:val="328"/>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(704) 627-6200</w:t>
            </w:r>
          </w:p>
        </w:tc>
        <w:tc>
          <w:tcPr>
            <w:tcW w:w="34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2"/>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40" w:type="dxa"/>
            <w:vAlign w:val="bottom"/>
            <w:gridSpan w:val="8"/>
          </w:tcPr>
          <w:p>
            <w:pPr>
              <w:ind w:left="2080"/>
              <w:spacing w:after="0"/>
              <w:rPr>
                <w:sz w:val="20"/>
                <w:szCs w:val="20"/>
                <w:color w:val="auto"/>
              </w:rPr>
            </w:pPr>
            <w:r>
              <w:rPr>
                <w:rFonts w:ascii="Arial" w:cs="Arial" w:eastAsia="Arial" w:hAnsi="Arial"/>
                <w:sz w:val="14"/>
                <w:szCs w:val="14"/>
                <w:color w:val="auto"/>
              </w:rPr>
              <w:t>(Registrant’s telephone number, including area code)</w:t>
            </w:r>
          </w:p>
        </w:tc>
        <w:tc>
          <w:tcPr>
            <w:tcW w:w="1040" w:type="dxa"/>
            <w:vAlign w:val="bottom"/>
          </w:tcPr>
          <w:p>
            <w:pPr>
              <w:spacing w:after="0"/>
              <w:rPr>
                <w:sz w:val="16"/>
                <w:szCs w:val="16"/>
                <w:color w:val="auto"/>
              </w:rPr>
            </w:pPr>
          </w:p>
        </w:tc>
      </w:tr>
      <w:tr>
        <w:trPr>
          <w:trHeight w:val="283"/>
        </w:trPr>
        <w:tc>
          <w:tcPr>
            <w:tcW w:w="438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7"/>
        </w:trPr>
        <w:tc>
          <w:tcPr>
            <w:tcW w:w="12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2"/>
          </w:tcPr>
          <w:p>
            <w:pPr>
              <w:jc w:val="center"/>
              <w:ind w:right="1208"/>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17"/>
                <w:szCs w:val="17"/>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Trading Symbol(s)</w:t>
            </w:r>
          </w:p>
        </w:tc>
        <w:tc>
          <w:tcPr>
            <w:tcW w:w="100" w:type="dxa"/>
            <w:vAlign w:val="bottom"/>
          </w:tcPr>
          <w:p>
            <w:pPr>
              <w:spacing w:after="0"/>
              <w:rPr>
                <w:sz w:val="17"/>
                <w:szCs w:val="17"/>
                <w:color w:val="auto"/>
              </w:rPr>
            </w:pPr>
          </w:p>
        </w:tc>
        <w:tc>
          <w:tcPr>
            <w:tcW w:w="4140" w:type="dxa"/>
            <w:vAlign w:val="bottom"/>
            <w:tcBorders>
              <w:bottom w:val="single" w:sz="8" w:color="auto"/>
            </w:tcBorders>
            <w:gridSpan w:val="2"/>
          </w:tcPr>
          <w:p>
            <w:pPr>
              <w:jc w:val="center"/>
              <w:ind w:left="968"/>
              <w:spacing w:after="0"/>
              <w:rPr>
                <w:sz w:val="20"/>
                <w:szCs w:val="20"/>
                <w:color w:val="auto"/>
              </w:rPr>
            </w:pPr>
            <w:r>
              <w:rPr>
                <w:rFonts w:ascii="Arial" w:cs="Arial" w:eastAsia="Arial" w:hAnsi="Arial"/>
                <w:sz w:val="14"/>
                <w:szCs w:val="14"/>
                <w:color w:val="auto"/>
              </w:rPr>
              <w:t>Name of each exchange on which registered</w:t>
            </w:r>
          </w:p>
        </w:tc>
        <w:tc>
          <w:tcPr>
            <w:tcW w:w="1040" w:type="dxa"/>
            <w:vAlign w:val="bottom"/>
            <w:tcBorders>
              <w:bottom w:val="single" w:sz="8" w:color="auto"/>
            </w:tcBorders>
          </w:tcPr>
          <w:p>
            <w:pPr>
              <w:spacing w:after="0"/>
              <w:rPr>
                <w:sz w:val="17"/>
                <w:szCs w:val="17"/>
                <w:color w:val="auto"/>
              </w:rPr>
            </w:pPr>
          </w:p>
        </w:tc>
      </w:tr>
      <w:tr>
        <w:trPr>
          <w:trHeight w:val="192"/>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Common Stock, par value $1 per share</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6"/>
                <w:szCs w:val="16"/>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3.375% Senior Notes due 2030</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30</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0.750% Senior Notes due 2032</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32</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3.750% Senior Notes due 2032</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32A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4.125% Senior Notes due 2034</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34</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3.750% Senior Notes due 2036</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36</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bl>
    <w:p>
      <w:pPr>
        <w:spacing w:after="0" w:line="147" w:lineRule="exact"/>
        <w:rPr>
          <w:sz w:val="24"/>
          <w:szCs w:val="24"/>
          <w:color w:val="auto"/>
        </w:rPr>
      </w:pPr>
    </w:p>
    <w:p>
      <w:pPr>
        <w:ind w:right="6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20" w:type="dxa"/>
            <w:vAlign w:val="bottom"/>
          </w:tcPr>
          <w:p>
            <w:pPr>
              <w:ind w:left="460"/>
              <w:spacing w:after="0"/>
              <w:rPr>
                <w:sz w:val="20"/>
                <w:szCs w:val="20"/>
                <w:color w:val="auto"/>
              </w:rPr>
            </w:pPr>
            <w:r>
              <w:rPr>
                <w:rFonts w:ascii="Wingdings" w:cs="Wingdings" w:eastAsia="Wingdings" w:hAnsi="Wingdings"/>
                <w:sz w:val="14"/>
                <w:szCs w:val="14"/>
                <w:b w:val="1"/>
                <w:bCs w:val="1"/>
                <w:color w:val="auto"/>
              </w:rPr>
              <w:t>x</w:t>
            </w:r>
          </w:p>
        </w:tc>
        <w:tc>
          <w:tcPr>
            <w:tcW w:w="3640" w:type="dxa"/>
            <w:vAlign w:val="bottom"/>
          </w:tcPr>
          <w:p>
            <w:pPr>
              <w:ind w:left="142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20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ind w:left="142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40" w:type="dxa"/>
            <w:vAlign w:val="bottom"/>
          </w:tcPr>
          <w:p>
            <w:pPr>
              <w:ind w:left="142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1"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2" w:lineRule="exact"/>
        <w:rPr>
          <w:sz w:val="24"/>
          <w:szCs w:val="24"/>
          <w:color w:val="auto"/>
        </w:rPr>
      </w:pPr>
    </w:p>
    <w:p>
      <w:pPr>
        <w:ind w:right="310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There were 633,653,119 shares of Common Stock outstanding at March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1" w:name="page2"/>
    <w:bookmarkEnd w:id="1"/>
    <w:p>
      <w:pPr>
        <w:spacing w:after="0"/>
        <w:rPr>
          <w:sz w:val="20"/>
          <w:szCs w:val="20"/>
          <w:color w:val="auto"/>
        </w:rPr>
      </w:pPr>
      <w:r>
        <w:rPr>
          <w:rFonts w:ascii="Arial" w:cs="Arial" w:eastAsia="Arial" w:hAnsi="Arial"/>
          <w:sz w:val="36"/>
          <w:szCs w:val="36"/>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760" w:type="dxa"/>
            <w:vAlign w:val="bottom"/>
            <w:tcBorders>
              <w:top w:val="single" w:sz="8" w:color="61656A"/>
              <w:bottom w:val="single" w:sz="8" w:color="61656A"/>
            </w:tcBorders>
          </w:tcPr>
          <w:p>
            <w:pPr>
              <w:spacing w:after="0"/>
              <w:rPr>
                <w:sz w:val="19"/>
                <w:szCs w:val="19"/>
                <w:color w:val="auto"/>
              </w:rPr>
            </w:pPr>
          </w:p>
        </w:tc>
        <w:tc>
          <w:tcPr>
            <w:tcW w:w="9220" w:type="dxa"/>
            <w:vAlign w:val="bottom"/>
            <w:tcBorders>
              <w:top w:val="single" w:sz="8" w:color="61656A"/>
              <w:bottom w:val="single" w:sz="8" w:color="61656A"/>
            </w:tcBorders>
          </w:tcPr>
          <w:p>
            <w:pPr>
              <w:ind w:left="120"/>
              <w:spacing w:after="0"/>
              <w:rPr>
                <w:sz w:val="20"/>
                <w:szCs w:val="20"/>
                <w:color w:val="auto"/>
              </w:rPr>
            </w:pPr>
            <w:r>
              <w:rPr>
                <w:rFonts w:ascii="Arial" w:cs="Arial" w:eastAsia="Arial" w:hAnsi="Arial"/>
                <w:sz w:val="16"/>
                <w:szCs w:val="16"/>
                <w:color w:val="auto"/>
              </w:rPr>
              <w:t>Cautionary Statement about Forward-Looking Statements</w:t>
            </w:r>
          </w:p>
        </w:tc>
        <w:tc>
          <w:tcPr>
            <w:tcW w:w="120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D7282F"/>
            </w:tcBorders>
          </w:tcPr>
          <w:p>
            <w:pPr>
              <w:spacing w:after="0"/>
              <w:rPr>
                <w:sz w:val="18"/>
                <w:szCs w:val="18"/>
                <w:color w:val="auto"/>
              </w:rPr>
            </w:pPr>
          </w:p>
        </w:tc>
        <w:tc>
          <w:tcPr>
            <w:tcW w:w="9220" w:type="dxa"/>
            <w:vAlign w:val="bottom"/>
            <w:tcBorders>
              <w:bottom w:val="single" w:sz="8" w:color="D7282F"/>
            </w:tcBorders>
          </w:tcPr>
          <w:p>
            <w:pPr>
              <w:ind w:left="120"/>
              <w:spacing w:after="0"/>
              <w:rPr>
                <w:sz w:val="20"/>
                <w:szCs w:val="20"/>
                <w:color w:val="auto"/>
              </w:rPr>
            </w:pPr>
            <w:r>
              <w:rPr>
                <w:rFonts w:ascii="Arial" w:cs="Arial" w:eastAsia="Arial" w:hAnsi="Arial"/>
                <w:sz w:val="16"/>
                <w:szCs w:val="16"/>
                <w:color w:val="auto"/>
              </w:rPr>
              <w:t>About Honeywell</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6"/>
                <w:szCs w:val="16"/>
                <w:b w:val="1"/>
                <w:bCs w:val="1"/>
                <w:color w:val="D7282F"/>
              </w:rPr>
              <w:t>2</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D7282F"/>
            </w:tcBorders>
          </w:tcPr>
          <w:p>
            <w:pPr>
              <w:spacing w:after="0"/>
              <w:rPr>
                <w:sz w:val="20"/>
                <w:szCs w:val="20"/>
                <w:color w:val="auto"/>
              </w:rPr>
            </w:pPr>
            <w:r>
              <w:rPr>
                <w:rFonts w:ascii="Arial" w:cs="Arial" w:eastAsia="Arial" w:hAnsi="Arial"/>
                <w:sz w:val="16"/>
                <w:szCs w:val="16"/>
                <w:b w:val="1"/>
                <w:bCs w:val="1"/>
                <w:color w:val="D7282F"/>
              </w:rPr>
              <w:t>PART I</w:t>
            </w:r>
          </w:p>
        </w:tc>
        <w:tc>
          <w:tcPr>
            <w:tcW w:w="9220" w:type="dxa"/>
            <w:vAlign w:val="bottom"/>
            <w:tcBorders>
              <w:bottom w:val="single" w:sz="8" w:color="D7282F"/>
            </w:tcBorders>
          </w:tcPr>
          <w:p>
            <w:pPr>
              <w:ind w:left="120"/>
              <w:spacing w:after="0"/>
              <w:rPr>
                <w:sz w:val="20"/>
                <w:szCs w:val="20"/>
                <w:color w:val="auto"/>
              </w:rPr>
            </w:pPr>
            <w:r>
              <w:rPr>
                <w:rFonts w:ascii="Arial" w:cs="Arial" w:eastAsia="Arial" w:hAnsi="Arial"/>
                <w:sz w:val="16"/>
                <w:szCs w:val="16"/>
                <w:b w:val="1"/>
                <w:bCs w:val="1"/>
                <w:color w:val="D7282F"/>
              </w:rPr>
              <w:t>Financial Information</w:t>
            </w:r>
          </w:p>
        </w:tc>
        <w:tc>
          <w:tcPr>
            <w:tcW w:w="1200" w:type="dxa"/>
            <w:vAlign w:val="bottom"/>
            <w:tcBorders>
              <w:bottom w:val="single" w:sz="8" w:color="D7282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1</w:t>
            </w: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Financial Statements and Supplementary Data (unaudited):</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Operations (unaudited) – Three Months Ended March 31, 2026 and 2025</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Comprehensive Income (unaudited) – Three Months Ended March 31, 2026 and 2025</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Balance Sheet (unaudited) – March 31, 2026 and December 31, 2025</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Cash Flows (unaudited) – Three Months Ended March 31, 2026 and 2025</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6</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Shareowners' Equity (unaudited) – Three Months Ended March 31, 2026 and 2025</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8</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 – Basis of Presentation</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9</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2 – Summary of Significant Accounting Policies</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9</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3 – Acquisitions, Divestitures, and Discontinued Operations</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10</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4 – Revenue Recognition and Contracts with Customers</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13</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5 – Repositioning and Other Charges</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16</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6 – Income Taxes</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17</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7 – Inventories</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17</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8 – Goodwill and Other Intangible Assets—Net</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18</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9 – Debt and Credit Agreements</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18</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10 – Leases</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22</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11 – Derivative Instruments and Hedging Transactions</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23</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12 – Fair Value Measurements</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25</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13 – Earnings Per Share</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26</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14 – Accumulated Other Comprehensive Loss</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27</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15 – Commitments and Contingencies</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27</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16 – Pension Benefits</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29</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17 – Other (Income) Expense</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30</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18 – Segment Financial Data</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30</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2</w:t>
            </w: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33</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3</w:t>
            </w: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Quantitative and Qualitative Disclosures about Market Risks</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51</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D7282F"/>
            </w:tcBorders>
          </w:tcPr>
          <w:p>
            <w:pPr>
              <w:spacing w:after="0"/>
              <w:rPr>
                <w:sz w:val="20"/>
                <w:szCs w:val="20"/>
                <w:color w:val="auto"/>
              </w:rPr>
            </w:pPr>
            <w:r>
              <w:rPr>
                <w:rFonts w:ascii="Arial" w:cs="Arial" w:eastAsia="Arial" w:hAnsi="Arial"/>
                <w:sz w:val="16"/>
                <w:szCs w:val="16"/>
                <w:b w:val="1"/>
                <w:bCs w:val="1"/>
                <w:color w:val="auto"/>
              </w:rPr>
              <w:t>ITEM 4</w:t>
            </w:r>
          </w:p>
        </w:tc>
        <w:tc>
          <w:tcPr>
            <w:tcW w:w="9220" w:type="dxa"/>
            <w:vAlign w:val="bottom"/>
            <w:tcBorders>
              <w:bottom w:val="single" w:sz="8" w:color="D7282F"/>
            </w:tcBorders>
          </w:tcPr>
          <w:p>
            <w:pPr>
              <w:ind w:left="120"/>
              <w:spacing w:after="0"/>
              <w:rPr>
                <w:sz w:val="20"/>
                <w:szCs w:val="20"/>
                <w:color w:val="auto"/>
              </w:rPr>
            </w:pPr>
            <w:r>
              <w:rPr>
                <w:rFonts w:ascii="Arial" w:cs="Arial" w:eastAsia="Arial" w:hAnsi="Arial"/>
                <w:sz w:val="16"/>
                <w:szCs w:val="16"/>
                <w:color w:val="auto"/>
              </w:rPr>
              <w:t>Controls and Procedures</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6"/>
                <w:szCs w:val="16"/>
                <w:b w:val="1"/>
                <w:bCs w:val="1"/>
                <w:color w:val="D7282F"/>
              </w:rPr>
              <w:t>52</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D7282F"/>
            </w:tcBorders>
          </w:tcPr>
          <w:p>
            <w:pPr>
              <w:spacing w:after="0"/>
              <w:rPr>
                <w:sz w:val="20"/>
                <w:szCs w:val="20"/>
                <w:color w:val="auto"/>
              </w:rPr>
            </w:pPr>
            <w:r>
              <w:rPr>
                <w:rFonts w:ascii="Arial" w:cs="Arial" w:eastAsia="Arial" w:hAnsi="Arial"/>
                <w:sz w:val="16"/>
                <w:szCs w:val="16"/>
                <w:b w:val="1"/>
                <w:bCs w:val="1"/>
                <w:color w:val="D7282F"/>
              </w:rPr>
              <w:t>PART II</w:t>
            </w:r>
          </w:p>
        </w:tc>
        <w:tc>
          <w:tcPr>
            <w:tcW w:w="9220" w:type="dxa"/>
            <w:vAlign w:val="bottom"/>
            <w:tcBorders>
              <w:bottom w:val="single" w:sz="8" w:color="D7282F"/>
            </w:tcBorders>
          </w:tcPr>
          <w:p>
            <w:pPr>
              <w:ind w:left="120"/>
              <w:spacing w:after="0"/>
              <w:rPr>
                <w:sz w:val="20"/>
                <w:szCs w:val="20"/>
                <w:color w:val="auto"/>
              </w:rPr>
            </w:pPr>
            <w:r>
              <w:rPr>
                <w:rFonts w:ascii="Arial" w:cs="Arial" w:eastAsia="Arial" w:hAnsi="Arial"/>
                <w:sz w:val="16"/>
                <w:szCs w:val="16"/>
                <w:b w:val="1"/>
                <w:bCs w:val="1"/>
                <w:color w:val="D7282F"/>
              </w:rPr>
              <w:t>Other Information</w:t>
            </w:r>
          </w:p>
        </w:tc>
        <w:tc>
          <w:tcPr>
            <w:tcW w:w="1200" w:type="dxa"/>
            <w:vAlign w:val="bottom"/>
            <w:tcBorders>
              <w:bottom w:val="single" w:sz="8" w:color="D7282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1</w:t>
            </w: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Legal Proceedings</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53</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1A</w:t>
            </w: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Risk Factors</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53</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2</w:t>
            </w: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Unregistered Sales of Equity Securities and Use of Proceeds</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4</w:t>
            </w: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Mine Safety Disclosures</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54</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5</w:t>
            </w: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Other Information</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6</w:t>
            </w: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Exhibits</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55</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2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Signatures</w:t>
            </w:r>
          </w:p>
        </w:tc>
        <w:tc>
          <w:tcPr>
            <w:tcW w:w="120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56</w:t>
            </w:r>
          </w:p>
        </w:tc>
        <w:tc>
          <w:tcPr>
            <w:tcW w:w="20" w:type="dxa"/>
            <w:vAlign w:val="bottom"/>
          </w:tcPr>
          <w:p>
            <w:pPr>
              <w:spacing w:after="0"/>
              <w:rPr>
                <w:sz w:val="18"/>
                <w:szCs w:val="18"/>
                <w:color w:val="auto"/>
              </w:rPr>
            </w:pPr>
          </w:p>
        </w:tc>
      </w:tr>
      <w:tr>
        <w:trPr>
          <w:trHeight w:val="1256"/>
        </w:trPr>
        <w:tc>
          <w:tcPr>
            <w:tcW w:w="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60"/>
        <w:spacing w:after="0" w:line="297" w:lineRule="auto"/>
        <w:rPr>
          <w:sz w:val="20"/>
          <w:szCs w:val="20"/>
          <w:color w:val="auto"/>
        </w:rPr>
      </w:pPr>
      <w:r>
        <w:rPr>
          <w:rFonts w:ascii="Arial" w:cs="Arial" w:eastAsia="Arial" w:hAnsi="Arial"/>
          <w:sz w:val="36"/>
          <w:szCs w:val="36"/>
          <w:b w:val="1"/>
          <w:bCs w:val="1"/>
          <w:color w:val="auto"/>
        </w:rPr>
        <w:t>CAUTIONARY STATEMENT ABOUT FORWARD-LOOKING STATEMENTS</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We describe many of the trends and other factors that drive our business and future results in the section titled </w:t>
      </w:r>
      <w:r>
        <w:rPr>
          <w:rFonts w:ascii="Arial" w:cs="Arial" w:eastAsia="Arial" w:hAnsi="Arial"/>
          <w:sz w:val="16"/>
          <w:szCs w:val="16"/>
          <w:u w:val="single" w:color="auto"/>
          <w:color w:val="0000FF"/>
        </w:rPr>
        <w:t>Management’s Discussion and Analysis of</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Financial Condition and Results of Operations</w:t>
      </w:r>
      <w:r>
        <w:rPr>
          <w:rFonts w:ascii="Arial" w:cs="Arial" w:eastAsia="Arial" w:hAnsi="Arial"/>
          <w:sz w:val="16"/>
          <w:szCs w:val="16"/>
          <w:color w:val="0000FF"/>
        </w:rPr>
        <w:t xml:space="preserve"> </w:t>
      </w:r>
      <w:r>
        <w:rPr>
          <w:rFonts w:ascii="Arial" w:cs="Arial" w:eastAsia="Arial" w:hAnsi="Arial"/>
          <w:sz w:val="16"/>
          <w:szCs w:val="16"/>
          <w:color w:val="000000"/>
        </w:rPr>
        <w:t>and in other parts of this report (including</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Part II, Item 1A Risk Factors</w:t>
      </w:r>
      <w:r>
        <w:rPr>
          <w:rFonts w:ascii="Arial" w:cs="Arial" w:eastAsia="Arial" w:hAnsi="Arial"/>
          <w:sz w:val="16"/>
          <w:szCs w:val="16"/>
          <w:color w:val="000000"/>
        </w:rPr>
        <w:t xml:space="preserve">). Such discussions contain forward-looking statements within the meaning of Section 21E of the Securities Exchange Act of 1934, as amended (the Exchange Act), including statements related to the proposed separation of Honeywell from Honeywell Aerospace and the planned sales of the Productivity Solutions and Services and Warehouse and Workflow Solutions businesses. Forward-looking statements are those that address activities, events, or developments that we or our management intend, expect, project, believe, or anticipate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 including Honeywell's current expectations, estimates, and projections regarding the proposed separation of Honeywell from Honeywell Aerospace and the planned sales of the Productivity Solutions and Services and Warehouse and Workflow Solutions businesses. They are not guarantees of future performance, and actual results, developments, and business decisions may differ significantly from those envisaged by our forward-looking statements, including the proposed separation of Honeywell from Honeywell Aerospace and the planned sales of the Productivity Solutions and Services and Warehouse and Workflow Solutions businesses, and the anticipated benefits of each. We do not undertake to update or revise any of our forward-looking statements, except as required by applicable securities law. Our forward-looking statements are also subject to material risks and uncertainties, including ongoing macroeconomic and geopolitical risks, such as changes in or application of trade and tax laws and policies, including the impacts of tariffs and other trade barriers and restrictions, lower GDP growth or recession in the U.S. or globally, supply chain disruptions, capital markets volatility, inflation, and certain regional conflicts, including ongoing conflicts in the Middle East, which can affect our performance in both the near- and long-term. In addition, no assurance can be given that any plan, initiative, projection, goal, commitment, expectation, or prospect set forth in this Form 10-Q can or will be achieved. These forward-looking statements should be considered in light of the information included in this report and our other filings with the Securities and Exchange Commission (SEC), including, without limitation, the </w:t>
      </w:r>
      <w:r>
        <w:rPr>
          <w:rFonts w:ascii="Arial" w:cs="Arial" w:eastAsia="Arial" w:hAnsi="Arial"/>
          <w:sz w:val="16"/>
          <w:szCs w:val="16"/>
          <w:u w:val="single" w:color="auto"/>
          <w:color w:val="0000FF"/>
        </w:rPr>
        <w:t>Risk Factors</w:t>
      </w:r>
      <w:r>
        <w:rPr>
          <w:rFonts w:ascii="Arial" w:cs="Arial" w:eastAsia="Arial" w:hAnsi="Arial"/>
          <w:sz w:val="16"/>
          <w:szCs w:val="16"/>
          <w:color w:val="000000"/>
        </w:rPr>
        <w:t xml:space="preserve">, as well as the description of trends and other factors in </w:t>
      </w:r>
      <w:r>
        <w:rPr>
          <w:rFonts w:ascii="Arial" w:cs="Arial" w:eastAsia="Arial" w:hAnsi="Arial"/>
          <w:sz w:val="16"/>
          <w:szCs w:val="16"/>
          <w:u w:val="single" w:color="auto"/>
          <w:color w:val="0000FF"/>
        </w:rPr>
        <w:t>Management’s Discussion and Analysis of Financial Condition and Results of Operations</w:t>
      </w:r>
      <w:r>
        <w:rPr>
          <w:rFonts w:ascii="Arial" w:cs="Arial" w:eastAsia="Arial" w:hAnsi="Arial"/>
          <w:sz w:val="16"/>
          <w:szCs w:val="16"/>
          <w:color w:val="000000"/>
        </w:rPr>
        <w:t>, set forth in this report and our 2025 Annual Report on Form 10-K.</w:t>
      </w:r>
      <w:r>
        <w:rPr>
          <w:rFonts w:ascii="Arial" w:cs="Arial" w:eastAsia="Arial" w:hAnsi="Arial"/>
          <w:sz w:val="16"/>
          <w:szCs w:val="16"/>
          <w:color w:val="0000FF"/>
        </w:rPr>
        <w:t xml:space="preserve"> </w:t>
      </w:r>
      <w:r>
        <w:rPr>
          <w:rFonts w:ascii="Arial" w:cs="Arial" w:eastAsia="Arial" w:hAnsi="Arial"/>
          <w:sz w:val="16"/>
          <w:szCs w:val="16"/>
          <w:color w:val="000000"/>
        </w:rPr>
        <w:t>Any forward-looking plans described herein are not final and may be modified or abandoned at any time.</w:t>
      </w:r>
    </w:p>
    <w:p>
      <w:pPr>
        <w:spacing w:after="0" w:line="328"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ABOUT HONEYWELL</w:t>
      </w:r>
    </w:p>
    <w:p>
      <w:pPr>
        <w:spacing w:after="0" w:line="3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Honeywell International Inc. (Honeywell, we, us, our, or the Company) is an integrated operating company serving a broad range of industries and geographies around the world, with a portfolio that is underpinned by our Honeywell Accelerator operating system and Honeywell Forge platform. Our portfolio of solutions is uniquely positioned to blend physical products with software to serve customers worldwide. On February 6, 2025, we announced our plans to separate Honeywell from Honeywell Aerospace, into two independent U.S. public companies. Our Honeywell business will be a leading global, pure-play automation company, delivering productivity enhancing mission-critical solutions that enable optimized outcomes for customers. Our Honeywell Aerospace business will be a leading global tier-1 aerospace and defense supplier of mission critical systems and technologies that enable the production, maintenance, and safe operation of aerospace and defense platforms. Each of our businesses helps organizations solve the world's toughest, most complex challenges, providing actionable solutions and innovations for aerospace, building automation, industrial automation, process automation, and process technology, that help make the world smarter and safer, as well as more secure and sustainable. The Honeywell brand dates back to 1906, and the Company was incorporated in Delaware in 1985.</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Annual Report on Form 10-K, Quarterly Reports on Form 10-Q, Current Reports on Form 8-K, and any amendments to those reports, are available free of charge on our Investor Relations website (investor.honeywell.com) under the heading Financials (see SEC Filings) immediately after they are filed with, or furnished to, the SEC. Honeywell uses our Investor Relations website, along with press releases on our primary Honeywell website (honeywell.com) under the heading News &amp; Media, as a means of disclosing information which may be of interest or material to our investors and for complying with disclosure obligations under Regulation FD. Accordingly, investors should monitor our Investor Relations website and Honeywell News feed, in addition to following our press releases, SEC filings, public conference calls, webcasts, and social media. Information contained on or accessible through, including any reports available on, our website is not a part of, and is not incorporated by reference into, this Quarterly Report on Form 10-Q or any other report or document we file with the SEC. Any reference to our website in this Form 10-Q is intended to be an inactive textual reference only.</w:t>
      </w:r>
    </w:p>
    <w:p>
      <w:pPr>
        <w:spacing w:after="0" w:line="200" w:lineRule="exact"/>
        <w:rPr>
          <w:sz w:val="20"/>
          <w:szCs w:val="20"/>
          <w:color w:val="auto"/>
        </w:rPr>
      </w:pPr>
    </w:p>
    <w:p>
      <w:pPr>
        <w:spacing w:after="0" w:line="223"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 FINANCIAL INFORMATION</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financial statements and related notes as of March 31, 2026, should be read in conjunction with the financial statements for the year ended December 31, 2025, contained in the Company's 2025 Annual Report on Form 10-K.</w:t>
      </w:r>
    </w:p>
    <w:p>
      <w:pPr>
        <w:spacing w:after="0" w:line="29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FINANCIAL STATEMENTS AND SUPPLEMENTARY DATA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3"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6350</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8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2025</w:t>
            </w:r>
          </w:p>
        </w:tc>
      </w:tr>
      <w:tr>
        <w:trPr>
          <w:trHeight w:val="147"/>
        </w:trPr>
        <w:tc>
          <w:tcPr>
            <w:tcW w:w="9280" w:type="dxa"/>
            <w:vAlign w:val="bottom"/>
          </w:tcPr>
          <w:p>
            <w:pPr>
              <w:spacing w:after="0"/>
              <w:rPr>
                <w:sz w:val="12"/>
                <w:szCs w:val="12"/>
                <w:color w:val="auto"/>
              </w:rPr>
            </w:pPr>
          </w:p>
        </w:tc>
        <w:tc>
          <w:tcPr>
            <w:tcW w:w="1960" w:type="dxa"/>
            <w:vAlign w:val="bottom"/>
            <w:gridSpan w:val="4"/>
          </w:tcPr>
          <w:p>
            <w:pPr>
              <w:jc w:val="right"/>
              <w:spacing w:after="0" w:line="147" w:lineRule="exact"/>
              <w:rPr>
                <w:sz w:val="20"/>
                <w:szCs w:val="20"/>
                <w:color w:val="auto"/>
              </w:rPr>
            </w:pPr>
            <w:r>
              <w:rPr>
                <w:rFonts w:ascii="Arial" w:cs="Arial" w:eastAsia="Arial" w:hAnsi="Arial"/>
                <w:sz w:val="14"/>
                <w:szCs w:val="14"/>
                <w:b w:val="1"/>
                <w:bCs w:val="1"/>
                <w:color w:val="auto"/>
              </w:rPr>
              <w:t>(Dollars in millions, except</w:t>
            </w:r>
          </w:p>
        </w:tc>
      </w:tr>
      <w:tr>
        <w:trPr>
          <w:trHeight w:val="185"/>
        </w:trPr>
        <w:tc>
          <w:tcPr>
            <w:tcW w:w="928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780" w:type="dxa"/>
            <w:vAlign w:val="bottom"/>
            <w:tcBorders>
              <w:bottom w:val="single" w:sz="8" w:color="D7282F"/>
            </w:tcBorders>
            <w:gridSpan w:val="3"/>
          </w:tcPr>
          <w:p>
            <w:pPr>
              <w:jc w:val="right"/>
              <w:ind w:right="248"/>
              <w:spacing w:after="0"/>
              <w:rPr>
                <w:sz w:val="20"/>
                <w:szCs w:val="20"/>
                <w:color w:val="auto"/>
              </w:rPr>
            </w:pPr>
            <w:r>
              <w:rPr>
                <w:rFonts w:ascii="Arial" w:cs="Arial" w:eastAsia="Arial" w:hAnsi="Arial"/>
                <w:sz w:val="14"/>
                <w:szCs w:val="14"/>
                <w:b w:val="1"/>
                <w:bCs w:val="1"/>
                <w:color w:val="auto"/>
              </w:rPr>
              <w:t>per share amounts)</w:t>
            </w:r>
          </w:p>
        </w:tc>
      </w:tr>
      <w:tr>
        <w:trPr>
          <w:trHeight w:val="192"/>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 sales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5,867</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5,807</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 sales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3,276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3,118</w:t>
            </w:r>
          </w:p>
        </w:tc>
      </w:tr>
      <w:tr>
        <w:trPr>
          <w:trHeight w:val="199"/>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9,143</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8,925</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Costs, expenses and other</w:t>
            </w: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r>
      <w:tr>
        <w:trPr>
          <w:trHeight w:val="196"/>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Cost of products sold</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3,863</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3,723</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Cost of services sold</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1,741</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1,740</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Cost of products and services sold</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5,604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5,463</w:t>
            </w:r>
          </w:p>
        </w:tc>
      </w:tr>
      <w:tr>
        <w:trPr>
          <w:trHeight w:val="193"/>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Research and development expenses</w:t>
            </w: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492</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416</w:t>
            </w:r>
          </w:p>
        </w:tc>
      </w:tr>
      <w:tr>
        <w:trPr>
          <w:trHeight w:val="196"/>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1,310</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1,310</w:t>
            </w:r>
          </w:p>
        </w:tc>
      </w:tr>
      <w:tr>
        <w:trPr>
          <w:trHeight w:val="196"/>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Impairment of assets held for sale</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263</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r>
      <w:tr>
        <w:trPr>
          <w:trHeight w:val="196"/>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Loss on debt extinguishment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239</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(income) expense</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(229)</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Interest and other financial charges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356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285</w:t>
            </w:r>
          </w:p>
        </w:tc>
      </w:tr>
      <w:tr>
        <w:trPr>
          <w:trHeight w:val="199"/>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costs, expenses and other</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8,257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7,260</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Income from continuing operations before taxes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886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1,665</w:t>
            </w:r>
          </w:p>
        </w:tc>
      </w:tr>
      <w:tr>
        <w:trPr>
          <w:trHeight w:val="193"/>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Tax expense</w:t>
            </w: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91</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369</w:t>
            </w:r>
          </w:p>
        </w:tc>
      </w:tr>
      <w:tr>
        <w:trPr>
          <w:trHeight w:val="199"/>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 from continuing operations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795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1,296</w:t>
            </w:r>
          </w:p>
        </w:tc>
      </w:tr>
      <w:tr>
        <w:trPr>
          <w:trHeight w:val="193"/>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Net income from discontinued operations</w:t>
            </w: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171</w:t>
            </w:r>
          </w:p>
        </w:tc>
      </w:tr>
      <w:tr>
        <w:trPr>
          <w:trHeight w:val="199"/>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795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1,467</w:t>
            </w:r>
          </w:p>
        </w:tc>
      </w:tr>
      <w:tr>
        <w:trPr>
          <w:trHeight w:val="193"/>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Net (loss) income attributable to noncontrolling interest</w:t>
            </w: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(26)</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w:t>
            </w:r>
          </w:p>
        </w:tc>
      </w:tr>
      <w:tr>
        <w:trPr>
          <w:trHeight w:val="199"/>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 attributable to Honeywell</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821</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1,449</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stock—basic:</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r>
      <w:tr>
        <w:trPr>
          <w:trHeight w:val="193"/>
        </w:trPr>
        <w:tc>
          <w:tcPr>
            <w:tcW w:w="928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Earnings per share of common stock from continuing operations—basic</w:t>
            </w:r>
          </w:p>
        </w:tc>
        <w:tc>
          <w:tcPr>
            <w:tcW w:w="180" w:type="dxa"/>
            <w:vAlign w:val="bottom"/>
            <w:tcBorders>
              <w:bottom w:val="single" w:sz="8" w:color="B1B3B3"/>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B1B3B3"/>
            </w:tcBorders>
          </w:tcPr>
          <w:p>
            <w:pPr>
              <w:jc w:val="right"/>
              <w:ind w:right="108"/>
              <w:spacing w:after="0"/>
              <w:rPr>
                <w:sz w:val="20"/>
                <w:szCs w:val="20"/>
                <w:color w:val="auto"/>
              </w:rPr>
            </w:pPr>
            <w:r>
              <w:rPr>
                <w:rFonts w:ascii="Arial" w:cs="Arial" w:eastAsia="Arial" w:hAnsi="Arial"/>
                <w:sz w:val="14"/>
                <w:szCs w:val="14"/>
                <w:color w:val="auto"/>
              </w:rPr>
              <w:t>1.29</w:t>
            </w:r>
          </w:p>
        </w:tc>
        <w:tc>
          <w:tcPr>
            <w:tcW w:w="300" w:type="dxa"/>
            <w:vAlign w:val="bottom"/>
            <w:tcBorders>
              <w:bottom w:val="single" w:sz="8" w:color="B1B3B3"/>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1.99</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Earnings per share of common stock from discontinued operations—basic</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0.25</w:t>
            </w:r>
          </w:p>
        </w:tc>
      </w:tr>
      <w:tr>
        <w:trPr>
          <w:trHeight w:val="199"/>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earnings per share of common stock—basic</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2.24</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r>
      <w:tr>
        <w:trPr>
          <w:trHeight w:val="193"/>
        </w:trPr>
        <w:tc>
          <w:tcPr>
            <w:tcW w:w="928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Earnings per share of common stock from continuing operations—assuming dilution</w:t>
            </w:r>
          </w:p>
        </w:tc>
        <w:tc>
          <w:tcPr>
            <w:tcW w:w="180" w:type="dxa"/>
            <w:vAlign w:val="bottom"/>
            <w:tcBorders>
              <w:bottom w:val="single" w:sz="8" w:color="B1B3B3"/>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B1B3B3"/>
            </w:tcBorders>
          </w:tcPr>
          <w:p>
            <w:pPr>
              <w:jc w:val="right"/>
              <w:ind w:right="108"/>
              <w:spacing w:after="0"/>
              <w:rPr>
                <w:sz w:val="20"/>
                <w:szCs w:val="20"/>
                <w:color w:val="auto"/>
              </w:rPr>
            </w:pPr>
            <w:r>
              <w:rPr>
                <w:rFonts w:ascii="Arial" w:cs="Arial" w:eastAsia="Arial" w:hAnsi="Arial"/>
                <w:sz w:val="14"/>
                <w:szCs w:val="14"/>
                <w:color w:val="auto"/>
              </w:rPr>
              <w:t>1.29</w:t>
            </w:r>
          </w:p>
        </w:tc>
        <w:tc>
          <w:tcPr>
            <w:tcW w:w="300" w:type="dxa"/>
            <w:vAlign w:val="bottom"/>
            <w:tcBorders>
              <w:bottom w:val="single" w:sz="8" w:color="B1B3B3"/>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1.97</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Earnings per share of common stock from discontinued operations—assuming dilution</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0.25</w:t>
            </w:r>
          </w:p>
        </w:tc>
      </w:tr>
      <w:tr>
        <w:trPr>
          <w:trHeight w:val="199"/>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earnings per share of common stock—assuming dilution</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142"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COMPREHENSIVE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3"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6350</wp:posOffset>
            </wp:positionV>
            <wp:extent cx="1243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8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2025</w:t>
            </w:r>
          </w:p>
        </w:tc>
      </w:tr>
      <w:tr>
        <w:trPr>
          <w:trHeight w:val="196"/>
        </w:trPr>
        <w:tc>
          <w:tcPr>
            <w:tcW w:w="928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1780" w:type="dxa"/>
            <w:vAlign w:val="bottom"/>
            <w:tcBorders>
              <w:bottom w:val="single" w:sz="8" w:color="D7282F"/>
            </w:tcBorders>
            <w:gridSpan w:val="3"/>
          </w:tcPr>
          <w:p>
            <w:pPr>
              <w:jc w:val="right"/>
              <w:ind w:right="248"/>
              <w:spacing w:after="0"/>
              <w:rPr>
                <w:sz w:val="20"/>
                <w:szCs w:val="20"/>
                <w:color w:val="auto"/>
              </w:rPr>
            </w:pPr>
            <w:r>
              <w:rPr>
                <w:rFonts w:ascii="Arial" w:cs="Arial" w:eastAsia="Arial" w:hAnsi="Arial"/>
                <w:sz w:val="14"/>
                <w:szCs w:val="14"/>
                <w:b w:val="1"/>
                <w:bCs w:val="1"/>
                <w:color w:val="auto"/>
              </w:rPr>
              <w:t>(Dollars in millions)</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795</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1,467</w:t>
            </w:r>
          </w:p>
        </w:tc>
      </w:tr>
      <w:tr>
        <w:trPr>
          <w:trHeight w:val="196"/>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comprehensive income (loss), net of tax</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6"/>
        </w:trPr>
        <w:tc>
          <w:tcPr>
            <w:tcW w:w="928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Foreign exchange translation adjustment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(278)</w:t>
            </w:r>
          </w:p>
        </w:tc>
      </w:tr>
      <w:tr>
        <w:trPr>
          <w:trHeight w:val="196"/>
        </w:trPr>
        <w:tc>
          <w:tcPr>
            <w:tcW w:w="928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benefit adjustments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928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Changes in fair value of available for sale investments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28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Changes in fair value of cash flow hedges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40</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Other comprehensive income (loss), net of tax</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181</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(285)</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976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1,182</w:t>
            </w:r>
          </w:p>
        </w:tc>
      </w:tr>
      <w:tr>
        <w:trPr>
          <w:trHeight w:val="193"/>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Comprehensive (loss) income attributable to the noncontrolling interest</w:t>
            </w: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(18)</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w:t>
            </w:r>
          </w:p>
        </w:tc>
      </w:tr>
      <w:tr>
        <w:trPr>
          <w:trHeight w:val="199"/>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 attributable to Honeywell</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994</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1,152</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142"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March 31, 2026</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2025</w:t>
            </w:r>
          </w:p>
        </w:tc>
      </w:tr>
      <w:tr>
        <w:trPr>
          <w:trHeight w:val="196"/>
        </w:trPr>
        <w:tc>
          <w:tcPr>
            <w:tcW w:w="748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3540" w:type="dxa"/>
            <w:vAlign w:val="bottom"/>
            <w:tcBorders>
              <w:bottom w:val="single" w:sz="8" w:color="D7282F"/>
            </w:tcBorders>
            <w:gridSpan w:val="3"/>
          </w:tcPr>
          <w:p>
            <w:pPr>
              <w:jc w:val="right"/>
              <w:ind w:right="1148"/>
              <w:spacing w:after="0"/>
              <w:rPr>
                <w:sz w:val="20"/>
                <w:szCs w:val="20"/>
                <w:color w:val="auto"/>
              </w:rPr>
            </w:pPr>
            <w:r>
              <w:rPr>
                <w:rFonts w:ascii="Arial" w:cs="Arial" w:eastAsia="Arial" w:hAnsi="Arial"/>
                <w:sz w:val="14"/>
                <w:szCs w:val="14"/>
                <w:b w:val="1"/>
                <w:bCs w:val="1"/>
                <w:color w:val="auto"/>
              </w:rPr>
              <w:t>(Dollars in millions)</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assets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11,977</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12,487</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Short-term investments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413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443</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receivable, less allowances of $165 and $202, respectively</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8,062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7,621</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Inventories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6,369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6,162</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Assets held for sale</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2,377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2,492</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1,392</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1,182</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assets</w:t>
            </w:r>
          </w:p>
        </w:tc>
        <w:tc>
          <w:tcPr>
            <w:tcW w:w="2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30,590</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30,387</w:t>
            </w: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Investments and long-term receivables</w:t>
            </w:r>
          </w:p>
        </w:tc>
        <w:tc>
          <w:tcPr>
            <w:tcW w:w="220" w:type="dxa"/>
            <w:vAlign w:val="bottom"/>
            <w:tcBorders>
              <w:bottom w:val="single" w:sz="8" w:color="61656A"/>
            </w:tcBorders>
          </w:tcPr>
          <w:p>
            <w:pPr>
              <w:spacing w:after="0"/>
              <w:rPr>
                <w:sz w:val="16"/>
                <w:szCs w:val="16"/>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1,414</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1,404</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Property, plant and equipment—net</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4,664</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4,629</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21,079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21,079</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intangible assets—net</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6,562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6,736</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199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199</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9,480</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9,247</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73,988</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73,681</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payable</w:t>
            </w:r>
          </w:p>
        </w:tc>
        <w:tc>
          <w:tcPr>
            <w:tcW w:w="2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6,026</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6,315</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paper and other short-term borrowings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4,630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5,893</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Current maturities of long-term debt</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3,099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1,546</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7,112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8,462</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Liabilities held for sale</w:t>
            </w:r>
          </w:p>
        </w:tc>
        <w:tc>
          <w:tcPr>
            <w:tcW w:w="2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1,218</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1,198</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liabilities</w:t>
            </w:r>
          </w:p>
        </w:tc>
        <w:tc>
          <w:tcPr>
            <w:tcW w:w="2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22,085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23,414</w:t>
            </w: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Long-term debt</w:t>
            </w:r>
          </w:p>
        </w:tc>
        <w:tc>
          <w:tcPr>
            <w:tcW w:w="220" w:type="dxa"/>
            <w:vAlign w:val="bottom"/>
            <w:tcBorders>
              <w:bottom w:val="single" w:sz="8" w:color="61656A"/>
            </w:tcBorders>
          </w:tcPr>
          <w:p>
            <w:pPr>
              <w:spacing w:after="0"/>
              <w:rPr>
                <w:sz w:val="16"/>
                <w:szCs w:val="16"/>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29,010</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27,141</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1,581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1,577</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Postretirement benefit obligations other than pensions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108</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111</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liabilities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6,537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6,408</w:t>
            </w:r>
          </w:p>
        </w:tc>
      </w:tr>
      <w:tr>
        <w:trPr>
          <w:trHeight w:val="199"/>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SHAREOWNERS’ EQUITY</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Capital—common stock issued</w:t>
            </w:r>
          </w:p>
        </w:tc>
        <w:tc>
          <w:tcPr>
            <w:tcW w:w="220" w:type="dxa"/>
            <w:vAlign w:val="bottom"/>
            <w:tcBorders>
              <w:bottom w:val="single" w:sz="8" w:color="61656A"/>
            </w:tcBorders>
          </w:tcPr>
          <w:p>
            <w:pPr>
              <w:spacing w:after="0"/>
              <w:rPr>
                <w:sz w:val="16"/>
                <w:szCs w:val="16"/>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958</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r>
      <w:tr>
        <w:trPr>
          <w:trHeight w:val="196"/>
        </w:trPr>
        <w:tc>
          <w:tcPr>
            <w:tcW w:w="7480" w:type="dxa"/>
            <w:vAlign w:val="bottom"/>
            <w:tcBorders>
              <w:bottom w:val="single" w:sz="8" w:color="61656A"/>
            </w:tcBorders>
          </w:tcPr>
          <w:p>
            <w:pPr>
              <w:ind w:left="460"/>
              <w:spacing w:after="0"/>
              <w:rPr>
                <w:sz w:val="20"/>
                <w:szCs w:val="20"/>
                <w:color w:val="auto"/>
              </w:rPr>
            </w:pPr>
            <w:r>
              <w:rPr>
                <w:rFonts w:ascii="Arial" w:cs="Arial" w:eastAsia="Arial" w:hAnsi="Arial"/>
                <w:sz w:val="14"/>
                <w:szCs w:val="14"/>
                <w:color w:val="auto"/>
              </w:rPr>
              <w:t>—additional paid-in capital</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10,480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10,157</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Common stock held in treasury, at cost</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(43,904)</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(43,029)</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(4,973)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(5,146)</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Retained earnings</w:t>
            </w:r>
          </w:p>
        </w:tc>
        <w:tc>
          <w:tcPr>
            <w:tcW w:w="2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51,029</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50,964</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Honeywell shareowners’ equity</w:t>
            </w:r>
          </w:p>
        </w:tc>
        <w:tc>
          <w:tcPr>
            <w:tcW w:w="2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13,590</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13,904</w:t>
            </w:r>
          </w:p>
        </w:tc>
      </w:tr>
      <w:tr>
        <w:trPr>
          <w:trHeight w:val="193"/>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Noncontrolling interest</w:t>
            </w:r>
          </w:p>
        </w:tc>
        <w:tc>
          <w:tcPr>
            <w:tcW w:w="220" w:type="dxa"/>
            <w:vAlign w:val="bottom"/>
            <w:tcBorders>
              <w:bottom w:val="single" w:sz="8" w:color="D7282F"/>
            </w:tcBorders>
          </w:tcPr>
          <w:p>
            <w:pPr>
              <w:spacing w:after="0"/>
              <w:rPr>
                <w:sz w:val="16"/>
                <w:szCs w:val="16"/>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1,077</w:t>
            </w:r>
          </w:p>
        </w:tc>
        <w:tc>
          <w:tcPr>
            <w:tcW w:w="28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1,126</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shareowners’ equity</w:t>
            </w:r>
          </w:p>
        </w:tc>
        <w:tc>
          <w:tcPr>
            <w:tcW w:w="2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14,667</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15,030</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liabilities and shareowners’ equity</w:t>
            </w:r>
          </w:p>
        </w:tc>
        <w:tc>
          <w:tcPr>
            <w:tcW w:w="2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73,988</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73,681</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142"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200" w:type="dxa"/>
            <w:vAlign w:val="bottom"/>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2680" w:type="dxa"/>
            <w:vAlign w:val="bottom"/>
            <w:tcBorders>
              <w:bottom w:val="single" w:sz="8" w:color="D7282F"/>
            </w:tcBorders>
            <w:gridSpan w:val="3"/>
          </w:tcPr>
          <w:p>
            <w:pPr>
              <w:jc w:val="center"/>
              <w:ind w:right="24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200" w:type="dxa"/>
            <w:vAlign w:val="bottom"/>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588"/>
              <w:spacing w:after="0"/>
              <w:rPr>
                <w:sz w:val="20"/>
                <w:szCs w:val="20"/>
                <w:color w:val="auto"/>
              </w:rPr>
            </w:pPr>
            <w:r>
              <w:rPr>
                <w:rFonts w:ascii="Arial" w:cs="Arial" w:eastAsia="Arial" w:hAnsi="Arial"/>
                <w:sz w:val="14"/>
                <w:szCs w:val="14"/>
                <w:b w:val="1"/>
                <w:bCs w:val="1"/>
                <w:color w:val="auto"/>
              </w:rPr>
              <w:t>2026</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w w:val="96"/>
              </w:rPr>
              <w:t>2025</w:t>
            </w:r>
          </w:p>
        </w:tc>
      </w:tr>
      <w:tr>
        <w:trPr>
          <w:trHeight w:val="196"/>
        </w:trPr>
        <w:tc>
          <w:tcPr>
            <w:tcW w:w="820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1860" w:type="dxa"/>
            <w:vAlign w:val="bottom"/>
            <w:tcBorders>
              <w:bottom w:val="single" w:sz="8" w:color="D7282F"/>
            </w:tcBorders>
            <w:gridSpan w:val="2"/>
          </w:tcPr>
          <w:p>
            <w:pPr>
              <w:jc w:val="center"/>
              <w:ind w:left="428"/>
              <w:spacing w:after="0"/>
              <w:rPr>
                <w:sz w:val="20"/>
                <w:szCs w:val="20"/>
                <w:color w:val="auto"/>
              </w:rPr>
            </w:pPr>
            <w:r>
              <w:rPr>
                <w:rFonts w:ascii="Arial" w:cs="Arial" w:eastAsia="Arial" w:hAnsi="Arial"/>
                <w:sz w:val="14"/>
                <w:szCs w:val="14"/>
                <w:b w:val="1"/>
                <w:bCs w:val="1"/>
                <w:color w:val="auto"/>
              </w:rPr>
              <w:t>(Dollars in millions)</w:t>
            </w:r>
          </w:p>
        </w:tc>
        <w:tc>
          <w:tcPr>
            <w:tcW w:w="820" w:type="dxa"/>
            <w:vAlign w:val="bottom"/>
            <w:tcBorders>
              <w:bottom w:val="single" w:sz="8" w:color="D7282F"/>
            </w:tcBorders>
          </w:tcPr>
          <w:p>
            <w:pPr>
              <w:spacing w:after="0"/>
              <w:rPr>
                <w:sz w:val="17"/>
                <w:szCs w:val="17"/>
                <w:color w:val="auto"/>
              </w:rPr>
            </w:pPr>
          </w:p>
        </w:tc>
      </w:tr>
      <w:tr>
        <w:trPr>
          <w:trHeight w:val="196"/>
        </w:trPr>
        <w:tc>
          <w:tcPr>
            <w:tcW w:w="82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r>
      <w:tr>
        <w:trPr>
          <w:trHeight w:val="193"/>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Net income</w:t>
            </w:r>
          </w:p>
        </w:tc>
        <w:tc>
          <w:tcPr>
            <w:tcW w:w="3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795</w:t>
            </w:r>
          </w:p>
        </w:tc>
        <w:tc>
          <w:tcPr>
            <w:tcW w:w="640" w:type="dxa"/>
            <w:vAlign w:val="bottom"/>
            <w:tcBorders>
              <w:bottom w:val="single" w:sz="8" w:color="61656A"/>
            </w:tcBorders>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1,467</w:t>
            </w:r>
          </w:p>
        </w:tc>
      </w:tr>
      <w:tr>
        <w:trPr>
          <w:trHeight w:val="196"/>
        </w:trPr>
        <w:tc>
          <w:tcPr>
            <w:tcW w:w="820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Less: Net income from discontinued operations</w:t>
            </w:r>
          </w:p>
        </w:tc>
        <w:tc>
          <w:tcPr>
            <w:tcW w:w="32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171</w:t>
            </w:r>
          </w:p>
        </w:tc>
      </w:tr>
      <w:tr>
        <w:trPr>
          <w:trHeight w:val="199"/>
        </w:trPr>
        <w:tc>
          <w:tcPr>
            <w:tcW w:w="820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income from continuing operations</w:t>
            </w:r>
          </w:p>
        </w:tc>
        <w:tc>
          <w:tcPr>
            <w:tcW w:w="32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795</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1,296</w:t>
            </w:r>
          </w:p>
        </w:tc>
      </w:tr>
      <w:tr>
        <w:trPr>
          <w:trHeight w:val="193"/>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Adjustments to reconcile net income from continuing operations to net cash (used for) provided by operating activities</w:t>
            </w:r>
          </w:p>
        </w:tc>
        <w:tc>
          <w:tcPr>
            <w:tcW w:w="320" w:type="dxa"/>
            <w:vAlign w:val="bottom"/>
            <w:tcBorders>
              <w:bottom w:val="single" w:sz="8" w:color="61656A"/>
            </w:tcBorders>
          </w:tcPr>
          <w:p>
            <w:pPr>
              <w:spacing w:after="0"/>
              <w:rPr>
                <w:sz w:val="16"/>
                <w:szCs w:val="16"/>
                <w:color w:val="auto"/>
              </w:rPr>
            </w:pPr>
          </w:p>
        </w:tc>
        <w:tc>
          <w:tcPr>
            <w:tcW w:w="122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Depreciation</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134</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126</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Amortization</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223</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199</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Gain on sale of non-strategic businesses and assets</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Impairment of assets held for sale</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263</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Loss on debt extinguishment</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239</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Repositioning and other charges</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68</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Net payments for repositioning and other charges</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(63)</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(104)</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income</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(167)</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(144)</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benefit payments</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Stock compensation expense</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57</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59</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Deferred income taxes</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(117)</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33</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(221)</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Changes in assets and liabilities, net of the effects of acquisitions and divestitures:</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Accounts receivable</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(447)</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(424)</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Inventories</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(203)</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(147)</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Other current assets</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(135)</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Accounts payable</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(289)</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Accrued liabilities</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(825)</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(142)</w:t>
            </w:r>
          </w:p>
        </w:tc>
      </w:tr>
      <w:tr>
        <w:trPr>
          <w:trHeight w:val="196"/>
        </w:trPr>
        <w:tc>
          <w:tcPr>
            <w:tcW w:w="820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Income taxes</w:t>
            </w:r>
          </w:p>
        </w:tc>
        <w:tc>
          <w:tcPr>
            <w:tcW w:w="32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(205)</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(50)</w:t>
            </w:r>
          </w:p>
        </w:tc>
      </w:tr>
      <w:tr>
        <w:trPr>
          <w:trHeight w:val="199"/>
        </w:trPr>
        <w:tc>
          <w:tcPr>
            <w:tcW w:w="820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(used for) provided by operating activities from continuing operations</w:t>
            </w:r>
          </w:p>
        </w:tc>
        <w:tc>
          <w:tcPr>
            <w:tcW w:w="32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(650)</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378</w:t>
            </w:r>
          </w:p>
        </w:tc>
      </w:tr>
      <w:tr>
        <w:trPr>
          <w:trHeight w:val="193"/>
        </w:trPr>
        <w:tc>
          <w:tcPr>
            <w:tcW w:w="8200" w:type="dxa"/>
            <w:vAlign w:val="bottom"/>
            <w:tcBorders>
              <w:bottom w:val="single" w:sz="8" w:color="D7282F"/>
            </w:tcBorders>
          </w:tcPr>
          <w:p>
            <w:pPr>
              <w:ind w:left="460"/>
              <w:spacing w:after="0"/>
              <w:rPr>
                <w:sz w:val="20"/>
                <w:szCs w:val="20"/>
                <w:color w:val="auto"/>
              </w:rPr>
            </w:pPr>
            <w:r>
              <w:rPr>
                <w:rFonts w:ascii="Arial" w:cs="Arial" w:eastAsia="Arial" w:hAnsi="Arial"/>
                <w:sz w:val="14"/>
                <w:szCs w:val="14"/>
                <w:color w:val="auto"/>
              </w:rPr>
              <w:t>Net cash provided by operating activities from discontinued operations</w:t>
            </w:r>
          </w:p>
        </w:tc>
        <w:tc>
          <w:tcPr>
            <w:tcW w:w="32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219</w:t>
            </w:r>
          </w:p>
        </w:tc>
      </w:tr>
      <w:tr>
        <w:trPr>
          <w:trHeight w:val="199"/>
        </w:trPr>
        <w:tc>
          <w:tcPr>
            <w:tcW w:w="820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(used for) provided by operating activities</w:t>
            </w:r>
          </w:p>
        </w:tc>
        <w:tc>
          <w:tcPr>
            <w:tcW w:w="32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(650)</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597</w:t>
            </w:r>
          </w:p>
        </w:tc>
      </w:tr>
      <w:tr>
        <w:trPr>
          <w:trHeight w:val="196"/>
        </w:trPr>
        <w:tc>
          <w:tcPr>
            <w:tcW w:w="82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r>
      <w:tr>
        <w:trPr>
          <w:trHeight w:val="193"/>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Capital expenditures</w:t>
            </w:r>
          </w:p>
        </w:tc>
        <w:tc>
          <w:tcPr>
            <w:tcW w:w="320" w:type="dxa"/>
            <w:vAlign w:val="bottom"/>
            <w:tcBorders>
              <w:bottom w:val="single" w:sz="8" w:color="61656A"/>
            </w:tcBorders>
          </w:tcPr>
          <w:p>
            <w:pPr>
              <w:spacing w:after="0"/>
              <w:rPr>
                <w:sz w:val="16"/>
                <w:szCs w:val="16"/>
                <w:color w:val="auto"/>
              </w:rPr>
            </w:pP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(223)</w:t>
            </w:r>
          </w:p>
        </w:tc>
        <w:tc>
          <w:tcPr>
            <w:tcW w:w="64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(190)</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Increase in investments</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(194)</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(351)</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Decrease in investments</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212</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338</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Receipts (payments) from settlements of derivative contracts</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85</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(125)</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Cash paid for acquisitions, net of cash acquired</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820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Proceeds from sale of business, net of cash transferred</w:t>
            </w:r>
          </w:p>
        </w:tc>
        <w:tc>
          <w:tcPr>
            <w:tcW w:w="32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820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used for investing activities from continuing operations</w:t>
            </w:r>
          </w:p>
        </w:tc>
        <w:tc>
          <w:tcPr>
            <w:tcW w:w="32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(119)</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(333)</w:t>
            </w:r>
          </w:p>
        </w:tc>
      </w:tr>
      <w:tr>
        <w:trPr>
          <w:trHeight w:val="193"/>
        </w:trPr>
        <w:tc>
          <w:tcPr>
            <w:tcW w:w="8200" w:type="dxa"/>
            <w:vAlign w:val="bottom"/>
            <w:tcBorders>
              <w:bottom w:val="single" w:sz="8" w:color="D7282F"/>
            </w:tcBorders>
          </w:tcPr>
          <w:p>
            <w:pPr>
              <w:ind w:left="460"/>
              <w:spacing w:after="0"/>
              <w:rPr>
                <w:sz w:val="20"/>
                <w:szCs w:val="20"/>
                <w:color w:val="auto"/>
              </w:rPr>
            </w:pPr>
            <w:r>
              <w:rPr>
                <w:rFonts w:ascii="Arial" w:cs="Arial" w:eastAsia="Arial" w:hAnsi="Arial"/>
                <w:sz w:val="14"/>
                <w:szCs w:val="14"/>
                <w:color w:val="auto"/>
              </w:rPr>
              <w:t>Net cash used for investing activities from discontinued operations</w:t>
            </w:r>
          </w:p>
        </w:tc>
        <w:tc>
          <w:tcPr>
            <w:tcW w:w="32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(38)</w:t>
            </w:r>
          </w:p>
        </w:tc>
      </w:tr>
      <w:tr>
        <w:trPr>
          <w:trHeight w:val="199"/>
        </w:trPr>
        <w:tc>
          <w:tcPr>
            <w:tcW w:w="820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used for investing activities</w:t>
            </w:r>
          </w:p>
        </w:tc>
        <w:tc>
          <w:tcPr>
            <w:tcW w:w="32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(119)</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(371)</w:t>
            </w: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142"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200" w:type="dxa"/>
            <w:vAlign w:val="bottom"/>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2680" w:type="dxa"/>
            <w:vAlign w:val="bottom"/>
            <w:tcBorders>
              <w:bottom w:val="single" w:sz="8" w:color="D7282F"/>
            </w:tcBorders>
            <w:gridSpan w:val="3"/>
          </w:tcPr>
          <w:p>
            <w:pPr>
              <w:jc w:val="center"/>
              <w:ind w:right="24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200" w:type="dxa"/>
            <w:vAlign w:val="bottom"/>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588"/>
              <w:spacing w:after="0"/>
              <w:rPr>
                <w:sz w:val="20"/>
                <w:szCs w:val="20"/>
                <w:color w:val="auto"/>
              </w:rPr>
            </w:pPr>
            <w:r>
              <w:rPr>
                <w:rFonts w:ascii="Arial" w:cs="Arial" w:eastAsia="Arial" w:hAnsi="Arial"/>
                <w:sz w:val="14"/>
                <w:szCs w:val="14"/>
                <w:b w:val="1"/>
                <w:bCs w:val="1"/>
                <w:color w:val="auto"/>
              </w:rPr>
              <w:t>2026</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w w:val="96"/>
              </w:rPr>
              <w:t>2025</w:t>
            </w:r>
          </w:p>
        </w:tc>
      </w:tr>
      <w:tr>
        <w:trPr>
          <w:trHeight w:val="196"/>
        </w:trPr>
        <w:tc>
          <w:tcPr>
            <w:tcW w:w="820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1860" w:type="dxa"/>
            <w:vAlign w:val="bottom"/>
            <w:tcBorders>
              <w:bottom w:val="single" w:sz="8" w:color="D7282F"/>
            </w:tcBorders>
            <w:gridSpan w:val="2"/>
          </w:tcPr>
          <w:p>
            <w:pPr>
              <w:jc w:val="center"/>
              <w:ind w:left="428"/>
              <w:spacing w:after="0"/>
              <w:rPr>
                <w:sz w:val="20"/>
                <w:szCs w:val="20"/>
                <w:color w:val="auto"/>
              </w:rPr>
            </w:pPr>
            <w:r>
              <w:rPr>
                <w:rFonts w:ascii="Arial" w:cs="Arial" w:eastAsia="Arial" w:hAnsi="Arial"/>
                <w:sz w:val="14"/>
                <w:szCs w:val="14"/>
                <w:b w:val="1"/>
                <w:bCs w:val="1"/>
                <w:color w:val="auto"/>
              </w:rPr>
              <w:t>(Dollars in millions)</w:t>
            </w:r>
          </w:p>
        </w:tc>
        <w:tc>
          <w:tcPr>
            <w:tcW w:w="820" w:type="dxa"/>
            <w:vAlign w:val="bottom"/>
            <w:tcBorders>
              <w:bottom w:val="single" w:sz="8" w:color="D7282F"/>
            </w:tcBorders>
          </w:tcPr>
          <w:p>
            <w:pPr>
              <w:spacing w:after="0"/>
              <w:rPr>
                <w:sz w:val="17"/>
                <w:szCs w:val="17"/>
                <w:color w:val="auto"/>
              </w:rPr>
            </w:pPr>
          </w:p>
        </w:tc>
      </w:tr>
      <w:tr>
        <w:trPr>
          <w:trHeight w:val="196"/>
        </w:trPr>
        <w:tc>
          <w:tcPr>
            <w:tcW w:w="82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r>
      <w:tr>
        <w:trPr>
          <w:trHeight w:val="193"/>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commercial paper and other short-term borrowings</w:t>
            </w:r>
          </w:p>
        </w:tc>
        <w:tc>
          <w:tcPr>
            <w:tcW w:w="320" w:type="dxa"/>
            <w:vAlign w:val="bottom"/>
            <w:tcBorders>
              <w:bottom w:val="single" w:sz="8" w:color="61656A"/>
            </w:tcBorders>
          </w:tcPr>
          <w:p>
            <w:pPr>
              <w:spacing w:after="0"/>
              <w:rPr>
                <w:sz w:val="16"/>
                <w:szCs w:val="16"/>
                <w:color w:val="auto"/>
              </w:rPr>
            </w:pPr>
          </w:p>
        </w:tc>
        <w:tc>
          <w:tcPr>
            <w:tcW w:w="12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4,758</w:t>
            </w:r>
          </w:p>
        </w:tc>
        <w:tc>
          <w:tcPr>
            <w:tcW w:w="64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4,855</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Payments of commercial paper and other short-term borrowings</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(6,018)</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(3,413)</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common stock</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170</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long-term debt</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Payments of long-term debt</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(12,605)</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Repurchases of common stock</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(1,000)</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(1,902)</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Cash dividends paid</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(781)</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(732)</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Pre-separation funding</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15,835</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20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(92)</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w:t>
            </w:r>
          </w:p>
        </w:tc>
      </w:tr>
      <w:tr>
        <w:trPr>
          <w:trHeight w:val="199"/>
        </w:trPr>
        <w:tc>
          <w:tcPr>
            <w:tcW w:w="820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provided by (used for) financing activities</w:t>
            </w:r>
          </w:p>
        </w:tc>
        <w:tc>
          <w:tcPr>
            <w:tcW w:w="32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267</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(1,180)</w:t>
            </w:r>
          </w:p>
        </w:tc>
      </w:tr>
      <w:tr>
        <w:trPr>
          <w:trHeight w:val="193"/>
        </w:trPr>
        <w:tc>
          <w:tcPr>
            <w:tcW w:w="820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2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w:t>
            </w:r>
          </w:p>
        </w:tc>
        <w:tc>
          <w:tcPr>
            <w:tcW w:w="64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44</w:t>
            </w:r>
          </w:p>
        </w:tc>
      </w:tr>
      <w:tr>
        <w:trPr>
          <w:trHeight w:val="199"/>
        </w:trPr>
        <w:tc>
          <w:tcPr>
            <w:tcW w:w="8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decrease in cash and cash equivalents</w:t>
            </w:r>
          </w:p>
        </w:tc>
        <w:tc>
          <w:tcPr>
            <w:tcW w:w="32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(510)</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(910)</w:t>
            </w:r>
          </w:p>
        </w:tc>
      </w:tr>
      <w:tr>
        <w:trPr>
          <w:trHeight w:val="196"/>
        </w:trPr>
        <w:tc>
          <w:tcPr>
            <w:tcW w:w="8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32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12,487</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10,567</w:t>
            </w:r>
          </w:p>
        </w:tc>
      </w:tr>
      <w:tr>
        <w:trPr>
          <w:trHeight w:val="196"/>
        </w:trPr>
        <w:tc>
          <w:tcPr>
            <w:tcW w:w="8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3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11,977</w:t>
            </w:r>
          </w:p>
        </w:tc>
        <w:tc>
          <w:tcPr>
            <w:tcW w:w="64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9,657</w:t>
            </w:r>
          </w:p>
        </w:tc>
      </w:tr>
      <w:tr>
        <w:trPr>
          <w:trHeight w:val="130"/>
        </w:trPr>
        <w:tc>
          <w:tcPr>
            <w:tcW w:w="8200" w:type="dxa"/>
            <w:vAlign w:val="bottom"/>
            <w:tcBorders>
              <w:bottom w:val="single" w:sz="8" w:color="D7282F"/>
            </w:tcBorders>
          </w:tcPr>
          <w:p>
            <w:pPr>
              <w:spacing w:after="0"/>
              <w:rPr>
                <w:sz w:val="11"/>
                <w:szCs w:val="11"/>
                <w:color w:val="auto"/>
              </w:rPr>
            </w:pPr>
          </w:p>
        </w:tc>
        <w:tc>
          <w:tcPr>
            <w:tcW w:w="320" w:type="dxa"/>
            <w:vAlign w:val="bottom"/>
            <w:tcBorders>
              <w:bottom w:val="single" w:sz="8" w:color="D7282F"/>
            </w:tcBorders>
          </w:tcPr>
          <w:p>
            <w:pPr>
              <w:spacing w:after="0"/>
              <w:rPr>
                <w:sz w:val="11"/>
                <w:szCs w:val="11"/>
                <w:color w:val="auto"/>
              </w:rPr>
            </w:pPr>
          </w:p>
        </w:tc>
        <w:tc>
          <w:tcPr>
            <w:tcW w:w="1220" w:type="dxa"/>
            <w:vAlign w:val="bottom"/>
            <w:tcBorders>
              <w:bottom w:val="single" w:sz="8" w:color="D7282F"/>
            </w:tcBorders>
          </w:tcPr>
          <w:p>
            <w:pPr>
              <w:spacing w:after="0"/>
              <w:rPr>
                <w:sz w:val="11"/>
                <w:szCs w:val="11"/>
                <w:color w:val="auto"/>
              </w:rPr>
            </w:pPr>
          </w:p>
        </w:tc>
        <w:tc>
          <w:tcPr>
            <w:tcW w:w="640" w:type="dxa"/>
            <w:vAlign w:val="bottom"/>
            <w:tcBorders>
              <w:bottom w:val="single" w:sz="8" w:color="D7282F"/>
            </w:tcBorders>
          </w:tcPr>
          <w:p>
            <w:pPr>
              <w:spacing w:after="0"/>
              <w:rPr>
                <w:sz w:val="11"/>
                <w:szCs w:val="11"/>
                <w:color w:val="auto"/>
              </w:rPr>
            </w:pPr>
          </w:p>
        </w:tc>
        <w:tc>
          <w:tcPr>
            <w:tcW w:w="820" w:type="dxa"/>
            <w:vAlign w:val="bottom"/>
            <w:tcBorders>
              <w:bottom w:val="single" w:sz="8" w:color="D7282F"/>
            </w:tcBorders>
          </w:tcPr>
          <w:p>
            <w:pPr>
              <w:spacing w:after="0"/>
              <w:rPr>
                <w:sz w:val="11"/>
                <w:szCs w:val="11"/>
                <w:color w:val="auto"/>
              </w:rPr>
            </w:pPr>
          </w:p>
        </w:tc>
      </w:tr>
      <w:tr>
        <w:trPr>
          <w:trHeight w:val="195"/>
        </w:trPr>
        <w:tc>
          <w:tcPr>
            <w:tcW w:w="82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Non-cash financing activities</w:t>
            </w:r>
          </w:p>
        </w:tc>
        <w:tc>
          <w:tcPr>
            <w:tcW w:w="320" w:type="dxa"/>
            <w:vAlign w:val="bottom"/>
            <w:tcBorders>
              <w:bottom w:val="single" w:sz="8" w:color="61656A"/>
            </w:tcBorders>
          </w:tcPr>
          <w:p>
            <w:pPr>
              <w:spacing w:after="0"/>
              <w:rPr>
                <w:sz w:val="16"/>
                <w:szCs w:val="16"/>
                <w:color w:val="auto"/>
              </w:rPr>
            </w:pPr>
          </w:p>
        </w:tc>
        <w:tc>
          <w:tcPr>
            <w:tcW w:w="122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r>
      <w:tr>
        <w:trPr>
          <w:trHeight w:val="193"/>
        </w:trPr>
        <w:tc>
          <w:tcPr>
            <w:tcW w:w="820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Transfer of Exchange Notes to terminate the Term Loan Agreement</w:t>
            </w:r>
          </w:p>
        </w:tc>
        <w:tc>
          <w:tcPr>
            <w:tcW w:w="3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6,000</w:t>
            </w:r>
          </w:p>
        </w:tc>
        <w:tc>
          <w:tcPr>
            <w:tcW w:w="64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142"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CONSOLIDATED STATEMENT OF SHAREOWNERS' EQUITY</w:t>
      </w:r>
    </w:p>
    <w:p>
      <w:pPr>
        <w:spacing w:after="0" w:line="1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60" w:type="dxa"/>
            <w:vAlign w:val="bottom"/>
          </w:tcPr>
          <w:p>
            <w:pPr>
              <w:spacing w:after="0"/>
              <w:rPr>
                <w:sz w:val="17"/>
                <w:szCs w:val="17"/>
                <w:color w:val="auto"/>
              </w:rPr>
            </w:pPr>
          </w:p>
        </w:tc>
        <w:tc>
          <w:tcPr>
            <w:tcW w:w="3140" w:type="dxa"/>
            <w:vAlign w:val="bottom"/>
            <w:tcBorders>
              <w:bottom w:val="single" w:sz="8" w:color="D7282F"/>
            </w:tcBorders>
            <w:gridSpan w:val="3"/>
          </w:tcPr>
          <w:p>
            <w:pPr>
              <w:jc w:val="right"/>
              <w:ind w:right="128"/>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D7282F"/>
            </w:tcBorders>
          </w:tcPr>
          <w:p>
            <w:pPr>
              <w:spacing w:after="0"/>
              <w:rPr>
                <w:sz w:val="17"/>
                <w:szCs w:val="17"/>
                <w:color w:val="auto"/>
              </w:rPr>
            </w:pPr>
          </w:p>
        </w:tc>
      </w:tr>
      <w:tr>
        <w:trPr>
          <w:trHeight w:val="236"/>
        </w:trPr>
        <w:tc>
          <w:tcPr>
            <w:tcW w:w="7260" w:type="dxa"/>
            <w:vAlign w:val="bottom"/>
          </w:tcPr>
          <w:p>
            <w:pPr>
              <w:spacing w:after="0"/>
              <w:rPr>
                <w:sz w:val="20"/>
                <w:szCs w:val="20"/>
                <w:color w:val="auto"/>
              </w:rPr>
            </w:pPr>
          </w:p>
        </w:tc>
        <w:tc>
          <w:tcPr>
            <w:tcW w:w="11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2026</w:t>
            </w:r>
          </w:p>
        </w:tc>
        <w:tc>
          <w:tcPr>
            <w:tcW w:w="800" w:type="dxa"/>
            <w:vAlign w:val="bottom"/>
            <w:tcBorders>
              <w:bottom w:val="single" w:sz="8" w:color="D7282F"/>
            </w:tcBorders>
          </w:tcPr>
          <w:p>
            <w:pPr>
              <w:spacing w:after="0"/>
              <w:rPr>
                <w:sz w:val="20"/>
                <w:szCs w:val="20"/>
                <w:color w:val="auto"/>
              </w:rPr>
            </w:pP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D7282F"/>
            </w:tcBorders>
          </w:tcPr>
          <w:p>
            <w:pPr>
              <w:spacing w:after="0"/>
              <w:rPr>
                <w:sz w:val="20"/>
                <w:szCs w:val="20"/>
                <w:color w:val="auto"/>
              </w:rPr>
            </w:pPr>
          </w:p>
        </w:tc>
      </w:tr>
      <w:tr>
        <w:trPr>
          <w:trHeight w:val="237"/>
        </w:trPr>
        <w:tc>
          <w:tcPr>
            <w:tcW w:w="7260" w:type="dxa"/>
            <w:vAlign w:val="bottom"/>
          </w:tcPr>
          <w:p>
            <w:pPr>
              <w:spacing w:after="0"/>
              <w:rPr>
                <w:sz w:val="20"/>
                <w:szCs w:val="20"/>
                <w:color w:val="auto"/>
              </w:rPr>
            </w:pPr>
          </w:p>
        </w:tc>
        <w:tc>
          <w:tcPr>
            <w:tcW w:w="114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6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r>
      <w:tr>
        <w:trPr>
          <w:trHeight w:val="196"/>
        </w:trPr>
        <w:tc>
          <w:tcPr>
            <w:tcW w:w="7260" w:type="dxa"/>
            <w:vAlign w:val="bottom"/>
            <w:tcBorders>
              <w:bottom w:val="single" w:sz="8" w:color="D7282F"/>
            </w:tcBorders>
          </w:tcPr>
          <w:p>
            <w:pPr>
              <w:spacing w:after="0"/>
              <w:rPr>
                <w:sz w:val="17"/>
                <w:szCs w:val="17"/>
                <w:color w:val="auto"/>
              </w:rPr>
            </w:pPr>
          </w:p>
        </w:tc>
        <w:tc>
          <w:tcPr>
            <w:tcW w:w="3760" w:type="dxa"/>
            <w:vAlign w:val="bottom"/>
            <w:tcBorders>
              <w:bottom w:val="single" w:sz="8" w:color="D7282F"/>
            </w:tcBorders>
            <w:gridSpan w:val="4"/>
          </w:tcPr>
          <w:p>
            <w:pPr>
              <w:jc w:val="right"/>
              <w:ind w:right="468"/>
              <w:spacing w:after="0"/>
              <w:rPr>
                <w:sz w:val="20"/>
                <w:szCs w:val="20"/>
                <w:color w:val="auto"/>
              </w:rPr>
            </w:pPr>
            <w:r>
              <w:rPr>
                <w:rFonts w:ascii="Arial" w:cs="Arial" w:eastAsia="Arial" w:hAnsi="Arial"/>
                <w:sz w:val="14"/>
                <w:szCs w:val="14"/>
                <w:b w:val="1"/>
                <w:bCs w:val="1"/>
                <w:color w:val="auto"/>
              </w:rPr>
              <w:t>(In millions, except per share amounts)</w:t>
            </w:r>
          </w:p>
        </w:tc>
      </w:tr>
      <w:tr>
        <w:trPr>
          <w:trHeight w:val="196"/>
        </w:trPr>
        <w:tc>
          <w:tcPr>
            <w:tcW w:w="72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Common stock, par value</w:t>
            </w:r>
          </w:p>
        </w:tc>
        <w:tc>
          <w:tcPr>
            <w:tcW w:w="114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958</w:t>
            </w:r>
          </w:p>
        </w:tc>
        <w:tc>
          <w:tcPr>
            <w:tcW w:w="120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r>
      <w:tr>
        <w:trPr>
          <w:trHeight w:val="196"/>
        </w:trPr>
        <w:tc>
          <w:tcPr>
            <w:tcW w:w="72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72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10,157</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9,695</w:t>
            </w:r>
          </w:p>
        </w:tc>
      </w:tr>
      <w:tr>
        <w:trPr>
          <w:trHeight w:val="196"/>
        </w:trPr>
        <w:tc>
          <w:tcPr>
            <w:tcW w:w="72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303</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187</w:t>
            </w:r>
          </w:p>
        </w:tc>
      </w:tr>
      <w:tr>
        <w:trPr>
          <w:trHeight w:val="196"/>
        </w:trPr>
        <w:tc>
          <w:tcPr>
            <w:tcW w:w="72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Stock compensation expense</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57</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w:t>
            </w:r>
          </w:p>
        </w:tc>
      </w:tr>
      <w:tr>
        <w:trPr>
          <w:trHeight w:val="196"/>
        </w:trPr>
        <w:tc>
          <w:tcPr>
            <w:tcW w:w="72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(37)</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72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10,480</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9,943</w:t>
            </w:r>
          </w:p>
        </w:tc>
      </w:tr>
      <w:tr>
        <w:trPr>
          <w:trHeight w:val="196"/>
        </w:trPr>
        <w:tc>
          <w:tcPr>
            <w:tcW w:w="72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Treasury stock</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72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(322.3)</w:t>
            </w: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(43,029)</w:t>
            </w:r>
          </w:p>
        </w:tc>
        <w:tc>
          <w:tcPr>
            <w:tcW w:w="120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(307.8)</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(39,378)</w:t>
            </w:r>
          </w:p>
        </w:tc>
      </w:tr>
      <w:tr>
        <w:trPr>
          <w:trHeight w:val="196"/>
        </w:trPr>
        <w:tc>
          <w:tcPr>
            <w:tcW w:w="72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Reacquired stock or repurchases of common stock</w:t>
            </w:r>
          </w:p>
        </w:tc>
        <w:tc>
          <w:tcPr>
            <w:tcW w:w="114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(4.3)</w:t>
            </w: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(1,004)</w:t>
            </w:r>
          </w:p>
        </w:tc>
        <w:tc>
          <w:tcPr>
            <w:tcW w:w="120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(8.9)</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(1,902)</w:t>
            </w:r>
          </w:p>
        </w:tc>
      </w:tr>
      <w:tr>
        <w:trPr>
          <w:trHeight w:val="196"/>
        </w:trPr>
        <w:tc>
          <w:tcPr>
            <w:tcW w:w="72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2.7</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129</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1.8</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80</w:t>
            </w:r>
          </w:p>
        </w:tc>
      </w:tr>
      <w:tr>
        <w:trPr>
          <w:trHeight w:val="199"/>
        </w:trPr>
        <w:tc>
          <w:tcPr>
            <w:tcW w:w="72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(323.9)</w:t>
            </w: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(43,904)</w:t>
            </w:r>
          </w:p>
        </w:tc>
        <w:tc>
          <w:tcPr>
            <w:tcW w:w="120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(314.9)</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(41,200)</w:t>
            </w:r>
          </w:p>
        </w:tc>
      </w:tr>
      <w:tr>
        <w:trPr>
          <w:trHeight w:val="196"/>
        </w:trPr>
        <w:tc>
          <w:tcPr>
            <w:tcW w:w="72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Retained earnings</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72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50,964</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50,835</w:t>
            </w:r>
          </w:p>
        </w:tc>
      </w:tr>
      <w:tr>
        <w:trPr>
          <w:trHeight w:val="196"/>
        </w:trPr>
        <w:tc>
          <w:tcPr>
            <w:tcW w:w="72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821</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1,449</w:t>
            </w:r>
          </w:p>
        </w:tc>
      </w:tr>
      <w:tr>
        <w:trPr>
          <w:trHeight w:val="196"/>
        </w:trPr>
        <w:tc>
          <w:tcPr>
            <w:tcW w:w="72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Dividends on common stock</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(756)</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(734)</w:t>
            </w:r>
          </w:p>
        </w:tc>
      </w:tr>
      <w:tr>
        <w:trPr>
          <w:trHeight w:val="199"/>
        </w:trPr>
        <w:tc>
          <w:tcPr>
            <w:tcW w:w="72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51,029</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51,550</w:t>
            </w:r>
          </w:p>
        </w:tc>
      </w:tr>
      <w:tr>
        <w:trPr>
          <w:trHeight w:val="196"/>
        </w:trPr>
        <w:tc>
          <w:tcPr>
            <w:tcW w:w="72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Accumulated other comprehensive loss</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72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(5,146)</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(3,491)</w:t>
            </w:r>
          </w:p>
        </w:tc>
      </w:tr>
      <w:tr>
        <w:trPr>
          <w:trHeight w:val="196"/>
        </w:trPr>
        <w:tc>
          <w:tcPr>
            <w:tcW w:w="72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136</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(290)</w:t>
            </w:r>
          </w:p>
        </w:tc>
      </w:tr>
      <w:tr>
        <w:trPr>
          <w:trHeight w:val="196"/>
        </w:trPr>
        <w:tc>
          <w:tcPr>
            <w:tcW w:w="72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Pension and other postretirement benefit adjustments</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(2)</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72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Changes in fair value of available for sale investments</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(1)</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2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Changes in fair value of cash flow hedges</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40</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w:t>
            </w:r>
          </w:p>
        </w:tc>
      </w:tr>
      <w:tr>
        <w:trPr>
          <w:trHeight w:val="199"/>
        </w:trPr>
        <w:tc>
          <w:tcPr>
            <w:tcW w:w="72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(4,973)</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(3,788)</w:t>
            </w:r>
          </w:p>
        </w:tc>
      </w:tr>
      <w:tr>
        <w:trPr>
          <w:trHeight w:val="196"/>
        </w:trPr>
        <w:tc>
          <w:tcPr>
            <w:tcW w:w="72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Noncontrolling interest</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72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1,126</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535</w:t>
            </w:r>
          </w:p>
        </w:tc>
      </w:tr>
      <w:tr>
        <w:trPr>
          <w:trHeight w:val="196"/>
        </w:trPr>
        <w:tc>
          <w:tcPr>
            <w:tcW w:w="72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noncontrolling interest</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(26)</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w:t>
            </w:r>
          </w:p>
        </w:tc>
      </w:tr>
      <w:tr>
        <w:trPr>
          <w:trHeight w:val="196"/>
        </w:trPr>
        <w:tc>
          <w:tcPr>
            <w:tcW w:w="72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8</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w:t>
            </w:r>
          </w:p>
        </w:tc>
      </w:tr>
      <w:tr>
        <w:trPr>
          <w:trHeight w:val="196"/>
        </w:trPr>
        <w:tc>
          <w:tcPr>
            <w:tcW w:w="72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Dividends paid</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(31)</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r>
      <w:tr>
        <w:trPr>
          <w:trHeight w:val="199"/>
        </w:trPr>
        <w:tc>
          <w:tcPr>
            <w:tcW w:w="72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1,077</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561</w:t>
            </w:r>
          </w:p>
        </w:tc>
      </w:tr>
      <w:tr>
        <w:trPr>
          <w:trHeight w:val="196"/>
        </w:trPr>
        <w:tc>
          <w:tcPr>
            <w:tcW w:w="72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shareowners' equity</w:t>
            </w: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633.7</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14,667</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642.7</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18,024</w:t>
            </w:r>
          </w:p>
        </w:tc>
      </w:tr>
      <w:tr>
        <w:trPr>
          <w:trHeight w:val="196"/>
        </w:trPr>
        <w:tc>
          <w:tcPr>
            <w:tcW w:w="72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dividends per share of common stock</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1.19</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1.13</w:t>
            </w:r>
          </w:p>
        </w:tc>
      </w:tr>
    </w:tbl>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 BASIS OF PRESENTATION</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the opinion of management, the accompanying unaudited Consolidated Financial Statements reflect all adjustments necessary to present fairly the financial position, results of operations, cash flows, and shareowners' equity of Honeywell International Inc. and its consolidated subsidiaries (Honeywell or the Company) for the periods presented. The interim results of operations and cash flows should not necessarily be taken as indicative of the entire year.</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Honeywell reports its quarterly financial information using a calendar convention; the first, second, and third quarters are consistently reported as ending on March 31, June 30, and September 30, respectively. It is Honeywell's practice to establish actual quarterly closing dates using a predetermined fiscal calendar, which requires Honeywell's businesses to close their books on a Saturday in order to minimize the potentially disruptive effects of quarterly closing on the Company's business processes. The effects of this practice are generally not significant to reported results for any quarter and only exist within a reporting year. In the event differences in actual closing dates are material to year-over-year comparisons of quarterly or year-to-date results, Honeywell will provide appropriate disclosures. Honeywell's closing dates for the three months ended March 31, 2026 and 2025, were March 28, 2026 and March 29, 2025,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D7282F"/>
        </w:rPr>
        <w:t>NOTE 2. SUMMARY OF SIGNIFICANT ACCOUNTING POLICIES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accounting policies of the Company are set forth in Note 1 Summary of Significant Accounting Policies of Notes to Consolidated Financial Statements in the Company’s 2025 Annual Report on Form 10-K. The Company includes herein certain updates to those policies.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RECLASSIFICATIONS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212529"/>
        </w:rPr>
        <w:t>Certain prior year amounts are reclassified to conform to the current year presentation.</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On October 30, 2025, the Company completed the spin-off of its Advanced Materials business into an independent, publicly traded company named Solstice Advanced Materials, Inc. (Solstice). Results of operations, financial position, and cash flows for the Advanced Materials business are reported as discontinued operations for all periods presented. Unless otherwise noted, information in these notes to consolidated financial statements relates to continuing operations.</w:t>
      </w:r>
    </w:p>
    <w:p>
      <w:pPr>
        <w:spacing w:after="0" w:line="2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Effective beginning in the first quarter of 2026, the Company realigned certain of its business units as reflected in Note 18 </w:t>
      </w:r>
      <w:r>
        <w:rPr>
          <w:rFonts w:ascii="Arial" w:cs="Arial" w:eastAsia="Arial" w:hAnsi="Arial"/>
          <w:sz w:val="16"/>
          <w:szCs w:val="16"/>
          <w:u w:val="single" w:color="auto"/>
          <w:color w:val="0000FF"/>
        </w:rPr>
        <w:t>Segment Financial Data</w:t>
      </w:r>
      <w:r>
        <w:rPr>
          <w:rFonts w:ascii="Arial" w:cs="Arial" w:eastAsia="Arial" w:hAnsi="Arial"/>
          <w:sz w:val="16"/>
          <w:szCs w:val="16"/>
          <w:color w:val="auto"/>
        </w:rPr>
        <w:t xml:space="preserve">, which impacted the composition of its reportable segments. The Company recast historical periods to reflect this change in segment presentation, including the reallocation of goodwill on a relative fair value basis as discussed in Note 8 </w:t>
      </w:r>
      <w:r>
        <w:rPr>
          <w:rFonts w:ascii="Arial" w:cs="Arial" w:eastAsia="Arial" w:hAnsi="Arial"/>
          <w:sz w:val="16"/>
          <w:szCs w:val="16"/>
          <w:u w:val="single" w:color="auto"/>
          <w:color w:val="0000FF"/>
        </w:rPr>
        <w:t>Goodwill and Other Intangible Assets—Net</w:t>
      </w: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SUPPLY CHAIN FINANCING</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Amounts outstanding related to supply chain financing programs are included in Accounts payable in the Consolidated Balance Sheet. Accounts payable included approximately $1,085 million and $1,141 million as of March 31, 2026 and December 31, 2025, respectively. The impact of these programs is not material to the Company's overall liquidity.</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RECENT ACCOUNTING PRONOUNCEMENTS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Consolidated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September 2025, the FASB issued ASU 2025-06, </w:t>
      </w:r>
      <w:r>
        <w:rPr>
          <w:rFonts w:ascii="Arial" w:cs="Arial" w:eastAsia="Arial" w:hAnsi="Arial"/>
          <w:sz w:val="16"/>
          <w:szCs w:val="16"/>
          <w:i w:val="1"/>
          <w:iCs w:val="1"/>
          <w:color w:val="auto"/>
        </w:rPr>
        <w:t>Intangibles—Goodwill and Other—Internal-Use Software (Subtopic 350-40): Targeted Improvements to</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i w:val="1"/>
          <w:iCs w:val="1"/>
          <w:color w:val="auto"/>
        </w:rPr>
        <w:t>the Accounting for Internal-Use Software</w:t>
      </w:r>
      <w:r>
        <w:rPr>
          <w:rFonts w:ascii="Arial" w:cs="Arial" w:eastAsia="Arial" w:hAnsi="Arial"/>
          <w:sz w:val="16"/>
          <w:szCs w:val="16"/>
          <w:color w:val="auto"/>
        </w:rPr>
        <w:t>, which modernizes the accounting for internal-use software costs by removing all references to prescriptive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sequential software development stages. The new standard requires entities to consider whether significant development uncertainty has been resolved before starting to capitalize software costs and aligns disclosure requirements with Accounting Standards Codification (ASC) 360,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Equipment</w:t>
      </w:r>
      <w:r>
        <w:rPr>
          <w:rFonts w:ascii="Arial" w:cs="Arial" w:eastAsia="Arial" w:hAnsi="Arial"/>
          <w:sz w:val="16"/>
          <w:szCs w:val="16"/>
          <w:color w:val="auto"/>
        </w:rPr>
        <w:t>. This ASU is effective for annual and interim reporting periods beginning after December 15, 2027, and can be applied prospectively,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retrospectively, or using a modified transition method, with early adoption permitted. The Company is currently evaluating the impacts of this guidance on the Company's Consolidated Financial Statements.</w:t>
      </w:r>
    </w:p>
    <w:p>
      <w:pPr>
        <w:spacing w:after="0" w:line="200" w:lineRule="exact"/>
        <w:rPr>
          <w:sz w:val="20"/>
          <w:szCs w:val="20"/>
          <w:color w:val="auto"/>
        </w:rPr>
      </w:pPr>
    </w:p>
    <w:p>
      <w:pPr>
        <w:spacing w:after="0" w:line="228"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Statement—Reporting Comprehensive Income—Expense Disaggregation Disclosures (Subtopic</w:t>
      </w:r>
      <w:r>
        <w:rPr>
          <w:rFonts w:ascii="Arial" w:cs="Arial" w:eastAsia="Arial" w:hAnsi="Arial"/>
          <w:sz w:val="16"/>
          <w:szCs w:val="16"/>
          <w:color w:val="auto"/>
        </w:rPr>
        <w:t xml:space="preserve"> </w:t>
      </w:r>
      <w:r>
        <w:rPr>
          <w:rFonts w:ascii="Arial" w:cs="Arial" w:eastAsia="Arial" w:hAnsi="Arial"/>
          <w:sz w:val="16"/>
          <w:szCs w:val="16"/>
          <w:i w:val="1"/>
          <w:iCs w:val="1"/>
          <w:color w:val="auto"/>
        </w:rPr>
        <w:t>220-40): Disaggregation of Income Statement Expenses</w:t>
      </w:r>
      <w:r>
        <w:rPr>
          <w:rFonts w:ascii="Arial" w:cs="Arial" w:eastAsia="Arial" w:hAnsi="Arial"/>
          <w:sz w:val="16"/>
          <w:szCs w:val="16"/>
          <w:color w:val="auto"/>
        </w:rPr>
        <w:t>, which requires companies to disclose additional information about the types of expenses in</w:t>
      </w:r>
    </w:p>
    <w:p>
      <w:pPr>
        <w:jc w:val="both"/>
        <w:spacing w:after="0" w:line="260" w:lineRule="auto"/>
        <w:rPr>
          <w:sz w:val="20"/>
          <w:szCs w:val="20"/>
          <w:color w:val="auto"/>
        </w:rPr>
      </w:pPr>
      <w:r>
        <w:rPr>
          <w:rFonts w:ascii="Arial" w:cs="Arial" w:eastAsia="Arial" w:hAnsi="Arial"/>
          <w:sz w:val="16"/>
          <w:szCs w:val="16"/>
          <w:color w:val="auto"/>
        </w:rPr>
        <w:t>commonly presented expense captions. The new standard requires tabular disclosure of specified natural expenses in certain expense captions, a qualitative description of amounts that are not separately disaggregated, and disclosure of the Company's definition and total amount of selling expenses. The ASU should be applied prospectively for annual reporting periods beginning after December 15, 2026, with retrospective application and early adoption permitted. The Company is currently evaluating the impacts of this guidance on the Company's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D7282F"/>
        </w:rPr>
        <w:t>NOTE 3. ACQUISITIONS, DIVESTITURES, AND DISCONTINUED OPERATIONS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ACQUISITIONS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Johnson Matthey's Catalyst Technologies Business</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May 22, 2025, the Company announced its agreement to acquire Johnson Matthey's Catalyst Technologies business segment in an all-cash transaction. In February 2026, the agreement was amended to adjust the total consideration to £1.325 billion. The transaction is subject to customary closing conditions, including receipt of certain regulatory approvals. The transaction is expected to be completed in the third quarter of 2026, and the business will be included within the Process Automation and Technology reportable business segment.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Sundyne</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June 6, 2025, the Company acquired 100% of the outstanding equity interests of Sundyne, a leader in the design manufacturing, and aftermarket support of highly-engineered pumps and gas compressors for process industries, for total consideration of $2,160 million, net of cash acquired. The business is part of the Process Automation and Technology reportable business segment. The following table summarizes the determination of the fair value of identifiable assets acquired and liabilities assumed that are included in the Consolidated Balance Sheet as of March 31, 2026:</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color w:val="auto"/>
              </w:rPr>
              <w:t>Current assets</w:t>
            </w:r>
          </w:p>
        </w:tc>
        <w:tc>
          <w:tcPr>
            <w:tcW w:w="4660" w:type="dxa"/>
            <w:vAlign w:val="bottom"/>
            <w:tcBorders>
              <w:top w:val="single" w:sz="8" w:color="D7282F"/>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274</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Intangible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990</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noncurrent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92</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Current liabilities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(103)</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Noncurrent liabilities</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(224)</w:t>
            </w: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assets acquired</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1,029</w:t>
            </w:r>
          </w:p>
        </w:tc>
      </w:tr>
      <w:tr>
        <w:trPr>
          <w:trHeight w:val="19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Goodwill</w:t>
            </w:r>
          </w:p>
        </w:tc>
        <w:tc>
          <w:tcPr>
            <w:tcW w:w="46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1,241</w:t>
            </w:r>
          </w:p>
        </w:tc>
      </w:tr>
      <w:tr>
        <w:trPr>
          <w:trHeight w:val="199"/>
        </w:trPr>
        <w:tc>
          <w:tcPr>
            <w:tcW w:w="5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Purchase price</w:t>
            </w:r>
          </w:p>
        </w:tc>
        <w:tc>
          <w:tcPr>
            <w:tcW w:w="4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2,270</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Sundyne identifiable intangible assets primarily include customer relationships, technology, and trademarks which will amortize over their estimated useful lives ranging from one to 15 years using straight-line and accelerated amortization methods. The goodwill is not deductible for tax purposes. As of the end of the first quarter of 2026, the purchase accounting is subject to final adjustment, primarily for the valuation of intangible assets, amounts allocated to goodwill, working capital adjustments, and tax balances.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DIVESTITURES AND ASSETS AND LIABILITIES HELD FOR SALE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Productivity Solutions and Services and Warehouse and Workflow Solutions Businesses</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During the fourth quarter of 2025, the Company concluded the assets and liabilities of each of the Productivity Solutions and Services and Warehouse and Workflow Solutions businesses, which are part of the Productivity goodwill reporting unit within the Industrial Automation reportable business segment, met the held for sale criteria and the Company presented the associated assets and liabilities of each business as held for sale beginning December 31, 2025. The disposal groups, consisting of the associated assets and liabilities, are measured at the lower of carrying value or fair value, less costs to sell. The carrying amount of any assets, including goodwill, that are part of the disposal groups, but not in the scope of ASC 360-10,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are tested for impairment under the relevant guidance prior to measuring the disposal groups at fair value, less costs to sell. The fair value is based on the use of estimates and is subject to change based on future developments and actual amounts realized upon sale may vary from those recorded as of March 31, 2026.</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30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performed an evaluation as of March 31, 2026 to assess the recoverability of the carrying value of the assets held for sale. The Company recognized a $263 million increase to the valuation allowance during the three months ended March 31, 2026, to write down the disposal groups to fair value, less costs to sell, as applicable. Gains resulting from the fair value, less costs to sell, exceeding the carrying value of the disposal groups are not recognized until realized at the completion of the sale. In April 2026, the Company announced it has reached agreements to sell the businesses in two separate transactions, both of which are expected to close in the second half of 2026 and are subject to customary closing conditions, including receipt of certain regulatory approvals.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assets and liabilities classified as held for sale in the Consolidated Balance Sheet: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20" w:type="dxa"/>
            <w:vAlign w:val="bottom"/>
            <w:tcBorders>
              <w:bottom w:val="single" w:sz="8" w:color="D7282F"/>
            </w:tcBorders>
          </w:tcPr>
          <w:p>
            <w:pPr>
              <w:spacing w:after="0"/>
              <w:rPr>
                <w:sz w:val="17"/>
                <w:szCs w:val="17"/>
                <w:color w:val="auto"/>
              </w:rPr>
            </w:pPr>
          </w:p>
        </w:tc>
        <w:tc>
          <w:tcPr>
            <w:tcW w:w="25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March 31, 2026</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December 31, 2025</w:t>
            </w:r>
          </w:p>
        </w:tc>
      </w:tr>
      <w:tr>
        <w:trPr>
          <w:trHeight w:val="196"/>
        </w:trPr>
        <w:tc>
          <w:tcPr>
            <w:tcW w:w="52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 held for sale</w:t>
            </w:r>
          </w:p>
        </w:tc>
        <w:tc>
          <w:tcPr>
            <w:tcW w:w="25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spacing w:after="0"/>
              <w:rPr>
                <w:sz w:val="17"/>
                <w:szCs w:val="17"/>
                <w:color w:val="auto"/>
              </w:rPr>
            </w:pPr>
          </w:p>
        </w:tc>
      </w:tr>
      <w:tr>
        <w:trPr>
          <w:trHeight w:val="193"/>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receivable</w:t>
            </w:r>
          </w:p>
        </w:tc>
        <w:tc>
          <w:tcPr>
            <w:tcW w:w="256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524</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489</w:t>
            </w:r>
          </w:p>
        </w:tc>
      </w:tr>
      <w:tr>
        <w:trPr>
          <w:trHeight w:val="196"/>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Inventories</w:t>
            </w:r>
          </w:p>
        </w:tc>
        <w:tc>
          <w:tcPr>
            <w:tcW w:w="25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430</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394</w:t>
            </w:r>
          </w:p>
        </w:tc>
      </w:tr>
      <w:tr>
        <w:trPr>
          <w:trHeight w:val="196"/>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current assets</w:t>
            </w:r>
          </w:p>
        </w:tc>
        <w:tc>
          <w:tcPr>
            <w:tcW w:w="25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w:t>
            </w:r>
          </w:p>
        </w:tc>
      </w:tr>
      <w:tr>
        <w:trPr>
          <w:trHeight w:val="196"/>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Investments and long-term receivables</w:t>
            </w:r>
          </w:p>
        </w:tc>
        <w:tc>
          <w:tcPr>
            <w:tcW w:w="25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31</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w:t>
            </w:r>
          </w:p>
        </w:tc>
      </w:tr>
      <w:tr>
        <w:trPr>
          <w:trHeight w:val="196"/>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Property, plant and equipment—net</w:t>
            </w:r>
          </w:p>
        </w:tc>
        <w:tc>
          <w:tcPr>
            <w:tcW w:w="25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161</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153</w:t>
            </w:r>
          </w:p>
        </w:tc>
      </w:tr>
      <w:tr>
        <w:trPr>
          <w:trHeight w:val="196"/>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Goodwill</w:t>
            </w:r>
          </w:p>
        </w:tc>
        <w:tc>
          <w:tcPr>
            <w:tcW w:w="25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1,135</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1,138</w:t>
            </w:r>
          </w:p>
        </w:tc>
      </w:tr>
      <w:tr>
        <w:trPr>
          <w:trHeight w:val="196"/>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intangible assets—net</w:t>
            </w:r>
          </w:p>
        </w:tc>
        <w:tc>
          <w:tcPr>
            <w:tcW w:w="25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263</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262</w:t>
            </w:r>
          </w:p>
        </w:tc>
      </w:tr>
      <w:tr>
        <w:trPr>
          <w:trHeight w:val="196"/>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Deferred income taxes</w:t>
            </w:r>
          </w:p>
        </w:tc>
        <w:tc>
          <w:tcPr>
            <w:tcW w:w="25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199</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136</w:t>
            </w:r>
          </w:p>
        </w:tc>
      </w:tr>
      <w:tr>
        <w:trPr>
          <w:trHeight w:val="196"/>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assets</w:t>
            </w:r>
          </w:p>
        </w:tc>
        <w:tc>
          <w:tcPr>
            <w:tcW w:w="25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108</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99</w:t>
            </w:r>
          </w:p>
        </w:tc>
      </w:tr>
      <w:tr>
        <w:trPr>
          <w:trHeight w:val="196"/>
        </w:trPr>
        <w:tc>
          <w:tcPr>
            <w:tcW w:w="52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Valuation allowance on assets held for sale</w:t>
            </w:r>
          </w:p>
        </w:tc>
        <w:tc>
          <w:tcPr>
            <w:tcW w:w="25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(518)</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(255)</w:t>
            </w:r>
          </w:p>
        </w:tc>
      </w:tr>
      <w:tr>
        <w:trPr>
          <w:trHeight w:val="199"/>
        </w:trPr>
        <w:tc>
          <w:tcPr>
            <w:tcW w:w="52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Assets held for sale</w:t>
            </w:r>
          </w:p>
        </w:tc>
        <w:tc>
          <w:tcPr>
            <w:tcW w:w="25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2,377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2,492</w:t>
            </w:r>
          </w:p>
        </w:tc>
      </w:tr>
      <w:tr>
        <w:trPr>
          <w:trHeight w:val="196"/>
        </w:trPr>
        <w:tc>
          <w:tcPr>
            <w:tcW w:w="52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 held for sale</w:t>
            </w:r>
          </w:p>
        </w:tc>
        <w:tc>
          <w:tcPr>
            <w:tcW w:w="25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spacing w:after="0"/>
              <w:rPr>
                <w:sz w:val="17"/>
                <w:szCs w:val="17"/>
                <w:color w:val="auto"/>
              </w:rPr>
            </w:pPr>
          </w:p>
        </w:tc>
      </w:tr>
      <w:tr>
        <w:trPr>
          <w:trHeight w:val="193"/>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payable</w:t>
            </w:r>
          </w:p>
        </w:tc>
        <w:tc>
          <w:tcPr>
            <w:tcW w:w="256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591</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532</w:t>
            </w:r>
          </w:p>
        </w:tc>
      </w:tr>
      <w:tr>
        <w:trPr>
          <w:trHeight w:val="196"/>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25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446</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484</w:t>
            </w:r>
          </w:p>
        </w:tc>
      </w:tr>
      <w:tr>
        <w:trPr>
          <w:trHeight w:val="196"/>
        </w:trPr>
        <w:tc>
          <w:tcPr>
            <w:tcW w:w="52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liabilities</w:t>
            </w:r>
          </w:p>
        </w:tc>
        <w:tc>
          <w:tcPr>
            <w:tcW w:w="25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181</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182</w:t>
            </w:r>
          </w:p>
        </w:tc>
      </w:tr>
      <w:tr>
        <w:trPr>
          <w:trHeight w:val="199"/>
        </w:trPr>
        <w:tc>
          <w:tcPr>
            <w:tcW w:w="52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Liabilities held for sale</w:t>
            </w:r>
          </w:p>
        </w:tc>
        <w:tc>
          <w:tcPr>
            <w:tcW w:w="25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1,218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1,198</w:t>
            </w:r>
          </w:p>
        </w:tc>
      </w:tr>
    </w:tbl>
    <w:p>
      <w:pPr>
        <w:spacing w:after="0" w:line="38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11</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SPIN-OFFS AND DISCONTINUED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Advanced Materials Business</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October 30, 2025, the Company completed the spin-off of its Advanced Materials business into an independent, publicly traded company named Solstice Advanced Materials, Inc. (Solstice). In connection with the spin-off of the Advanced Materials business into Solstice, the results of operations, financial position, and cash flows for the Advanced Materials business are reported as discontinued operations for all periods presented in the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key components of net income from discontinued operations: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912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9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March 31, 2025</w:t>
            </w:r>
          </w:p>
        </w:tc>
      </w:tr>
      <w:tr>
        <w:trPr>
          <w:trHeight w:val="192"/>
        </w:trPr>
        <w:tc>
          <w:tcPr>
            <w:tcW w:w="91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 Sales</w:t>
            </w:r>
          </w:p>
        </w:tc>
        <w:tc>
          <w:tcPr>
            <w:tcW w:w="220" w:type="dxa"/>
            <w:vAlign w:val="bottom"/>
            <w:tcBorders>
              <w:bottom w:val="single" w:sz="8" w:color="888B8D"/>
            </w:tcBorders>
          </w:tcPr>
          <w:p>
            <w:pPr>
              <w:jc w:val="right"/>
              <w:ind w:right="4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838</w:t>
            </w:r>
          </w:p>
        </w:tc>
      </w:tr>
      <w:tr>
        <w:trPr>
          <w:trHeight w:val="196"/>
        </w:trPr>
        <w:tc>
          <w:tcPr>
            <w:tcW w:w="91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 Sales</w:t>
            </w:r>
          </w:p>
        </w:tc>
        <w:tc>
          <w:tcPr>
            <w:tcW w:w="220" w:type="dxa"/>
            <w:vAlign w:val="bottom"/>
            <w:tcBorders>
              <w:bottom w:val="single" w:sz="8" w:color="D7282F"/>
            </w:tcBorders>
          </w:tcPr>
          <w:p>
            <w:pPr>
              <w:spacing w:after="0"/>
              <w:rPr>
                <w:sz w:val="17"/>
                <w:szCs w:val="17"/>
                <w:color w:val="auto"/>
              </w:rPr>
            </w:pPr>
          </w:p>
        </w:tc>
        <w:tc>
          <w:tcPr>
            <w:tcW w:w="1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59</w:t>
            </w:r>
          </w:p>
        </w:tc>
      </w:tr>
      <w:tr>
        <w:trPr>
          <w:trHeight w:val="199"/>
        </w:trPr>
        <w:tc>
          <w:tcPr>
            <w:tcW w:w="91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220" w:type="dxa"/>
            <w:vAlign w:val="bottom"/>
            <w:tcBorders>
              <w:bottom w:val="single" w:sz="8" w:color="D7282F"/>
            </w:tcBorders>
          </w:tcPr>
          <w:p>
            <w:pPr>
              <w:spacing w:after="0"/>
              <w:rPr>
                <w:sz w:val="17"/>
                <w:szCs w:val="17"/>
                <w:color w:val="auto"/>
              </w:rPr>
            </w:pPr>
          </w:p>
        </w:tc>
        <w:tc>
          <w:tcPr>
            <w:tcW w:w="1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897</w:t>
            </w:r>
          </w:p>
        </w:tc>
      </w:tr>
      <w:tr>
        <w:trPr>
          <w:trHeight w:val="193"/>
        </w:trPr>
        <w:tc>
          <w:tcPr>
            <w:tcW w:w="91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Costs, expenses and other</w:t>
            </w:r>
          </w:p>
        </w:tc>
        <w:tc>
          <w:tcPr>
            <w:tcW w:w="220" w:type="dxa"/>
            <w:vAlign w:val="bottom"/>
            <w:tcBorders>
              <w:bottom w:val="single" w:sz="8" w:color="61656A"/>
            </w:tcBorders>
          </w:tcPr>
          <w:p>
            <w:pPr>
              <w:spacing w:after="0"/>
              <w:rPr>
                <w:sz w:val="16"/>
                <w:szCs w:val="16"/>
                <w:color w:val="auto"/>
              </w:rPr>
            </w:pPr>
          </w:p>
        </w:tc>
        <w:tc>
          <w:tcPr>
            <w:tcW w:w="1900" w:type="dxa"/>
            <w:vAlign w:val="bottom"/>
            <w:tcBorders>
              <w:bottom w:val="single" w:sz="8" w:color="61656A"/>
            </w:tcBorders>
          </w:tcPr>
          <w:p>
            <w:pPr>
              <w:spacing w:after="0"/>
              <w:rPr>
                <w:sz w:val="16"/>
                <w:szCs w:val="16"/>
                <w:color w:val="auto"/>
              </w:rPr>
            </w:pPr>
          </w:p>
        </w:tc>
      </w:tr>
      <w:tr>
        <w:trPr>
          <w:trHeight w:val="196"/>
        </w:trPr>
        <w:tc>
          <w:tcPr>
            <w:tcW w:w="91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Cost of products sold</w:t>
            </w:r>
          </w:p>
        </w:tc>
        <w:tc>
          <w:tcPr>
            <w:tcW w:w="220" w:type="dxa"/>
            <w:vAlign w:val="bottom"/>
            <w:tcBorders>
              <w:bottom w:val="single" w:sz="8" w:color="61656A"/>
            </w:tcBorders>
          </w:tcPr>
          <w:p>
            <w:pPr>
              <w:spacing w:after="0"/>
              <w:rPr>
                <w:sz w:val="17"/>
                <w:szCs w:val="17"/>
                <w:color w:val="auto"/>
              </w:rPr>
            </w:pPr>
          </w:p>
        </w:tc>
        <w:tc>
          <w:tcPr>
            <w:tcW w:w="1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528</w:t>
            </w:r>
          </w:p>
        </w:tc>
      </w:tr>
      <w:tr>
        <w:trPr>
          <w:trHeight w:val="196"/>
        </w:trPr>
        <w:tc>
          <w:tcPr>
            <w:tcW w:w="91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Cost of services sold</w:t>
            </w:r>
          </w:p>
        </w:tc>
        <w:tc>
          <w:tcPr>
            <w:tcW w:w="220" w:type="dxa"/>
            <w:vAlign w:val="bottom"/>
            <w:tcBorders>
              <w:bottom w:val="single" w:sz="8" w:color="D7282F"/>
            </w:tcBorders>
          </w:tcPr>
          <w:p>
            <w:pPr>
              <w:spacing w:after="0"/>
              <w:rPr>
                <w:sz w:val="17"/>
                <w:szCs w:val="17"/>
                <w:color w:val="auto"/>
              </w:rPr>
            </w:pPr>
          </w:p>
        </w:tc>
        <w:tc>
          <w:tcPr>
            <w:tcW w:w="1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45</w:t>
            </w:r>
          </w:p>
        </w:tc>
      </w:tr>
      <w:tr>
        <w:trPr>
          <w:trHeight w:val="199"/>
        </w:trPr>
        <w:tc>
          <w:tcPr>
            <w:tcW w:w="91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Cost of products and services sold</w:t>
            </w:r>
          </w:p>
        </w:tc>
        <w:tc>
          <w:tcPr>
            <w:tcW w:w="220" w:type="dxa"/>
            <w:vAlign w:val="bottom"/>
            <w:tcBorders>
              <w:bottom w:val="single" w:sz="8" w:color="D7282F"/>
            </w:tcBorders>
          </w:tcPr>
          <w:p>
            <w:pPr>
              <w:spacing w:after="0"/>
              <w:rPr>
                <w:sz w:val="17"/>
                <w:szCs w:val="17"/>
                <w:color w:val="auto"/>
              </w:rPr>
            </w:pPr>
          </w:p>
        </w:tc>
        <w:tc>
          <w:tcPr>
            <w:tcW w:w="1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573</w:t>
            </w:r>
          </w:p>
        </w:tc>
      </w:tr>
      <w:tr>
        <w:trPr>
          <w:trHeight w:val="193"/>
        </w:trPr>
        <w:tc>
          <w:tcPr>
            <w:tcW w:w="91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Research and development expenses</w:t>
            </w:r>
          </w:p>
        </w:tc>
        <w:tc>
          <w:tcPr>
            <w:tcW w:w="220" w:type="dxa"/>
            <w:vAlign w:val="bottom"/>
            <w:tcBorders>
              <w:bottom w:val="single" w:sz="8" w:color="61656A"/>
            </w:tcBorders>
          </w:tcPr>
          <w:p>
            <w:pPr>
              <w:spacing w:after="0"/>
              <w:rPr>
                <w:sz w:val="16"/>
                <w:szCs w:val="16"/>
                <w:color w:val="auto"/>
              </w:rPr>
            </w:pPr>
          </w:p>
        </w:tc>
        <w:tc>
          <w:tcPr>
            <w:tcW w:w="1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91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220" w:type="dxa"/>
            <w:vAlign w:val="bottom"/>
            <w:tcBorders>
              <w:bottom w:val="single" w:sz="8" w:color="61656A"/>
            </w:tcBorders>
          </w:tcPr>
          <w:p>
            <w:pPr>
              <w:spacing w:after="0"/>
              <w:rPr>
                <w:sz w:val="17"/>
                <w:szCs w:val="17"/>
                <w:color w:val="auto"/>
              </w:rPr>
            </w:pPr>
          </w:p>
        </w:tc>
        <w:tc>
          <w:tcPr>
            <w:tcW w:w="1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52</w:t>
            </w:r>
          </w:p>
        </w:tc>
      </w:tr>
      <w:tr>
        <w:trPr>
          <w:trHeight w:val="196"/>
        </w:trPr>
        <w:tc>
          <w:tcPr>
            <w:tcW w:w="91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and other financial charges</w:t>
            </w:r>
          </w:p>
        </w:tc>
        <w:tc>
          <w:tcPr>
            <w:tcW w:w="220" w:type="dxa"/>
            <w:vAlign w:val="bottom"/>
            <w:tcBorders>
              <w:bottom w:val="single" w:sz="8" w:color="888B8D"/>
            </w:tcBorders>
          </w:tcPr>
          <w:p>
            <w:pPr>
              <w:spacing w:after="0"/>
              <w:rPr>
                <w:sz w:val="17"/>
                <w:szCs w:val="17"/>
                <w:color w:val="auto"/>
              </w:rPr>
            </w:pPr>
          </w:p>
        </w:tc>
        <w:tc>
          <w:tcPr>
            <w:tcW w:w="1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91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(income) expense</w:t>
            </w:r>
          </w:p>
        </w:tc>
        <w:tc>
          <w:tcPr>
            <w:tcW w:w="220" w:type="dxa"/>
            <w:vAlign w:val="bottom"/>
            <w:tcBorders>
              <w:bottom w:val="single" w:sz="8" w:color="D7282F"/>
            </w:tcBorders>
          </w:tcPr>
          <w:p>
            <w:pPr>
              <w:spacing w:after="0"/>
              <w:rPr>
                <w:sz w:val="17"/>
                <w:szCs w:val="17"/>
                <w:color w:val="auto"/>
              </w:rPr>
            </w:pPr>
          </w:p>
        </w:tc>
        <w:tc>
          <w:tcPr>
            <w:tcW w:w="1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w:t>
            </w:r>
          </w:p>
        </w:tc>
      </w:tr>
      <w:tr>
        <w:trPr>
          <w:trHeight w:val="199"/>
        </w:trPr>
        <w:tc>
          <w:tcPr>
            <w:tcW w:w="91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Income from discontinued operations before taxes</w:t>
            </w:r>
          </w:p>
        </w:tc>
        <w:tc>
          <w:tcPr>
            <w:tcW w:w="220" w:type="dxa"/>
            <w:vAlign w:val="bottom"/>
            <w:tcBorders>
              <w:bottom w:val="single" w:sz="8" w:color="D7282F"/>
            </w:tcBorders>
          </w:tcPr>
          <w:p>
            <w:pPr>
              <w:spacing w:after="0"/>
              <w:rPr>
                <w:sz w:val="17"/>
                <w:szCs w:val="17"/>
                <w:color w:val="auto"/>
              </w:rPr>
            </w:pPr>
          </w:p>
        </w:tc>
        <w:tc>
          <w:tcPr>
            <w:tcW w:w="1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219</w:t>
            </w:r>
          </w:p>
        </w:tc>
      </w:tr>
      <w:tr>
        <w:trPr>
          <w:trHeight w:val="193"/>
        </w:trPr>
        <w:tc>
          <w:tcPr>
            <w:tcW w:w="91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Tax expense</w:t>
            </w:r>
          </w:p>
        </w:tc>
        <w:tc>
          <w:tcPr>
            <w:tcW w:w="220" w:type="dxa"/>
            <w:vAlign w:val="bottom"/>
            <w:tcBorders>
              <w:bottom w:val="single" w:sz="8" w:color="D7282F"/>
            </w:tcBorders>
          </w:tcPr>
          <w:p>
            <w:pPr>
              <w:spacing w:after="0"/>
              <w:rPr>
                <w:sz w:val="16"/>
                <w:szCs w:val="16"/>
                <w:color w:val="auto"/>
              </w:rPr>
            </w:pPr>
          </w:p>
        </w:tc>
        <w:tc>
          <w:tcPr>
            <w:tcW w:w="1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48</w:t>
            </w:r>
          </w:p>
        </w:tc>
      </w:tr>
      <w:tr>
        <w:trPr>
          <w:trHeight w:val="199"/>
        </w:trPr>
        <w:tc>
          <w:tcPr>
            <w:tcW w:w="91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 from discontinued operations</w:t>
            </w:r>
          </w:p>
        </w:tc>
        <w:tc>
          <w:tcPr>
            <w:tcW w:w="2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Aerospace Technologies Business</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February 6, 2025, the Company announced its intention to pursue a separation of Honeywell and Honeywell Aerospace into independent, U.S. publicly traded companies, which is expected to be completed in the third quarter on June 29, 2026. The planned separation is intended to be a tax-free separation to Honeywell shareowners for U.S. federal income tax purposes. The separation will be subject to the satisfaction of a number of customary conditions, including, among others, the filing and effectiveness of applicable filings (including a Form 10 registration statement that includes required financial statements) with the SEC, assurance that the separation of the businesses will be tax-free to Honeywell’s shareowners, receipt of applicable regulatory approvals, and final approval by Honeywell’s Board of Directors. The proposed separation is complex in nature, and may be affected by unanticipated developments, credit and equity markets, or changes in market conditions.</w:t>
      </w:r>
    </w:p>
    <w:p>
      <w:pPr>
        <w:spacing w:after="0" w:line="318"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4. REVENUE RECOGNITION AND CONTRACTS WITH CUSTOMERS</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a comprehensive offering of products and services, including software and technologies, that are sold to a variety of customers in multiple end markets. Beginning in 2026, the disaggregation of revenue within its Building Automation, Process Automation and Technology, and Industrial Automation segments is reported based on business model. See the following disaggregated revenue table and related discussions by reportable business segment for details:</w:t>
      </w:r>
    </w:p>
    <w:p>
      <w:pPr>
        <w:spacing w:after="0" w:line="110"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80" w:type="dxa"/>
            <w:vAlign w:val="bottom"/>
            <w:tcBorders>
              <w:bottom w:val="single" w:sz="8" w:color="D7282F"/>
            </w:tcBorders>
          </w:tcPr>
          <w:p>
            <w:pPr>
              <w:spacing w:after="0"/>
              <w:rPr>
                <w:sz w:val="17"/>
                <w:szCs w:val="17"/>
                <w:color w:val="auto"/>
              </w:rPr>
            </w:pPr>
          </w:p>
        </w:tc>
        <w:tc>
          <w:tcPr>
            <w:tcW w:w="180" w:type="dxa"/>
            <w:vAlign w:val="bottom"/>
            <w:tcBorders>
              <w:top w:val="single" w:sz="8" w:color="D7282F"/>
              <w:bottom w:val="single" w:sz="8" w:color="D7282F"/>
            </w:tcBorders>
          </w:tcPr>
          <w:p>
            <w:pPr>
              <w:spacing w:after="0"/>
              <w:rPr>
                <w:sz w:val="17"/>
                <w:szCs w:val="17"/>
                <w:color w:val="auto"/>
              </w:rPr>
            </w:pPr>
          </w:p>
        </w:tc>
        <w:tc>
          <w:tcPr>
            <w:tcW w:w="780" w:type="dxa"/>
            <w:vAlign w:val="bottom"/>
            <w:tcBorders>
              <w:top w:val="single" w:sz="8" w:color="D7282F"/>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2025</w:t>
            </w:r>
          </w:p>
        </w:tc>
      </w:tr>
      <w:tr>
        <w:trPr>
          <w:trHeight w:val="195"/>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Aerospace Technologies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r>
      <w:tr>
        <w:trPr>
          <w:trHeight w:val="193"/>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Aviation Original Equipment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648</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627</w:t>
            </w:r>
          </w:p>
        </w:tc>
      </w:tr>
      <w:tr>
        <w:trPr>
          <w:trHeight w:val="196"/>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Aviation Aftermarket</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1,959</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1,899</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Defense and Space</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1,715</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1,646</w:t>
            </w:r>
          </w:p>
        </w:tc>
      </w:tr>
      <w:tr>
        <w:trPr>
          <w:trHeight w:val="199"/>
        </w:trPr>
        <w:tc>
          <w:tcPr>
            <w:tcW w:w="92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Aerospace Technologies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4,322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4,172</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Building Automation</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1,005</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905</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Solutions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877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787</w:t>
            </w:r>
          </w:p>
        </w:tc>
      </w:tr>
      <w:tr>
        <w:trPr>
          <w:trHeight w:val="199"/>
        </w:trPr>
        <w:tc>
          <w:tcPr>
            <w:tcW w:w="92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Building Automation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1,882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1,692</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Process Automation and Technology</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Projects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686</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602</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Aftermarket</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827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843</w:t>
            </w:r>
          </w:p>
        </w:tc>
      </w:tr>
      <w:tr>
        <w:trPr>
          <w:trHeight w:val="199"/>
        </w:trPr>
        <w:tc>
          <w:tcPr>
            <w:tcW w:w="92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Process Automation and Technology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1,513</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1,445</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Industrial Automation</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958</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1,173</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Solutions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463</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424</w:t>
            </w:r>
          </w:p>
        </w:tc>
      </w:tr>
      <w:tr>
        <w:trPr>
          <w:trHeight w:val="199"/>
        </w:trPr>
        <w:tc>
          <w:tcPr>
            <w:tcW w:w="92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Industrial Automation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1,421</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1,597</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Corporate and All Other</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w:t>
            </w:r>
          </w:p>
        </w:tc>
      </w:tr>
      <w:tr>
        <w:trPr>
          <w:trHeight w:val="196"/>
        </w:trPr>
        <w:tc>
          <w:tcPr>
            <w:tcW w:w="92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9,143</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8,925</w:t>
            </w: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Aerospace Technologies </w:t>
      </w:r>
      <w:r>
        <w:rPr>
          <w:rFonts w:ascii="Arial" w:cs="Arial" w:eastAsia="Arial" w:hAnsi="Arial"/>
          <w:sz w:val="16"/>
          <w:szCs w:val="16"/>
          <w:color w:val="auto"/>
        </w:rPr>
        <w:t>– A global supplier of products, software, and services for aircrafts that it sells to original equipment manufacturers (OEM)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customers in a variety of end markets including air transport, regional, business and general aviation aircraft, airlines, aircraft operators, and defense and space contractors. Aerospace Technologies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and thermal systems. Aerospace Technologies also provides spare parts, repair, overhaul, and maintenance services (principally to aircraft operators), and sells licenses or intellectual property to other parties. Honeywell Forge solutions enable customers to turn data into predictive maintenance and predictive analytics to enable better fleet management and make flight operations more efficient.</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color w:val="auto"/>
        </w:rPr>
        <w:t xml:space="preserve">Building Automation </w:t>
      </w:r>
      <w:r>
        <w:rPr>
          <w:rFonts w:ascii="Arial" w:cs="Arial" w:eastAsia="Arial" w:hAnsi="Arial"/>
          <w:sz w:val="16"/>
          <w:szCs w:val="16"/>
          <w:color w:val="auto"/>
        </w:rPr>
        <w:t>– A global provider of unified building automation solutions across products, hardware, software, and analytics, which help our</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convert buildings into safe, sustainable, and integrated assets. Building Automation offerings include fire detection, building controls and optimization software, energy management systems, access control, and video management software, complemented by installation, maintenance, and upgrades. The reportable business segment is comprised of the Products and Solutions business models. The Products business is a leading provider of multi-domain controls and software offerings, primarily through an industry-leading, highly capable, channel partner network. The Solutions business is a leading provider of integrated systems and differentiated automation technologies. Honeywell Forge integrates hardware, software and services—enhanced by AI-enabled solutions—to support revenue generation and performance over the lifecycle of a building.</w:t>
      </w:r>
    </w:p>
    <w:p>
      <w:pPr>
        <w:spacing w:after="0" w:line="200" w:lineRule="exact"/>
        <w:rPr>
          <w:sz w:val="20"/>
          <w:szCs w:val="20"/>
          <w:color w:val="auto"/>
        </w:rPr>
      </w:pPr>
    </w:p>
    <w:p>
      <w:pPr>
        <w:spacing w:after="0" w:line="205"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 xml:space="preserve">Process Automation and Technology </w:t>
      </w:r>
      <w:r>
        <w:rPr>
          <w:rFonts w:ascii="Arial" w:cs="Arial" w:eastAsia="Arial" w:hAnsi="Arial"/>
          <w:sz w:val="16"/>
          <w:szCs w:val="16"/>
          <w:color w:val="auto"/>
        </w:rPr>
        <w:t>– A global provider of end-to-end solutions that drive automation throughout the industrial lifecycle, develop and</w:t>
      </w:r>
      <w:r>
        <w:rPr>
          <w:rFonts w:ascii="Arial" w:cs="Arial" w:eastAsia="Arial" w:hAnsi="Arial"/>
          <w:sz w:val="16"/>
          <w:szCs w:val="16"/>
          <w:b w:val="1"/>
          <w:bCs w:val="1"/>
          <w:color w:val="auto"/>
        </w:rPr>
        <w:t xml:space="preserve"> </w:t>
      </w:r>
      <w:r>
        <w:rPr>
          <w:rFonts w:ascii="Arial" w:cs="Arial" w:eastAsia="Arial" w:hAnsi="Arial"/>
          <w:sz w:val="16"/>
          <w:szCs w:val="16"/>
          <w:color w:val="auto"/>
        </w:rPr>
        <w:t>innovate advanced process technology solutions, and help accelerate customers' digital transformations. The business segment delivers to multiple sectors, including energy, mining and minerals, industrials, power generation, and life sciences. The reportable business segment is comprised of the Projects and Aftermarket business models. The Projects business offers automation solutions for new and existing industrial plants, solutions for critical turbomachinery control applications, licensing, engineering of new and existing energy facilities, and energy solutions including separation and purification, gas, renewable fuels, blue H2 / blue NH3, green H2, carbon capture, plastics circularity, and energy storage. The Aftermarket business offers solutions that improve safety, reliability, sustainability, and operations excellence and delivers licensed process technology, equipment, engineering catalyst, adsorbents, and services to enable the energy transition. Honeywell Forge connects and contextualizes assets to enhance productivity, efficiency and operational performance, helping customers realize greater value from their operations.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Industrial Automation </w:t>
      </w:r>
      <w:r>
        <w:rPr>
          <w:rFonts w:ascii="Arial" w:cs="Arial" w:eastAsia="Arial" w:hAnsi="Arial"/>
          <w:sz w:val="16"/>
          <w:szCs w:val="16"/>
          <w:color w:val="auto"/>
        </w:rPr>
        <w:t>– A global provider of sensing and measurement solutions serving mission critical applications across diversified verticals,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energy, power and utilities, aerospace and defense, medical devices, and semiconductors. Across these verticals, customers desire similar outcomes, such as operational efficiency, asset effectiveness, people performance, and safety. The reportable business segment is comprised of the Products and Solutions business models. The Products business offerings include fiscal custody transfer solutions, fixed and portable gas detection, safety solutions for semiconductor manufacturing, terminal operations, sensors, switches and controls, burner management systems, and fuel and air delivery. Industrial Automation offers a comprehensive suite of solutions through aftermarket services, as well as through expanding its high-value digital services and connected solutions, all of which are anchored in Honeywell Forge.</w:t>
      </w:r>
    </w:p>
    <w:p>
      <w:pPr>
        <w:spacing w:after="0" w:line="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auto"/>
        </w:rPr>
        <w:t xml:space="preserve">Corporate and All Other </w:t>
      </w:r>
      <w:r>
        <w:rPr>
          <w:rFonts w:ascii="Arial" w:cs="Arial" w:eastAsia="Arial" w:hAnsi="Arial"/>
          <w:sz w:val="16"/>
          <w:szCs w:val="16"/>
          <w:color w:val="auto"/>
        </w:rPr>
        <w:t>– Corporate and All Other includes revenue from Honeywell's majority-owned investment in Quantinuum. Through Quantinuum,</w:t>
      </w:r>
      <w:r>
        <w:rPr>
          <w:rFonts w:ascii="Arial" w:cs="Arial" w:eastAsia="Arial" w:hAnsi="Arial"/>
          <w:sz w:val="16"/>
          <w:szCs w:val="16"/>
          <w:b w:val="1"/>
          <w:bCs w:val="1"/>
          <w:color w:val="auto"/>
        </w:rPr>
        <w:t xml:space="preserve"> </w:t>
      </w:r>
      <w:r>
        <w:rPr>
          <w:rFonts w:ascii="Arial" w:cs="Arial" w:eastAsia="Arial" w:hAnsi="Arial"/>
          <w:sz w:val="16"/>
          <w:szCs w:val="16"/>
          <w:color w:val="auto"/>
        </w:rPr>
        <w:t>Honeywell provides a wide range of service offerings of fully integrated quantum computing hardware and software solutions.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18 </w:t>
      </w:r>
      <w:r>
        <w:rPr>
          <w:rFonts w:ascii="Arial" w:cs="Arial" w:eastAsia="Arial" w:hAnsi="Arial"/>
          <w:sz w:val="16"/>
          <w:szCs w:val="16"/>
          <w:u w:val="single" w:color="auto"/>
          <w:color w:val="0000FF"/>
        </w:rPr>
        <w:t>Segment Financial Data</w:t>
      </w:r>
      <w:r>
        <w:rPr>
          <w:rFonts w:ascii="Arial" w:cs="Arial" w:eastAsia="Arial" w:hAnsi="Arial"/>
          <w:sz w:val="16"/>
          <w:szCs w:val="16"/>
          <w:color w:val="auto"/>
        </w:rPr>
        <w:t xml:space="preserve"> for a summary by disaggregated product and services sales for each reportable business segment.</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recognizes revenue arising from performance obligations outlined in contracts with its customers that are satisfied at a point in time and over time. The disaggregation of the Company's revenue based on timing of recognition is as follows:</w:t>
      </w:r>
    </w:p>
    <w:p>
      <w:pPr>
        <w:spacing w:after="0" w:line="79"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00" w:type="dxa"/>
            <w:vAlign w:val="bottom"/>
            <w:tcBorders>
              <w:bottom w:val="single" w:sz="8" w:color="D7282F"/>
            </w:tcBorders>
          </w:tcPr>
          <w:p>
            <w:pPr>
              <w:spacing w:after="0"/>
              <w:rPr>
                <w:sz w:val="17"/>
                <w:szCs w:val="17"/>
                <w:color w:val="auto"/>
              </w:rPr>
            </w:pPr>
          </w:p>
        </w:tc>
        <w:tc>
          <w:tcPr>
            <w:tcW w:w="1220" w:type="dxa"/>
            <w:vAlign w:val="bottom"/>
            <w:tcBorders>
              <w:top w:val="single" w:sz="8" w:color="D7282F"/>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2026</w:t>
            </w:r>
          </w:p>
        </w:tc>
        <w:tc>
          <w:tcPr>
            <w:tcW w:w="920" w:type="dxa"/>
            <w:vAlign w:val="bottom"/>
            <w:tcBorders>
              <w:top w:val="single" w:sz="8" w:color="D7282F"/>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2025</w:t>
            </w:r>
          </w:p>
        </w:tc>
      </w:tr>
      <w:tr>
        <w:trPr>
          <w:trHeight w:val="192"/>
        </w:trPr>
        <w:tc>
          <w:tcPr>
            <w:tcW w:w="9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Products, transferred point in time</w:t>
            </w:r>
          </w:p>
        </w:tc>
        <w:tc>
          <w:tcPr>
            <w:tcW w:w="12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49 %</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53 %</w:t>
            </w:r>
          </w:p>
        </w:tc>
      </w:tr>
      <w:tr>
        <w:trPr>
          <w:trHeight w:val="196"/>
        </w:trPr>
        <w:tc>
          <w:tcPr>
            <w:tcW w:w="9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Products, transferred over time</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15</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w:t>
            </w:r>
          </w:p>
        </w:tc>
      </w:tr>
      <w:tr>
        <w:trPr>
          <w:trHeight w:val="199"/>
        </w:trPr>
        <w:tc>
          <w:tcPr>
            <w:tcW w:w="9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product sales</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64</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65</w:t>
            </w:r>
          </w:p>
        </w:tc>
      </w:tr>
      <w:tr>
        <w:trPr>
          <w:trHeight w:val="193"/>
        </w:trPr>
        <w:tc>
          <w:tcPr>
            <w:tcW w:w="9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Services, transferred point in time</w:t>
            </w:r>
          </w:p>
        </w:tc>
        <w:tc>
          <w:tcPr>
            <w:tcW w:w="122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7</w:t>
            </w:r>
          </w:p>
        </w:tc>
        <w:tc>
          <w:tcPr>
            <w:tcW w:w="9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w:t>
            </w:r>
          </w:p>
        </w:tc>
      </w:tr>
      <w:tr>
        <w:trPr>
          <w:trHeight w:val="196"/>
        </w:trPr>
        <w:tc>
          <w:tcPr>
            <w:tcW w:w="9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Services, transferred over time</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29</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30</w:t>
            </w:r>
          </w:p>
        </w:tc>
      </w:tr>
      <w:tr>
        <w:trPr>
          <w:trHeight w:val="199"/>
        </w:trPr>
        <w:tc>
          <w:tcPr>
            <w:tcW w:w="9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service sales</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36</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35</w:t>
            </w:r>
          </w:p>
        </w:tc>
      </w:tr>
      <w:tr>
        <w:trPr>
          <w:trHeight w:val="196"/>
        </w:trPr>
        <w:tc>
          <w:tcPr>
            <w:tcW w:w="9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sales</w:t>
            </w:r>
          </w:p>
        </w:tc>
        <w:tc>
          <w:tcPr>
            <w:tcW w:w="12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100 %</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100 %</w:t>
            </w:r>
          </w:p>
        </w:tc>
      </w:tr>
    </w:tbl>
    <w:p>
      <w:pPr>
        <w:spacing w:after="0" w:line="32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CONTRACT BALANCES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tracks progress on satisfying performance obligations under contracts with customers. The related billings and cash collections are recorded in the Consolidated Balance Sheet in Accounts receivable—net and Other assets (unbilled receivables (contract assets) and billed receivables), and Accrued liabilities and Other liabilities (customer advances and deposits (contract liabilities)). Unbilled receivables arise when the timing of cash collected from customers differs from the timing of revenue recognition, such as when contract provisions require specific milestones to be met before a customer can be billed. Contract assets are recognized when the revenue associated with the contract is recognized prior to billing and derecognized when billed in accordance with the terms of the contract. Contract liabilities are recorded when customers remit contractual cash payments in advance of the Company satisfying performance obligations under contractual arrangements, including those with performance obligations to be satisfied over a period of time. Contract liabilities are derecognized when revenue is recorded.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Contract balances are classified as assets or liabilities on a contract-by-contract basis at the end of each reporting period.</w:t>
      </w:r>
    </w:p>
    <w:p>
      <w:pPr>
        <w:spacing w:after="0" w:line="200" w:lineRule="exact"/>
        <w:rPr>
          <w:sz w:val="20"/>
          <w:szCs w:val="20"/>
          <w:color w:val="auto"/>
        </w:rPr>
      </w:pPr>
    </w:p>
    <w:p>
      <w:pPr>
        <w:spacing w:after="0" w:line="252"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contract assets and liabilities balances: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Borders>
              <w:bottom w:val="single" w:sz="8" w:color="D7282F"/>
            </w:tcBorders>
          </w:tcPr>
          <w:p>
            <w:pPr>
              <w:spacing w:after="0"/>
              <w:rPr>
                <w:sz w:val="17"/>
                <w:szCs w:val="17"/>
                <w:color w:val="auto"/>
              </w:rPr>
            </w:pP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2025</w:t>
            </w:r>
          </w:p>
        </w:tc>
      </w:tr>
      <w:tr>
        <w:trPr>
          <w:trHeight w:val="193"/>
        </w:trPr>
        <w:tc>
          <w:tcPr>
            <w:tcW w:w="64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assets—January 1</w:t>
            </w:r>
          </w:p>
        </w:tc>
        <w:tc>
          <w:tcPr>
            <w:tcW w:w="30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2,403</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2,155</w:t>
            </w:r>
          </w:p>
        </w:tc>
      </w:tr>
      <w:tr>
        <w:trPr>
          <w:trHeight w:val="196"/>
        </w:trPr>
        <w:tc>
          <w:tcPr>
            <w:tcW w:w="6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assets—March 31</w:t>
            </w: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2,667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2,335</w:t>
            </w:r>
          </w:p>
        </w:tc>
      </w:tr>
      <w:tr>
        <w:trPr>
          <w:trHeight w:val="199"/>
        </w:trPr>
        <w:tc>
          <w:tcPr>
            <w:tcW w:w="6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Change in contract assets - increase (decrease)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264</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180</w:t>
            </w:r>
          </w:p>
        </w:tc>
      </w:tr>
      <w:tr>
        <w:trPr>
          <w:trHeight w:val="193"/>
        </w:trPr>
        <w:tc>
          <w:tcPr>
            <w:tcW w:w="64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liabilities—January 1</w:t>
            </w:r>
          </w:p>
        </w:tc>
        <w:tc>
          <w:tcPr>
            <w:tcW w:w="30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(3,839)</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(4,120)</w:t>
            </w:r>
          </w:p>
        </w:tc>
      </w:tr>
      <w:tr>
        <w:trPr>
          <w:trHeight w:val="196"/>
        </w:trPr>
        <w:tc>
          <w:tcPr>
            <w:tcW w:w="6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liabilities—March 31</w:t>
            </w: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(4,230)</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(4,259)</w:t>
            </w:r>
          </w:p>
        </w:tc>
      </w:tr>
      <w:tr>
        <w:trPr>
          <w:trHeight w:val="199"/>
        </w:trPr>
        <w:tc>
          <w:tcPr>
            <w:tcW w:w="6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Change in contract liabilities - (increase) decrease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(391)</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(139)</w:t>
            </w:r>
          </w:p>
        </w:tc>
      </w:tr>
      <w:tr>
        <w:trPr>
          <w:trHeight w:val="196"/>
        </w:trPr>
        <w:tc>
          <w:tcPr>
            <w:tcW w:w="64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change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(127)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w:t>
            </w:r>
          </w:p>
        </w:tc>
      </w:tr>
    </w:tbl>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three months ended March 31, 2026 and 2025, the Company recognized revenue of $1,064 million and $1,000 million, respectively, that was previously included in the beginning balance of contract liabilities.</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Contract assets included $2,615 million and $2,424 million of current unbilled balances under long-term contracts as of March 31, 2026 and December 31, 2025, respectively. These amounts are billed in accordance with the terms of customer contracts to which they relate.</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When contracts are modified to account for changes in contract specifications and requirements, the Company considers whether the modification either creates new or changes the existing enforceable rights and obligations. Contract modifications for goods or services and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OBLIGATIONS</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the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the Company's contracts include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spacing w:after="0" w:line="6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 The Company's remaining performance obligations as of March 31, 2026, are $38,262 million.</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Performance obligations recognized as of March 31, 2026,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57% and 43%, respectively.</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timing of satisfaction of the Company's performance obligations does not significantly vary from the typical timing of payment. Typical payment terms of the Company's fixed price over time contracts include progress payments based on specified events or milestones or based on project progress. For some contracts, the Company may be entitled to receive an advance payment.</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applied the practical expedient for certain revenue streams to exclude the value of remaining performance obligations for (i) contracts with an original expected term of one year or less or (ii) contracts for which the Company recognizes revenue in proportion to the amount the Company has the right to invoice for services performed.</w:t>
      </w:r>
    </w:p>
    <w:p>
      <w:pPr>
        <w:spacing w:after="0" w:line="395"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5. REPOSITIONING AND OTHER CHARGES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summary of net repositioning and other charges follows:</w:t>
      </w:r>
    </w:p>
    <w:p>
      <w:pPr>
        <w:spacing w:after="0" w:line="158"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80" w:type="dxa"/>
            <w:vAlign w:val="bottom"/>
            <w:tcBorders>
              <w:bottom w:val="single" w:sz="8" w:color="D7282F"/>
            </w:tcBorders>
          </w:tcPr>
          <w:p>
            <w:pPr>
              <w:spacing w:after="0"/>
              <w:rPr>
                <w:sz w:val="17"/>
                <w:szCs w:val="17"/>
                <w:color w:val="auto"/>
              </w:rPr>
            </w:pPr>
          </w:p>
        </w:tc>
        <w:tc>
          <w:tcPr>
            <w:tcW w:w="6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2026</w:t>
            </w:r>
          </w:p>
        </w:tc>
        <w:tc>
          <w:tcPr>
            <w:tcW w:w="360" w:type="dxa"/>
            <w:vAlign w:val="bottom"/>
            <w:tcBorders>
              <w:top w:val="single" w:sz="8" w:color="D7282F"/>
              <w:bottom w:val="single" w:sz="8" w:color="D7282F"/>
            </w:tcBorders>
          </w:tcPr>
          <w:p>
            <w:pPr>
              <w:spacing w:after="0"/>
              <w:rPr>
                <w:sz w:val="17"/>
                <w:szCs w:val="17"/>
                <w:color w:val="auto"/>
              </w:rPr>
            </w:pPr>
          </w:p>
        </w:tc>
        <w:tc>
          <w:tcPr>
            <w:tcW w:w="30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2025</w:t>
            </w:r>
          </w:p>
        </w:tc>
      </w:tr>
      <w:tr>
        <w:trPr>
          <w:trHeight w:val="192"/>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Severance</w:t>
            </w:r>
          </w:p>
        </w:tc>
        <w:tc>
          <w:tcPr>
            <w:tcW w:w="62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36</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Asset impairments</w:t>
            </w:r>
          </w:p>
        </w:tc>
        <w:tc>
          <w:tcPr>
            <w:tcW w:w="62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Exit costs</w:t>
            </w:r>
          </w:p>
        </w:tc>
        <w:tc>
          <w:tcPr>
            <w:tcW w:w="62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Reserve adjustments</w:t>
            </w:r>
          </w:p>
        </w:tc>
        <w:tc>
          <w:tcPr>
            <w:tcW w:w="62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charges</w:t>
            </w:r>
          </w:p>
        </w:tc>
        <w:tc>
          <w:tcPr>
            <w:tcW w:w="62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Asbestos-related charges, net of insurance and reimbursements</w:t>
            </w:r>
          </w:p>
        </w:tc>
        <w:tc>
          <w:tcPr>
            <w:tcW w:w="62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Probable and reasonably estimable environmental liabilities, net of reimbursements</w:t>
            </w:r>
          </w:p>
        </w:tc>
        <w:tc>
          <w:tcPr>
            <w:tcW w:w="62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w:t>
            </w:r>
          </w:p>
        </w:tc>
      </w:tr>
      <w:tr>
        <w:trPr>
          <w:trHeight w:val="199"/>
        </w:trPr>
        <w:tc>
          <w:tcPr>
            <w:tcW w:w="928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Total net repositioning and other charges</w:t>
            </w:r>
          </w:p>
        </w:tc>
        <w:tc>
          <w:tcPr>
            <w:tcW w:w="62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68</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pre-tax distribution of total net repositioning and other charges by classification in the Consolidated Statement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w:t>
      </w:r>
    </w:p>
    <w:p>
      <w:pPr>
        <w:spacing w:after="0" w:line="144"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80" w:type="dxa"/>
            <w:vAlign w:val="bottom"/>
            <w:tcBorders>
              <w:bottom w:val="single" w:sz="8" w:color="D7282F"/>
            </w:tcBorders>
          </w:tcPr>
          <w:p>
            <w:pPr>
              <w:spacing w:after="0"/>
              <w:rPr>
                <w:sz w:val="17"/>
                <w:szCs w:val="17"/>
                <w:color w:val="auto"/>
              </w:rPr>
            </w:pPr>
          </w:p>
        </w:tc>
        <w:tc>
          <w:tcPr>
            <w:tcW w:w="6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top w:val="single" w:sz="8" w:color="D7282F"/>
              <w:bottom w:val="single" w:sz="8" w:color="D7282F"/>
            </w:tcBorders>
          </w:tcPr>
          <w:p>
            <w:pPr>
              <w:spacing w:after="0"/>
              <w:rPr>
                <w:sz w:val="17"/>
                <w:szCs w:val="17"/>
                <w:color w:val="auto"/>
              </w:rPr>
            </w:pPr>
          </w:p>
        </w:tc>
        <w:tc>
          <w:tcPr>
            <w:tcW w:w="32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2025</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62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48</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6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20</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62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68</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w:t>
            </w:r>
          </w:p>
        </w:tc>
      </w:tr>
    </w:tbl>
    <w:p>
      <w:pPr>
        <w:spacing w:after="0" w:line="1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The following table summarizes the pre-tax amount of total net repositioning and other charges by reportable business segment. These amounts are excluded from segment profit as described in Note 18 </w:t>
      </w:r>
      <w:r>
        <w:rPr>
          <w:rFonts w:ascii="Arial" w:cs="Arial" w:eastAsia="Arial" w:hAnsi="Arial"/>
          <w:sz w:val="16"/>
          <w:szCs w:val="16"/>
          <w:u w:val="single" w:color="auto"/>
          <w:color w:val="0000FF"/>
        </w:rPr>
        <w:t>Segment Financial Data</w:t>
      </w:r>
      <w:r>
        <w:rPr>
          <w:rFonts w:ascii="Arial" w:cs="Arial" w:eastAsia="Arial" w:hAnsi="Arial"/>
          <w:sz w:val="16"/>
          <w:szCs w:val="16"/>
          <w:color w:val="auto"/>
        </w:rPr>
        <w:t>:</w:t>
      </w:r>
    </w:p>
    <w:p>
      <w:pPr>
        <w:spacing w:after="0" w:line="79"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80" w:type="dxa"/>
            <w:vAlign w:val="bottom"/>
            <w:tcBorders>
              <w:bottom w:val="single" w:sz="8" w:color="D7282F"/>
            </w:tcBorders>
          </w:tcPr>
          <w:p>
            <w:pPr>
              <w:spacing w:after="0"/>
              <w:rPr>
                <w:sz w:val="17"/>
                <w:szCs w:val="17"/>
                <w:color w:val="auto"/>
              </w:rPr>
            </w:pPr>
          </w:p>
        </w:tc>
        <w:tc>
          <w:tcPr>
            <w:tcW w:w="6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top w:val="single" w:sz="8" w:color="D7282F"/>
              <w:bottom w:val="single" w:sz="8" w:color="D7282F"/>
            </w:tcBorders>
          </w:tcPr>
          <w:p>
            <w:pPr>
              <w:spacing w:after="0"/>
              <w:rPr>
                <w:sz w:val="17"/>
                <w:szCs w:val="17"/>
                <w:color w:val="auto"/>
              </w:rPr>
            </w:pPr>
          </w:p>
        </w:tc>
        <w:tc>
          <w:tcPr>
            <w:tcW w:w="32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2025</w:t>
            </w:r>
          </w:p>
        </w:tc>
      </w:tr>
      <w:tr>
        <w:trPr>
          <w:trHeight w:val="192"/>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Aerospace Technologies</w:t>
            </w:r>
          </w:p>
        </w:tc>
        <w:tc>
          <w:tcPr>
            <w:tcW w:w="62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Building Automation</w:t>
            </w:r>
          </w:p>
        </w:tc>
        <w:tc>
          <w:tcPr>
            <w:tcW w:w="6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Process Automation and Technology</w:t>
            </w:r>
          </w:p>
        </w:tc>
        <w:tc>
          <w:tcPr>
            <w:tcW w:w="6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16</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Automation</w:t>
            </w:r>
          </w:p>
        </w:tc>
        <w:tc>
          <w:tcPr>
            <w:tcW w:w="6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p>
        </w:tc>
        <w:tc>
          <w:tcPr>
            <w:tcW w:w="6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43</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33</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62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68</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w:t>
            </w:r>
          </w:p>
        </w:tc>
      </w:tr>
    </w:tbl>
    <w:p>
      <w:pPr>
        <w:spacing w:after="0" w:line="32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NET REPOSITIONING CHARGES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three months ended March 31, 2026, the Company recognized gross repositioning charges totaling $50 million, including severance costs of $36 million related to workforce reductions of 562 manufacturing and administrative positions primarily in the Company's Process Automation and Technology reportable business segment and Corporate function. These workforce reductions related to productivity and ongoing functional transformation initiatives. The repositioning charges included asset impairments of $3 million related to the write-down of certain assets within the Company's Industrial Automation reportable business segment. The repositioning charges also included exit costs of $11 million related to current period costs incurred for closure obligations associated with site transitions primarily in the Company's Industrial Automation and Aerospace Technologies reportable business segments and Corporate function. Also, $8 million of previously established reserves, primarily for severance, were returned to income due to higher-than-expected voluntary exits and adjustments to the scope of previously announced repositioning actions.</w:t>
      </w:r>
    </w:p>
    <w:p>
      <w:pPr>
        <w:spacing w:after="0" w:line="200" w:lineRule="exact"/>
        <w:rPr>
          <w:sz w:val="20"/>
          <w:szCs w:val="20"/>
          <w:color w:val="auto"/>
        </w:rPr>
      </w:pPr>
    </w:p>
    <w:p>
      <w:pPr>
        <w:spacing w:after="0" w:line="211"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three months ended March 31, 2025, the Company recognized gross repositioning charges totaling $36 million, including severance costs of $24 million related to workforce reductions of 713 manufacturing and administrative positions primarily in the Company's Building Automation and Industrial Automation reportable business segments. These workforce reductions related to productivity and ongoing functional transformation initiatives. The repositioning charges included asset impairments of $1 million related to the write-down of certain assets within the Company's Industrial Automation reportable business segment. The repositioning charges also included exit costs of $11 million related to current period costs incurred for closure obligations associated with site transitions primarily in the Company's Industrial Automation and Building Automation reportable business segments and Corporate function. Also, $29 million of previously established reserves, primarily for severance, were returned to income due to higher-than-expected voluntary exits and adjustments to the scope of previously announced repositioning actions.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the Company's repositioning reserves, excluding amounts included in Liabilities held for sale in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140" w:type="dxa"/>
            <w:vAlign w:val="bottom"/>
          </w:tcPr>
          <w:p>
            <w:pPr>
              <w:jc w:val="right"/>
              <w:ind w:right="428"/>
              <w:spacing w:after="0"/>
              <w:rPr>
                <w:sz w:val="20"/>
                <w:szCs w:val="20"/>
                <w:color w:val="auto"/>
              </w:rPr>
            </w:pPr>
            <w:r>
              <w:rPr>
                <w:rFonts w:ascii="Arial" w:cs="Arial" w:eastAsia="Arial" w:hAnsi="Arial"/>
                <w:sz w:val="14"/>
                <w:szCs w:val="14"/>
                <w:b w:val="1"/>
                <w:bCs w:val="1"/>
                <w:color w:val="auto"/>
              </w:rPr>
              <w:t>Asset</w:t>
            </w:r>
          </w:p>
        </w:tc>
        <w:tc>
          <w:tcPr>
            <w:tcW w:w="360" w:type="dxa"/>
            <w:vAlign w:val="bottom"/>
          </w:tcPr>
          <w:p>
            <w:pPr>
              <w:spacing w:after="0"/>
              <w:rPr>
                <w:sz w:val="14"/>
                <w:szCs w:val="14"/>
                <w:color w:val="auto"/>
              </w:rPr>
            </w:pPr>
          </w:p>
        </w:tc>
        <w:tc>
          <w:tcPr>
            <w:tcW w:w="1020" w:type="dxa"/>
            <w:vAlign w:val="bottom"/>
          </w:tcPr>
          <w:p>
            <w:pPr>
              <w:jc w:val="right"/>
              <w:ind w:right="488"/>
              <w:spacing w:after="0"/>
              <w:rPr>
                <w:sz w:val="20"/>
                <w:szCs w:val="20"/>
                <w:color w:val="auto"/>
              </w:rPr>
            </w:pPr>
            <w:r>
              <w:rPr>
                <w:rFonts w:ascii="Arial" w:cs="Arial" w:eastAsia="Arial" w:hAnsi="Arial"/>
                <w:sz w:val="14"/>
                <w:szCs w:val="14"/>
                <w:b w:val="1"/>
                <w:bCs w:val="1"/>
                <w:color w:val="auto"/>
              </w:rPr>
              <w:t>Exit</w:t>
            </w:r>
          </w:p>
        </w:tc>
        <w:tc>
          <w:tcPr>
            <w:tcW w:w="360" w:type="dxa"/>
            <w:vAlign w:val="bottom"/>
          </w:tcPr>
          <w:p>
            <w:pPr>
              <w:spacing w:after="0"/>
              <w:rPr>
                <w:sz w:val="14"/>
                <w:szCs w:val="14"/>
                <w:color w:val="auto"/>
              </w:rPr>
            </w:pPr>
          </w:p>
        </w:tc>
        <w:tc>
          <w:tcPr>
            <w:tcW w:w="9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40" w:type="dxa"/>
            <w:vAlign w:val="bottom"/>
            <w:tcBorders>
              <w:bottom w:val="single" w:sz="8" w:color="D7282F"/>
            </w:tcBorders>
          </w:tcPr>
          <w:p>
            <w:pPr>
              <w:spacing w:after="0"/>
              <w:rPr>
                <w:sz w:val="16"/>
                <w:szCs w:val="16"/>
                <w:color w:val="auto"/>
              </w:rPr>
            </w:pPr>
          </w:p>
        </w:tc>
        <w:tc>
          <w:tcPr>
            <w:tcW w:w="2080" w:type="dxa"/>
            <w:vAlign w:val="bottom"/>
            <w:tcBorders>
              <w:bottom w:val="single" w:sz="8" w:color="D7282F"/>
            </w:tcBorders>
          </w:tcPr>
          <w:p>
            <w:pPr>
              <w:spacing w:after="0"/>
              <w:rPr>
                <w:sz w:val="16"/>
                <w:szCs w:val="16"/>
                <w:color w:val="auto"/>
              </w:rPr>
            </w:pPr>
          </w:p>
        </w:tc>
        <w:tc>
          <w:tcPr>
            <w:tcW w:w="110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Costs</w:t>
            </w:r>
          </w:p>
        </w:tc>
        <w:tc>
          <w:tcPr>
            <w:tcW w:w="2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Impairments</w:t>
            </w:r>
          </w:p>
        </w:tc>
        <w:tc>
          <w:tcPr>
            <w:tcW w:w="36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Costs</w:t>
            </w:r>
          </w:p>
        </w:tc>
        <w:tc>
          <w:tcPr>
            <w:tcW w:w="36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2025</w:t>
            </w:r>
          </w:p>
        </w:tc>
        <w:tc>
          <w:tcPr>
            <w:tcW w:w="2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172</w:t>
            </w:r>
          </w:p>
        </w:tc>
        <w:tc>
          <w:tcPr>
            <w:tcW w:w="0" w:type="dxa"/>
            <w:vAlign w:val="bottom"/>
          </w:tcPr>
          <w:p>
            <w:pPr>
              <w:spacing w:after="0"/>
              <w:rPr>
                <w:sz w:val="1"/>
                <w:szCs w:val="1"/>
                <w:color w:val="auto"/>
              </w:rPr>
            </w:pPr>
          </w:p>
        </w:tc>
      </w:tr>
      <w:tr>
        <w:trPr>
          <w:trHeight w:val="193"/>
        </w:trPr>
        <w:tc>
          <w:tcPr>
            <w:tcW w:w="40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Charges</w:t>
            </w:r>
          </w:p>
        </w:tc>
        <w:tc>
          <w:tcPr>
            <w:tcW w:w="2080" w:type="dxa"/>
            <w:vAlign w:val="bottom"/>
            <w:tcBorders>
              <w:bottom w:val="single" w:sz="8" w:color="61656A"/>
            </w:tcBorders>
          </w:tcPr>
          <w:p>
            <w:pPr>
              <w:spacing w:after="0"/>
              <w:rPr>
                <w:sz w:val="16"/>
                <w:szCs w:val="16"/>
                <w:color w:val="auto"/>
              </w:rPr>
            </w:pPr>
          </w:p>
        </w:tc>
        <w:tc>
          <w:tcPr>
            <w:tcW w:w="11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36</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w:t>
            </w:r>
          </w:p>
        </w:tc>
        <w:tc>
          <w:tcPr>
            <w:tcW w:w="3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w:t>
            </w:r>
          </w:p>
        </w:tc>
        <w:tc>
          <w:tcPr>
            <w:tcW w:w="36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Usage—cash</w:t>
            </w:r>
          </w:p>
        </w:tc>
        <w:tc>
          <w:tcPr>
            <w:tcW w:w="208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(25)</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Usage—noncash</w:t>
            </w:r>
          </w:p>
        </w:tc>
        <w:tc>
          <w:tcPr>
            <w:tcW w:w="208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translation</w:t>
            </w:r>
          </w:p>
        </w:tc>
        <w:tc>
          <w:tcPr>
            <w:tcW w:w="208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Adjustments</w:t>
            </w:r>
          </w:p>
        </w:tc>
        <w:tc>
          <w:tcPr>
            <w:tcW w:w="208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9"/>
        </w:trPr>
        <w:tc>
          <w:tcPr>
            <w:tcW w:w="40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March 31, 2026</w:t>
            </w:r>
          </w:p>
        </w:tc>
        <w:tc>
          <w:tcPr>
            <w:tcW w:w="2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174</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175</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Certain repositioning projects will recognize exit costs in future periods when the actual liability is incurred. Such exit costs incurred in the three months ended March 31, 2026 and 2025, were $11 million and $11 million,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NOTE 6. INCOME TAXES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effective tax rate was lower than the U.S. federal statutory rate of 21% and decreased during 2026 compared to 2025 as a result of a change in estimate of reduced frictional tax on the spin-off of the Advanced Materials business and prior tax positions, offset by incremental tax expense for tax reserve activities.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color w:val="D7282F"/>
        </w:rPr>
        <w:t>NOTE 7. INVENTORIES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80" w:type="dxa"/>
            <w:vAlign w:val="bottom"/>
            <w:tcBorders>
              <w:bottom w:val="single" w:sz="8" w:color="D7282F"/>
            </w:tcBorders>
          </w:tcPr>
          <w:p>
            <w:pPr>
              <w:spacing w:after="0"/>
              <w:rPr>
                <w:sz w:val="17"/>
                <w:szCs w:val="17"/>
                <w:color w:val="auto"/>
              </w:rPr>
            </w:pPr>
          </w:p>
        </w:tc>
        <w:tc>
          <w:tcPr>
            <w:tcW w:w="3320" w:type="dxa"/>
            <w:vAlign w:val="bottom"/>
            <w:tcBorders>
              <w:bottom w:val="single" w:sz="8" w:color="D7282F"/>
            </w:tcBorders>
          </w:tcPr>
          <w:p>
            <w:pPr>
              <w:spacing w:after="0"/>
              <w:rPr>
                <w:sz w:val="17"/>
                <w:szCs w:val="17"/>
                <w:color w:val="auto"/>
              </w:rPr>
            </w:pPr>
          </w:p>
        </w:tc>
        <w:tc>
          <w:tcPr>
            <w:tcW w:w="164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March 31, 2026</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2025</w:t>
            </w:r>
          </w:p>
        </w:tc>
      </w:tr>
      <w:tr>
        <w:trPr>
          <w:trHeight w:val="193"/>
        </w:trPr>
        <w:tc>
          <w:tcPr>
            <w:tcW w:w="43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Raw materials</w:t>
            </w:r>
          </w:p>
        </w:tc>
        <w:tc>
          <w:tcPr>
            <w:tcW w:w="33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1,738</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1,638</w:t>
            </w:r>
          </w:p>
        </w:tc>
      </w:tr>
      <w:tr>
        <w:trPr>
          <w:trHeight w:val="196"/>
        </w:trPr>
        <w:tc>
          <w:tcPr>
            <w:tcW w:w="43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Work in process</w:t>
            </w:r>
          </w:p>
        </w:tc>
        <w:tc>
          <w:tcPr>
            <w:tcW w:w="3320" w:type="dxa"/>
            <w:vAlign w:val="bottom"/>
            <w:tcBorders>
              <w:bottom w:val="single" w:sz="8" w:color="61656A"/>
            </w:tcBorders>
          </w:tcPr>
          <w:p>
            <w:pPr>
              <w:spacing w:after="0"/>
              <w:rPr>
                <w:sz w:val="17"/>
                <w:szCs w:val="17"/>
                <w:color w:val="auto"/>
              </w:rPr>
            </w:pPr>
          </w:p>
        </w:tc>
        <w:tc>
          <w:tcPr>
            <w:tcW w:w="1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1,230</w:t>
            </w:r>
          </w:p>
        </w:tc>
        <w:tc>
          <w:tcPr>
            <w:tcW w:w="30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1,203</w:t>
            </w:r>
          </w:p>
        </w:tc>
      </w:tr>
      <w:tr>
        <w:trPr>
          <w:trHeight w:val="196"/>
        </w:trPr>
        <w:tc>
          <w:tcPr>
            <w:tcW w:w="43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Finished products</w:t>
            </w:r>
          </w:p>
        </w:tc>
        <w:tc>
          <w:tcPr>
            <w:tcW w:w="3320" w:type="dxa"/>
            <w:vAlign w:val="bottom"/>
            <w:tcBorders>
              <w:bottom w:val="single" w:sz="8" w:color="D7282F"/>
            </w:tcBorders>
          </w:tcPr>
          <w:p>
            <w:pPr>
              <w:spacing w:after="0"/>
              <w:rPr>
                <w:sz w:val="17"/>
                <w:szCs w:val="17"/>
                <w:color w:val="auto"/>
              </w:rPr>
            </w:pPr>
          </w:p>
        </w:tc>
        <w:tc>
          <w:tcPr>
            <w:tcW w:w="1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3,401</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3,321</w:t>
            </w:r>
          </w:p>
        </w:tc>
      </w:tr>
      <w:tr>
        <w:trPr>
          <w:trHeight w:val="199"/>
        </w:trPr>
        <w:tc>
          <w:tcPr>
            <w:tcW w:w="4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Inventories</w:t>
            </w:r>
          </w:p>
        </w:tc>
        <w:tc>
          <w:tcPr>
            <w:tcW w:w="33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6,369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6,162</w:t>
            </w:r>
          </w:p>
        </w:tc>
      </w:tr>
    </w:tbl>
    <w:p>
      <w:pPr>
        <w:spacing w:after="0" w:line="200" w:lineRule="exact"/>
        <w:rPr>
          <w:sz w:val="20"/>
          <w:szCs w:val="20"/>
          <w:color w:val="auto"/>
        </w:rPr>
      </w:pPr>
    </w:p>
    <w:p>
      <w:pPr>
        <w:spacing w:after="0" w:line="28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17</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8. GOODWILL AND OTHER INTANGIBLE ASSETS—NET</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As part of the segment realignment discussed in Note 18 </w:t>
      </w:r>
      <w:r>
        <w:rPr>
          <w:rFonts w:ascii="Arial" w:cs="Arial" w:eastAsia="Arial" w:hAnsi="Arial"/>
          <w:sz w:val="16"/>
          <w:szCs w:val="16"/>
          <w:u w:val="single" w:color="auto"/>
          <w:color w:val="0000FF"/>
        </w:rPr>
        <w:t>Segment Financial Data</w:t>
      </w:r>
      <w:r>
        <w:rPr>
          <w:rFonts w:ascii="Arial" w:cs="Arial" w:eastAsia="Arial" w:hAnsi="Arial"/>
          <w:sz w:val="16"/>
          <w:szCs w:val="16"/>
          <w:color w:val="auto"/>
        </w:rPr>
        <w:t>, the Company performed a reallocation of goodwill on a relative fair value basis as of the first quarter of 2026, with goodwill in prior periods recast on a consistent basis. This resulted in a reallocation of goodwill between the Industrial Automation and Process Automation and Technology reportable business segments. We performed interim impairment tests in the first quarter of 2026 for reporting units impacted and determined there was no goodwill impairment.</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 in the carrying amount of goodwill for the three months ended March 31, 2026, by reportable business segment: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center"/>
              <w:ind w:right="208"/>
              <w:spacing w:after="0"/>
              <w:rPr>
                <w:sz w:val="20"/>
                <w:szCs w:val="20"/>
                <w:color w:val="auto"/>
              </w:rPr>
            </w:pPr>
            <w:r>
              <w:rPr>
                <w:rFonts w:ascii="Arial" w:cs="Arial" w:eastAsia="Arial" w:hAnsi="Arial"/>
                <w:sz w:val="14"/>
                <w:szCs w:val="14"/>
                <w:b w:val="1"/>
                <w:bCs w:val="1"/>
                <w:color w:val="auto"/>
              </w:rPr>
              <w:t>Currency</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Acquisitions</w:t>
            </w:r>
          </w:p>
        </w:tc>
        <w:tc>
          <w:tcPr>
            <w:tcW w:w="320" w:type="dxa"/>
            <w:vAlign w:val="bottom"/>
          </w:tcPr>
          <w:p>
            <w:pPr>
              <w:spacing w:after="0"/>
              <w:rPr>
                <w:sz w:val="12"/>
                <w:szCs w:val="12"/>
                <w:color w:val="auto"/>
              </w:rPr>
            </w:pPr>
          </w:p>
        </w:tc>
        <w:tc>
          <w:tcPr>
            <w:tcW w:w="122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rPr>
              <w:t>Translation</w:t>
            </w:r>
          </w:p>
        </w:tc>
        <w:tc>
          <w:tcPr>
            <w:tcW w:w="240" w:type="dxa"/>
            <w:vAlign w:val="bottom"/>
          </w:tcPr>
          <w:p>
            <w:pPr>
              <w:spacing w:after="0"/>
              <w:rPr>
                <w:sz w:val="12"/>
                <w:szCs w:val="12"/>
                <w:color w:val="auto"/>
              </w:rPr>
            </w:pPr>
          </w:p>
        </w:tc>
        <w:tc>
          <w:tcPr>
            <w:tcW w:w="11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March 31, 2026</w:t>
            </w:r>
          </w:p>
        </w:tc>
        <w:tc>
          <w:tcPr>
            <w:tcW w:w="0" w:type="dxa"/>
            <w:vAlign w:val="bottom"/>
          </w:tcPr>
          <w:p>
            <w:pPr>
              <w:spacing w:after="0"/>
              <w:rPr>
                <w:sz w:val="1"/>
                <w:szCs w:val="1"/>
                <w:color w:val="auto"/>
              </w:rPr>
            </w:pPr>
          </w:p>
        </w:tc>
      </w:tr>
      <w:tr>
        <w:trPr>
          <w:trHeight w:val="185"/>
        </w:trPr>
        <w:tc>
          <w:tcPr>
            <w:tcW w:w="536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vMerge w:val="continue"/>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Adjustment</w:t>
            </w:r>
          </w:p>
        </w:tc>
        <w:tc>
          <w:tcPr>
            <w:tcW w:w="24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3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Aerospace Technologies</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3,025</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61656A"/>
            </w:tcBorders>
          </w:tcPr>
          <w:p>
            <w:pPr>
              <w:ind w:left="9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3,023</w:t>
            </w:r>
          </w:p>
        </w:tc>
        <w:tc>
          <w:tcPr>
            <w:tcW w:w="0" w:type="dxa"/>
            <w:vAlign w:val="bottom"/>
          </w:tcPr>
          <w:p>
            <w:pPr>
              <w:spacing w:after="0"/>
              <w:rPr>
                <w:sz w:val="1"/>
                <w:szCs w:val="1"/>
                <w:color w:val="auto"/>
              </w:rPr>
            </w:pPr>
          </w:p>
        </w:tc>
      </w:tr>
      <w:tr>
        <w:trPr>
          <w:trHeight w:val="196"/>
        </w:trPr>
        <w:tc>
          <w:tcPr>
            <w:tcW w:w="53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Building Automation</w:t>
            </w:r>
          </w:p>
        </w:tc>
        <w:tc>
          <w:tcPr>
            <w:tcW w:w="14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6,439</w:t>
            </w:r>
          </w:p>
        </w:tc>
        <w:tc>
          <w:tcPr>
            <w:tcW w:w="30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ind w:left="9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(10)</w:t>
            </w:r>
          </w:p>
        </w:tc>
        <w:tc>
          <w:tcPr>
            <w:tcW w:w="24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6,429</w:t>
            </w:r>
          </w:p>
        </w:tc>
        <w:tc>
          <w:tcPr>
            <w:tcW w:w="0" w:type="dxa"/>
            <w:vAlign w:val="bottom"/>
          </w:tcPr>
          <w:p>
            <w:pPr>
              <w:spacing w:after="0"/>
              <w:rPr>
                <w:sz w:val="1"/>
                <w:szCs w:val="1"/>
                <w:color w:val="auto"/>
              </w:rPr>
            </w:pPr>
          </w:p>
        </w:tc>
      </w:tr>
      <w:tr>
        <w:trPr>
          <w:trHeight w:val="196"/>
        </w:trPr>
        <w:tc>
          <w:tcPr>
            <w:tcW w:w="53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Process Automation and Technology</w:t>
            </w:r>
          </w:p>
        </w:tc>
        <w:tc>
          <w:tcPr>
            <w:tcW w:w="14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7,140</w:t>
            </w:r>
          </w:p>
        </w:tc>
        <w:tc>
          <w:tcPr>
            <w:tcW w:w="30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ind w:left="9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64</w:t>
            </w:r>
          </w:p>
        </w:tc>
        <w:tc>
          <w:tcPr>
            <w:tcW w:w="24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7,204</w:t>
            </w:r>
          </w:p>
        </w:tc>
        <w:tc>
          <w:tcPr>
            <w:tcW w:w="0" w:type="dxa"/>
            <w:vAlign w:val="bottom"/>
          </w:tcPr>
          <w:p>
            <w:pPr>
              <w:spacing w:after="0"/>
              <w:rPr>
                <w:sz w:val="1"/>
                <w:szCs w:val="1"/>
                <w:color w:val="auto"/>
              </w:rPr>
            </w:pPr>
          </w:p>
        </w:tc>
      </w:tr>
      <w:tr>
        <w:trPr>
          <w:trHeight w:val="196"/>
        </w:trPr>
        <w:tc>
          <w:tcPr>
            <w:tcW w:w="53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Industrial Automation</w:t>
            </w:r>
          </w:p>
        </w:tc>
        <w:tc>
          <w:tcPr>
            <w:tcW w:w="14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3,526</w:t>
            </w:r>
          </w:p>
        </w:tc>
        <w:tc>
          <w:tcPr>
            <w:tcW w:w="30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ind w:left="9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(51)</w:t>
            </w:r>
          </w:p>
        </w:tc>
        <w:tc>
          <w:tcPr>
            <w:tcW w:w="24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3,475</w:t>
            </w:r>
          </w:p>
        </w:tc>
        <w:tc>
          <w:tcPr>
            <w:tcW w:w="0" w:type="dxa"/>
            <w:vAlign w:val="bottom"/>
          </w:tcPr>
          <w:p>
            <w:pPr>
              <w:spacing w:after="0"/>
              <w:rPr>
                <w:sz w:val="1"/>
                <w:szCs w:val="1"/>
                <w:color w:val="auto"/>
              </w:rPr>
            </w:pPr>
          </w:p>
        </w:tc>
      </w:tr>
      <w:tr>
        <w:trPr>
          <w:trHeight w:val="196"/>
        </w:trPr>
        <w:tc>
          <w:tcPr>
            <w:tcW w:w="5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p>
        </w:tc>
        <w:tc>
          <w:tcPr>
            <w:tcW w:w="14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949</w:t>
            </w:r>
          </w:p>
        </w:tc>
        <w:tc>
          <w:tcPr>
            <w:tcW w:w="30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ind w:left="9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199"/>
        </w:trPr>
        <w:tc>
          <w:tcPr>
            <w:tcW w:w="5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Goodwill</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21,079</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D7282F"/>
            </w:tcBorders>
          </w:tcPr>
          <w:p>
            <w:pPr>
              <w:ind w:left="92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21,079</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Other intangible assets are comprised of:</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March 31, 2026</w:t>
            </w: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1560" w:type="dxa"/>
            <w:vAlign w:val="bottom"/>
            <w:tcBorders>
              <w:bottom w:val="single" w:sz="8" w:color="D7282F"/>
            </w:tcBorders>
            <w:gridSpan w:val="2"/>
          </w:tcPr>
          <w:p>
            <w:pPr>
              <w:jc w:val="right"/>
              <w:ind w:right="48"/>
              <w:spacing w:after="0"/>
              <w:rPr>
                <w:sz w:val="20"/>
                <w:szCs w:val="20"/>
                <w:color w:val="auto"/>
              </w:rPr>
            </w:pPr>
            <w:r>
              <w:rPr>
                <w:rFonts w:ascii="Arial" w:cs="Arial" w:eastAsia="Arial" w:hAnsi="Arial"/>
                <w:sz w:val="14"/>
                <w:szCs w:val="14"/>
                <w:b w:val="1"/>
                <w:bCs w:val="1"/>
                <w:color w:val="auto"/>
              </w:rPr>
              <w:t>December 31, 2025</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Gross</w:t>
            </w:r>
          </w:p>
        </w:tc>
        <w:tc>
          <w:tcPr>
            <w:tcW w:w="260" w:type="dxa"/>
            <w:vAlign w:val="bottom"/>
          </w:tcPr>
          <w:p>
            <w:pPr>
              <w:spacing w:after="0"/>
              <w:rPr>
                <w:sz w:val="15"/>
                <w:szCs w:val="15"/>
                <w:color w:val="auto"/>
              </w:rPr>
            </w:pPr>
          </w:p>
        </w:tc>
        <w:tc>
          <w:tcPr>
            <w:tcW w:w="128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Gross</w:t>
            </w:r>
          </w:p>
        </w:tc>
        <w:tc>
          <w:tcPr>
            <w:tcW w:w="380" w:type="dxa"/>
            <w:vAlign w:val="bottom"/>
          </w:tcPr>
          <w:p>
            <w:pPr>
              <w:spacing w:after="0"/>
              <w:rPr>
                <w:sz w:val="15"/>
                <w:szCs w:val="15"/>
                <w:color w:val="auto"/>
              </w:rPr>
            </w:pPr>
          </w:p>
        </w:tc>
        <w:tc>
          <w:tcPr>
            <w:tcW w:w="11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5"/>
                <w:szCs w:val="15"/>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8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5"/>
        </w:trPr>
        <w:tc>
          <w:tcPr>
            <w:tcW w:w="39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Definite-life intangibles</w:t>
            </w:r>
          </w:p>
        </w:tc>
        <w:tc>
          <w:tcPr>
            <w:tcW w:w="1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11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Patents and technology</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3,304</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(1,754)</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1,550</w:t>
            </w:r>
          </w:p>
        </w:tc>
        <w:tc>
          <w:tcPr>
            <w:tcW w:w="220" w:type="dxa"/>
            <w:vAlign w:val="bottom"/>
            <w:tcBorders>
              <w:bottom w:val="single" w:sz="8" w:color="61656A"/>
            </w:tcBorders>
          </w:tcPr>
          <w:p>
            <w:pPr>
              <w:spacing w:after="0"/>
              <w:rPr>
                <w:sz w:val="16"/>
                <w:szCs w:val="16"/>
                <w:color w:val="auto"/>
              </w:rPr>
            </w:pP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3,354</w:t>
            </w:r>
          </w:p>
        </w:tc>
        <w:tc>
          <w:tcPr>
            <w:tcW w:w="3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(1,714)</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1,640</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Customer relationships</w:t>
            </w: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6,318</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(2,096)</w:t>
            </w:r>
          </w:p>
        </w:tc>
        <w:tc>
          <w:tcPr>
            <w:tcW w:w="2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4,222</w:t>
            </w: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6,325</w:t>
            </w: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(2,008)</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4,317</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Trademarks</w:t>
            </w: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303</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(237)</w:t>
            </w:r>
          </w:p>
        </w:tc>
        <w:tc>
          <w:tcPr>
            <w:tcW w:w="2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66</w:t>
            </w: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297</w:t>
            </w: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(232)</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622</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(284)</w:t>
            </w: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338</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592</w:t>
            </w:r>
          </w:p>
        </w:tc>
        <w:tc>
          <w:tcPr>
            <w:tcW w:w="3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(272)</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definite-life intangibles—net</w:t>
            </w: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10,547</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(4,371)</w:t>
            </w: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6,176</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10,568</w:t>
            </w:r>
          </w:p>
        </w:tc>
        <w:tc>
          <w:tcPr>
            <w:tcW w:w="3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(4,226)</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6,342</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Indefinite-life intangibles</w:t>
            </w: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Trademarks</w:t>
            </w: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386</w:t>
            </w:r>
          </w:p>
        </w:tc>
        <w:tc>
          <w:tcPr>
            <w:tcW w:w="2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386</w:t>
            </w:r>
          </w:p>
        </w:tc>
        <w:tc>
          <w:tcPr>
            <w:tcW w:w="2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394</w:t>
            </w:r>
          </w:p>
        </w:tc>
        <w:tc>
          <w:tcPr>
            <w:tcW w:w="38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Other intangible assets—net</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10,933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(4,371)</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6,562</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10,962</w:t>
            </w:r>
          </w:p>
        </w:tc>
        <w:tc>
          <w:tcPr>
            <w:tcW w:w="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(4,226)</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6,736</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amortization expense was $153 million and $135 million for the three months ended March 31, 2026 and 2025, respectively.</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NOTE 9. DEBT AND CREDIT AGREEMENTS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60" w:type="dxa"/>
            <w:vAlign w:val="bottom"/>
            <w:tcBorders>
              <w:bottom w:val="single" w:sz="8" w:color="D7282F"/>
            </w:tcBorders>
          </w:tcPr>
          <w:p>
            <w:pPr>
              <w:spacing w:after="0"/>
              <w:rPr>
                <w:sz w:val="17"/>
                <w:szCs w:val="17"/>
                <w:color w:val="auto"/>
              </w:rPr>
            </w:pPr>
          </w:p>
        </w:tc>
        <w:tc>
          <w:tcPr>
            <w:tcW w:w="2840" w:type="dxa"/>
            <w:vAlign w:val="bottom"/>
            <w:tcBorders>
              <w:bottom w:val="single" w:sz="8" w:color="D7282F"/>
            </w:tcBorders>
          </w:tcPr>
          <w:p>
            <w:pPr>
              <w:spacing w:after="0"/>
              <w:rPr>
                <w:sz w:val="17"/>
                <w:szCs w:val="17"/>
                <w:color w:val="auto"/>
              </w:rPr>
            </w:pPr>
          </w:p>
        </w:tc>
        <w:tc>
          <w:tcPr>
            <w:tcW w:w="164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March 31, 2026</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2025</w:t>
            </w:r>
          </w:p>
        </w:tc>
      </w:tr>
      <w:tr>
        <w:trPr>
          <w:trHeight w:val="193"/>
        </w:trPr>
        <w:tc>
          <w:tcPr>
            <w:tcW w:w="4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2.50% notes due 2026</w:t>
            </w:r>
          </w:p>
        </w:tc>
        <w:tc>
          <w:tcPr>
            <w:tcW w:w="284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1,500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4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1.10% notes due 2027</w:t>
            </w:r>
          </w:p>
        </w:tc>
        <w:tc>
          <w:tcPr>
            <w:tcW w:w="2840" w:type="dxa"/>
            <w:vAlign w:val="bottom"/>
            <w:tcBorders>
              <w:bottom w:val="single" w:sz="8" w:color="61656A"/>
            </w:tcBorders>
          </w:tcPr>
          <w:p>
            <w:pPr>
              <w:spacing w:after="0"/>
              <w:rPr>
                <w:sz w:val="17"/>
                <w:szCs w:val="17"/>
                <w:color w:val="auto"/>
              </w:rPr>
            </w:pPr>
          </w:p>
        </w:tc>
        <w:tc>
          <w:tcPr>
            <w:tcW w:w="1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1,000</w:t>
            </w:r>
          </w:p>
        </w:tc>
        <w:tc>
          <w:tcPr>
            <w:tcW w:w="30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4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3.50% euro notes due 2027</w:t>
            </w:r>
          </w:p>
        </w:tc>
        <w:tc>
          <w:tcPr>
            <w:tcW w:w="2840" w:type="dxa"/>
            <w:vAlign w:val="bottom"/>
            <w:tcBorders>
              <w:bottom w:val="single" w:sz="8" w:color="61656A"/>
            </w:tcBorders>
          </w:tcPr>
          <w:p>
            <w:pPr>
              <w:spacing w:after="0"/>
              <w:rPr>
                <w:sz w:val="17"/>
                <w:szCs w:val="17"/>
                <w:color w:val="auto"/>
              </w:rPr>
            </w:pPr>
          </w:p>
        </w:tc>
        <w:tc>
          <w:tcPr>
            <w:tcW w:w="1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224</w:t>
            </w:r>
          </w:p>
        </w:tc>
        <w:tc>
          <w:tcPr>
            <w:tcW w:w="30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763</w:t>
            </w:r>
          </w:p>
        </w:tc>
      </w:tr>
      <w:tr>
        <w:trPr>
          <w:trHeight w:val="196"/>
        </w:trPr>
        <w:tc>
          <w:tcPr>
            <w:tcW w:w="4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4.65% notes due 2027</w:t>
            </w:r>
          </w:p>
        </w:tc>
        <w:tc>
          <w:tcPr>
            <w:tcW w:w="2840" w:type="dxa"/>
            <w:vAlign w:val="bottom"/>
            <w:tcBorders>
              <w:bottom w:val="single" w:sz="8" w:color="61656A"/>
            </w:tcBorders>
          </w:tcPr>
          <w:p>
            <w:pPr>
              <w:spacing w:after="0"/>
              <w:rPr>
                <w:sz w:val="17"/>
                <w:szCs w:val="17"/>
                <w:color w:val="auto"/>
              </w:rPr>
            </w:pPr>
          </w:p>
        </w:tc>
        <w:tc>
          <w:tcPr>
            <w:tcW w:w="1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1,150</w:t>
            </w:r>
          </w:p>
        </w:tc>
      </w:tr>
      <w:tr>
        <w:trPr>
          <w:trHeight w:val="196"/>
        </w:trPr>
        <w:tc>
          <w:tcPr>
            <w:tcW w:w="4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4.95% notes due 2028</w:t>
            </w:r>
          </w:p>
        </w:tc>
        <w:tc>
          <w:tcPr>
            <w:tcW w:w="2840" w:type="dxa"/>
            <w:vAlign w:val="bottom"/>
            <w:tcBorders>
              <w:bottom w:val="single" w:sz="8" w:color="61656A"/>
            </w:tcBorders>
          </w:tcPr>
          <w:p>
            <w:pPr>
              <w:spacing w:after="0"/>
              <w:rPr>
                <w:sz w:val="17"/>
                <w:szCs w:val="17"/>
                <w:color w:val="auto"/>
              </w:rPr>
            </w:pPr>
          </w:p>
        </w:tc>
        <w:tc>
          <w:tcPr>
            <w:tcW w:w="1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4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3.90% notes due 2028</w:t>
            </w:r>
          </w:p>
        </w:tc>
        <w:tc>
          <w:tcPr>
            <w:tcW w:w="2840" w:type="dxa"/>
            <w:vAlign w:val="bottom"/>
            <w:tcBorders>
              <w:bottom w:val="single" w:sz="8" w:color="61656A"/>
            </w:tcBorders>
          </w:tcPr>
          <w:p>
            <w:pPr>
              <w:spacing w:after="0"/>
              <w:rPr>
                <w:sz w:val="17"/>
                <w:szCs w:val="17"/>
                <w:color w:val="auto"/>
              </w:rPr>
            </w:pPr>
          </w:p>
        </w:tc>
        <w:tc>
          <w:tcPr>
            <w:tcW w:w="1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1,250</w:t>
            </w:r>
          </w:p>
        </w:tc>
        <w:tc>
          <w:tcPr>
            <w:tcW w:w="30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2.25% euro notes due 2028</w:t>
            </w:r>
          </w:p>
        </w:tc>
        <w:tc>
          <w:tcPr>
            <w:tcW w:w="2840" w:type="dxa"/>
            <w:vAlign w:val="bottom"/>
            <w:tcBorders>
              <w:bottom w:val="single" w:sz="8" w:color="61656A"/>
            </w:tcBorders>
          </w:tcPr>
          <w:p>
            <w:pPr>
              <w:spacing w:after="0"/>
              <w:rPr>
                <w:sz w:val="17"/>
                <w:szCs w:val="17"/>
                <w:color w:val="auto"/>
              </w:rPr>
            </w:pPr>
          </w:p>
        </w:tc>
        <w:tc>
          <w:tcPr>
            <w:tcW w:w="1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341</w:t>
            </w:r>
          </w:p>
        </w:tc>
        <w:tc>
          <w:tcPr>
            <w:tcW w:w="30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881</w:t>
            </w:r>
          </w:p>
        </w:tc>
      </w:tr>
      <w:tr>
        <w:trPr>
          <w:trHeight w:val="196"/>
        </w:trPr>
        <w:tc>
          <w:tcPr>
            <w:tcW w:w="4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4.00% notes due 2029</w:t>
            </w:r>
          </w:p>
        </w:tc>
        <w:tc>
          <w:tcPr>
            <w:tcW w:w="2840" w:type="dxa"/>
            <w:vAlign w:val="bottom"/>
            <w:tcBorders>
              <w:bottom w:val="single" w:sz="8" w:color="61656A"/>
            </w:tcBorders>
          </w:tcPr>
          <w:p>
            <w:pPr>
              <w:spacing w:after="0"/>
              <w:rPr>
                <w:sz w:val="17"/>
                <w:szCs w:val="17"/>
                <w:color w:val="auto"/>
              </w:rPr>
            </w:pPr>
          </w:p>
        </w:tc>
        <w:tc>
          <w:tcPr>
            <w:tcW w:w="1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1,250</w:t>
            </w:r>
          </w:p>
        </w:tc>
        <w:tc>
          <w:tcPr>
            <w:tcW w:w="30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SOFR plus 0.63% notes due 2029</w:t>
            </w:r>
          </w:p>
        </w:tc>
        <w:tc>
          <w:tcPr>
            <w:tcW w:w="2840" w:type="dxa"/>
            <w:vAlign w:val="bottom"/>
            <w:tcBorders>
              <w:bottom w:val="single" w:sz="8" w:color="61656A"/>
            </w:tcBorders>
          </w:tcPr>
          <w:p>
            <w:pPr>
              <w:spacing w:after="0"/>
              <w:rPr>
                <w:sz w:val="17"/>
                <w:szCs w:val="17"/>
                <w:color w:val="auto"/>
              </w:rPr>
            </w:pPr>
          </w:p>
        </w:tc>
        <w:tc>
          <w:tcPr>
            <w:tcW w:w="1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500</w:t>
            </w:r>
          </w:p>
        </w:tc>
        <w:tc>
          <w:tcPr>
            <w:tcW w:w="30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18</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40" w:type="dxa"/>
            <w:vAlign w:val="bottom"/>
            <w:tcBorders>
              <w:bottom w:val="single" w:sz="8" w:color="61656A"/>
            </w:tcBorders>
          </w:tcPr>
          <w:p>
            <w:pPr>
              <w:spacing w:after="0"/>
              <w:rPr>
                <w:sz w:val="17"/>
                <w:szCs w:val="17"/>
                <w:color w:val="auto"/>
              </w:rPr>
            </w:pP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428"/>
              <w:spacing w:after="0"/>
              <w:rPr>
                <w:sz w:val="20"/>
                <w:szCs w:val="20"/>
                <w:color w:val="auto"/>
              </w:rPr>
            </w:pPr>
            <w:r>
              <w:rPr>
                <w:rFonts w:ascii="Arial" w:cs="Arial" w:eastAsia="Arial" w:hAnsi="Arial"/>
                <w:sz w:val="14"/>
                <w:szCs w:val="14"/>
                <w:b w:val="1"/>
                <w:bCs w:val="1"/>
                <w:color w:val="auto"/>
              </w:rPr>
              <w:t>March 31, 2026</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b w:val="1"/>
                <w:bCs w:val="1"/>
                <w:color w:val="auto"/>
              </w:rPr>
              <w:t>December 31, 2025</w:t>
            </w:r>
          </w:p>
        </w:tc>
      </w:tr>
      <w:tr>
        <w:trPr>
          <w:trHeight w:val="193"/>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4.25% notes due 2029</w:t>
            </w:r>
          </w:p>
        </w:tc>
        <w:tc>
          <w:tcPr>
            <w:tcW w:w="460" w:type="dxa"/>
            <w:vAlign w:val="bottom"/>
            <w:tcBorders>
              <w:bottom w:val="single" w:sz="8" w:color="61656A"/>
            </w:tcBorders>
          </w:tcPr>
          <w:p>
            <w:pPr>
              <w:spacing w:after="0"/>
              <w:rPr>
                <w:sz w:val="16"/>
                <w:szCs w:val="16"/>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2.70% notes due 2029</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4.875% notes due 2029</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4.70% notes due 2030</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3.375% euro notes due 2030</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415</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881</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1.95% notes due 2030</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949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949</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4.30% notes due 2031</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4.95% notes due 2031</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226</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1.75% notes due 2031</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1,496</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1,496</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4.75% notes due 2032</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281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0.75% euro notes due 2032</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580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587</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3.75% euro notes due 2032</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206</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587</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4.60% notes due 2033</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5.00% notes due 2033</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460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4.50% notes due 2034</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4.125% euro notes due 2034</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621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1,174</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5.00% notes due 2035</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517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4.95% notes due 2036</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3,250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3.75% euro notes due 2036</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436</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881</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5.70% notes due 2036</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226</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441</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5.70% notes due 2037</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462</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5.375% notes due 2041</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196</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417</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5.622% notes due 2046</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3.812% notes due 2047</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442</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2.80% notes due 2050</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701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701</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5.25% notes due 2054</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537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5.732% notes due 2056</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5.35% notes due 2064</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189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5.852% notes due 2066</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4.37% term loan due 2027</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One month term SOFR plus 0.875% term loan due 2027</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6.625% debentures due 2028</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201</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9.065% debentures due 2033</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development bond obligations, floating rate maturing at various dates through 2037</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(including finance leases), 2.7% weighted average interest rate maturing at various dates through 2040</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96</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(88)</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(79)</w:t>
            </w:r>
          </w:p>
        </w:tc>
      </w:tr>
      <w:tr>
        <w:trPr>
          <w:trHeight w:val="196"/>
        </w:trPr>
        <w:tc>
          <w:tcPr>
            <w:tcW w:w="7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46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(355)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(280)</w:t>
            </w:r>
          </w:p>
        </w:tc>
      </w:tr>
      <w:tr>
        <w:trPr>
          <w:trHeight w:val="199"/>
        </w:trPr>
        <w:tc>
          <w:tcPr>
            <w:tcW w:w="7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Long-term debt and current related maturities</w:t>
            </w:r>
          </w:p>
        </w:tc>
        <w:tc>
          <w:tcPr>
            <w:tcW w:w="46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32,109</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28,687</w:t>
            </w:r>
          </w:p>
        </w:tc>
      </w:tr>
      <w:tr>
        <w:trPr>
          <w:trHeight w:val="193"/>
        </w:trPr>
        <w:tc>
          <w:tcPr>
            <w:tcW w:w="7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Current maturities of long-term debt</w:t>
            </w:r>
          </w:p>
        </w:tc>
        <w:tc>
          <w:tcPr>
            <w:tcW w:w="460" w:type="dxa"/>
            <w:vAlign w:val="bottom"/>
            <w:tcBorders>
              <w:bottom w:val="single" w:sz="8" w:color="D7282F"/>
            </w:tcBorders>
          </w:tcPr>
          <w:p>
            <w:pPr>
              <w:spacing w:after="0"/>
              <w:rPr>
                <w:sz w:val="16"/>
                <w:szCs w:val="16"/>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3,099</w:t>
            </w:r>
          </w:p>
        </w:tc>
        <w:tc>
          <w:tcPr>
            <w:tcW w:w="28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1,546</w:t>
            </w:r>
          </w:p>
        </w:tc>
      </w:tr>
      <w:tr>
        <w:trPr>
          <w:trHeight w:val="199"/>
        </w:trPr>
        <w:tc>
          <w:tcPr>
            <w:tcW w:w="72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Long-term debt</w:t>
            </w:r>
          </w:p>
        </w:tc>
        <w:tc>
          <w:tcPr>
            <w:tcW w:w="4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29,010</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27,141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Paper and Other Short-Term Borrowings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As of March 31, 2026, the Company had $4.6 billion of Commercial paper and other short-term borrowings outstanding at a weighted average interest rate of 3.71%. As of December 31, 2025, the Company had $5.9 billion of Commercial paper and other short-term borrowings outstanding at a weighted average interest rate of 3.68%.</w:t>
      </w:r>
    </w:p>
    <w:p>
      <w:pPr>
        <w:spacing w:after="0" w:line="200" w:lineRule="exact"/>
        <w:rPr>
          <w:sz w:val="20"/>
          <w:szCs w:val="20"/>
          <w:color w:val="auto"/>
        </w:rPr>
      </w:pPr>
    </w:p>
    <w:p>
      <w:pPr>
        <w:spacing w:after="0" w:line="204"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Pre-Separation Funding</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March 2026, the Company entered into a series of debt transactions in anticipation of the separation of the Honeywell Aerospace business. The Company entered into a Term Loan Credit Agreement (the Term Loan Agreement), which provided for term loans in an aggregate principal amount of $6.0 billion. Interest rates on the term loans under each tranche were based on prevailing market rates, plus a margin.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Honeywell Aerospace Inc. (Aerospace) issued an aggregate of $16.0 billion principal amount senior notes (the Aerospace Senior Notes), as listed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60" w:type="dxa"/>
            <w:vAlign w:val="bottom"/>
            <w:tcBorders>
              <w:bottom w:val="single" w:sz="8" w:color="D7282F"/>
            </w:tcBorders>
          </w:tcPr>
          <w:p>
            <w:pPr>
              <w:ind w:left="1200"/>
              <w:spacing w:after="0"/>
              <w:rPr>
                <w:sz w:val="20"/>
                <w:szCs w:val="20"/>
                <w:color w:val="auto"/>
              </w:rPr>
            </w:pPr>
            <w:r>
              <w:rPr>
                <w:rFonts w:ascii="Arial" w:cs="Arial" w:eastAsia="Arial" w:hAnsi="Arial"/>
                <w:sz w:val="14"/>
                <w:szCs w:val="14"/>
                <w:b w:val="1"/>
                <w:bCs w:val="1"/>
                <w:color w:val="auto"/>
              </w:rPr>
              <w:t>Principal Amount</w:t>
            </w:r>
          </w:p>
        </w:tc>
        <w:tc>
          <w:tcPr>
            <w:tcW w:w="366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Maturity Date</w:t>
            </w:r>
          </w:p>
        </w:tc>
        <w:tc>
          <w:tcPr>
            <w:tcW w:w="380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b w:val="1"/>
                <w:bCs w:val="1"/>
                <w:color w:val="auto"/>
              </w:rPr>
              <w:t>Interest Rate</w:t>
            </w:r>
          </w:p>
        </w:tc>
      </w:tr>
      <w:tr>
        <w:trPr>
          <w:trHeight w:val="193"/>
        </w:trPr>
        <w:tc>
          <w:tcPr>
            <w:tcW w:w="3760" w:type="dxa"/>
            <w:vAlign w:val="bottom"/>
            <w:tcBorders>
              <w:bottom w:val="single" w:sz="8" w:color="888B8D"/>
            </w:tcBorders>
          </w:tcPr>
          <w:p>
            <w:pPr>
              <w:jc w:val="center"/>
              <w:ind w:right="88"/>
              <w:spacing w:after="0"/>
              <w:rPr>
                <w:sz w:val="20"/>
                <w:szCs w:val="20"/>
                <w:color w:val="auto"/>
              </w:rPr>
            </w:pPr>
            <w:r>
              <w:rPr>
                <w:rFonts w:ascii="Arial" w:cs="Arial" w:eastAsia="Arial" w:hAnsi="Arial"/>
                <w:sz w:val="14"/>
                <w:szCs w:val="14"/>
                <w:color w:val="auto"/>
              </w:rPr>
              <w:t>$1,250</w:t>
            </w:r>
          </w:p>
        </w:tc>
        <w:tc>
          <w:tcPr>
            <w:tcW w:w="36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March 2028</w:t>
            </w:r>
          </w:p>
        </w:tc>
        <w:tc>
          <w:tcPr>
            <w:tcW w:w="3800" w:type="dxa"/>
            <w:vAlign w:val="bottom"/>
            <w:tcBorders>
              <w:bottom w:val="single" w:sz="8" w:color="888B8D"/>
            </w:tcBorders>
          </w:tcPr>
          <w:p>
            <w:pPr>
              <w:jc w:val="center"/>
              <w:ind w:left="128"/>
              <w:spacing w:after="0"/>
              <w:rPr>
                <w:sz w:val="20"/>
                <w:szCs w:val="20"/>
                <w:color w:val="auto"/>
              </w:rPr>
            </w:pPr>
            <w:r>
              <w:rPr>
                <w:rFonts w:ascii="Arial" w:cs="Arial" w:eastAsia="Arial" w:hAnsi="Arial"/>
                <w:sz w:val="14"/>
                <w:szCs w:val="14"/>
                <w:color w:val="auto"/>
              </w:rPr>
              <w:t>3.900%</w:t>
            </w:r>
          </w:p>
        </w:tc>
      </w:tr>
      <w:tr>
        <w:trPr>
          <w:trHeight w:val="196"/>
        </w:trPr>
        <w:tc>
          <w:tcPr>
            <w:tcW w:w="3760" w:type="dxa"/>
            <w:vAlign w:val="bottom"/>
            <w:tcBorders>
              <w:bottom w:val="single" w:sz="8" w:color="888B8D"/>
            </w:tcBorders>
          </w:tcPr>
          <w:p>
            <w:pPr>
              <w:jc w:val="center"/>
              <w:ind w:right="88"/>
              <w:spacing w:after="0"/>
              <w:rPr>
                <w:sz w:val="20"/>
                <w:szCs w:val="20"/>
                <w:color w:val="auto"/>
              </w:rPr>
            </w:pPr>
            <w:r>
              <w:rPr>
                <w:rFonts w:ascii="Arial" w:cs="Arial" w:eastAsia="Arial" w:hAnsi="Arial"/>
                <w:sz w:val="14"/>
                <w:szCs w:val="14"/>
                <w:color w:val="auto"/>
              </w:rPr>
              <w:t>$1,250</w:t>
            </w:r>
          </w:p>
        </w:tc>
        <w:tc>
          <w:tcPr>
            <w:tcW w:w="36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March 2029</w:t>
            </w:r>
          </w:p>
        </w:tc>
        <w:tc>
          <w:tcPr>
            <w:tcW w:w="3800" w:type="dxa"/>
            <w:vAlign w:val="bottom"/>
            <w:tcBorders>
              <w:bottom w:val="single" w:sz="8" w:color="888B8D"/>
            </w:tcBorders>
          </w:tcPr>
          <w:p>
            <w:pPr>
              <w:jc w:val="center"/>
              <w:ind w:left="128"/>
              <w:spacing w:after="0"/>
              <w:rPr>
                <w:sz w:val="20"/>
                <w:szCs w:val="20"/>
                <w:color w:val="auto"/>
              </w:rPr>
            </w:pPr>
            <w:r>
              <w:rPr>
                <w:rFonts w:ascii="Arial" w:cs="Arial" w:eastAsia="Arial" w:hAnsi="Arial"/>
                <w:sz w:val="14"/>
                <w:szCs w:val="14"/>
                <w:color w:val="auto"/>
              </w:rPr>
              <w:t>4.000%</w:t>
            </w:r>
          </w:p>
        </w:tc>
      </w:tr>
      <w:tr>
        <w:trPr>
          <w:trHeight w:val="196"/>
        </w:trPr>
        <w:tc>
          <w:tcPr>
            <w:tcW w:w="3760" w:type="dxa"/>
            <w:vAlign w:val="bottom"/>
            <w:tcBorders>
              <w:bottom w:val="single" w:sz="8" w:color="888B8D"/>
            </w:tcBorders>
          </w:tcPr>
          <w:p>
            <w:pPr>
              <w:jc w:val="center"/>
              <w:ind w:right="108"/>
              <w:spacing w:after="0"/>
              <w:rPr>
                <w:sz w:val="20"/>
                <w:szCs w:val="20"/>
                <w:color w:val="auto"/>
              </w:rPr>
            </w:pPr>
            <w:r>
              <w:rPr>
                <w:rFonts w:ascii="Arial" w:cs="Arial" w:eastAsia="Arial" w:hAnsi="Arial"/>
                <w:sz w:val="14"/>
                <w:szCs w:val="14"/>
                <w:color w:val="auto"/>
              </w:rPr>
              <w:t>$500</w:t>
            </w:r>
          </w:p>
        </w:tc>
        <w:tc>
          <w:tcPr>
            <w:tcW w:w="36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March 2029</w:t>
            </w:r>
          </w:p>
        </w:tc>
        <w:tc>
          <w:tcPr>
            <w:tcW w:w="3800" w:type="dxa"/>
            <w:vAlign w:val="bottom"/>
            <w:tcBorders>
              <w:bottom w:val="single" w:sz="8" w:color="888B8D"/>
            </w:tcBorders>
          </w:tcPr>
          <w:p>
            <w:pPr>
              <w:jc w:val="center"/>
              <w:ind w:left="128"/>
              <w:spacing w:after="0"/>
              <w:rPr>
                <w:sz w:val="20"/>
                <w:szCs w:val="20"/>
                <w:color w:val="auto"/>
              </w:rPr>
            </w:pPr>
            <w:r>
              <w:rPr>
                <w:rFonts w:ascii="Arial" w:cs="Arial" w:eastAsia="Arial" w:hAnsi="Arial"/>
                <w:sz w:val="14"/>
                <w:szCs w:val="14"/>
                <w:color w:val="auto"/>
              </w:rPr>
              <w:t>SOFR plus 0.630%</w:t>
            </w:r>
          </w:p>
        </w:tc>
      </w:tr>
      <w:tr>
        <w:trPr>
          <w:trHeight w:val="196"/>
        </w:trPr>
        <w:tc>
          <w:tcPr>
            <w:tcW w:w="3760" w:type="dxa"/>
            <w:vAlign w:val="bottom"/>
            <w:tcBorders>
              <w:bottom w:val="single" w:sz="8" w:color="888B8D"/>
            </w:tcBorders>
          </w:tcPr>
          <w:p>
            <w:pPr>
              <w:jc w:val="center"/>
              <w:ind w:right="88"/>
              <w:spacing w:after="0"/>
              <w:rPr>
                <w:sz w:val="20"/>
                <w:szCs w:val="20"/>
                <w:color w:val="auto"/>
              </w:rPr>
            </w:pPr>
            <w:r>
              <w:rPr>
                <w:rFonts w:ascii="Arial" w:cs="Arial" w:eastAsia="Arial" w:hAnsi="Arial"/>
                <w:sz w:val="14"/>
                <w:szCs w:val="14"/>
                <w:color w:val="auto"/>
              </w:rPr>
              <w:t>$2,000</w:t>
            </w:r>
          </w:p>
        </w:tc>
        <w:tc>
          <w:tcPr>
            <w:tcW w:w="36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March 2031</w:t>
            </w:r>
          </w:p>
        </w:tc>
        <w:tc>
          <w:tcPr>
            <w:tcW w:w="3800" w:type="dxa"/>
            <w:vAlign w:val="bottom"/>
            <w:tcBorders>
              <w:bottom w:val="single" w:sz="8" w:color="888B8D"/>
            </w:tcBorders>
          </w:tcPr>
          <w:p>
            <w:pPr>
              <w:jc w:val="center"/>
              <w:ind w:left="128"/>
              <w:spacing w:after="0"/>
              <w:rPr>
                <w:sz w:val="20"/>
                <w:szCs w:val="20"/>
                <w:color w:val="auto"/>
              </w:rPr>
            </w:pPr>
            <w:r>
              <w:rPr>
                <w:rFonts w:ascii="Arial" w:cs="Arial" w:eastAsia="Arial" w:hAnsi="Arial"/>
                <w:sz w:val="14"/>
                <w:szCs w:val="14"/>
                <w:color w:val="auto"/>
              </w:rPr>
              <w:t>4.300%</w:t>
            </w:r>
          </w:p>
        </w:tc>
      </w:tr>
      <w:tr>
        <w:trPr>
          <w:trHeight w:val="196"/>
        </w:trPr>
        <w:tc>
          <w:tcPr>
            <w:tcW w:w="3760" w:type="dxa"/>
            <w:vAlign w:val="bottom"/>
            <w:tcBorders>
              <w:bottom w:val="single" w:sz="8" w:color="888B8D"/>
            </w:tcBorders>
          </w:tcPr>
          <w:p>
            <w:pPr>
              <w:jc w:val="center"/>
              <w:ind w:right="88"/>
              <w:spacing w:after="0"/>
              <w:rPr>
                <w:sz w:val="20"/>
                <w:szCs w:val="20"/>
                <w:color w:val="auto"/>
              </w:rPr>
            </w:pPr>
            <w:r>
              <w:rPr>
                <w:rFonts w:ascii="Arial" w:cs="Arial" w:eastAsia="Arial" w:hAnsi="Arial"/>
                <w:sz w:val="14"/>
                <w:szCs w:val="14"/>
                <w:color w:val="auto"/>
              </w:rPr>
              <w:t>$1,750</w:t>
            </w:r>
          </w:p>
        </w:tc>
        <w:tc>
          <w:tcPr>
            <w:tcW w:w="36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March 2033</w:t>
            </w:r>
          </w:p>
        </w:tc>
        <w:tc>
          <w:tcPr>
            <w:tcW w:w="3800" w:type="dxa"/>
            <w:vAlign w:val="bottom"/>
            <w:tcBorders>
              <w:bottom w:val="single" w:sz="8" w:color="888B8D"/>
            </w:tcBorders>
          </w:tcPr>
          <w:p>
            <w:pPr>
              <w:jc w:val="center"/>
              <w:ind w:left="128"/>
              <w:spacing w:after="0"/>
              <w:rPr>
                <w:sz w:val="20"/>
                <w:szCs w:val="20"/>
                <w:color w:val="auto"/>
              </w:rPr>
            </w:pPr>
            <w:r>
              <w:rPr>
                <w:rFonts w:ascii="Arial" w:cs="Arial" w:eastAsia="Arial" w:hAnsi="Arial"/>
                <w:sz w:val="14"/>
                <w:szCs w:val="14"/>
                <w:color w:val="auto"/>
              </w:rPr>
              <w:t>4.600%</w:t>
            </w:r>
          </w:p>
        </w:tc>
      </w:tr>
      <w:tr>
        <w:trPr>
          <w:trHeight w:val="196"/>
        </w:trPr>
        <w:tc>
          <w:tcPr>
            <w:tcW w:w="3760" w:type="dxa"/>
            <w:vAlign w:val="bottom"/>
            <w:tcBorders>
              <w:bottom w:val="single" w:sz="8" w:color="888B8D"/>
            </w:tcBorders>
          </w:tcPr>
          <w:p>
            <w:pPr>
              <w:jc w:val="center"/>
              <w:ind w:right="88"/>
              <w:spacing w:after="0"/>
              <w:rPr>
                <w:sz w:val="20"/>
                <w:szCs w:val="20"/>
                <w:color w:val="auto"/>
              </w:rPr>
            </w:pPr>
            <w:r>
              <w:rPr>
                <w:rFonts w:ascii="Arial" w:cs="Arial" w:eastAsia="Arial" w:hAnsi="Arial"/>
                <w:sz w:val="14"/>
                <w:szCs w:val="14"/>
                <w:color w:val="auto"/>
              </w:rPr>
              <w:t>$3,250</w:t>
            </w:r>
          </w:p>
        </w:tc>
        <w:tc>
          <w:tcPr>
            <w:tcW w:w="36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March 2036</w:t>
            </w:r>
          </w:p>
        </w:tc>
        <w:tc>
          <w:tcPr>
            <w:tcW w:w="3800" w:type="dxa"/>
            <w:vAlign w:val="bottom"/>
            <w:tcBorders>
              <w:bottom w:val="single" w:sz="8" w:color="888B8D"/>
            </w:tcBorders>
          </w:tcPr>
          <w:p>
            <w:pPr>
              <w:jc w:val="center"/>
              <w:ind w:left="128"/>
              <w:spacing w:after="0"/>
              <w:rPr>
                <w:sz w:val="20"/>
                <w:szCs w:val="20"/>
                <w:color w:val="auto"/>
              </w:rPr>
            </w:pPr>
            <w:r>
              <w:rPr>
                <w:rFonts w:ascii="Arial" w:cs="Arial" w:eastAsia="Arial" w:hAnsi="Arial"/>
                <w:sz w:val="14"/>
                <w:szCs w:val="14"/>
                <w:color w:val="auto"/>
              </w:rPr>
              <w:t>4.950%</w:t>
            </w:r>
          </w:p>
        </w:tc>
      </w:tr>
      <w:tr>
        <w:trPr>
          <w:trHeight w:val="196"/>
        </w:trPr>
        <w:tc>
          <w:tcPr>
            <w:tcW w:w="3760" w:type="dxa"/>
            <w:vAlign w:val="bottom"/>
            <w:tcBorders>
              <w:bottom w:val="single" w:sz="8" w:color="888B8D"/>
            </w:tcBorders>
          </w:tcPr>
          <w:p>
            <w:pPr>
              <w:jc w:val="center"/>
              <w:ind w:right="88"/>
              <w:spacing w:after="0"/>
              <w:rPr>
                <w:sz w:val="20"/>
                <w:szCs w:val="20"/>
                <w:color w:val="auto"/>
              </w:rPr>
            </w:pPr>
            <w:r>
              <w:rPr>
                <w:rFonts w:ascii="Arial" w:cs="Arial" w:eastAsia="Arial" w:hAnsi="Arial"/>
                <w:sz w:val="14"/>
                <w:szCs w:val="14"/>
                <w:color w:val="auto"/>
              </w:rPr>
              <w:t>$1,000</w:t>
            </w:r>
          </w:p>
        </w:tc>
        <w:tc>
          <w:tcPr>
            <w:tcW w:w="36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March 2046</w:t>
            </w:r>
          </w:p>
        </w:tc>
        <w:tc>
          <w:tcPr>
            <w:tcW w:w="3800" w:type="dxa"/>
            <w:vAlign w:val="bottom"/>
            <w:tcBorders>
              <w:bottom w:val="single" w:sz="8" w:color="888B8D"/>
            </w:tcBorders>
          </w:tcPr>
          <w:p>
            <w:pPr>
              <w:jc w:val="center"/>
              <w:ind w:left="128"/>
              <w:spacing w:after="0"/>
              <w:rPr>
                <w:sz w:val="20"/>
                <w:szCs w:val="20"/>
                <w:color w:val="auto"/>
              </w:rPr>
            </w:pPr>
            <w:r>
              <w:rPr>
                <w:rFonts w:ascii="Arial" w:cs="Arial" w:eastAsia="Arial" w:hAnsi="Arial"/>
                <w:sz w:val="14"/>
                <w:szCs w:val="14"/>
                <w:color w:val="auto"/>
              </w:rPr>
              <w:t>5.620%</w:t>
            </w:r>
          </w:p>
        </w:tc>
      </w:tr>
      <w:tr>
        <w:trPr>
          <w:trHeight w:val="196"/>
        </w:trPr>
        <w:tc>
          <w:tcPr>
            <w:tcW w:w="3760" w:type="dxa"/>
            <w:vAlign w:val="bottom"/>
            <w:tcBorders>
              <w:bottom w:val="single" w:sz="8" w:color="888B8D"/>
            </w:tcBorders>
          </w:tcPr>
          <w:p>
            <w:pPr>
              <w:jc w:val="center"/>
              <w:ind w:right="88"/>
              <w:spacing w:after="0"/>
              <w:rPr>
                <w:sz w:val="20"/>
                <w:szCs w:val="20"/>
                <w:color w:val="auto"/>
              </w:rPr>
            </w:pPr>
            <w:r>
              <w:rPr>
                <w:rFonts w:ascii="Arial" w:cs="Arial" w:eastAsia="Arial" w:hAnsi="Arial"/>
                <w:sz w:val="14"/>
                <w:szCs w:val="14"/>
                <w:color w:val="auto"/>
              </w:rPr>
              <w:t>$3,500</w:t>
            </w:r>
          </w:p>
        </w:tc>
        <w:tc>
          <w:tcPr>
            <w:tcW w:w="36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March 2056</w:t>
            </w:r>
          </w:p>
        </w:tc>
        <w:tc>
          <w:tcPr>
            <w:tcW w:w="3800" w:type="dxa"/>
            <w:vAlign w:val="bottom"/>
            <w:tcBorders>
              <w:bottom w:val="single" w:sz="8" w:color="888B8D"/>
            </w:tcBorders>
          </w:tcPr>
          <w:p>
            <w:pPr>
              <w:jc w:val="center"/>
              <w:ind w:left="128"/>
              <w:spacing w:after="0"/>
              <w:rPr>
                <w:sz w:val="20"/>
                <w:szCs w:val="20"/>
                <w:color w:val="auto"/>
              </w:rPr>
            </w:pPr>
            <w:r>
              <w:rPr>
                <w:rFonts w:ascii="Arial" w:cs="Arial" w:eastAsia="Arial" w:hAnsi="Arial"/>
                <w:sz w:val="14"/>
                <w:szCs w:val="14"/>
                <w:color w:val="auto"/>
              </w:rPr>
              <w:t>5.730%</w:t>
            </w:r>
          </w:p>
        </w:tc>
      </w:tr>
      <w:tr>
        <w:trPr>
          <w:trHeight w:val="196"/>
        </w:trPr>
        <w:tc>
          <w:tcPr>
            <w:tcW w:w="376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color w:val="auto"/>
              </w:rPr>
              <w:t>$1,500</w:t>
            </w:r>
          </w:p>
        </w:tc>
        <w:tc>
          <w:tcPr>
            <w:tcW w:w="366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March 2066</w:t>
            </w:r>
          </w:p>
        </w:tc>
        <w:tc>
          <w:tcPr>
            <w:tcW w:w="380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color w:val="auto"/>
              </w:rPr>
              <w:t>5.850%</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Aerospace will pay interest on the fixed rate notes on March 16 and September 16 of each year, with the first payment due on September 16, 2026. Aerospace will pay interest on the 2029 floating rate notes on March 16, June 16, September 16, and December 16 of each year, with the first payment on June 16, 2026. The Aerospace Senior Notes are senior unsecured obligations of Aerospace, guaranteed on a senior unsecured basis by the Company until the spin-off is completed. Upon the spin-off, the Company will be automatically and unconditionally released from all obligations under the guarantee.</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Senior Notes due 2046, 2056, and 2066 (collectively, the Exchange Notes) were issued by Aerospace to the Company as partial consideration for the contribution of assets by the Company to Aerospace in connection with the anticipated spin-off. In March 2026, the Company satisfied and terminated the Term Loan Agreement, in exchange for the Company's transfer and delivery of the Exchange Notes.</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Aerospace also entered into a $1.0 billion 364-day credit agreement (the Aerospace 364-Day Credit Agreement). Amounts borrowed under the Aerospace Five-Year Credit Agreement are required to be repaid no later than March 6, 2031, unless such date is extended pursuant to the terms of the Aerospace Five-Year Credit Agreement. The Aerospace 364-Day Credit Agreement and Aerospace Five-Year Credit Agreement are each guaranteed on a senior unsecured basis by the Company until the spin-off is completed. Upon the spin-off, the Company will be automatically and unconditionally released from all obligations under the guarantees. Amounts borrowed under the Aerospace 364-Day Credit Agreement are due no later than March 5, 2027, unless (i) Aerospace elects to convert all then outstanding amounts into a term loan, upon which such amounts shall be repaid in full on March 5, 2028, or (ii) the Aerospace 364-Day Credit Agreement is terminated earlier pursuant to its terms.</w:t>
      </w:r>
    </w:p>
    <w:p>
      <w:pPr>
        <w:spacing w:after="0" w:line="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Aerospace entered into a $3.0 billion five-year credit agreement (the Aerospace Five-Year Credit Agreement). The Aerospace 364-Day Credit Agreement and Aerospace Five-Year Credit Agreement are maintained for general corporate purposes.</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revolving credit commitments under the Aerospace 364-Day Credit Agreement and Aerospace Five-Year Credit Agreement are available upon consummation of the spin-off of the Aerospace business, subject to certain conditions customary for facilities of this type.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 Loan Agreements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March 2026, the Company repaid its $1.0 billion 4.37% term loan due 2027.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Revolving Credit Agreements</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March 2026, the Company entered into a $3.0 billion 364-day credit agreement (the 364-Day Credit Agreement). The 364-Day Credit Agreement replaced the $3.0 billion 364-day credit agreement dated as of March 17, 2025, which was terminated in accordance with its terms effective March 6, 2026. Amounts borrowed under the 364-Day Credit Agreement are due no later than March 5, 2027, unless (i) Honeywell elects to convert all then outstanding amounts into a term loan, upon which such amounts shall be repaid in full on March 5, 2028, or (ii) the 364-Day Credit Agreement is terminated earlier pursuant to its terms.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March 2026, the Company entered into a $4.0 billion five-year credit agreement (the Five-Year Credit Agreement). The Five-Year Credit Agreement replaced the $4.0 billion five-year credit agreement dated as of March 18, 2024, which was terminated in accordance with its terms effective March 6, 2026. Commitments under the Five-Year Credit Agreement can be increased pursuant to the terms of the Five-Year Credit Agreement to an aggregate amount not to exceed (i) $4.5 billion prior to the spin-off of the Aerospace business, and (ii) $3.5 billion following the spin-off of the Aerospace business. Amounts borrowed under the Five-Year Credit Agreement are required to be repaid no later than March 6, 2031, unless such date is extended pursuant to the terms of the Five-Year Credit Agreement. Amounts borrowed under the Five-Year Credit Agreement are required to be repaid no later than March 6, 2031, unless such date is extended pursuant to the terms of the Five-Year Credit Agreement. The 364-Day Credit Agreement and the Five-Year Credit Agreement are maintained for general corporate purposes.</w:t>
      </w:r>
    </w:p>
    <w:p>
      <w:pPr>
        <w:spacing w:after="0" w:line="7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Upon consummation of the spin-off of the Aerospace business, the aggregate revolving credit commitments under the 364-Day Credit Agreement will be reduced to $2.0 billion and the aggregate revolving credit commitments under the Five-Year Credit Agreement will be reduced to $3.0 billion.</w:t>
      </w:r>
    </w:p>
    <w:p>
      <w:pPr>
        <w:spacing w:after="0" w:line="33" w:lineRule="exact"/>
        <w:rPr>
          <w:sz w:val="20"/>
          <w:szCs w:val="20"/>
          <w:color w:val="auto"/>
        </w:rPr>
      </w:pPr>
    </w:p>
    <w:p>
      <w:pPr>
        <w:ind w:right="1640"/>
        <w:spacing w:after="0" w:line="396" w:lineRule="auto"/>
        <w:rPr>
          <w:sz w:val="20"/>
          <w:szCs w:val="20"/>
          <w:color w:val="auto"/>
        </w:rPr>
      </w:pPr>
      <w:r>
        <w:rPr>
          <w:rFonts w:ascii="Arial" w:cs="Arial" w:eastAsia="Arial" w:hAnsi="Arial"/>
          <w:sz w:val="16"/>
          <w:szCs w:val="16"/>
          <w:color w:val="auto"/>
        </w:rPr>
        <w:t xml:space="preserve">As of March 31, 2026, there were no outstanding borrowings under the 364-Day Credit Agreement or the Five-Year Credit Agreement. </w:t>
      </w:r>
      <w:r>
        <w:rPr>
          <w:rFonts w:ascii="Arial" w:cs="Arial" w:eastAsia="Arial" w:hAnsi="Arial"/>
          <w:sz w:val="16"/>
          <w:szCs w:val="16"/>
          <w:b w:val="1"/>
          <w:bCs w:val="1"/>
          <w:color w:val="auto"/>
        </w:rPr>
        <w:t>Debt Tender Offers and Debt Redemption</w:t>
      </w:r>
    </w:p>
    <w:p>
      <w:pPr>
        <w:jc w:val="both"/>
        <w:spacing w:after="0" w:line="286" w:lineRule="auto"/>
        <w:rPr>
          <w:sz w:val="20"/>
          <w:szCs w:val="20"/>
          <w:color w:val="auto"/>
        </w:rPr>
      </w:pPr>
      <w:r>
        <w:rPr>
          <w:rFonts w:ascii="Arial" w:cs="Arial" w:eastAsia="Arial" w:hAnsi="Arial"/>
          <w:sz w:val="16"/>
          <w:szCs w:val="16"/>
          <w:color w:val="auto"/>
        </w:rPr>
        <w:t>In March 2026, the Company commenced a series of debt tender offers to purchase certain of its existing debt securities. On March 24, 2026, the Company purchased the following notes for an aggregate principal amount of $7.5 billion at early settlement of the debt tender offers: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3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Principal Amount</w:t>
            </w:r>
          </w:p>
        </w:tc>
      </w:tr>
      <w:tr>
        <w:trPr>
          <w:trHeight w:val="193"/>
        </w:trPr>
        <w:tc>
          <w:tcPr>
            <w:tcW w:w="9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3.50% euro notes due 2027</w:t>
            </w:r>
          </w:p>
        </w:tc>
        <w:tc>
          <w:tcPr>
            <w:tcW w:w="300" w:type="dxa"/>
            <w:vAlign w:val="bottom"/>
            <w:tcBorders>
              <w:bottom w:val="single" w:sz="8" w:color="888B8D"/>
            </w:tcBorders>
          </w:tcPr>
          <w:p>
            <w:pPr>
              <w:spacing w:after="0"/>
              <w:rPr>
                <w:sz w:val="16"/>
                <w:szCs w:val="16"/>
                <w:color w:val="auto"/>
              </w:rPr>
            </w:pP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529</w:t>
            </w:r>
          </w:p>
        </w:tc>
      </w:tr>
      <w:tr>
        <w:trPr>
          <w:trHeight w:val="196"/>
        </w:trPr>
        <w:tc>
          <w:tcPr>
            <w:tcW w:w="9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2.25% euro notes due 2028</w:t>
            </w:r>
          </w:p>
        </w:tc>
        <w:tc>
          <w:tcPr>
            <w:tcW w:w="300" w:type="dxa"/>
            <w:vAlign w:val="bottom"/>
            <w:tcBorders>
              <w:bottom w:val="single" w:sz="8" w:color="888B8D"/>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528</w:t>
            </w:r>
          </w:p>
        </w:tc>
      </w:tr>
      <w:tr>
        <w:trPr>
          <w:trHeight w:val="196"/>
        </w:trPr>
        <w:tc>
          <w:tcPr>
            <w:tcW w:w="9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3.375% euro notes due 2030</w:t>
            </w:r>
          </w:p>
        </w:tc>
        <w:tc>
          <w:tcPr>
            <w:tcW w:w="300" w:type="dxa"/>
            <w:vAlign w:val="bottom"/>
            <w:tcBorders>
              <w:bottom w:val="single" w:sz="8" w:color="888B8D"/>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455</w:t>
            </w:r>
          </w:p>
        </w:tc>
      </w:tr>
      <w:tr>
        <w:trPr>
          <w:trHeight w:val="196"/>
        </w:trPr>
        <w:tc>
          <w:tcPr>
            <w:tcW w:w="9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4.95% notes due 2031</w:t>
            </w:r>
          </w:p>
        </w:tc>
        <w:tc>
          <w:tcPr>
            <w:tcW w:w="300" w:type="dxa"/>
            <w:vAlign w:val="bottom"/>
            <w:tcBorders>
              <w:bottom w:val="single" w:sz="8" w:color="888B8D"/>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274</w:t>
            </w:r>
          </w:p>
        </w:tc>
      </w:tr>
      <w:tr>
        <w:trPr>
          <w:trHeight w:val="196"/>
        </w:trPr>
        <w:tc>
          <w:tcPr>
            <w:tcW w:w="9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4.75% notes due 2032</w:t>
            </w:r>
          </w:p>
        </w:tc>
        <w:tc>
          <w:tcPr>
            <w:tcW w:w="300" w:type="dxa"/>
            <w:vAlign w:val="bottom"/>
            <w:tcBorders>
              <w:bottom w:val="single" w:sz="8" w:color="888B8D"/>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369</w:t>
            </w:r>
          </w:p>
        </w:tc>
      </w:tr>
      <w:tr>
        <w:trPr>
          <w:trHeight w:val="196"/>
        </w:trPr>
        <w:tc>
          <w:tcPr>
            <w:tcW w:w="9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3.75% euro notes due 2032</w:t>
            </w:r>
          </w:p>
        </w:tc>
        <w:tc>
          <w:tcPr>
            <w:tcW w:w="300" w:type="dxa"/>
            <w:vAlign w:val="bottom"/>
            <w:tcBorders>
              <w:bottom w:val="single" w:sz="8" w:color="888B8D"/>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373</w:t>
            </w:r>
          </w:p>
        </w:tc>
      </w:tr>
      <w:tr>
        <w:trPr>
          <w:trHeight w:val="196"/>
        </w:trPr>
        <w:tc>
          <w:tcPr>
            <w:tcW w:w="9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5.0% notes due 2033</w:t>
            </w:r>
          </w:p>
        </w:tc>
        <w:tc>
          <w:tcPr>
            <w:tcW w:w="300" w:type="dxa"/>
            <w:vAlign w:val="bottom"/>
            <w:tcBorders>
              <w:bottom w:val="single" w:sz="8" w:color="888B8D"/>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640</w:t>
            </w:r>
          </w:p>
        </w:tc>
      </w:tr>
      <w:tr>
        <w:trPr>
          <w:trHeight w:val="196"/>
        </w:trPr>
        <w:tc>
          <w:tcPr>
            <w:tcW w:w="9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4.125% euro notes due 2034</w:t>
            </w:r>
          </w:p>
        </w:tc>
        <w:tc>
          <w:tcPr>
            <w:tcW w:w="300" w:type="dxa"/>
            <w:vAlign w:val="bottom"/>
            <w:tcBorders>
              <w:bottom w:val="single" w:sz="8" w:color="888B8D"/>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539</w:t>
            </w:r>
          </w:p>
        </w:tc>
      </w:tr>
      <w:tr>
        <w:trPr>
          <w:trHeight w:val="196"/>
        </w:trPr>
        <w:tc>
          <w:tcPr>
            <w:tcW w:w="9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5.0% notes due 2035</w:t>
            </w:r>
          </w:p>
        </w:tc>
        <w:tc>
          <w:tcPr>
            <w:tcW w:w="300" w:type="dxa"/>
            <w:vAlign w:val="bottom"/>
            <w:tcBorders>
              <w:bottom w:val="single" w:sz="8" w:color="888B8D"/>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933</w:t>
            </w:r>
          </w:p>
        </w:tc>
      </w:tr>
      <w:tr>
        <w:trPr>
          <w:trHeight w:val="196"/>
        </w:trPr>
        <w:tc>
          <w:tcPr>
            <w:tcW w:w="9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3.75% euro notes due 2036</w:t>
            </w:r>
          </w:p>
        </w:tc>
        <w:tc>
          <w:tcPr>
            <w:tcW w:w="300" w:type="dxa"/>
            <w:vAlign w:val="bottom"/>
            <w:tcBorders>
              <w:bottom w:val="single" w:sz="8" w:color="888B8D"/>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434</w:t>
            </w:r>
          </w:p>
        </w:tc>
      </w:tr>
      <w:tr>
        <w:trPr>
          <w:trHeight w:val="196"/>
        </w:trPr>
        <w:tc>
          <w:tcPr>
            <w:tcW w:w="9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5.70% notes due 2036</w:t>
            </w:r>
          </w:p>
        </w:tc>
        <w:tc>
          <w:tcPr>
            <w:tcW w:w="300" w:type="dxa"/>
            <w:vAlign w:val="bottom"/>
            <w:tcBorders>
              <w:bottom w:val="single" w:sz="8" w:color="888B8D"/>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215</w:t>
            </w:r>
          </w:p>
        </w:tc>
      </w:tr>
      <w:tr>
        <w:trPr>
          <w:trHeight w:val="196"/>
        </w:trPr>
        <w:tc>
          <w:tcPr>
            <w:tcW w:w="9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5.70% notes due 2037</w:t>
            </w:r>
          </w:p>
        </w:tc>
        <w:tc>
          <w:tcPr>
            <w:tcW w:w="300" w:type="dxa"/>
            <w:vAlign w:val="bottom"/>
            <w:tcBorders>
              <w:bottom w:val="single" w:sz="8" w:color="888B8D"/>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241</w:t>
            </w:r>
          </w:p>
        </w:tc>
      </w:tr>
      <w:tr>
        <w:trPr>
          <w:trHeight w:val="196"/>
        </w:trPr>
        <w:tc>
          <w:tcPr>
            <w:tcW w:w="9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5.375% notes due 2041</w:t>
            </w:r>
          </w:p>
        </w:tc>
        <w:tc>
          <w:tcPr>
            <w:tcW w:w="300" w:type="dxa"/>
            <w:vAlign w:val="bottom"/>
            <w:tcBorders>
              <w:bottom w:val="single" w:sz="8" w:color="888B8D"/>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221</w:t>
            </w:r>
          </w:p>
        </w:tc>
      </w:tr>
      <w:tr>
        <w:trPr>
          <w:trHeight w:val="196"/>
        </w:trPr>
        <w:tc>
          <w:tcPr>
            <w:tcW w:w="9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5.250% notes due 2054</w:t>
            </w:r>
          </w:p>
        </w:tc>
        <w:tc>
          <w:tcPr>
            <w:tcW w:w="300" w:type="dxa"/>
            <w:vAlign w:val="bottom"/>
            <w:tcBorders>
              <w:bottom w:val="single" w:sz="8" w:color="888B8D"/>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1,213</w:t>
            </w:r>
          </w:p>
        </w:tc>
      </w:tr>
      <w:tr>
        <w:trPr>
          <w:trHeight w:val="196"/>
        </w:trPr>
        <w:tc>
          <w:tcPr>
            <w:tcW w:w="9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5.350% notes due 2064</w:t>
            </w:r>
          </w:p>
        </w:tc>
        <w:tc>
          <w:tcPr>
            <w:tcW w:w="300" w:type="dxa"/>
            <w:vAlign w:val="bottom"/>
            <w:tcBorders>
              <w:bottom w:val="single" w:sz="8" w:color="888B8D"/>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461</w:t>
            </w:r>
          </w:p>
        </w:tc>
      </w:tr>
      <w:tr>
        <w:trPr>
          <w:trHeight w:val="196"/>
        </w:trPr>
        <w:tc>
          <w:tcPr>
            <w:tcW w:w="9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6.625% debentures due 2028</w:t>
            </w:r>
          </w:p>
        </w:tc>
        <w:tc>
          <w:tcPr>
            <w:tcW w:w="300" w:type="dxa"/>
            <w:vAlign w:val="bottom"/>
            <w:tcBorders>
              <w:bottom w:val="single" w:sz="8" w:color="888B8D"/>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60</w:t>
            </w:r>
          </w:p>
        </w:tc>
      </w:tr>
      <w:tr>
        <w:trPr>
          <w:trHeight w:val="196"/>
        </w:trPr>
        <w:tc>
          <w:tcPr>
            <w:tcW w:w="9600" w:type="dxa"/>
            <w:vAlign w:val="bottom"/>
            <w:tcBorders>
              <w:bottom w:val="single" w:sz="8" w:color="D7282F"/>
            </w:tcBorders>
            <w:gridSpan w:val="2"/>
          </w:tcPr>
          <w:p>
            <w:pPr>
              <w:ind w:left="20"/>
              <w:spacing w:after="0"/>
              <w:rPr>
                <w:sz w:val="20"/>
                <w:szCs w:val="20"/>
                <w:color w:val="auto"/>
              </w:rPr>
            </w:pPr>
            <w:r>
              <w:rPr>
                <w:rFonts w:ascii="Arial" w:cs="Arial" w:eastAsia="Arial" w:hAnsi="Arial"/>
                <w:sz w:val="14"/>
                <w:szCs w:val="14"/>
                <w:color w:val="auto"/>
              </w:rPr>
              <w:t>9.065% debentures due 2033</w:t>
            </w:r>
          </w:p>
        </w:tc>
        <w:tc>
          <w:tcPr>
            <w:tcW w:w="1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addition, in March 2026, the Company fully redeemed the following notes: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Principal Amount</w:t>
            </w:r>
          </w:p>
        </w:tc>
      </w:tr>
      <w:tr>
        <w:trPr>
          <w:trHeight w:val="193"/>
        </w:trPr>
        <w:tc>
          <w:tcPr>
            <w:tcW w:w="92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4.65% notes due 2027</w:t>
            </w:r>
          </w:p>
        </w:tc>
        <w:tc>
          <w:tcPr>
            <w:tcW w:w="260" w:type="dxa"/>
            <w:vAlign w:val="bottom"/>
            <w:tcBorders>
              <w:bottom w:val="single" w:sz="8" w:color="888B8D"/>
            </w:tcBorders>
          </w:tcPr>
          <w:p>
            <w:pPr>
              <w:spacing w:after="0"/>
              <w:rPr>
                <w:sz w:val="16"/>
                <w:szCs w:val="16"/>
                <w:color w:val="auto"/>
              </w:rPr>
            </w:pPr>
          </w:p>
        </w:tc>
        <w:tc>
          <w:tcPr>
            <w:tcW w:w="18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1,150</w:t>
            </w:r>
          </w:p>
        </w:tc>
      </w:tr>
      <w:tr>
        <w:trPr>
          <w:trHeight w:val="196"/>
        </w:trPr>
        <w:tc>
          <w:tcPr>
            <w:tcW w:w="92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4.95% notes due 2028</w:t>
            </w:r>
          </w:p>
        </w:tc>
        <w:tc>
          <w:tcPr>
            <w:tcW w:w="260" w:type="dxa"/>
            <w:vAlign w:val="bottom"/>
            <w:tcBorders>
              <w:bottom w:val="single" w:sz="8" w:color="888B8D"/>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92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4.25% notes due 2029</w:t>
            </w:r>
          </w:p>
        </w:tc>
        <w:tc>
          <w:tcPr>
            <w:tcW w:w="260" w:type="dxa"/>
            <w:vAlign w:val="bottom"/>
            <w:tcBorders>
              <w:bottom w:val="single" w:sz="8" w:color="888B8D"/>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92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4.875% notes due 2029</w:t>
            </w:r>
          </w:p>
        </w:tc>
        <w:tc>
          <w:tcPr>
            <w:tcW w:w="260" w:type="dxa"/>
            <w:vAlign w:val="bottom"/>
            <w:tcBorders>
              <w:bottom w:val="single" w:sz="8" w:color="888B8D"/>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9480" w:type="dxa"/>
            <w:vAlign w:val="bottom"/>
            <w:tcBorders>
              <w:bottom w:val="single" w:sz="8" w:color="D7282F"/>
            </w:tcBorders>
            <w:gridSpan w:val="2"/>
          </w:tcPr>
          <w:p>
            <w:pPr>
              <w:ind w:left="20"/>
              <w:spacing w:after="0"/>
              <w:rPr>
                <w:sz w:val="20"/>
                <w:szCs w:val="20"/>
                <w:color w:val="auto"/>
              </w:rPr>
            </w:pPr>
            <w:r>
              <w:rPr>
                <w:rFonts w:ascii="Arial" w:cs="Arial" w:eastAsia="Arial" w:hAnsi="Arial"/>
                <w:sz w:val="14"/>
                <w:szCs w:val="14"/>
                <w:color w:val="auto"/>
              </w:rPr>
              <w:t>4.70% notes due 2030</w:t>
            </w:r>
          </w:p>
        </w:tc>
        <w:tc>
          <w:tcPr>
            <w:tcW w:w="18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1,000</w:t>
            </w:r>
          </w:p>
        </w:tc>
      </w:tr>
    </w:tbl>
    <w:p>
      <w:pPr>
        <w:spacing w:after="0" w:line="1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a result of the debt tender offers and debt redemptions, the Company incurred a $239 million Loss on debt extinguishment and an additional $44 million of debt restructuring costs included in Other (income) expense in the Consolidated Statement of Operations.</w:t>
      </w:r>
    </w:p>
    <w:p>
      <w:pPr>
        <w:spacing w:after="0" w:line="373"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Additionally, on April 10, 2026, the Company fully redeemed the remaining balance of the 3.50% euro notes due 2027 and 2.25% euro notes due 2028 for aggregate principal of $566 million.</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NOTE 10. LEASES</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operating and finance lease portfolio is described in Note 10 Leases of Notes to Consolidated Financial Statements in the Company's 2025 Annual Report on Form 10-K.</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related to leases was as follows:</w:t>
      </w:r>
    </w:p>
    <w:p>
      <w:pPr>
        <w:spacing w:after="0" w:line="17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80" w:type="dxa"/>
            <w:vAlign w:val="bottom"/>
            <w:tcBorders>
              <w:bottom w:val="single" w:sz="8" w:color="D7282F"/>
            </w:tcBorders>
          </w:tcPr>
          <w:p>
            <w:pPr>
              <w:spacing w:after="0"/>
              <w:rPr>
                <w:sz w:val="17"/>
                <w:szCs w:val="17"/>
                <w:color w:val="auto"/>
              </w:rPr>
            </w:pPr>
          </w:p>
        </w:tc>
        <w:tc>
          <w:tcPr>
            <w:tcW w:w="6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top w:val="single" w:sz="8" w:color="D7282F"/>
              <w:bottom w:val="single" w:sz="8" w:color="D7282F"/>
            </w:tcBorders>
          </w:tcPr>
          <w:p>
            <w:pPr>
              <w:spacing w:after="0"/>
              <w:rPr>
                <w:sz w:val="17"/>
                <w:szCs w:val="17"/>
                <w:color w:val="auto"/>
              </w:rPr>
            </w:pPr>
          </w:p>
        </w:tc>
        <w:tc>
          <w:tcPr>
            <w:tcW w:w="32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2025</w:t>
            </w:r>
          </w:p>
        </w:tc>
      </w:tr>
      <w:tr>
        <w:trPr>
          <w:trHeight w:val="195"/>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Right-of-use assets obtained in exchange for lease obligations</w:t>
            </w:r>
          </w:p>
        </w:tc>
        <w:tc>
          <w:tcPr>
            <w:tcW w:w="6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r>
      <w:tr>
        <w:trPr>
          <w:trHeight w:val="193"/>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Operating leases</w:t>
            </w:r>
          </w:p>
        </w:tc>
        <w:tc>
          <w:tcPr>
            <w:tcW w:w="62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61</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Finance leases</w:t>
            </w:r>
          </w:p>
        </w:tc>
        <w:tc>
          <w:tcPr>
            <w:tcW w:w="6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Supplemental balance sheet information related to leases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Borders>
              <w:bottom w:val="single" w:sz="8" w:color="D7282F"/>
            </w:tcBorders>
          </w:tcPr>
          <w:p>
            <w:pPr>
              <w:spacing w:after="0"/>
              <w:rPr>
                <w:sz w:val="17"/>
                <w:szCs w:val="17"/>
                <w:color w:val="auto"/>
              </w:rPr>
            </w:pPr>
          </w:p>
        </w:tc>
        <w:tc>
          <w:tcPr>
            <w:tcW w:w="26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March 31, 2026</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2025</w:t>
            </w:r>
          </w:p>
        </w:tc>
      </w:tr>
      <w:tr>
        <w:trPr>
          <w:trHeight w:val="196"/>
        </w:trPr>
        <w:tc>
          <w:tcPr>
            <w:tcW w:w="5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Operating leases</w:t>
            </w:r>
          </w:p>
        </w:tc>
        <w:tc>
          <w:tcPr>
            <w:tcW w:w="26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spacing w:after="0"/>
              <w:rPr>
                <w:sz w:val="17"/>
                <w:szCs w:val="17"/>
                <w:color w:val="auto"/>
              </w:rPr>
            </w:pPr>
          </w:p>
        </w:tc>
      </w:tr>
      <w:tr>
        <w:trPr>
          <w:trHeight w:val="196"/>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Other assets</w:t>
            </w:r>
          </w:p>
        </w:tc>
        <w:tc>
          <w:tcPr>
            <w:tcW w:w="26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905</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876</w:t>
            </w:r>
          </w:p>
        </w:tc>
      </w:tr>
      <w:tr>
        <w:trPr>
          <w:trHeight w:val="193"/>
        </w:trPr>
        <w:tc>
          <w:tcPr>
            <w:tcW w:w="50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26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179</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174</w:t>
            </w:r>
          </w:p>
        </w:tc>
      </w:tr>
      <w:tr>
        <w:trPr>
          <w:trHeight w:val="196"/>
        </w:trPr>
        <w:tc>
          <w:tcPr>
            <w:tcW w:w="50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liabilities</w:t>
            </w:r>
          </w:p>
        </w:tc>
        <w:tc>
          <w:tcPr>
            <w:tcW w:w="26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833</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809</w:t>
            </w:r>
          </w:p>
        </w:tc>
      </w:tr>
      <w:tr>
        <w:trPr>
          <w:trHeight w:val="199"/>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operating lease liabilities</w:t>
            </w:r>
          </w:p>
        </w:tc>
        <w:tc>
          <w:tcPr>
            <w:tcW w:w="26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1,012</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983</w:t>
            </w:r>
          </w:p>
        </w:tc>
      </w:tr>
      <w:tr>
        <w:trPr>
          <w:trHeight w:val="196"/>
        </w:trPr>
        <w:tc>
          <w:tcPr>
            <w:tcW w:w="50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Finance leases</w:t>
            </w:r>
          </w:p>
        </w:tc>
        <w:tc>
          <w:tcPr>
            <w:tcW w:w="26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50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Property, plant and equipment</w:t>
            </w:r>
          </w:p>
        </w:tc>
        <w:tc>
          <w:tcPr>
            <w:tcW w:w="26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153</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171</w:t>
            </w:r>
          </w:p>
        </w:tc>
      </w:tr>
      <w:tr>
        <w:trPr>
          <w:trHeight w:val="196"/>
        </w:trPr>
        <w:tc>
          <w:tcPr>
            <w:tcW w:w="50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Accumulated depreciation</w:t>
            </w:r>
          </w:p>
        </w:tc>
        <w:tc>
          <w:tcPr>
            <w:tcW w:w="26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(96)</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(110)</w:t>
            </w:r>
          </w:p>
        </w:tc>
      </w:tr>
      <w:tr>
        <w:trPr>
          <w:trHeight w:val="199"/>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Property, plant and equipment—net</w:t>
            </w:r>
          </w:p>
        </w:tc>
        <w:tc>
          <w:tcPr>
            <w:tcW w:w="26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57</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w:t>
            </w:r>
          </w:p>
        </w:tc>
      </w:tr>
      <w:tr>
        <w:trPr>
          <w:trHeight w:val="193"/>
        </w:trPr>
        <w:tc>
          <w:tcPr>
            <w:tcW w:w="50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Current maturities of long-term debt</w:t>
            </w:r>
          </w:p>
        </w:tc>
        <w:tc>
          <w:tcPr>
            <w:tcW w:w="26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33</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w:t>
            </w:r>
          </w:p>
        </w:tc>
      </w:tr>
      <w:tr>
        <w:trPr>
          <w:trHeight w:val="196"/>
        </w:trPr>
        <w:tc>
          <w:tcPr>
            <w:tcW w:w="50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Long-term debt</w:t>
            </w:r>
          </w:p>
        </w:tc>
        <w:tc>
          <w:tcPr>
            <w:tcW w:w="26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26</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27</w:t>
            </w:r>
          </w:p>
        </w:tc>
      </w:tr>
      <w:tr>
        <w:trPr>
          <w:trHeight w:val="199"/>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finance lease liabilities</w:t>
            </w:r>
          </w:p>
        </w:tc>
        <w:tc>
          <w:tcPr>
            <w:tcW w:w="26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59</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22</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11. DERIVATIVE INSTRUMENTS AND HEDGING TRANSACTIONS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Honeywell's foreign currency, interest rate, credit, and commodity price risk management policies are described in Note 11 Derivative Instruments and Hedging Transactions of Notes to Consolidated Financial Statements in the Company's 2025 Annual Report on Form 10-K.</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the notional amounts and fair values of the Company’s outstanding derivatives by risk category and instrument type within the Consolidated Balance Sheet: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gridSpan w:val="2"/>
          </w:tcPr>
          <w:p>
            <w:pPr>
              <w:jc w:val="right"/>
              <w:ind w:right="28"/>
              <w:spacing w:after="0"/>
              <w:rPr>
                <w:sz w:val="20"/>
                <w:szCs w:val="20"/>
                <w:color w:val="auto"/>
              </w:rPr>
            </w:pPr>
            <w:r>
              <w:rPr>
                <w:rFonts w:ascii="Arial" w:cs="Arial" w:eastAsia="Arial" w:hAnsi="Arial"/>
                <w:sz w:val="14"/>
                <w:szCs w:val="14"/>
                <w:b w:val="1"/>
                <w:bCs w:val="1"/>
                <w:color w:val="auto"/>
              </w:rPr>
              <w:t>Notional</w:t>
            </w:r>
          </w:p>
        </w:tc>
        <w:tc>
          <w:tcPr>
            <w:tcW w:w="80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gridSpan w:val="2"/>
          </w:tcPr>
          <w:p>
            <w:pPr>
              <w:jc w:val="right"/>
              <w:ind w:right="268"/>
              <w:spacing w:after="0"/>
              <w:rPr>
                <w:sz w:val="20"/>
                <w:szCs w:val="20"/>
                <w:color w:val="auto"/>
              </w:rPr>
            </w:pPr>
            <w:r>
              <w:rPr>
                <w:rFonts w:ascii="Arial" w:cs="Arial" w:eastAsia="Arial" w:hAnsi="Arial"/>
                <w:sz w:val="14"/>
                <w:szCs w:val="14"/>
                <w:b w:val="1"/>
                <w:bCs w:val="1"/>
                <w:color w:val="auto"/>
              </w:rPr>
              <w:t>Fair Value Asset</w:t>
            </w:r>
          </w:p>
        </w:tc>
        <w:tc>
          <w:tcPr>
            <w:tcW w:w="30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1680" w:type="dxa"/>
            <w:vAlign w:val="bottom"/>
            <w:tcBorders>
              <w:bottom w:val="single" w:sz="8" w:color="D7282F"/>
            </w:tcBorders>
            <w:gridSpan w:val="2"/>
          </w:tcPr>
          <w:p>
            <w:pPr>
              <w:jc w:val="right"/>
              <w:ind w:right="108"/>
              <w:spacing w:after="0"/>
              <w:rPr>
                <w:sz w:val="20"/>
                <w:szCs w:val="20"/>
                <w:color w:val="auto"/>
              </w:rPr>
            </w:pPr>
            <w:r>
              <w:rPr>
                <w:rFonts w:ascii="Arial" w:cs="Arial" w:eastAsia="Arial" w:hAnsi="Arial"/>
                <w:sz w:val="14"/>
                <w:szCs w:val="14"/>
                <w:b w:val="1"/>
                <w:bCs w:val="1"/>
                <w:color w:val="auto"/>
              </w:rPr>
              <w:t>Fair Value Liability</w:t>
            </w:r>
          </w:p>
        </w:tc>
        <w:tc>
          <w:tcPr>
            <w:tcW w:w="3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620" w:type="dxa"/>
            <w:vAlign w:val="bottom"/>
          </w:tcPr>
          <w:p>
            <w:pPr>
              <w:spacing w:after="0"/>
              <w:rPr>
                <w:sz w:val="15"/>
                <w:szCs w:val="15"/>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2026</w:t>
            </w:r>
          </w:p>
        </w:tc>
        <w:tc>
          <w:tcPr>
            <w:tcW w:w="144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2026</w:t>
            </w:r>
          </w:p>
        </w:tc>
        <w:tc>
          <w:tcPr>
            <w:tcW w:w="144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2026</w:t>
            </w:r>
          </w:p>
        </w:tc>
        <w:tc>
          <w:tcPr>
            <w:tcW w:w="12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362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gridSpan w:val="2"/>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gridSpan w:val="2"/>
            <w:vMerge w:val="continue"/>
          </w:tcPr>
          <w:p>
            <w:pPr>
              <w:spacing w:after="0"/>
              <w:rPr>
                <w:sz w:val="16"/>
                <w:szCs w:val="16"/>
                <w:color w:val="auto"/>
              </w:rPr>
            </w:pPr>
          </w:p>
        </w:tc>
        <w:tc>
          <w:tcPr>
            <w:tcW w:w="9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gridSpan w:val="2"/>
            <w:vMerge w:val="continue"/>
          </w:tcPr>
          <w:p>
            <w:pPr>
              <w:spacing w:after="0"/>
              <w:rPr>
                <w:sz w:val="16"/>
                <w:szCs w:val="16"/>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fair value hedging relationships</w:t>
            </w:r>
          </w:p>
        </w:tc>
        <w:tc>
          <w:tcPr>
            <w:tcW w:w="340" w:type="dxa"/>
            <w:vAlign w:val="bottom"/>
            <w:tcBorders>
              <w:bottom w:val="single" w:sz="8" w:color="61656A"/>
            </w:tcBorders>
          </w:tcPr>
          <w:p>
            <w:pPr>
              <w:spacing w:after="0"/>
              <w:rPr>
                <w:sz w:val="19"/>
                <w:szCs w:val="19"/>
                <w:color w:val="auto"/>
              </w:rPr>
            </w:pPr>
          </w:p>
        </w:tc>
        <w:tc>
          <w:tcPr>
            <w:tcW w:w="840" w:type="dxa"/>
            <w:vAlign w:val="bottom"/>
            <w:tcBorders>
              <w:bottom w:val="single" w:sz="8" w:color="61656A"/>
            </w:tcBorders>
          </w:tcPr>
          <w:p>
            <w:pPr>
              <w:spacing w:after="0"/>
              <w:rPr>
                <w:sz w:val="19"/>
                <w:szCs w:val="19"/>
                <w:color w:val="auto"/>
              </w:rPr>
            </w:pPr>
          </w:p>
        </w:tc>
        <w:tc>
          <w:tcPr>
            <w:tcW w:w="400" w:type="dxa"/>
            <w:vAlign w:val="bottom"/>
            <w:tcBorders>
              <w:bottom w:val="single" w:sz="8" w:color="61656A"/>
            </w:tcBorders>
          </w:tcPr>
          <w:p>
            <w:pPr>
              <w:spacing w:after="0"/>
              <w:rPr>
                <w:sz w:val="19"/>
                <w:szCs w:val="19"/>
                <w:color w:val="auto"/>
              </w:rPr>
            </w:pPr>
          </w:p>
        </w:tc>
        <w:tc>
          <w:tcPr>
            <w:tcW w:w="800" w:type="dxa"/>
            <w:vAlign w:val="bottom"/>
            <w:tcBorders>
              <w:bottom w:val="single" w:sz="8" w:color="61656A"/>
            </w:tcBorders>
          </w:tcPr>
          <w:p>
            <w:pPr>
              <w:spacing w:after="0"/>
              <w:rPr>
                <w:sz w:val="19"/>
                <w:szCs w:val="19"/>
                <w:color w:val="auto"/>
              </w:rPr>
            </w:pPr>
          </w:p>
        </w:tc>
        <w:tc>
          <w:tcPr>
            <w:tcW w:w="240" w:type="dxa"/>
            <w:vAlign w:val="bottom"/>
            <w:tcBorders>
              <w:bottom w:val="single" w:sz="8" w:color="61656A"/>
            </w:tcBorders>
          </w:tcPr>
          <w:p>
            <w:pPr>
              <w:spacing w:after="0"/>
              <w:rPr>
                <w:sz w:val="19"/>
                <w:szCs w:val="19"/>
                <w:color w:val="auto"/>
              </w:rPr>
            </w:pPr>
          </w:p>
        </w:tc>
        <w:tc>
          <w:tcPr>
            <w:tcW w:w="360" w:type="dxa"/>
            <w:vAlign w:val="bottom"/>
            <w:tcBorders>
              <w:bottom w:val="single" w:sz="8" w:color="61656A"/>
            </w:tcBorders>
          </w:tcPr>
          <w:p>
            <w:pPr>
              <w:spacing w:after="0"/>
              <w:rPr>
                <w:sz w:val="19"/>
                <w:szCs w:val="19"/>
                <w:color w:val="auto"/>
              </w:rPr>
            </w:pPr>
          </w:p>
        </w:tc>
        <w:tc>
          <w:tcPr>
            <w:tcW w:w="820" w:type="dxa"/>
            <w:vAlign w:val="bottom"/>
            <w:tcBorders>
              <w:bottom w:val="single" w:sz="8" w:color="61656A"/>
            </w:tcBorders>
          </w:tcPr>
          <w:p>
            <w:pPr>
              <w:spacing w:after="0"/>
              <w:rPr>
                <w:sz w:val="19"/>
                <w:szCs w:val="19"/>
                <w:color w:val="auto"/>
              </w:rPr>
            </w:pPr>
          </w:p>
        </w:tc>
        <w:tc>
          <w:tcPr>
            <w:tcW w:w="900" w:type="dxa"/>
            <w:vAlign w:val="bottom"/>
            <w:tcBorders>
              <w:bottom w:val="single" w:sz="8" w:color="61656A"/>
            </w:tcBorders>
          </w:tcPr>
          <w:p>
            <w:pPr>
              <w:spacing w:after="0"/>
              <w:rPr>
                <w:sz w:val="19"/>
                <w:szCs w:val="19"/>
                <w:color w:val="auto"/>
              </w:rPr>
            </w:pPr>
          </w:p>
        </w:tc>
        <w:tc>
          <w:tcPr>
            <w:tcW w:w="300" w:type="dxa"/>
            <w:vAlign w:val="bottom"/>
            <w:tcBorders>
              <w:bottom w:val="single" w:sz="8" w:color="61656A"/>
            </w:tcBorders>
          </w:tcPr>
          <w:p>
            <w:pPr>
              <w:spacing w:after="0"/>
              <w:rPr>
                <w:sz w:val="19"/>
                <w:szCs w:val="19"/>
                <w:color w:val="auto"/>
              </w:rPr>
            </w:pPr>
          </w:p>
        </w:tc>
        <w:tc>
          <w:tcPr>
            <w:tcW w:w="240" w:type="dxa"/>
            <w:vAlign w:val="bottom"/>
            <w:tcBorders>
              <w:bottom w:val="single" w:sz="8" w:color="61656A"/>
            </w:tcBorders>
          </w:tcPr>
          <w:p>
            <w:pPr>
              <w:spacing w:after="0"/>
              <w:rPr>
                <w:sz w:val="19"/>
                <w:szCs w:val="19"/>
                <w:color w:val="auto"/>
              </w:rPr>
            </w:pPr>
          </w:p>
        </w:tc>
        <w:tc>
          <w:tcPr>
            <w:tcW w:w="320" w:type="dxa"/>
            <w:vAlign w:val="bottom"/>
            <w:tcBorders>
              <w:bottom w:val="single" w:sz="8" w:color="61656A"/>
            </w:tcBorders>
          </w:tcPr>
          <w:p>
            <w:pPr>
              <w:spacing w:after="0"/>
              <w:rPr>
                <w:sz w:val="19"/>
                <w:szCs w:val="19"/>
                <w:color w:val="auto"/>
              </w:rPr>
            </w:pPr>
          </w:p>
        </w:tc>
        <w:tc>
          <w:tcPr>
            <w:tcW w:w="860" w:type="dxa"/>
            <w:vAlign w:val="bottom"/>
            <w:tcBorders>
              <w:bottom w:val="single" w:sz="8" w:color="61656A"/>
            </w:tcBorders>
          </w:tcPr>
          <w:p>
            <w:pPr>
              <w:spacing w:after="0"/>
              <w:rPr>
                <w:sz w:val="19"/>
                <w:szCs w:val="19"/>
                <w:color w:val="auto"/>
              </w:rPr>
            </w:pPr>
          </w:p>
        </w:tc>
        <w:tc>
          <w:tcPr>
            <w:tcW w:w="820" w:type="dxa"/>
            <w:vAlign w:val="bottom"/>
            <w:tcBorders>
              <w:bottom w:val="single" w:sz="8" w:color="61656A"/>
            </w:tcBorders>
          </w:tcPr>
          <w:p>
            <w:pPr>
              <w:spacing w:after="0"/>
              <w:rPr>
                <w:sz w:val="19"/>
                <w:szCs w:val="19"/>
                <w:color w:val="auto"/>
              </w:rPr>
            </w:pPr>
          </w:p>
        </w:tc>
        <w:tc>
          <w:tcPr>
            <w:tcW w:w="380" w:type="dxa"/>
            <w:vAlign w:val="bottom"/>
            <w:tcBorders>
              <w:bottom w:val="single" w:sz="8" w:color="61656A"/>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3,180</w:t>
            </w:r>
          </w:p>
        </w:tc>
        <w:tc>
          <w:tcPr>
            <w:tcW w:w="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4,068</w:t>
            </w:r>
          </w:p>
        </w:tc>
        <w:tc>
          <w:tcPr>
            <w:tcW w:w="24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w:t>
            </w:r>
          </w:p>
        </w:tc>
        <w:tc>
          <w:tcPr>
            <w:tcW w:w="900" w:type="dxa"/>
            <w:vAlign w:val="bottom"/>
            <w:tcBorders>
              <w:bottom w:val="single" w:sz="8" w:color="61656A"/>
            </w:tcBorders>
          </w:tcPr>
          <w:p>
            <w:pPr>
              <w:jc w:val="right"/>
              <w:ind w:right="6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(93)</w:t>
            </w:r>
          </w:p>
        </w:tc>
        <w:tc>
          <w:tcPr>
            <w:tcW w:w="820" w:type="dxa"/>
            <w:vAlign w:val="bottom"/>
            <w:tcBorders>
              <w:bottom w:val="single" w:sz="8" w:color="61656A"/>
            </w:tcBorders>
          </w:tcPr>
          <w:p>
            <w:pPr>
              <w:jc w:val="right"/>
              <w:ind w:right="5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385</w:t>
            </w:r>
          </w:p>
        </w:tc>
        <w:tc>
          <w:tcPr>
            <w:tcW w:w="4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509</w:t>
            </w:r>
          </w:p>
        </w:tc>
        <w:tc>
          <w:tcPr>
            <w:tcW w:w="24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w:t>
            </w:r>
          </w:p>
        </w:tc>
        <w:tc>
          <w:tcPr>
            <w:tcW w:w="900" w:type="dxa"/>
            <w:vAlign w:val="bottom"/>
            <w:tcBorders>
              <w:bottom w:val="single" w:sz="8" w:color="61656A"/>
            </w:tcBorders>
          </w:tcPr>
          <w:p>
            <w:pPr>
              <w:spacing w:after="0"/>
              <w:rPr>
                <w:sz w:val="16"/>
                <w:szCs w:val="16"/>
                <w:color w:val="auto"/>
              </w:rPr>
            </w:pPr>
          </w:p>
        </w:tc>
        <w:tc>
          <w:tcPr>
            <w:tcW w:w="54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w:t>
            </w:r>
          </w:p>
        </w:tc>
        <w:tc>
          <w:tcPr>
            <w:tcW w:w="8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6,139</w:t>
            </w: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6,139</w:t>
            </w:r>
          </w:p>
        </w:tc>
        <w:tc>
          <w:tcPr>
            <w:tcW w:w="24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(700)</w:t>
            </w: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150"/>
        </w:trPr>
        <w:tc>
          <w:tcPr>
            <w:tcW w:w="3620" w:type="dxa"/>
            <w:vAlign w:val="bottom"/>
          </w:tcPr>
          <w:p>
            <w:pPr>
              <w:ind w:left="240"/>
              <w:spacing w:after="0" w:line="151" w:lineRule="exact"/>
              <w:rPr>
                <w:sz w:val="20"/>
                <w:szCs w:val="20"/>
                <w:color w:val="auto"/>
              </w:rPr>
            </w:pPr>
            <w:r>
              <w:rPr>
                <w:rFonts w:ascii="Arial" w:cs="Arial" w:eastAsia="Arial" w:hAnsi="Arial"/>
                <w:sz w:val="14"/>
                <w:szCs w:val="14"/>
                <w:b w:val="1"/>
                <w:bCs w:val="1"/>
                <w:color w:val="auto"/>
              </w:rPr>
              <w:t>Total derivatives designated as hedging</w:t>
            </w:r>
          </w:p>
        </w:tc>
        <w:tc>
          <w:tcPr>
            <w:tcW w:w="340" w:type="dxa"/>
            <w:vAlign w:val="bottom"/>
          </w:tcPr>
          <w:p>
            <w:pPr>
              <w:spacing w:after="0"/>
              <w:rPr>
                <w:sz w:val="13"/>
                <w:szCs w:val="13"/>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9,704</w:t>
            </w:r>
          </w:p>
        </w:tc>
        <w:tc>
          <w:tcPr>
            <w:tcW w:w="4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10,716</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6</w:t>
            </w:r>
          </w:p>
        </w:tc>
        <w:tc>
          <w:tcPr>
            <w:tcW w:w="90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(807)</w:t>
            </w:r>
          </w:p>
        </w:tc>
        <w:tc>
          <w:tcPr>
            <w:tcW w:w="82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(900)</w:t>
            </w:r>
          </w:p>
        </w:tc>
        <w:tc>
          <w:tcPr>
            <w:tcW w:w="0" w:type="dxa"/>
            <w:vAlign w:val="bottom"/>
          </w:tcPr>
          <w:p>
            <w:pPr>
              <w:spacing w:after="0"/>
              <w:rPr>
                <w:sz w:val="1"/>
                <w:szCs w:val="1"/>
                <w:color w:val="auto"/>
              </w:rPr>
            </w:pPr>
          </w:p>
        </w:tc>
      </w:tr>
      <w:tr>
        <w:trPr>
          <w:trHeight w:val="185"/>
        </w:trPr>
        <w:tc>
          <w:tcPr>
            <w:tcW w:w="36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vMerge w:val="continue"/>
          </w:tcPr>
          <w:p>
            <w:pPr>
              <w:spacing w:after="0"/>
              <w:rPr>
                <w:sz w:val="16"/>
                <w:szCs w:val="16"/>
                <w:color w:val="auto"/>
              </w:rPr>
            </w:pPr>
          </w:p>
        </w:tc>
        <w:tc>
          <w:tcPr>
            <w:tcW w:w="90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vMerge w:val="continue"/>
          </w:tcPr>
          <w:p>
            <w:pPr>
              <w:spacing w:after="0"/>
              <w:rPr>
                <w:sz w:val="16"/>
                <w:szCs w:val="16"/>
                <w:color w:val="auto"/>
              </w:rPr>
            </w:pP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13,128</w:t>
            </w: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9,682</w:t>
            </w:r>
          </w:p>
        </w:tc>
        <w:tc>
          <w:tcPr>
            <w:tcW w:w="24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13</w:t>
            </w:r>
          </w:p>
        </w:tc>
        <w:tc>
          <w:tcPr>
            <w:tcW w:w="90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c>
          <w:tcPr>
            <w:tcW w:w="24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w:t>
            </w: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Derivative instruments</w:t>
            </w:r>
          </w:p>
        </w:tc>
        <w:tc>
          <w:tcPr>
            <w:tcW w:w="3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22,832</w:t>
            </w:r>
          </w:p>
        </w:tc>
        <w:tc>
          <w:tcPr>
            <w:tcW w:w="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20,398</w:t>
            </w:r>
          </w:p>
        </w:tc>
        <w:tc>
          <w:tcPr>
            <w:tcW w:w="2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w:t>
            </w:r>
          </w:p>
        </w:tc>
        <w:tc>
          <w:tcPr>
            <w:tcW w:w="900" w:type="dxa"/>
            <w:vAlign w:val="bottom"/>
            <w:tcBorders>
              <w:bottom w:val="single" w:sz="8" w:color="D7282F"/>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w:t>
            </w:r>
          </w:p>
        </w:tc>
        <w:tc>
          <w:tcPr>
            <w:tcW w:w="24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(814)</w:t>
            </w:r>
          </w:p>
        </w:tc>
        <w:tc>
          <w:tcPr>
            <w:tcW w:w="820" w:type="dxa"/>
            <w:vAlign w:val="bottom"/>
            <w:tcBorders>
              <w:bottom w:val="single" w:sz="8" w:color="D7282F"/>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(905)</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All derivative assets are presented in Other current assets or Other assets. All derivative liabilities are presented in Accrued liabilities or Other liabilities.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to the foreign currency derivative contracts designated as net investment hedges,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$3,143 million and $6,962 million as of March 31, 2026 and December 31, 2025,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amounts recorded in the Consolidated Balance Sheet related to cumulative basis adjustments for fair value hedges: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vMerge w:val="restart"/>
          </w:tcPr>
          <w:p>
            <w:pPr>
              <w:jc w:val="center"/>
              <w:ind w:left="608"/>
              <w:spacing w:after="0"/>
              <w:rPr>
                <w:sz w:val="20"/>
                <w:szCs w:val="20"/>
                <w:color w:val="auto"/>
              </w:rPr>
            </w:pPr>
            <w:r>
              <w:rPr>
                <w:rFonts w:ascii="Arial" w:cs="Arial" w:eastAsia="Arial" w:hAnsi="Arial"/>
                <w:sz w:val="14"/>
                <w:szCs w:val="14"/>
                <w:b w:val="1"/>
                <w:bCs w:val="1"/>
                <w:color w:val="auto"/>
              </w:rPr>
              <w:t>Carrying Amount</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rPr>
              <w:t>Cumulative Amount of Fair Value</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3"/>
          </w:tcPr>
          <w:p>
            <w:pPr>
              <w:jc w:val="center"/>
              <w:ind w:right="48"/>
              <w:spacing w:after="0" w:line="149" w:lineRule="exact"/>
              <w:rPr>
                <w:sz w:val="20"/>
                <w:szCs w:val="20"/>
                <w:color w:val="auto"/>
              </w:rPr>
            </w:pPr>
            <w:r>
              <w:rPr>
                <w:rFonts w:ascii="Arial" w:cs="Arial" w:eastAsia="Arial" w:hAnsi="Arial"/>
                <w:sz w:val="14"/>
                <w:szCs w:val="14"/>
                <w:b w:val="1"/>
                <w:bCs w:val="1"/>
                <w:color w:val="auto"/>
              </w:rPr>
              <w:t>Hedging Adjustment Included in the</w:t>
            </w: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1880" w:type="dxa"/>
            <w:vAlign w:val="bottom"/>
            <w:tcBorders>
              <w:bottom w:val="single" w:sz="8" w:color="D7282F"/>
            </w:tcBorders>
            <w:gridSpan w:val="2"/>
          </w:tcPr>
          <w:p>
            <w:pPr>
              <w:jc w:val="center"/>
              <w:ind w:left="648"/>
              <w:spacing w:after="0"/>
              <w:rPr>
                <w:sz w:val="20"/>
                <w:szCs w:val="20"/>
                <w:color w:val="auto"/>
              </w:rPr>
            </w:pPr>
            <w:r>
              <w:rPr>
                <w:rFonts w:ascii="Arial" w:cs="Arial" w:eastAsia="Arial" w:hAnsi="Arial"/>
                <w:sz w:val="14"/>
                <w:szCs w:val="14"/>
                <w:b w:val="1"/>
                <w:bCs w:val="1"/>
                <w:color w:val="auto"/>
              </w:rPr>
              <w:t>of Hedged Item</w:t>
            </w:r>
          </w:p>
        </w:tc>
        <w:tc>
          <w:tcPr>
            <w:tcW w:w="82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2700" w:type="dxa"/>
            <w:vAlign w:val="bottom"/>
            <w:tcBorders>
              <w:bottom w:val="single" w:sz="8" w:color="D7282F"/>
            </w:tcBorders>
            <w:gridSpan w:val="3"/>
          </w:tcPr>
          <w:p>
            <w:pPr>
              <w:jc w:val="center"/>
              <w:ind w:right="48"/>
              <w:spacing w:after="0"/>
              <w:rPr>
                <w:sz w:val="20"/>
                <w:szCs w:val="20"/>
                <w:color w:val="auto"/>
              </w:rPr>
            </w:pPr>
            <w:r>
              <w:rPr>
                <w:rFonts w:ascii="Arial" w:cs="Arial" w:eastAsia="Arial" w:hAnsi="Arial"/>
                <w:sz w:val="14"/>
                <w:szCs w:val="14"/>
                <w:b w:val="1"/>
                <w:bCs w:val="1"/>
                <w:color w:val="auto"/>
              </w:rPr>
              <w:t>Carrying Amount of Hedged Item</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March 31, 2026</w:t>
            </w: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12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March 31, 2026</w:t>
            </w:r>
          </w:p>
        </w:tc>
        <w:tc>
          <w:tcPr>
            <w:tcW w:w="260" w:type="dxa"/>
            <w:vAlign w:val="bottom"/>
          </w:tcPr>
          <w:p>
            <w:pPr>
              <w:spacing w:after="0"/>
              <w:rPr>
                <w:sz w:val="15"/>
                <w:szCs w:val="15"/>
                <w:color w:val="auto"/>
              </w:rPr>
            </w:pPr>
          </w:p>
        </w:tc>
        <w:tc>
          <w:tcPr>
            <w:tcW w:w="1160" w:type="dxa"/>
            <w:vAlign w:val="bottom"/>
          </w:tcPr>
          <w:p>
            <w:pPr>
              <w:jc w:val="center"/>
              <w:ind w:right="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36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vMerge w:val="continue"/>
          </w:tcPr>
          <w:p>
            <w:pPr>
              <w:spacing w:after="0"/>
              <w:rPr>
                <w:sz w:val="16"/>
                <w:szCs w:val="16"/>
                <w:color w:val="auto"/>
              </w:rPr>
            </w:pPr>
          </w:p>
        </w:tc>
        <w:tc>
          <w:tcPr>
            <w:tcW w:w="60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16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2"/>
        </w:trPr>
        <w:tc>
          <w:tcPr>
            <w:tcW w:w="5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 debt</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3,092</w:t>
            </w:r>
          </w:p>
        </w:tc>
        <w:tc>
          <w:tcPr>
            <w:tcW w:w="60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3,989</w:t>
            </w:r>
          </w:p>
        </w:tc>
        <w:tc>
          <w:tcPr>
            <w:tcW w:w="24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location and impact to the Consolidated Statement of Operations related to derivative instruments: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0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2820" w:type="dxa"/>
            <w:vAlign w:val="bottom"/>
            <w:tcBorders>
              <w:bottom w:val="single" w:sz="8" w:color="D7282F"/>
            </w:tcBorders>
            <w:gridSpan w:val="4"/>
          </w:tcPr>
          <w:p>
            <w:pPr>
              <w:ind w:left="180"/>
              <w:spacing w:after="0"/>
              <w:rPr>
                <w:sz w:val="20"/>
                <w:szCs w:val="20"/>
                <w:color w:val="auto"/>
              </w:rPr>
            </w:pPr>
            <w:r>
              <w:rPr>
                <w:rFonts w:ascii="Arial" w:cs="Arial" w:eastAsia="Arial" w:hAnsi="Arial"/>
                <w:sz w:val="14"/>
                <w:szCs w:val="14"/>
                <w:b w:val="1"/>
                <w:bCs w:val="1"/>
                <w:color w:val="auto"/>
              </w:rPr>
              <w:t>Three Months Ended March 31, 2026</w:t>
            </w:r>
          </w:p>
        </w:tc>
        <w:tc>
          <w:tcPr>
            <w:tcW w:w="24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68"/>
              <w:spacing w:after="0" w:line="147" w:lineRule="exact"/>
              <w:rPr>
                <w:sz w:val="20"/>
                <w:szCs w:val="20"/>
                <w:color w:val="auto"/>
              </w:rPr>
            </w:pPr>
            <w:r>
              <w:rPr>
                <w:rFonts w:ascii="Arial" w:cs="Arial" w:eastAsia="Arial" w:hAnsi="Arial"/>
                <w:sz w:val="14"/>
                <w:szCs w:val="14"/>
                <w:b w:val="1"/>
                <w:bCs w:val="1"/>
                <w:color w:val="auto"/>
              </w:rPr>
              <w:t>Selling,</w:t>
            </w:r>
          </w:p>
        </w:tc>
        <w:tc>
          <w:tcPr>
            <w:tcW w:w="240" w:type="dxa"/>
            <w:vAlign w:val="bottom"/>
          </w:tcPr>
          <w:p>
            <w:pPr>
              <w:spacing w:after="0"/>
              <w:rPr>
                <w:sz w:val="12"/>
                <w:szCs w:val="12"/>
                <w:color w:val="auto"/>
              </w:rPr>
            </w:pPr>
          </w:p>
        </w:tc>
        <w:tc>
          <w:tcPr>
            <w:tcW w:w="102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Cost of</w:t>
            </w:r>
          </w:p>
        </w:tc>
        <w:tc>
          <w:tcPr>
            <w:tcW w:w="300" w:type="dxa"/>
            <w:vAlign w:val="bottom"/>
          </w:tcPr>
          <w:p>
            <w:pPr>
              <w:spacing w:after="0"/>
              <w:rPr>
                <w:sz w:val="12"/>
                <w:szCs w:val="12"/>
                <w:color w:val="auto"/>
              </w:rPr>
            </w:pPr>
          </w:p>
        </w:tc>
        <w:tc>
          <w:tcPr>
            <w:tcW w:w="9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2"/>
                <w:szCs w:val="12"/>
                <w:color w:val="auto"/>
              </w:rPr>
            </w:pPr>
          </w:p>
        </w:tc>
        <w:tc>
          <w:tcPr>
            <w:tcW w:w="130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General and</w:t>
            </w: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4"/>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88"/>
              <w:spacing w:after="0" w:line="145" w:lineRule="exact"/>
              <w:rPr>
                <w:sz w:val="20"/>
                <w:szCs w:val="20"/>
                <w:color w:val="auto"/>
              </w:rPr>
            </w:pPr>
            <w:r>
              <w:rPr>
                <w:rFonts w:ascii="Arial" w:cs="Arial" w:eastAsia="Arial" w:hAnsi="Arial"/>
                <w:sz w:val="14"/>
                <w:szCs w:val="14"/>
                <w:b w:val="1"/>
                <w:bCs w:val="1"/>
                <w:color w:val="auto"/>
              </w:rPr>
              <w:t>Administrative</w:t>
            </w:r>
          </w:p>
        </w:tc>
        <w:tc>
          <w:tcPr>
            <w:tcW w:w="240" w:type="dxa"/>
            <w:vAlign w:val="bottom"/>
          </w:tcPr>
          <w:p>
            <w:pPr>
              <w:spacing w:after="0"/>
              <w:rPr>
                <w:sz w:val="12"/>
                <w:szCs w:val="12"/>
                <w:color w:val="auto"/>
              </w:rPr>
            </w:pPr>
          </w:p>
        </w:tc>
        <w:tc>
          <w:tcPr>
            <w:tcW w:w="102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vMerge w:val="continue"/>
          </w:tcPr>
          <w:p>
            <w:pPr>
              <w:spacing w:after="0"/>
              <w:rPr>
                <w:sz w:val="16"/>
                <w:szCs w:val="16"/>
                <w:color w:val="auto"/>
              </w:rPr>
            </w:pPr>
          </w:p>
        </w:tc>
        <w:tc>
          <w:tcPr>
            <w:tcW w:w="128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Products Sold</w:t>
            </w:r>
          </w:p>
        </w:tc>
        <w:tc>
          <w:tcPr>
            <w:tcW w:w="126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Services Sold</w:t>
            </w:r>
          </w:p>
        </w:tc>
        <w:tc>
          <w:tcPr>
            <w:tcW w:w="26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Expenses</w:t>
            </w:r>
          </w:p>
        </w:tc>
        <w:tc>
          <w:tcPr>
            <w:tcW w:w="24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61656A"/>
            </w:tcBorders>
            <w:gridSpan w:val="2"/>
          </w:tcPr>
          <w:p>
            <w:pPr>
              <w:ind w:left="36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9,143</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3,863</w:t>
            </w:r>
          </w:p>
        </w:tc>
        <w:tc>
          <w:tcPr>
            <w:tcW w:w="3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1,741</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1,310</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99"/>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(loss) on cash flow hedges</w:t>
            </w:r>
          </w:p>
        </w:tc>
        <w:tc>
          <w:tcPr>
            <w:tcW w:w="9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3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74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300" w:type="dxa"/>
            <w:vAlign w:val="bottom"/>
            <w:vMerge w:val="restart"/>
          </w:tcPr>
          <w:p>
            <w:pPr>
              <w:jc w:val="right"/>
              <w:ind w:right="68"/>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3"/>
                <w:szCs w:val="13"/>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loss into income</w:t>
            </w:r>
          </w:p>
        </w:tc>
        <w:tc>
          <w:tcPr>
            <w:tcW w:w="98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(loss) on fair value hedges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50"/>
        </w:trPr>
        <w:tc>
          <w:tcPr>
            <w:tcW w:w="374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(loss) on derivatives not designated as</w:t>
            </w: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86</w:t>
            </w: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Reverse treasury lock contracts</w:t>
            </w:r>
          </w:p>
        </w:tc>
        <w:tc>
          <w:tcPr>
            <w:tcW w:w="9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13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(26)</w:t>
            </w:r>
          </w:p>
        </w:tc>
        <w:tc>
          <w:tcPr>
            <w:tcW w:w="2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8"/>
        </w:trPr>
        <w:tc>
          <w:tcPr>
            <w:tcW w:w="3600" w:type="dxa"/>
            <w:vAlign w:val="bottom"/>
          </w:tcPr>
          <w:p>
            <w:pPr>
              <w:spacing w:after="0"/>
              <w:rPr>
                <w:sz w:val="24"/>
                <w:szCs w:val="24"/>
                <w:color w:val="auto"/>
              </w:rPr>
            </w:pPr>
          </w:p>
        </w:tc>
        <w:tc>
          <w:tcPr>
            <w:tcW w:w="140" w:type="dxa"/>
            <w:vAlign w:val="bottom"/>
            <w:tcBorders>
              <w:bottom w:val="single" w:sz="8" w:color="D7282F"/>
            </w:tcBorders>
          </w:tcPr>
          <w:p>
            <w:pPr>
              <w:spacing w:after="0"/>
              <w:rPr>
                <w:sz w:val="24"/>
                <w:szCs w:val="24"/>
                <w:color w:val="auto"/>
              </w:rPr>
            </w:pPr>
          </w:p>
        </w:tc>
        <w:tc>
          <w:tcPr>
            <w:tcW w:w="98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960" w:type="dxa"/>
            <w:vAlign w:val="bottom"/>
            <w:tcBorders>
              <w:bottom w:val="single" w:sz="8" w:color="D7282F"/>
            </w:tcBorders>
          </w:tcPr>
          <w:p>
            <w:pPr>
              <w:spacing w:after="0"/>
              <w:rPr>
                <w:sz w:val="24"/>
                <w:szCs w:val="24"/>
                <w:color w:val="auto"/>
              </w:rPr>
            </w:pPr>
          </w:p>
        </w:tc>
        <w:tc>
          <w:tcPr>
            <w:tcW w:w="2820" w:type="dxa"/>
            <w:vAlign w:val="bottom"/>
            <w:tcBorders>
              <w:bottom w:val="single" w:sz="8" w:color="D7282F"/>
            </w:tcBorders>
            <w:gridSpan w:val="4"/>
          </w:tcPr>
          <w:p>
            <w:pPr>
              <w:ind w:left="180"/>
              <w:spacing w:after="0"/>
              <w:rPr>
                <w:sz w:val="20"/>
                <w:szCs w:val="20"/>
                <w:color w:val="auto"/>
              </w:rPr>
            </w:pPr>
            <w:r>
              <w:rPr>
                <w:rFonts w:ascii="Arial" w:cs="Arial" w:eastAsia="Arial" w:hAnsi="Arial"/>
                <w:sz w:val="14"/>
                <w:szCs w:val="14"/>
                <w:b w:val="1"/>
                <w:bCs w:val="1"/>
                <w:color w:val="auto"/>
              </w:rPr>
              <w:t>Three Months Ended March 31, 2025</w:t>
            </w:r>
          </w:p>
        </w:tc>
        <w:tc>
          <w:tcPr>
            <w:tcW w:w="240" w:type="dxa"/>
            <w:vAlign w:val="bottom"/>
            <w:tcBorders>
              <w:bottom w:val="single" w:sz="8" w:color="D7282F"/>
            </w:tcBorders>
          </w:tcPr>
          <w:p>
            <w:pPr>
              <w:spacing w:after="0"/>
              <w:rPr>
                <w:sz w:val="24"/>
                <w:szCs w:val="24"/>
                <w:color w:val="auto"/>
              </w:rPr>
            </w:pPr>
          </w:p>
        </w:tc>
        <w:tc>
          <w:tcPr>
            <w:tcW w:w="102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94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68"/>
              <w:spacing w:after="0" w:line="147" w:lineRule="exact"/>
              <w:rPr>
                <w:sz w:val="20"/>
                <w:szCs w:val="20"/>
                <w:color w:val="auto"/>
              </w:rPr>
            </w:pPr>
            <w:r>
              <w:rPr>
                <w:rFonts w:ascii="Arial" w:cs="Arial" w:eastAsia="Arial" w:hAnsi="Arial"/>
                <w:sz w:val="14"/>
                <w:szCs w:val="14"/>
                <w:b w:val="1"/>
                <w:bCs w:val="1"/>
                <w:color w:val="auto"/>
              </w:rPr>
              <w:t>Selling,</w:t>
            </w:r>
          </w:p>
        </w:tc>
        <w:tc>
          <w:tcPr>
            <w:tcW w:w="240" w:type="dxa"/>
            <w:vAlign w:val="bottom"/>
          </w:tcPr>
          <w:p>
            <w:pPr>
              <w:spacing w:after="0"/>
              <w:rPr>
                <w:sz w:val="12"/>
                <w:szCs w:val="12"/>
                <w:color w:val="auto"/>
              </w:rPr>
            </w:pPr>
          </w:p>
        </w:tc>
        <w:tc>
          <w:tcPr>
            <w:tcW w:w="102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4"/>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Cost of</w:t>
            </w:r>
          </w:p>
        </w:tc>
        <w:tc>
          <w:tcPr>
            <w:tcW w:w="300" w:type="dxa"/>
            <w:vAlign w:val="bottom"/>
          </w:tcPr>
          <w:p>
            <w:pPr>
              <w:spacing w:after="0"/>
              <w:rPr>
                <w:sz w:val="12"/>
                <w:szCs w:val="12"/>
                <w:color w:val="auto"/>
              </w:rPr>
            </w:pPr>
          </w:p>
        </w:tc>
        <w:tc>
          <w:tcPr>
            <w:tcW w:w="9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2"/>
                <w:szCs w:val="12"/>
                <w:color w:val="auto"/>
              </w:rPr>
            </w:pPr>
          </w:p>
        </w:tc>
        <w:tc>
          <w:tcPr>
            <w:tcW w:w="130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auto"/>
              </w:rPr>
              <w:t>General and</w:t>
            </w: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Administrative</w:t>
            </w:r>
          </w:p>
        </w:tc>
        <w:tc>
          <w:tcPr>
            <w:tcW w:w="240" w:type="dxa"/>
            <w:vAlign w:val="bottom"/>
          </w:tcPr>
          <w:p>
            <w:pPr>
              <w:spacing w:after="0"/>
              <w:rPr>
                <w:sz w:val="12"/>
                <w:szCs w:val="12"/>
                <w:color w:val="auto"/>
              </w:rPr>
            </w:pPr>
          </w:p>
        </w:tc>
        <w:tc>
          <w:tcPr>
            <w:tcW w:w="102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vMerge w:val="continue"/>
          </w:tcPr>
          <w:p>
            <w:pPr>
              <w:spacing w:after="0"/>
              <w:rPr>
                <w:sz w:val="16"/>
                <w:szCs w:val="16"/>
                <w:color w:val="auto"/>
              </w:rPr>
            </w:pPr>
          </w:p>
        </w:tc>
        <w:tc>
          <w:tcPr>
            <w:tcW w:w="128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Products Sold</w:t>
            </w:r>
          </w:p>
        </w:tc>
        <w:tc>
          <w:tcPr>
            <w:tcW w:w="126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Services Sold</w:t>
            </w:r>
          </w:p>
        </w:tc>
        <w:tc>
          <w:tcPr>
            <w:tcW w:w="26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Expenses</w:t>
            </w:r>
          </w:p>
        </w:tc>
        <w:tc>
          <w:tcPr>
            <w:tcW w:w="24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61656A"/>
            </w:tcBorders>
            <w:gridSpan w:val="2"/>
          </w:tcPr>
          <w:p>
            <w:pPr>
              <w:ind w:left="36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8,925</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3,723</w:t>
            </w:r>
          </w:p>
        </w:tc>
        <w:tc>
          <w:tcPr>
            <w:tcW w:w="3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1,740</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1,310</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229</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99"/>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(loss) on cash flow hedges</w:t>
            </w:r>
          </w:p>
        </w:tc>
        <w:tc>
          <w:tcPr>
            <w:tcW w:w="9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3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74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3"/>
                <w:szCs w:val="13"/>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300" w:type="dxa"/>
            <w:vAlign w:val="bottom"/>
            <w:vMerge w:val="restart"/>
          </w:tcPr>
          <w:p>
            <w:pPr>
              <w:jc w:val="right"/>
              <w:ind w:right="68"/>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3"/>
                <w:szCs w:val="13"/>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loss into income</w:t>
            </w:r>
          </w:p>
        </w:tc>
        <w:tc>
          <w:tcPr>
            <w:tcW w:w="98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(loss) on fair value hedges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50"/>
        </w:trPr>
        <w:tc>
          <w:tcPr>
            <w:tcW w:w="374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(loss) on derivatives not designated as</w:t>
            </w: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(148)</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amounts of gain or (loss) on net investment hedges recognized in Accumulated other comprehensive loss:</w:t>
      </w:r>
    </w:p>
    <w:p>
      <w:pPr>
        <w:spacing w:after="0" w:line="199" w:lineRule="exact"/>
        <w:rPr>
          <w:sz w:val="20"/>
          <w:szCs w:val="20"/>
          <w:color w:val="auto"/>
        </w:rPr>
      </w:pPr>
    </w:p>
    <w:p>
      <w:pPr>
        <w:jc w:val="center"/>
        <w:ind w:left="918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18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6350</wp:posOffset>
            </wp:positionV>
            <wp:extent cx="12426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20" w:type="dxa"/>
            <w:vAlign w:val="bottom"/>
            <w:tcBorders>
              <w:bottom w:val="single" w:sz="8" w:color="D7282F"/>
            </w:tcBorders>
          </w:tcPr>
          <w:p>
            <w:pPr>
              <w:spacing w:after="0"/>
              <w:rPr>
                <w:sz w:val="17"/>
                <w:szCs w:val="17"/>
                <w:color w:val="auto"/>
              </w:rPr>
            </w:pPr>
          </w:p>
        </w:tc>
        <w:tc>
          <w:tcPr>
            <w:tcW w:w="4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2025</w:t>
            </w:r>
          </w:p>
        </w:tc>
      </w:tr>
      <w:tr>
        <w:trPr>
          <w:trHeight w:val="193"/>
        </w:trPr>
        <w:tc>
          <w:tcPr>
            <w:tcW w:w="5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long-term debt</w:t>
            </w:r>
          </w:p>
        </w:tc>
        <w:tc>
          <w:tcPr>
            <w:tcW w:w="404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71</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(198)</w:t>
            </w:r>
          </w:p>
        </w:tc>
      </w:tr>
      <w:tr>
        <w:trPr>
          <w:trHeight w:val="196"/>
        </w:trPr>
        <w:tc>
          <w:tcPr>
            <w:tcW w:w="5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commercial paper</w:t>
            </w:r>
          </w:p>
        </w:tc>
        <w:tc>
          <w:tcPr>
            <w:tcW w:w="404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w:t>
            </w:r>
          </w:p>
        </w:tc>
      </w:tr>
      <w:tr>
        <w:trPr>
          <w:trHeight w:val="196"/>
        </w:trPr>
        <w:tc>
          <w:tcPr>
            <w:tcW w:w="58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Cross currency swap agreements</w:t>
            </w:r>
          </w:p>
        </w:tc>
        <w:tc>
          <w:tcPr>
            <w:tcW w:w="40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89</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(245)</w:t>
            </w: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24</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12.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guidance for fair value measurements and disclosures establishes a three-level fair value hierarchy:</w:t>
      </w:r>
    </w:p>
    <w:p>
      <w:pPr>
        <w:spacing w:after="0" w:line="113"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6"/>
          <w:szCs w:val="16"/>
          <w:color w:val="D7282F"/>
        </w:rPr>
      </w:pPr>
      <w:r>
        <w:rPr>
          <w:rFonts w:ascii="Arial" w:cs="Arial" w:eastAsia="Arial" w:hAnsi="Arial"/>
          <w:sz w:val="16"/>
          <w:szCs w:val="16"/>
          <w:color w:val="auto"/>
        </w:rPr>
        <w:t>Level 1 - Inputs are based on quoted prices in active markets for identical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22"/>
        </w:numPr>
        <w:rPr>
          <w:rFonts w:ascii="Arial" w:cs="Arial" w:eastAsia="Arial" w:hAnsi="Arial"/>
          <w:sz w:val="16"/>
          <w:szCs w:val="16"/>
          <w:color w:val="D7282F"/>
        </w:rPr>
      </w:pPr>
      <w:r>
        <w:rPr>
          <w:rFonts w:ascii="Arial" w:cs="Arial" w:eastAsia="Arial" w:hAnsi="Arial"/>
          <w:sz w:val="16"/>
          <w:szCs w:val="16"/>
          <w:color w:val="auto"/>
        </w:rPr>
        <w:t>Level 2 - Inputs are based on observable inputs other than quoted prices in active markets for identical or similar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22"/>
        </w:numPr>
        <w:rPr>
          <w:rFonts w:ascii="Arial" w:cs="Arial" w:eastAsia="Arial" w:hAnsi="Arial"/>
          <w:sz w:val="16"/>
          <w:szCs w:val="16"/>
          <w:color w:val="D7282F"/>
        </w:rPr>
      </w:pPr>
      <w:r>
        <w:rPr>
          <w:rFonts w:ascii="Arial" w:cs="Arial" w:eastAsia="Arial" w:hAnsi="Arial"/>
          <w:sz w:val="16"/>
          <w:szCs w:val="16"/>
          <w:color w:val="auto"/>
        </w:rPr>
        <w:t>Level 3 - One or more inputs are unobservable and significant.</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classifies financial and nonfinancial assets and liabilities in their entirety based on the lowest level of input that is significant to the fair value measurement.</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accounted for at fair value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4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gridSpan w:val="3"/>
          </w:tcPr>
          <w:p>
            <w:pPr>
              <w:ind w:left="240"/>
              <w:spacing w:after="0"/>
              <w:rPr>
                <w:sz w:val="20"/>
                <w:szCs w:val="20"/>
                <w:color w:val="auto"/>
              </w:rPr>
            </w:pPr>
            <w:r>
              <w:rPr>
                <w:rFonts w:ascii="Arial" w:cs="Arial" w:eastAsia="Arial" w:hAnsi="Arial"/>
                <w:sz w:val="14"/>
                <w:szCs w:val="14"/>
                <w:b w:val="1"/>
                <w:bCs w:val="1"/>
                <w:color w:val="auto"/>
              </w:rPr>
              <w:t>March 31, 2026</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gridSpan w:val="3"/>
          </w:tcPr>
          <w:p>
            <w:pPr>
              <w:jc w:val="right"/>
              <w:ind w:right="248"/>
              <w:spacing w:after="0"/>
              <w:rPr>
                <w:sz w:val="20"/>
                <w:szCs w:val="20"/>
                <w:color w:val="auto"/>
              </w:rPr>
            </w:pPr>
            <w:r>
              <w:rPr>
                <w:rFonts w:ascii="Arial" w:cs="Arial" w:eastAsia="Arial" w:hAnsi="Arial"/>
                <w:sz w:val="14"/>
                <w:szCs w:val="14"/>
                <w:b w:val="1"/>
                <w:bCs w:val="1"/>
                <w:color w:val="auto"/>
              </w:rPr>
              <w:t>December 31, 2025</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r>
      <w:tr>
        <w:trPr>
          <w:trHeight w:val="196"/>
        </w:trPr>
        <w:tc>
          <w:tcPr>
            <w:tcW w:w="35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Total</w:t>
            </w:r>
          </w:p>
        </w:tc>
      </w:tr>
      <w:tr>
        <w:trPr>
          <w:trHeight w:val="196"/>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ind w:left="4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Available for sale investments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48</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452</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ind w:left="4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50</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481</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531</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ind w:left="4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Investments in equity securities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ind w:left="4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3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Right to HWI Net Sale Proceeds</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ind w:left="4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r>
      <w:tr>
        <w:trPr>
          <w:trHeight w:val="199"/>
        </w:trPr>
        <w:tc>
          <w:tcPr>
            <w:tcW w:w="35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471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ind w:left="420"/>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521</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499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556</w:t>
            </w:r>
          </w:p>
        </w:tc>
      </w:tr>
      <w:tr>
        <w:trPr>
          <w:trHeight w:val="196"/>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21</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ind w:left="4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93</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ind w:left="4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93</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93</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93</w:t>
            </w:r>
          </w:p>
        </w:tc>
      </w:tr>
      <w:tr>
        <w:trPr>
          <w:trHeight w:val="196"/>
        </w:trPr>
        <w:tc>
          <w:tcPr>
            <w:tcW w:w="3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700</w:t>
            </w: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ind w:left="4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700</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801</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801</w:t>
            </w:r>
          </w:p>
        </w:tc>
      </w:tr>
      <w:tr>
        <w:trPr>
          <w:trHeight w:val="199"/>
        </w:trPr>
        <w:tc>
          <w:tcPr>
            <w:tcW w:w="35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814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ind w:left="420"/>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814</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905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905</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values foreign currency exchange contracts, interest rate swap agreements, and cross currency swap agreements using broker quotations, or market transactions in either the listed or over-the-counter markets. These derivative instruments are classified within level 2. The Company also holds investments in commercial paper, certificates of deposits, time deposits, and corporate debt securities that are designated as available for sale. These investments are valued using published prices based on observable market data. These investments are classified within level 2.</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holds certain available for sale investments in U.S. government securities and investments in equity securities. The Company values these investments utilizing published prices based on quoted market pricing, which are classified within level 1.</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carrying value of cash and cash equivalents, trade accounts and notes receivables, payables, commercial paper, and other short-term borrowings contained in the Consolidated Balance Sheet approximates fair value.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that were not carried at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0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gridSpan w:val="3"/>
          </w:tcPr>
          <w:p>
            <w:pPr>
              <w:jc w:val="right"/>
              <w:ind w:right="408"/>
              <w:spacing w:after="0"/>
              <w:rPr>
                <w:sz w:val="20"/>
                <w:szCs w:val="20"/>
                <w:color w:val="auto"/>
              </w:rPr>
            </w:pPr>
            <w:r>
              <w:rPr>
                <w:rFonts w:ascii="Arial" w:cs="Arial" w:eastAsia="Arial" w:hAnsi="Arial"/>
                <w:sz w:val="14"/>
                <w:szCs w:val="14"/>
                <w:b w:val="1"/>
                <w:bCs w:val="1"/>
                <w:color w:val="auto"/>
              </w:rPr>
              <w:t>March 31, 2026</w:t>
            </w:r>
          </w:p>
        </w:tc>
        <w:tc>
          <w:tcPr>
            <w:tcW w:w="2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gridSpan w:val="3"/>
          </w:tcPr>
          <w:p>
            <w:pPr>
              <w:jc w:val="right"/>
              <w:ind w:right="268"/>
              <w:spacing w:after="0"/>
              <w:rPr>
                <w:sz w:val="20"/>
                <w:szCs w:val="20"/>
                <w:color w:val="auto"/>
              </w:rPr>
            </w:pPr>
            <w:r>
              <w:rPr>
                <w:rFonts w:ascii="Arial" w:cs="Arial" w:eastAsia="Arial" w:hAnsi="Arial"/>
                <w:sz w:val="14"/>
                <w:szCs w:val="14"/>
                <w:b w:val="1"/>
                <w:bCs w:val="1"/>
                <w:color w:val="auto"/>
              </w:rPr>
              <w:t>December 31, 2025</w:t>
            </w:r>
          </w:p>
        </w:tc>
      </w:tr>
      <w:tr>
        <w:trPr>
          <w:trHeight w:val="147"/>
        </w:trPr>
        <w:tc>
          <w:tcPr>
            <w:tcW w:w="7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48"/>
              <w:spacing w:after="0" w:line="147"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92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840" w:type="dxa"/>
            <w:vAlign w:val="bottom"/>
          </w:tcPr>
          <w:p>
            <w:pPr>
              <w:jc w:val="right"/>
              <w:ind w:right="148"/>
              <w:spacing w:after="0" w:line="147"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2"/>
                <w:szCs w:val="12"/>
                <w:color w:val="auto"/>
              </w:rPr>
            </w:pPr>
          </w:p>
        </w:tc>
        <w:tc>
          <w:tcPr>
            <w:tcW w:w="700" w:type="dxa"/>
            <w:vAlign w:val="bottom"/>
          </w:tcPr>
          <w:p>
            <w:pPr>
              <w:jc w:val="right"/>
              <w:ind w:right="228"/>
              <w:spacing w:after="0" w:line="147" w:lineRule="exact"/>
              <w:rPr>
                <w:sz w:val="20"/>
                <w:szCs w:val="20"/>
                <w:color w:val="auto"/>
              </w:rPr>
            </w:pPr>
            <w:r>
              <w:rPr>
                <w:rFonts w:ascii="Arial" w:cs="Arial" w:eastAsia="Arial" w:hAnsi="Arial"/>
                <w:sz w:val="14"/>
                <w:szCs w:val="14"/>
                <w:b w:val="1"/>
                <w:bCs w:val="1"/>
                <w:color w:val="auto"/>
              </w:rPr>
              <w:t>Fair</w:t>
            </w:r>
          </w:p>
        </w:tc>
      </w:tr>
      <w:tr>
        <w:trPr>
          <w:trHeight w:val="185"/>
        </w:trPr>
        <w:tc>
          <w:tcPr>
            <w:tcW w:w="710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Value</w:t>
            </w:r>
          </w:p>
        </w:tc>
      </w:tr>
      <w:tr>
        <w:trPr>
          <w:trHeight w:val="195"/>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Long-term receivables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1,002</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958</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992</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961</w:t>
            </w:r>
          </w:p>
        </w:tc>
      </w:tr>
      <w:tr>
        <w:trPr>
          <w:trHeight w:val="199"/>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r>
      <w:tr>
        <w:trPr>
          <w:trHeight w:val="193"/>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Long-term debt and related current maturities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32,109</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30,974</w:t>
            </w:r>
          </w:p>
        </w:tc>
        <w:tc>
          <w:tcPr>
            <w:tcW w:w="22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28,688</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28,144</w:t>
            </w:r>
          </w:p>
        </w:tc>
      </w:tr>
    </w:tbl>
    <w:p>
      <w:pPr>
        <w:spacing w:after="0" w:line="18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Company determined the fair value of the long-term receivables by utilizing transactions in the listed markets for identical or similar assets. As such, the fair value of these receivables is considered level 2.</w:t>
      </w:r>
    </w:p>
    <w:p>
      <w:pPr>
        <w:spacing w:after="0" w:line="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determined the fair value of the long-term debt and related current maturities by utilizing transactions in the listed markets for identical or similar liabilities. As such, the fair value of the long-term debt and related current maturities is considered level 2.</w:t>
      </w:r>
    </w:p>
    <w:p>
      <w:pPr>
        <w:spacing w:after="0" w:line="400" w:lineRule="exact"/>
        <w:rPr>
          <w:sz w:val="20"/>
          <w:szCs w:val="20"/>
          <w:color w:val="auto"/>
        </w:rPr>
      </w:pPr>
    </w:p>
    <w:p>
      <w:pPr>
        <w:ind w:left="400" w:hanging="392"/>
        <w:spacing w:after="0"/>
        <w:tabs>
          <w:tab w:leader="none" w:pos="400" w:val="left"/>
        </w:tabs>
        <w:numPr>
          <w:ilvl w:val="0"/>
          <w:numId w:val="2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As of March 31, 2026 and December 31, 2025, the Company measured the disposal group of the Productivity Solutions and Services and Warehouse and Workflow Solutions businesses at fair value, less costs to sell. The fair value of the disposal group was determined using significant unobservable inputs based on expected proceeds to be received upon the sale of the businesses. As such, the fair value of the disposal group was considered level 3. See Note 3 </w:t>
      </w:r>
      <w:r>
        <w:rPr>
          <w:rFonts w:ascii="Arial" w:cs="Arial" w:eastAsia="Arial" w:hAnsi="Arial"/>
          <w:sz w:val="16"/>
          <w:szCs w:val="16"/>
          <w:u w:val="single" w:color="auto"/>
          <w:color w:val="0000FF"/>
        </w:rPr>
        <w:t>Acquisitions, Divestitures, and Discontinued Operations</w:t>
      </w:r>
      <w:r>
        <w:rPr>
          <w:rFonts w:ascii="Arial" w:cs="Arial" w:eastAsia="Arial" w:hAnsi="Arial"/>
          <w:sz w:val="16"/>
          <w:szCs w:val="16"/>
          <w:color w:val="auto"/>
        </w:rPr>
        <w:t xml:space="preserve"> for more information on the disposal group.</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NOTE 13. EARNINGS PER SHARE</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details of the earnings per share calculations for the three months ended March 31, 2026 and 2025, are as follows (shares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96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March</w:t>
            </w:r>
          </w:p>
        </w:tc>
      </w:tr>
      <w:tr>
        <w:trPr>
          <w:trHeight w:val="185"/>
        </w:trPr>
        <w:tc>
          <w:tcPr>
            <w:tcW w:w="928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31,</w:t>
            </w:r>
          </w:p>
        </w:tc>
        <w:tc>
          <w:tcPr>
            <w:tcW w:w="680" w:type="dxa"/>
            <w:vAlign w:val="bottom"/>
            <w:tcBorders>
              <w:bottom w:val="single" w:sz="8" w:color="D7282F"/>
            </w:tcBorders>
          </w:tcPr>
          <w:p>
            <w:pPr>
              <w:spacing w:after="0"/>
              <w:rPr>
                <w:sz w:val="16"/>
                <w:szCs w:val="16"/>
                <w:color w:val="auto"/>
              </w:rPr>
            </w:pPr>
          </w:p>
        </w:tc>
      </w:tr>
      <w:tr>
        <w:trPr>
          <w:trHeight w:val="23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Basic</w:t>
            </w:r>
          </w:p>
        </w:tc>
        <w:tc>
          <w:tcPr>
            <w:tcW w:w="18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2025</w:t>
            </w:r>
          </w:p>
        </w:tc>
      </w:tr>
      <w:tr>
        <w:trPr>
          <w:trHeight w:val="193"/>
        </w:trPr>
        <w:tc>
          <w:tcPr>
            <w:tcW w:w="928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Net income from continuing operations attributable to Honeywell</w:t>
            </w:r>
          </w:p>
        </w:tc>
        <w:tc>
          <w:tcPr>
            <w:tcW w:w="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821</w:t>
            </w:r>
          </w:p>
        </w:tc>
        <w:tc>
          <w:tcPr>
            <w:tcW w:w="4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1,284</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Net income from discontinued operations attributable to Honeywell</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165</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income attributable to Honeywell</w:t>
            </w:r>
          </w:p>
        </w:tc>
        <w:tc>
          <w:tcPr>
            <w:tcW w:w="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821</w:t>
            </w:r>
          </w:p>
        </w:tc>
        <w:tc>
          <w:tcPr>
            <w:tcW w:w="4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1,449</w:t>
            </w:r>
          </w:p>
        </w:tc>
      </w:tr>
      <w:tr>
        <w:trPr>
          <w:trHeight w:val="193"/>
        </w:trPr>
        <w:tc>
          <w:tcPr>
            <w:tcW w:w="928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18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634.7</w:t>
            </w:r>
          </w:p>
        </w:tc>
        <w:tc>
          <w:tcPr>
            <w:tcW w:w="4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648.2</w:t>
            </w:r>
          </w:p>
        </w:tc>
      </w:tr>
      <w:tr>
        <w:trPr>
          <w:trHeight w:val="196"/>
        </w:trPr>
        <w:tc>
          <w:tcPr>
            <w:tcW w:w="928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Earnings per share of common stock from continuing operations—basic</w:t>
            </w:r>
          </w:p>
        </w:tc>
        <w:tc>
          <w:tcPr>
            <w:tcW w:w="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1.29</w:t>
            </w:r>
          </w:p>
        </w:tc>
        <w:tc>
          <w:tcPr>
            <w:tcW w:w="4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1.99</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Earnings per share of common stock from discontinued operations—basic</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0.25</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Earnings per share of common stock—basic</w:t>
            </w:r>
          </w:p>
        </w:tc>
        <w:tc>
          <w:tcPr>
            <w:tcW w:w="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1.29</w:t>
            </w:r>
          </w:p>
        </w:tc>
        <w:tc>
          <w:tcPr>
            <w:tcW w:w="4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2.24</w:t>
            </w:r>
          </w:p>
        </w:tc>
      </w:tr>
      <w:tr>
        <w:trPr>
          <w:trHeight w:val="373"/>
        </w:trPr>
        <w:tc>
          <w:tcPr>
            <w:tcW w:w="9280" w:type="dxa"/>
            <w:vAlign w:val="bottom"/>
          </w:tcPr>
          <w:p>
            <w:pPr>
              <w:spacing w:after="0"/>
              <w:rPr>
                <w:sz w:val="24"/>
                <w:szCs w:val="24"/>
                <w:color w:val="auto"/>
              </w:rPr>
            </w:pPr>
          </w:p>
        </w:tc>
        <w:tc>
          <w:tcPr>
            <w:tcW w:w="196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March</w:t>
            </w:r>
          </w:p>
        </w:tc>
      </w:tr>
      <w:tr>
        <w:trPr>
          <w:trHeight w:val="189"/>
        </w:trPr>
        <w:tc>
          <w:tcPr>
            <w:tcW w:w="928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31,</w:t>
            </w:r>
          </w:p>
        </w:tc>
        <w:tc>
          <w:tcPr>
            <w:tcW w:w="680" w:type="dxa"/>
            <w:vAlign w:val="bottom"/>
            <w:tcBorders>
              <w:bottom w:val="single" w:sz="8" w:color="D7282F"/>
            </w:tcBorders>
          </w:tcPr>
          <w:p>
            <w:pPr>
              <w:spacing w:after="0"/>
              <w:rPr>
                <w:sz w:val="16"/>
                <w:szCs w:val="16"/>
                <w:color w:val="auto"/>
              </w:rPr>
            </w:pPr>
          </w:p>
        </w:tc>
      </w:tr>
      <w:tr>
        <w:trPr>
          <w:trHeight w:val="195"/>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Assuming Dilution</w:t>
            </w: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2025</w:t>
            </w:r>
          </w:p>
        </w:tc>
      </w:tr>
      <w:tr>
        <w:trPr>
          <w:trHeight w:val="193"/>
        </w:trPr>
        <w:tc>
          <w:tcPr>
            <w:tcW w:w="928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Net income from continuing operations attributable to Honeywell</w:t>
            </w:r>
          </w:p>
        </w:tc>
        <w:tc>
          <w:tcPr>
            <w:tcW w:w="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821</w:t>
            </w:r>
          </w:p>
        </w:tc>
        <w:tc>
          <w:tcPr>
            <w:tcW w:w="4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1,284</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Net income from discontinued operations attributable to Honeywell</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165</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income attributable to Honeywell</w:t>
            </w:r>
          </w:p>
        </w:tc>
        <w:tc>
          <w:tcPr>
            <w:tcW w:w="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821</w:t>
            </w:r>
          </w:p>
        </w:tc>
        <w:tc>
          <w:tcPr>
            <w:tcW w:w="4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1,449</w:t>
            </w:r>
          </w:p>
        </w:tc>
      </w:tr>
      <w:tr>
        <w:trPr>
          <w:trHeight w:val="193"/>
        </w:trPr>
        <w:tc>
          <w:tcPr>
            <w:tcW w:w="928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Average shares</w:t>
            </w:r>
          </w:p>
        </w:tc>
        <w:tc>
          <w:tcPr>
            <w:tcW w:w="18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spacing w:after="0"/>
              <w:rPr>
                <w:sz w:val="16"/>
                <w:szCs w:val="16"/>
                <w:color w:val="auto"/>
              </w:rPr>
            </w:pPr>
          </w:p>
        </w:tc>
        <w:tc>
          <w:tcPr>
            <w:tcW w:w="4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1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634.7</w:t>
            </w: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648.2</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Dilutive securities issuable—stock plans</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3.7</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3.5</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weighted average diluted shares outstanding</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638.4</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651.7</w:t>
            </w:r>
          </w:p>
        </w:tc>
      </w:tr>
      <w:tr>
        <w:trPr>
          <w:trHeight w:val="238"/>
        </w:trPr>
        <w:tc>
          <w:tcPr>
            <w:tcW w:w="9280" w:type="dxa"/>
            <w:vAlign w:val="bottom"/>
            <w:tcBorders>
              <w:bottom w:val="single" w:sz="8" w:color="B1B3B3"/>
            </w:tcBorders>
          </w:tcPr>
          <w:p>
            <w:pPr>
              <w:spacing w:after="0"/>
              <w:rPr>
                <w:sz w:val="20"/>
                <w:szCs w:val="20"/>
                <w:color w:val="auto"/>
              </w:rPr>
            </w:pPr>
          </w:p>
        </w:tc>
        <w:tc>
          <w:tcPr>
            <w:tcW w:w="180" w:type="dxa"/>
            <w:vAlign w:val="bottom"/>
            <w:tcBorders>
              <w:bottom w:val="single" w:sz="8" w:color="61656A"/>
            </w:tcBorders>
          </w:tcPr>
          <w:p>
            <w:pPr>
              <w:spacing w:after="0"/>
              <w:rPr>
                <w:sz w:val="20"/>
                <w:szCs w:val="20"/>
                <w:color w:val="auto"/>
              </w:rPr>
            </w:pPr>
          </w:p>
        </w:tc>
        <w:tc>
          <w:tcPr>
            <w:tcW w:w="660" w:type="dxa"/>
            <w:vAlign w:val="bottom"/>
            <w:tcBorders>
              <w:bottom w:val="single" w:sz="8" w:color="61656A"/>
            </w:tcBorders>
          </w:tcPr>
          <w:p>
            <w:pPr>
              <w:spacing w:after="0"/>
              <w:rPr>
                <w:sz w:val="20"/>
                <w:szCs w:val="20"/>
                <w:color w:val="auto"/>
              </w:rPr>
            </w:pPr>
          </w:p>
        </w:tc>
        <w:tc>
          <w:tcPr>
            <w:tcW w:w="440" w:type="dxa"/>
            <w:vAlign w:val="bottom"/>
            <w:tcBorders>
              <w:bottom w:val="single" w:sz="8" w:color="61656A"/>
            </w:tcBorders>
          </w:tcPr>
          <w:p>
            <w:pPr>
              <w:spacing w:after="0"/>
              <w:rPr>
                <w:sz w:val="20"/>
                <w:szCs w:val="20"/>
                <w:color w:val="auto"/>
              </w:rPr>
            </w:pPr>
          </w:p>
        </w:tc>
        <w:tc>
          <w:tcPr>
            <w:tcW w:w="680" w:type="dxa"/>
            <w:vAlign w:val="bottom"/>
            <w:tcBorders>
              <w:bottom w:val="single" w:sz="8" w:color="61656A"/>
            </w:tcBorders>
          </w:tcPr>
          <w:p>
            <w:pPr>
              <w:spacing w:after="0"/>
              <w:rPr>
                <w:sz w:val="20"/>
                <w:szCs w:val="20"/>
                <w:color w:val="auto"/>
              </w:rPr>
            </w:pPr>
          </w:p>
        </w:tc>
      </w:tr>
      <w:tr>
        <w:trPr>
          <w:trHeight w:val="192"/>
        </w:trPr>
        <w:tc>
          <w:tcPr>
            <w:tcW w:w="928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Earnings per share of common stock from continuing operations—assuming dilution</w:t>
            </w:r>
          </w:p>
        </w:tc>
        <w:tc>
          <w:tcPr>
            <w:tcW w:w="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1.29</w:t>
            </w:r>
          </w:p>
        </w:tc>
        <w:tc>
          <w:tcPr>
            <w:tcW w:w="4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1.97</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Earnings per share of common stock from discontinued operations—assuming dilution</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0.25</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1.29</w:t>
            </w:r>
          </w:p>
        </w:tc>
        <w:tc>
          <w:tcPr>
            <w:tcW w:w="4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2.22</w:t>
            </w:r>
          </w:p>
        </w:tc>
      </w:tr>
    </w:tbl>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diluted earnings per share calculations exclude the effect of stock options when the cost to exercise an option exceeds the average market price of the common shares during the period. For the three months ended March 31, 2026 and 2025, the weighted average number of stock options excluded from the computations were 2.1 million and 2.4 million, respectively.</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March 31, 2026 and 2025, the total shares outstanding were 633.7 million and 642.7 million, respectively, and as of March 31, 2026 and 2025, total shares issued were 957.6 million.</w:t>
      </w:r>
    </w:p>
    <w:p>
      <w:pPr>
        <w:spacing w:after="0" w:line="373"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14. ACCUMULATED OTHER COMPREHENSIVE LOSS</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CHANGES IN ACCUMULATED OTHER COMPREHENSIVE LOSS BY COMPONENT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4"/>
                <w:szCs w:val="14"/>
                <w:color w:val="auto"/>
              </w:rPr>
            </w:pPr>
          </w:p>
        </w:tc>
        <w:tc>
          <w:tcPr>
            <w:tcW w:w="1400" w:type="dxa"/>
            <w:vAlign w:val="bottom"/>
          </w:tcPr>
          <w:p>
            <w:pPr>
              <w:jc w:val="center"/>
              <w:ind w:right="208"/>
              <w:spacing w:after="0"/>
              <w:rPr>
                <w:sz w:val="20"/>
                <w:szCs w:val="20"/>
                <w:color w:val="auto"/>
              </w:rPr>
            </w:pPr>
            <w:r>
              <w:rPr>
                <w:rFonts w:ascii="Arial" w:cs="Arial" w:eastAsia="Arial" w:hAnsi="Arial"/>
                <w:sz w:val="14"/>
                <w:szCs w:val="14"/>
                <w:b w:val="1"/>
                <w:bCs w:val="1"/>
                <w:color w:val="auto"/>
              </w:rPr>
              <w:t>Pension</w:t>
            </w:r>
          </w:p>
        </w:tc>
        <w:tc>
          <w:tcPr>
            <w:tcW w:w="220" w:type="dxa"/>
            <w:vAlign w:val="bottom"/>
          </w:tcPr>
          <w:p>
            <w:pPr>
              <w:spacing w:after="0"/>
              <w:rPr>
                <w:sz w:val="14"/>
                <w:szCs w:val="14"/>
                <w:color w:val="auto"/>
              </w:rPr>
            </w:pPr>
          </w:p>
        </w:tc>
        <w:tc>
          <w:tcPr>
            <w:tcW w:w="14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Changes in Fair</w:t>
            </w:r>
          </w:p>
        </w:tc>
        <w:tc>
          <w:tcPr>
            <w:tcW w:w="260" w:type="dxa"/>
            <w:vAlign w:val="bottom"/>
          </w:tcPr>
          <w:p>
            <w:pPr>
              <w:spacing w:after="0"/>
              <w:rPr>
                <w:sz w:val="14"/>
                <w:szCs w:val="14"/>
                <w:color w:val="auto"/>
              </w:rPr>
            </w:pPr>
          </w:p>
        </w:tc>
        <w:tc>
          <w:tcPr>
            <w:tcW w:w="10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center"/>
              <w:ind w:right="208"/>
              <w:spacing w:after="0" w:line="145" w:lineRule="exact"/>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Exchange</w:t>
            </w:r>
          </w:p>
        </w:tc>
        <w:tc>
          <w:tcPr>
            <w:tcW w:w="260" w:type="dxa"/>
            <w:vAlign w:val="bottom"/>
          </w:tcPr>
          <w:p>
            <w:pPr>
              <w:spacing w:after="0"/>
              <w:rPr>
                <w:sz w:val="11"/>
                <w:szCs w:val="11"/>
                <w:color w:val="auto"/>
              </w:rPr>
            </w:pPr>
          </w:p>
        </w:tc>
        <w:tc>
          <w:tcPr>
            <w:tcW w:w="140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1"/>
                <w:szCs w:val="11"/>
                <w:color w:val="auto"/>
              </w:rPr>
            </w:pPr>
          </w:p>
        </w:tc>
        <w:tc>
          <w:tcPr>
            <w:tcW w:w="140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Value of</w:t>
            </w:r>
          </w:p>
        </w:tc>
        <w:tc>
          <w:tcPr>
            <w:tcW w:w="260" w:type="dxa"/>
            <w:vAlign w:val="bottom"/>
          </w:tcPr>
          <w:p>
            <w:pPr>
              <w:spacing w:after="0"/>
              <w:rPr>
                <w:sz w:val="11"/>
                <w:szCs w:val="11"/>
                <w:color w:val="auto"/>
              </w:rPr>
            </w:pPr>
          </w:p>
        </w:tc>
        <w:tc>
          <w:tcPr>
            <w:tcW w:w="106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2"/>
                <w:szCs w:val="12"/>
                <w:color w:val="auto"/>
              </w:rPr>
            </w:pPr>
          </w:p>
        </w:tc>
        <w:tc>
          <w:tcPr>
            <w:tcW w:w="14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Available for Sale</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Cash Flow</w:t>
            </w:r>
          </w:p>
        </w:tc>
        <w:tc>
          <w:tcPr>
            <w:tcW w:w="300" w:type="dxa"/>
            <w:vAlign w:val="bottom"/>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36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Hedges</w:t>
            </w: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2025</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(3,779)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(1,378)</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(5,146)</w:t>
            </w:r>
          </w:p>
        </w:tc>
        <w:tc>
          <w:tcPr>
            <w:tcW w:w="0" w:type="dxa"/>
            <w:vAlign w:val="bottom"/>
          </w:tcPr>
          <w:p>
            <w:pPr>
              <w:spacing w:after="0"/>
              <w:rPr>
                <w:sz w:val="1"/>
                <w:szCs w:val="1"/>
                <w:color w:val="auto"/>
              </w:rPr>
            </w:pPr>
          </w:p>
        </w:tc>
      </w:tr>
      <w:tr>
        <w:trPr>
          <w:trHeight w:val="193"/>
        </w:trPr>
        <w:tc>
          <w:tcPr>
            <w:tcW w:w="4360" w:type="dxa"/>
            <w:vAlign w:val="bottom"/>
            <w:tcBorders>
              <w:bottom w:val="single" w:sz="8" w:color="61656A"/>
            </w:tcBorders>
          </w:tcPr>
          <w:p>
            <w:pPr>
              <w:ind w:left="80"/>
              <w:spacing w:after="0"/>
              <w:rPr>
                <w:sz w:val="20"/>
                <w:szCs w:val="20"/>
                <w:color w:val="auto"/>
              </w:rPr>
            </w:pPr>
            <w:r>
              <w:rPr>
                <w:rFonts w:ascii="Arial" w:cs="Arial" w:eastAsia="Arial" w:hAnsi="Arial"/>
                <w:sz w:val="14"/>
                <w:szCs w:val="14"/>
                <w:color w:val="auto"/>
              </w:rPr>
              <w:t>Other comprehensive income (loss) before reclassifications</w:t>
            </w:r>
          </w:p>
        </w:tc>
        <w:tc>
          <w:tcPr>
            <w:tcW w:w="18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136</w:t>
            </w:r>
          </w:p>
        </w:tc>
        <w:tc>
          <w:tcPr>
            <w:tcW w:w="26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39</w:t>
            </w:r>
          </w:p>
        </w:tc>
        <w:tc>
          <w:tcPr>
            <w:tcW w:w="30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D7282F"/>
            </w:tcBorders>
          </w:tcPr>
          <w:p>
            <w:pPr>
              <w:ind w:left="80"/>
              <w:spacing w:after="0"/>
              <w:rPr>
                <w:sz w:val="20"/>
                <w:szCs w:val="20"/>
                <w:color w:val="auto"/>
              </w:rPr>
            </w:pPr>
            <w:r>
              <w:rPr>
                <w:rFonts w:ascii="Arial" w:cs="Arial" w:eastAsia="Arial" w:hAnsi="Arial"/>
                <w:sz w:val="14"/>
                <w:szCs w:val="14"/>
                <w:color w:val="auto"/>
              </w:rPr>
              <w:t>Amounts reclassified from accumulated other comprehensive loss</w:t>
            </w:r>
          </w:p>
        </w:tc>
        <w:tc>
          <w:tcPr>
            <w:tcW w:w="18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43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current period other comprehensive income (loss)</w:t>
            </w:r>
          </w:p>
        </w:tc>
        <w:tc>
          <w:tcPr>
            <w:tcW w:w="18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136</w:t>
            </w:r>
          </w:p>
        </w:tc>
        <w:tc>
          <w:tcPr>
            <w:tcW w:w="26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40</w:t>
            </w:r>
          </w:p>
        </w:tc>
        <w:tc>
          <w:tcPr>
            <w:tcW w:w="3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173</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March 31, 2026</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(3,643)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(1,380)</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(4,973)</w:t>
            </w:r>
          </w:p>
        </w:tc>
        <w:tc>
          <w:tcPr>
            <w:tcW w:w="0" w:type="dxa"/>
            <w:vAlign w:val="bottom"/>
          </w:tcPr>
          <w:p>
            <w:pPr>
              <w:spacing w:after="0"/>
              <w:rPr>
                <w:sz w:val="1"/>
                <w:szCs w:val="1"/>
                <w:color w:val="auto"/>
              </w:rPr>
            </w:pPr>
          </w:p>
        </w:tc>
      </w:tr>
      <w:tr>
        <w:trPr>
          <w:trHeight w:val="373"/>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24"/>
                <w:szCs w:val="24"/>
                <w:color w:val="auto"/>
              </w:rPr>
            </w:pPr>
          </w:p>
        </w:tc>
        <w:tc>
          <w:tcPr>
            <w:tcW w:w="1400" w:type="dxa"/>
            <w:vAlign w:val="bottom"/>
          </w:tcPr>
          <w:p>
            <w:pPr>
              <w:jc w:val="center"/>
              <w:ind w:right="248"/>
              <w:spacing w:after="0"/>
              <w:rPr>
                <w:sz w:val="20"/>
                <w:szCs w:val="20"/>
                <w:color w:val="auto"/>
              </w:rPr>
            </w:pPr>
            <w:r>
              <w:rPr>
                <w:rFonts w:ascii="Arial" w:cs="Arial" w:eastAsia="Arial" w:hAnsi="Arial"/>
                <w:sz w:val="14"/>
                <w:szCs w:val="14"/>
                <w:b w:val="1"/>
                <w:bCs w:val="1"/>
                <w:color w:val="auto"/>
              </w:rPr>
              <w:t>Pension</w:t>
            </w:r>
          </w:p>
        </w:tc>
        <w:tc>
          <w:tcPr>
            <w:tcW w:w="220" w:type="dxa"/>
            <w:vAlign w:val="bottom"/>
          </w:tcPr>
          <w:p>
            <w:pPr>
              <w:spacing w:after="0"/>
              <w:rPr>
                <w:sz w:val="24"/>
                <w:szCs w:val="24"/>
                <w:color w:val="auto"/>
              </w:rPr>
            </w:pPr>
          </w:p>
        </w:tc>
        <w:tc>
          <w:tcPr>
            <w:tcW w:w="140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 Fair</w:t>
            </w:r>
          </w:p>
        </w:tc>
        <w:tc>
          <w:tcPr>
            <w:tcW w:w="260" w:type="dxa"/>
            <w:vAlign w:val="bottom"/>
          </w:tcPr>
          <w:p>
            <w:pPr>
              <w:spacing w:after="0"/>
              <w:rPr>
                <w:sz w:val="24"/>
                <w:szCs w:val="24"/>
                <w:color w:val="auto"/>
              </w:rPr>
            </w:pPr>
          </w:p>
        </w:tc>
        <w:tc>
          <w:tcPr>
            <w:tcW w:w="10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center"/>
              <w:ind w:right="208"/>
              <w:spacing w:after="0" w:line="135" w:lineRule="exact"/>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Exchange</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2"/>
                <w:szCs w:val="12"/>
                <w:color w:val="auto"/>
              </w:rPr>
            </w:pPr>
          </w:p>
        </w:tc>
        <w:tc>
          <w:tcPr>
            <w:tcW w:w="140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Value of</w:t>
            </w:r>
          </w:p>
        </w:tc>
        <w:tc>
          <w:tcPr>
            <w:tcW w:w="260" w:type="dxa"/>
            <w:vAlign w:val="bottom"/>
          </w:tcPr>
          <w:p>
            <w:pPr>
              <w:spacing w:after="0"/>
              <w:rPr>
                <w:sz w:val="12"/>
                <w:szCs w:val="12"/>
                <w:color w:val="auto"/>
              </w:rPr>
            </w:pPr>
          </w:p>
        </w:tc>
        <w:tc>
          <w:tcPr>
            <w:tcW w:w="10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2"/>
                <w:szCs w:val="12"/>
                <w:color w:val="auto"/>
              </w:rPr>
            </w:pPr>
          </w:p>
        </w:tc>
        <w:tc>
          <w:tcPr>
            <w:tcW w:w="14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Available for Sale</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Cash Flow</w:t>
            </w:r>
          </w:p>
        </w:tc>
        <w:tc>
          <w:tcPr>
            <w:tcW w:w="300" w:type="dxa"/>
            <w:vAlign w:val="bottom"/>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36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228"/>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Hedges</w:t>
            </w: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(2,872)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(642)</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24</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(3,491)</w:t>
            </w:r>
          </w:p>
        </w:tc>
        <w:tc>
          <w:tcPr>
            <w:tcW w:w="0" w:type="dxa"/>
            <w:vAlign w:val="bottom"/>
          </w:tcPr>
          <w:p>
            <w:pPr>
              <w:spacing w:after="0"/>
              <w:rPr>
                <w:sz w:val="1"/>
                <w:szCs w:val="1"/>
                <w:color w:val="auto"/>
              </w:rPr>
            </w:pPr>
          </w:p>
        </w:tc>
      </w:tr>
      <w:tr>
        <w:trPr>
          <w:trHeight w:val="193"/>
        </w:trPr>
        <w:tc>
          <w:tcPr>
            <w:tcW w:w="4360" w:type="dxa"/>
            <w:vAlign w:val="bottom"/>
            <w:tcBorders>
              <w:bottom w:val="single" w:sz="8" w:color="61656A"/>
            </w:tcBorders>
          </w:tcPr>
          <w:p>
            <w:pPr>
              <w:ind w:left="8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(290)</w:t>
            </w:r>
          </w:p>
        </w:tc>
        <w:tc>
          <w:tcPr>
            <w:tcW w:w="26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(16)</w:t>
            </w:r>
          </w:p>
        </w:tc>
        <w:tc>
          <w:tcPr>
            <w:tcW w:w="30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D7282F"/>
            </w:tcBorders>
          </w:tcPr>
          <w:p>
            <w:pPr>
              <w:ind w:left="80"/>
              <w:spacing w:after="0"/>
              <w:rPr>
                <w:sz w:val="20"/>
                <w:szCs w:val="20"/>
                <w:color w:val="auto"/>
              </w:rPr>
            </w:pPr>
            <w:r>
              <w:rPr>
                <w:rFonts w:ascii="Arial" w:cs="Arial" w:eastAsia="Arial" w:hAnsi="Arial"/>
                <w:sz w:val="14"/>
                <w:szCs w:val="14"/>
                <w:color w:val="auto"/>
              </w:rPr>
              <w:t>Amounts reclassified from accumulated other comprehensive loss</w:t>
            </w:r>
          </w:p>
        </w:tc>
        <w:tc>
          <w:tcPr>
            <w:tcW w:w="18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w:t>
            </w:r>
          </w:p>
        </w:tc>
        <w:tc>
          <w:tcPr>
            <w:tcW w:w="3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9"/>
        </w:trPr>
        <w:tc>
          <w:tcPr>
            <w:tcW w:w="43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current period other comprehensive (loss) income</w:t>
            </w:r>
          </w:p>
        </w:tc>
        <w:tc>
          <w:tcPr>
            <w:tcW w:w="18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(290)</w:t>
            </w:r>
          </w:p>
        </w:tc>
        <w:tc>
          <w:tcPr>
            <w:tcW w:w="26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(18)</w:t>
            </w:r>
          </w:p>
        </w:tc>
        <w:tc>
          <w:tcPr>
            <w:tcW w:w="3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(297)</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March 31, 2025</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(3,162)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(631)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(3,788)</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15. COMMITMENTS AND CONTINGENCIES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 MATTERS</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is subject to various federal, state, local, and foreign government requirements relating to the protection of the environment. With respect to environmental matters involving site contamination, the Company continually conducts studies, individually or jointly with other potentially responsible parties, to determine the feasibility of various remedial techniques. It is the Company's policy to record liabilities for environmental matters when remedial efforts or damage claim payments are probable and the costs can be reasonably estimated. Such liabilities are based on the Company's best estimate of the undiscounted future costs required to complete the remedial work. The recorded liabilities are adjusted periodically as remediation efforts progress or as additional technical, regulatory, or legal information becomes available.</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Honeywell's environmental matters are further described in Note 19 Commitments and Contingencies of Notes to Consolidated Financial Statements in the Company's 2025 Annual Report on Form 10-K.</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concerning the Company's recorded liabilities for environmental costs: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2025</w:t>
            </w:r>
          </w:p>
        </w:tc>
        <w:tc>
          <w:tcPr>
            <w:tcW w:w="2900" w:type="dxa"/>
            <w:vAlign w:val="bottom"/>
            <w:tcBorders>
              <w:top w:val="single" w:sz="8" w:color="D7282F"/>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894</w:t>
            </w:r>
          </w:p>
        </w:tc>
      </w:tr>
      <w:tr>
        <w:trPr>
          <w:trHeight w:val="193"/>
        </w:trPr>
        <w:tc>
          <w:tcPr>
            <w:tcW w:w="78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Accruals for environmental matters deemed probable and reasonably estimable</w:t>
            </w:r>
          </w:p>
        </w:tc>
        <w:tc>
          <w:tcPr>
            <w:tcW w:w="2900" w:type="dxa"/>
            <w:vAlign w:val="bottom"/>
            <w:tcBorders>
              <w:bottom w:val="single" w:sz="8" w:color="61656A"/>
            </w:tcBorders>
          </w:tcPr>
          <w:p>
            <w:pPr>
              <w:spacing w:after="0"/>
              <w:rPr>
                <w:sz w:val="16"/>
                <w:szCs w:val="16"/>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w:t>
            </w:r>
          </w:p>
        </w:tc>
      </w:tr>
      <w:tr>
        <w:trPr>
          <w:trHeight w:val="196"/>
        </w:trPr>
        <w:tc>
          <w:tcPr>
            <w:tcW w:w="78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Environmental liability payments</w:t>
            </w:r>
          </w:p>
        </w:tc>
        <w:tc>
          <w:tcPr>
            <w:tcW w:w="290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w:t>
            </w:r>
          </w:p>
        </w:tc>
      </w:tr>
      <w:tr>
        <w:trPr>
          <w:trHeight w:val="199"/>
        </w:trPr>
        <w:tc>
          <w:tcPr>
            <w:tcW w:w="78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March 31, 2026</w:t>
            </w:r>
          </w:p>
        </w:tc>
        <w:tc>
          <w:tcPr>
            <w:tcW w:w="29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897</w:t>
            </w: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27</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Environmental liabilities are included in the following balance sheet accounts: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Borders>
              <w:bottom w:val="single" w:sz="8" w:color="D7282F"/>
            </w:tcBorders>
          </w:tcPr>
          <w:p>
            <w:pPr>
              <w:spacing w:after="0"/>
              <w:rPr>
                <w:sz w:val="17"/>
                <w:szCs w:val="17"/>
                <w:color w:val="auto"/>
              </w:rPr>
            </w:pPr>
          </w:p>
        </w:tc>
        <w:tc>
          <w:tcPr>
            <w:tcW w:w="4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March 31, 2026</w:t>
            </w:r>
          </w:p>
        </w:tc>
        <w:tc>
          <w:tcPr>
            <w:tcW w:w="44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2025</w:t>
            </w:r>
          </w:p>
        </w:tc>
      </w:tr>
      <w:tr>
        <w:trPr>
          <w:trHeight w:val="193"/>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4080" w:type="dxa"/>
            <w:vAlign w:val="bottom"/>
            <w:tcBorders>
              <w:bottom w:val="single" w:sz="8" w:color="61656A"/>
            </w:tcBorders>
          </w:tcPr>
          <w:p>
            <w:pPr>
              <w:jc w:val="right"/>
              <w:ind w:right="12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180</w:t>
            </w:r>
          </w:p>
        </w:tc>
      </w:tr>
      <w:tr>
        <w:trPr>
          <w:trHeight w:val="196"/>
        </w:trPr>
        <w:tc>
          <w:tcPr>
            <w:tcW w:w="48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liabilities</w:t>
            </w:r>
          </w:p>
        </w:tc>
        <w:tc>
          <w:tcPr>
            <w:tcW w:w="408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717</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714</w:t>
            </w:r>
          </w:p>
        </w:tc>
      </w:tr>
      <w:tr>
        <w:trPr>
          <w:trHeight w:val="199"/>
        </w:trPr>
        <w:tc>
          <w:tcPr>
            <w:tcW w:w="48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environmental liabilities</w:t>
            </w:r>
          </w:p>
        </w:tc>
        <w:tc>
          <w:tcPr>
            <w:tcW w:w="4080" w:type="dxa"/>
            <w:vAlign w:val="bottom"/>
            <w:tcBorders>
              <w:bottom w:val="single" w:sz="8" w:color="D7282F"/>
            </w:tcBorders>
          </w:tcPr>
          <w:p>
            <w:pPr>
              <w:jc w:val="right"/>
              <w:ind w:right="124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897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894</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does not currently possess sufficient additional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consolidated results of operations and operating cash flows in the periods recognized or paid. However, considering the Company's past experience and existing reserves, the Company does not expect that environmental matters will have a material adverse effect on its consolidated financial position.</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SEC MATTER</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is cooperating with a formal investigation by the SEC which is focused on certain financial reporting matters, including with respect to the Company's former Performance Materials and Technologies segment. At this time, the Company does not expect the outcome of this matter to have a material adverse effect on the Company's consolidated results of operations, cash flows, or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LITIGATION MATTERS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Flexjet v. Honeywell International Inc.</w:t>
      </w:r>
    </w:p>
    <w:p>
      <w:pPr>
        <w:spacing w:after="0" w:line="3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Flexjet, LLC (Flexjet) provides private jet services to customers. Honeywell maintains aircraft engine maintenance service contracts with Flexjet. During the COVID-19 pandemic, a customer dispute arose over delayed engine deliveries and specified engine enrollments under these maintenance service contracts. In 2021, the Company notified Flexjet that it was invoking force majeure provisions in response to the pandemic. On March 1, 2023, Flexjet brought suit against the Company, alleging breach of the parties’ aircraft engine maintenance service agreement (the MSA), seeking liquidated damages for delayed engine repairs, and claiming that its liquidated damages continue to accrue related to engines awaiting repair. Additionally, two third-party aircraft repair and services companies, Duncan Aviation, Inc. (Duncan) and StandardAero Business Aviation Services, LLC (StandardAero) each sued Flexjet for amounts allegedly owed for services provided, and Flexjet filed third-party complaints in those cases on January 10, 2025 and June 10, 2025, respectively, purporting to join the Company as a third-party defendant.</w:t>
      </w:r>
    </w:p>
    <w:p>
      <w:pPr>
        <w:spacing w:after="0" w:line="8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The Company recorded accruals in accordance with ASC 450, </w:t>
      </w:r>
      <w:r>
        <w:rPr>
          <w:rFonts w:ascii="Arial" w:cs="Arial" w:eastAsia="Arial" w:hAnsi="Arial"/>
          <w:sz w:val="16"/>
          <w:szCs w:val="16"/>
          <w:i w:val="1"/>
          <w:iCs w:val="1"/>
          <w:color w:val="auto"/>
        </w:rPr>
        <w:t>Contingencies</w:t>
      </w:r>
      <w:r>
        <w:rPr>
          <w:rFonts w:ascii="Arial" w:cs="Arial" w:eastAsia="Arial" w:hAnsi="Arial"/>
          <w:sz w:val="16"/>
          <w:szCs w:val="16"/>
          <w:color w:val="auto"/>
        </w:rPr>
        <w:t>, with respect to the Flexjet-related matters. In December 2025, the Company announced it was in ongoing settlement negotiations with Flexjet and the other parties to the litigation matters.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January 16, 2026, the Company completed a comprehensive settlement relating to its lawsuit with Flexjet. As part of this comprehensive settlement, the Company entered into settlement agreements with Duncan, StandardAero, and Flexjet. As of January 21, 2026, each of these cases have been dismissed. These settlements resolve all legal disputes among the parties arising out of the alleged breach of the MSA.</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these settlements, the Company paid $59 million in December 2025 associated with the Duncan and StandardAero settlements. The Company paid $375 million in the first quarter of 2026 associated with a settlement payment to Flexjet.</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Contemporaneous with the Company’s entry into the settlement agreement with Flexjet, Flexjet and Honeywell amended the MSA to extend the term through 2035.</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MATTERS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is subject to a number of other lawsuits, investigations, and disputes (some of which involve substantial amounts claimed) arising out of the conduct of its business operations or those of previously owned entities, including matters relating to commercial transactions, government contracts, product liability, the integration of emerging technologies (such as, but not limited to, artificial intelligence and machine learning), prior acquisitions and divestitures, employment, employee benefit plans, intellectual property, legal, and environmental, health, and safety matters. The Company recognizes liabilities for any contingency that is probable of occurrence and reasonably estimable. The Company continually assesses the likelihood of adverse judgments or outcomes in such matters, as well as potential ranges of probable losses (taking into consideration any insurance recoveries), based on a careful analysis of each matter with the assistance of outside legal counsel and, if applicable, other experts.</w:t>
      </w:r>
    </w:p>
    <w:p>
      <w:pPr>
        <w:spacing w:after="0" w:line="200" w:lineRule="exact"/>
        <w:rPr>
          <w:sz w:val="20"/>
          <w:szCs w:val="20"/>
          <w:color w:val="auto"/>
        </w:rPr>
      </w:pPr>
    </w:p>
    <w:p>
      <w:pPr>
        <w:spacing w:after="0" w:line="205" w:lineRule="exact"/>
        <w:rPr>
          <w:sz w:val="20"/>
          <w:szCs w:val="20"/>
          <w:color w:val="auto"/>
        </w:rPr>
      </w:pPr>
    </w:p>
    <w:p>
      <w:pPr>
        <w:ind w:left="400" w:hanging="392"/>
        <w:spacing w:after="0"/>
        <w:tabs>
          <w:tab w:leader="none" w:pos="400" w:val="left"/>
        </w:tabs>
        <w:numPr>
          <w:ilvl w:val="0"/>
          <w:numId w:val="2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Given the uncertainty inherent in litigation and investigations, including those discussed in this Note 15, the Company cannot predict when or how these matters will be resolved and does not believe it is possible to develop estimates of reasonably possible loss (or a range of possible loss) in excess of current accruals for commitment and contingency matters.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(including new discovery of facts, changes in legislation, and outcomes of similar cases through the judicial system), changes in assumptions or changes in settlement strategy, which could cause the Company to pay damage awards or settlements (or become subject to equitable remedies) that could have a material adverse effect on the Company's consolidated results of operations or operating cash flows in the periods recognized or paid.</w:t>
      </w:r>
    </w:p>
    <w:p>
      <w:pPr>
        <w:spacing w:after="0" w:line="230" w:lineRule="exact"/>
        <w:rPr>
          <w:sz w:val="20"/>
          <w:szCs w:val="20"/>
          <w:color w:val="auto"/>
        </w:rPr>
      </w:pPr>
    </w:p>
    <w:p>
      <w:pPr>
        <w:spacing w:after="0"/>
        <w:rPr>
          <w:sz w:val="20"/>
          <w:szCs w:val="20"/>
          <w:color w:val="auto"/>
        </w:rPr>
      </w:pPr>
      <w:r>
        <w:rPr>
          <w:rFonts w:ascii="Arial" w:cs="Arial" w:eastAsia="Arial" w:hAnsi="Arial"/>
          <w:sz w:val="29"/>
          <w:szCs w:val="29"/>
          <w:color w:val="D7282F"/>
        </w:rPr>
        <w:t>NOTE 16. PENSION BENEFITS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Net periodic pension benefit (income) cost for the Company's significant pension plans included the following components: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8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gridSpan w:val="2"/>
          </w:tcPr>
          <w:p>
            <w:pPr>
              <w:jc w:val="center"/>
              <w:ind w:left="348"/>
              <w:spacing w:after="0"/>
              <w:rPr>
                <w:sz w:val="20"/>
                <w:szCs w:val="20"/>
                <w:color w:val="auto"/>
              </w:rPr>
            </w:pPr>
            <w:r>
              <w:rPr>
                <w:rFonts w:ascii="Arial" w:cs="Arial" w:eastAsia="Arial" w:hAnsi="Arial"/>
                <w:sz w:val="14"/>
                <w:szCs w:val="14"/>
                <w:b w:val="1"/>
                <w:bCs w:val="1"/>
                <w:color w:val="auto"/>
              </w:rPr>
              <w:t>U.S. Plans</w:t>
            </w:r>
          </w:p>
        </w:tc>
        <w:tc>
          <w:tcPr>
            <w:tcW w:w="600" w:type="dxa"/>
            <w:vAlign w:val="bottom"/>
            <w:tcBorders>
              <w:bottom w:val="single" w:sz="8" w:color="D7282F"/>
            </w:tcBorders>
          </w:tcPr>
          <w:p>
            <w:pPr>
              <w:spacing w:after="0"/>
              <w:rPr>
                <w:sz w:val="17"/>
                <w:szCs w:val="17"/>
                <w:color w:val="auto"/>
              </w:rPr>
            </w:pPr>
          </w:p>
        </w:tc>
      </w:tr>
      <w:tr>
        <w:trPr>
          <w:trHeight w:val="174"/>
        </w:trPr>
        <w:tc>
          <w:tcPr>
            <w:tcW w:w="9280" w:type="dxa"/>
            <w:vAlign w:val="bottom"/>
          </w:tcPr>
          <w:p>
            <w:pPr>
              <w:spacing w:after="0"/>
              <w:rPr>
                <w:sz w:val="15"/>
                <w:szCs w:val="15"/>
                <w:color w:val="auto"/>
              </w:rPr>
            </w:pPr>
          </w:p>
        </w:tc>
        <w:tc>
          <w:tcPr>
            <w:tcW w:w="196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March</w:t>
            </w:r>
          </w:p>
        </w:tc>
      </w:tr>
      <w:tr>
        <w:trPr>
          <w:trHeight w:val="185"/>
        </w:trPr>
        <w:tc>
          <w:tcPr>
            <w:tcW w:w="928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5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31,</w:t>
            </w:r>
          </w:p>
        </w:tc>
        <w:tc>
          <w:tcPr>
            <w:tcW w:w="600" w:type="dxa"/>
            <w:vAlign w:val="bottom"/>
            <w:tcBorders>
              <w:bottom w:val="single" w:sz="8" w:color="D7282F"/>
            </w:tcBorders>
          </w:tcPr>
          <w:p>
            <w:pPr>
              <w:spacing w:after="0"/>
              <w:rPr>
                <w:sz w:val="16"/>
                <w:szCs w:val="16"/>
                <w:color w:val="auto"/>
              </w:rPr>
            </w:pPr>
          </w:p>
        </w:tc>
      </w:tr>
      <w:tr>
        <w:trPr>
          <w:trHeight w:val="236"/>
        </w:trPr>
        <w:tc>
          <w:tcPr>
            <w:tcW w:w="9280" w:type="dxa"/>
            <w:vAlign w:val="bottom"/>
            <w:tcBorders>
              <w:bottom w:val="single" w:sz="8" w:color="D7282F"/>
            </w:tcBorders>
          </w:tcPr>
          <w:p>
            <w:pPr>
              <w:spacing w:after="0"/>
              <w:rPr>
                <w:sz w:val="20"/>
                <w:szCs w:val="20"/>
                <w:color w:val="auto"/>
              </w:rPr>
            </w:pPr>
          </w:p>
        </w:tc>
        <w:tc>
          <w:tcPr>
            <w:tcW w:w="18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w w:val="96"/>
              </w:rPr>
              <w:t>2025</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 cost</w:t>
            </w:r>
          </w:p>
        </w:tc>
        <w:tc>
          <w:tcPr>
            <w:tcW w:w="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c>
          <w:tcPr>
            <w:tcW w:w="5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cost</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131</w:t>
            </w:r>
          </w:p>
        </w:tc>
        <w:tc>
          <w:tcPr>
            <w:tcW w:w="5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147</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(282)</w:t>
            </w:r>
          </w:p>
        </w:tc>
        <w:tc>
          <w:tcPr>
            <w:tcW w:w="5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(289)</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periodic benefit (income) cost</w:t>
            </w:r>
          </w:p>
        </w:tc>
        <w:tc>
          <w:tcPr>
            <w:tcW w:w="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(145)</w:t>
            </w:r>
          </w:p>
        </w:tc>
        <w:tc>
          <w:tcPr>
            <w:tcW w:w="5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(135)</w:t>
            </w:r>
          </w:p>
        </w:tc>
      </w:tr>
      <w:tr>
        <w:trPr>
          <w:trHeight w:val="193"/>
        </w:trPr>
        <w:tc>
          <w:tcPr>
            <w:tcW w:w="928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Net periodic benefit (income) cost - continuing operations</w:t>
            </w:r>
          </w:p>
        </w:tc>
        <w:tc>
          <w:tcPr>
            <w:tcW w:w="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(145)</w:t>
            </w:r>
          </w:p>
        </w:tc>
        <w:tc>
          <w:tcPr>
            <w:tcW w:w="5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(134)</w:t>
            </w:r>
          </w:p>
        </w:tc>
      </w:tr>
      <w:tr>
        <w:trPr>
          <w:trHeight w:val="196"/>
        </w:trPr>
        <w:tc>
          <w:tcPr>
            <w:tcW w:w="928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Net periodic benefit (income) cost - discontinued operations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r>
      <w:tr>
        <w:trPr>
          <w:trHeight w:val="483"/>
        </w:trPr>
        <w:tc>
          <w:tcPr>
            <w:tcW w:w="9280" w:type="dxa"/>
            <w:vAlign w:val="bottom"/>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1780" w:type="dxa"/>
            <w:vAlign w:val="bottom"/>
            <w:tcBorders>
              <w:bottom w:val="single" w:sz="8" w:color="D7282F"/>
            </w:tcBorders>
            <w:gridSpan w:val="3"/>
          </w:tcPr>
          <w:p>
            <w:pPr>
              <w:jc w:val="center"/>
              <w:ind w:right="108"/>
              <w:spacing w:after="0"/>
              <w:rPr>
                <w:sz w:val="20"/>
                <w:szCs w:val="20"/>
                <w:color w:val="auto"/>
              </w:rPr>
            </w:pPr>
            <w:r>
              <w:rPr>
                <w:rFonts w:ascii="Arial" w:cs="Arial" w:eastAsia="Arial" w:hAnsi="Arial"/>
                <w:sz w:val="14"/>
                <w:szCs w:val="14"/>
                <w:b w:val="1"/>
                <w:bCs w:val="1"/>
                <w:color w:val="auto"/>
              </w:rPr>
              <w:t>Non-U.S. Plans</w:t>
            </w:r>
          </w:p>
        </w:tc>
      </w:tr>
      <w:tr>
        <w:trPr>
          <w:trHeight w:val="174"/>
        </w:trPr>
        <w:tc>
          <w:tcPr>
            <w:tcW w:w="9280" w:type="dxa"/>
            <w:vAlign w:val="bottom"/>
          </w:tcPr>
          <w:p>
            <w:pPr>
              <w:spacing w:after="0"/>
              <w:rPr>
                <w:sz w:val="15"/>
                <w:szCs w:val="15"/>
                <w:color w:val="auto"/>
              </w:rPr>
            </w:pPr>
          </w:p>
        </w:tc>
        <w:tc>
          <w:tcPr>
            <w:tcW w:w="196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March</w:t>
            </w:r>
          </w:p>
        </w:tc>
      </w:tr>
      <w:tr>
        <w:trPr>
          <w:trHeight w:val="185"/>
        </w:trPr>
        <w:tc>
          <w:tcPr>
            <w:tcW w:w="928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5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31,</w:t>
            </w:r>
          </w:p>
        </w:tc>
        <w:tc>
          <w:tcPr>
            <w:tcW w:w="600" w:type="dxa"/>
            <w:vAlign w:val="bottom"/>
            <w:tcBorders>
              <w:bottom w:val="single" w:sz="8" w:color="D7282F"/>
            </w:tcBorders>
          </w:tcPr>
          <w:p>
            <w:pPr>
              <w:spacing w:after="0"/>
              <w:rPr>
                <w:sz w:val="16"/>
                <w:szCs w:val="16"/>
                <w:color w:val="auto"/>
              </w:rPr>
            </w:pPr>
          </w:p>
        </w:tc>
      </w:tr>
      <w:tr>
        <w:trPr>
          <w:trHeight w:val="236"/>
        </w:trPr>
        <w:tc>
          <w:tcPr>
            <w:tcW w:w="9280" w:type="dxa"/>
            <w:vAlign w:val="bottom"/>
            <w:tcBorders>
              <w:bottom w:val="single" w:sz="8" w:color="D7282F"/>
            </w:tcBorders>
          </w:tcPr>
          <w:p>
            <w:pPr>
              <w:spacing w:after="0"/>
              <w:rPr>
                <w:sz w:val="20"/>
                <w:szCs w:val="20"/>
                <w:color w:val="auto"/>
              </w:rPr>
            </w:pPr>
          </w:p>
        </w:tc>
        <w:tc>
          <w:tcPr>
            <w:tcW w:w="18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w w:val="96"/>
              </w:rPr>
              <w:t>2025</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 cost</w:t>
            </w:r>
          </w:p>
        </w:tc>
        <w:tc>
          <w:tcPr>
            <w:tcW w:w="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5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cost</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w:t>
            </w:r>
          </w:p>
        </w:tc>
        <w:tc>
          <w:tcPr>
            <w:tcW w:w="5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(71)</w:t>
            </w:r>
          </w:p>
        </w:tc>
        <w:tc>
          <w:tcPr>
            <w:tcW w:w="5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(73)</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Amortization of prior service (credit)</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5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Recognition of actuarial (gains) losses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periodic benefit (income) cost</w:t>
            </w:r>
          </w:p>
        </w:tc>
        <w:tc>
          <w:tcPr>
            <w:tcW w:w="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w:t>
            </w:r>
          </w:p>
        </w:tc>
        <w:tc>
          <w:tcPr>
            <w:tcW w:w="5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w:t>
            </w:r>
          </w:p>
        </w:tc>
      </w:tr>
      <w:tr>
        <w:trPr>
          <w:trHeight w:val="193"/>
        </w:trPr>
        <w:tc>
          <w:tcPr>
            <w:tcW w:w="928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Net periodic benefit (income) cost - continuing operations</w:t>
            </w:r>
          </w:p>
        </w:tc>
        <w:tc>
          <w:tcPr>
            <w:tcW w:w="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w:t>
            </w:r>
          </w:p>
        </w:tc>
        <w:tc>
          <w:tcPr>
            <w:tcW w:w="5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w:t>
            </w:r>
          </w:p>
        </w:tc>
      </w:tr>
      <w:tr>
        <w:trPr>
          <w:trHeight w:val="196"/>
        </w:trPr>
        <w:tc>
          <w:tcPr>
            <w:tcW w:w="928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Net periodic benefit (income) cost - discontinued operations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repurchased $100 million and $200 million of outstanding Honeywell shares of common stock from the Honeywell U.S. Pension Plan Master Trust during the three months ended March 31, 2026 and 2025, respectively.</w:t>
      </w:r>
    </w:p>
    <w:p>
      <w:pPr>
        <w:spacing w:after="0" w:line="400" w:lineRule="exact"/>
        <w:rPr>
          <w:sz w:val="20"/>
          <w:szCs w:val="20"/>
          <w:color w:val="auto"/>
        </w:rPr>
      </w:pPr>
    </w:p>
    <w:p>
      <w:pPr>
        <w:ind w:left="400" w:hanging="392"/>
        <w:spacing w:after="0"/>
        <w:tabs>
          <w:tab w:leader="none" w:pos="400" w:val="left"/>
        </w:tabs>
        <w:numPr>
          <w:ilvl w:val="0"/>
          <w:numId w:val="2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17. OTHER (INCOME) EXPENSE</w:t>
      </w:r>
    </w:p>
    <w:p>
      <w:pPr>
        <w:spacing w:after="0" w:line="297"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80" w:type="dxa"/>
            <w:vAlign w:val="bottom"/>
            <w:tcBorders>
              <w:bottom w:val="single" w:sz="8" w:color="D7282F"/>
            </w:tcBorders>
          </w:tcPr>
          <w:p>
            <w:pPr>
              <w:spacing w:after="0"/>
              <w:rPr>
                <w:sz w:val="17"/>
                <w:szCs w:val="17"/>
                <w:color w:val="auto"/>
              </w:rPr>
            </w:pPr>
          </w:p>
        </w:tc>
        <w:tc>
          <w:tcPr>
            <w:tcW w:w="180" w:type="dxa"/>
            <w:vAlign w:val="bottom"/>
            <w:tcBorders>
              <w:top w:val="single" w:sz="8" w:color="D7282F"/>
              <w:bottom w:val="single" w:sz="8" w:color="D7282F"/>
            </w:tcBorders>
          </w:tcPr>
          <w:p>
            <w:pPr>
              <w:spacing w:after="0"/>
              <w:rPr>
                <w:sz w:val="17"/>
                <w:szCs w:val="17"/>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2025</w:t>
            </w:r>
          </w:p>
        </w:tc>
      </w:tr>
      <w:tr>
        <w:trPr>
          <w:trHeight w:val="192"/>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(91)</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Pension ongoing income—non-service</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(181)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(154)</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postretirement income—non-service</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Equity income of affiliated companies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(16)</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Gain on sale of non-strategic businesses and assets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exchange (gain) loss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r>
      <w:tr>
        <w:trPr>
          <w:trHeight w:val="200"/>
        </w:trPr>
        <w:tc>
          <w:tcPr>
            <w:tcW w:w="9280" w:type="dxa"/>
            <w:vAlign w:val="bottom"/>
            <w:tcBorders>
              <w:bottom w:val="single" w:sz="8" w:color="61656A"/>
            </w:tcBorders>
          </w:tcPr>
          <w:p>
            <w:pPr>
              <w:ind w:left="20"/>
              <w:spacing w:after="0" w:line="200" w:lineRule="exact"/>
              <w:rPr>
                <w:sz w:val="20"/>
                <w:szCs w:val="20"/>
                <w:color w:val="auto"/>
              </w:rPr>
            </w:pPr>
            <w:r>
              <w:rPr>
                <w:rFonts w:ascii="Arial" w:cs="Arial" w:eastAsia="Arial" w:hAnsi="Arial"/>
                <w:sz w:val="14"/>
                <w:szCs w:val="14"/>
                <w:color w:val="auto"/>
              </w:rPr>
              <w:t>Divestiture-related costs</w:t>
            </w:r>
            <w:r>
              <w:rPr>
                <w:rFonts w:ascii="Arial" w:cs="Arial" w:eastAsia="Arial" w:hAnsi="Arial"/>
                <w:sz w:val="18"/>
                <w:szCs w:val="18"/>
                <w:color w:val="auto"/>
                <w:vertAlign w:val="superscript"/>
              </w:rPr>
              <w:t>1</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239</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r>
      <w:tr>
        <w:trPr>
          <w:trHeight w:val="192"/>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Acquisition-related costs</w:t>
            </w: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Debt restructuring costs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net</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Other (income) expense</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(229)</w:t>
            </w:r>
          </w:p>
        </w:tc>
      </w:tr>
    </w:tbl>
    <w:p>
      <w:pPr>
        <w:spacing w:after="0" w:line="23" w:lineRule="exact"/>
        <w:rPr>
          <w:sz w:val="20"/>
          <w:szCs w:val="20"/>
          <w:color w:val="auto"/>
        </w:rPr>
      </w:pPr>
    </w:p>
    <w:p>
      <w:pPr>
        <w:ind w:left="480" w:hanging="344"/>
        <w:spacing w:after="0"/>
        <w:tabs>
          <w:tab w:leader="none" w:pos="480" w:val="left"/>
        </w:tabs>
        <w:numPr>
          <w:ilvl w:val="0"/>
          <w:numId w:val="27"/>
        </w:numPr>
        <w:rPr>
          <w:rFonts w:ascii="Arial" w:cs="Arial" w:eastAsia="Arial" w:hAnsi="Arial"/>
          <w:sz w:val="25"/>
          <w:szCs w:val="25"/>
          <w:color w:val="auto"/>
          <w:vertAlign w:val="superscript"/>
        </w:rPr>
      </w:pPr>
      <w:r>
        <w:rPr>
          <w:rFonts w:ascii="Arial" w:cs="Arial" w:eastAsia="Arial" w:hAnsi="Arial"/>
          <w:sz w:val="13"/>
          <w:szCs w:val="13"/>
          <w:color w:val="auto"/>
        </w:rPr>
        <w:t>Includes divestiture, spin-off, and separation costs.</w:t>
      </w:r>
    </w:p>
    <w:p>
      <w:pPr>
        <w:spacing w:after="0" w:line="373" w:lineRule="exact"/>
        <w:rPr>
          <w:sz w:val="20"/>
          <w:szCs w:val="20"/>
          <w:color w:val="auto"/>
        </w:rPr>
      </w:pPr>
    </w:p>
    <w:p>
      <w:pPr>
        <w:spacing w:after="0"/>
        <w:rPr>
          <w:sz w:val="20"/>
          <w:szCs w:val="20"/>
          <w:color w:val="auto"/>
        </w:rPr>
      </w:pPr>
      <w:r>
        <w:rPr>
          <w:rFonts w:ascii="Arial" w:cs="Arial" w:eastAsia="Arial" w:hAnsi="Arial"/>
          <w:sz w:val="29"/>
          <w:szCs w:val="29"/>
          <w:color w:val="D7282F"/>
        </w:rPr>
        <w:t>NOTE 18. SEGMENT FINANCIAL DATA</w:t>
      </w:r>
    </w:p>
    <w:p>
      <w:pPr>
        <w:spacing w:after="0" w:line="23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Honeywell globally manages its business operations through four reportable business segments. Segment information is consistent with how the Chairman and Chief Executive Officer, who is the Company's chief operating decision maker, and management reviews the businesses, makes investing and resource allocation decisions, and assesses operating performance.</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Honeywell’s senior management evaluates segment performance based on segment profit. Each segment’s profit is measured as segment income (loss) before taxes excluding general corporate unallocated expense, interest and other financial charges, interest income, amortization of acquisition-related intangibles, certain acquisition- and divestiture-related costs, impairment of goodwill, impairment of assets held for sale, stock compensation expense, pension and other postretirement income (expense), repositioning and other (gains) charges, loss on debt extinguishment, and other items within Other (income) expense.</w:t>
      </w:r>
    </w:p>
    <w:p>
      <w:pPr>
        <w:spacing w:after="0" w:line="5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Effective during the first quarter of 2026, the Company realigned certain of its business units comprising the Industrial Automation and Energy and Sustainability Solutions reportable business segments. This realignment formed a new reportable business segment, Process Automation and Technology, and resulted in a new composition of the Industrial Automation reportable business segment. Process Automation and Technology is comprised of UOP, which was previously in Energy and Sustainability Solutions, and the core portion of the Process Solutions business, which was previously in Industrial Automation. The new composition of Industrial Automation continues to include the smart energy, thermal solutions, and process measurement and control businesses, previously included in the Process Solutions business, as well as the Sensing and Safety Technologies, Warehouse and Workflow Solutions, and Productivity Solutions and Services businesses. Following the realignment, the Company's reportable business segments are Aerospace Technologies, Building Automation, Process Automation and Technology, and Industrial Automation. The realignment had no impact on the Company's historical consolidated financial position, results of operations, or cash flows. Prior period amounts have been recast.</w:t>
      </w:r>
    </w:p>
    <w:p>
      <w:pPr>
        <w:spacing w:after="0" w:line="309"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center"/>
              <w:ind w:right="148"/>
              <w:spacing w:after="0"/>
              <w:rPr>
                <w:sz w:val="20"/>
                <w:szCs w:val="20"/>
                <w:color w:val="auto"/>
              </w:rPr>
            </w:pPr>
            <w:r>
              <w:rPr>
                <w:rFonts w:ascii="Arial" w:cs="Arial" w:eastAsia="Arial" w:hAnsi="Arial"/>
                <w:sz w:val="14"/>
                <w:szCs w:val="14"/>
                <w:b w:val="1"/>
                <w:bCs w:val="1"/>
                <w:color w:val="auto"/>
              </w:rPr>
              <w:t>Process</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Aerospace</w:t>
            </w:r>
          </w:p>
        </w:tc>
        <w:tc>
          <w:tcPr>
            <w:tcW w:w="260" w:type="dxa"/>
            <w:vAlign w:val="bottom"/>
          </w:tcPr>
          <w:p>
            <w:pPr>
              <w:spacing w:after="0"/>
              <w:rPr>
                <w:sz w:val="12"/>
                <w:szCs w:val="12"/>
                <w:color w:val="auto"/>
              </w:rPr>
            </w:pPr>
          </w:p>
        </w:tc>
        <w:tc>
          <w:tcPr>
            <w:tcW w:w="10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Building</w:t>
            </w:r>
          </w:p>
        </w:tc>
        <w:tc>
          <w:tcPr>
            <w:tcW w:w="260" w:type="dxa"/>
            <w:vAlign w:val="bottom"/>
          </w:tcPr>
          <w:p>
            <w:pPr>
              <w:spacing w:after="0"/>
              <w:rPr>
                <w:sz w:val="12"/>
                <w:szCs w:val="12"/>
                <w:color w:val="auto"/>
              </w:rPr>
            </w:pPr>
          </w:p>
        </w:tc>
        <w:tc>
          <w:tcPr>
            <w:tcW w:w="106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auto"/>
              </w:rPr>
              <w:t>Automation</w:t>
            </w:r>
          </w:p>
        </w:tc>
        <w:tc>
          <w:tcPr>
            <w:tcW w:w="300" w:type="dxa"/>
            <w:vAlign w:val="bottom"/>
          </w:tcPr>
          <w:p>
            <w:pPr>
              <w:spacing w:after="0"/>
              <w:rPr>
                <w:sz w:val="12"/>
                <w:szCs w:val="12"/>
                <w:color w:val="auto"/>
              </w:rPr>
            </w:pPr>
          </w:p>
        </w:tc>
        <w:tc>
          <w:tcPr>
            <w:tcW w:w="11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Industrial</w:t>
            </w:r>
          </w:p>
        </w:tc>
        <w:tc>
          <w:tcPr>
            <w:tcW w:w="260" w:type="dxa"/>
            <w:vAlign w:val="bottom"/>
          </w:tcPr>
          <w:p>
            <w:pPr>
              <w:spacing w:after="0"/>
              <w:rPr>
                <w:sz w:val="12"/>
                <w:szCs w:val="12"/>
                <w:color w:val="auto"/>
              </w:rPr>
            </w:pPr>
          </w:p>
        </w:tc>
        <w:tc>
          <w:tcPr>
            <w:tcW w:w="9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2"/>
                <w:szCs w:val="12"/>
                <w:color w:val="auto"/>
              </w:rPr>
            </w:pPr>
          </w:p>
        </w:tc>
        <w:tc>
          <w:tcPr>
            <w:tcW w:w="9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2026</w:t>
            </w:r>
          </w:p>
        </w:tc>
        <w:tc>
          <w:tcPr>
            <w:tcW w:w="3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and</w:t>
            </w:r>
          </w:p>
        </w:tc>
        <w:tc>
          <w:tcPr>
            <w:tcW w:w="3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00" w:type="dxa"/>
            <w:vAlign w:val="bottom"/>
            <w:tcBorders>
              <w:bottom w:val="single" w:sz="8" w:color="D7282F"/>
            </w:tcBorders>
            <w:vMerge w:val="continue"/>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Technologies</w:t>
            </w:r>
          </w:p>
        </w:tc>
        <w:tc>
          <w:tcPr>
            <w:tcW w:w="26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Technology</w:t>
            </w:r>
          </w:p>
        </w:tc>
        <w:tc>
          <w:tcPr>
            <w:tcW w:w="300" w:type="dxa"/>
            <w:vAlign w:val="bottom"/>
            <w:tcBorders>
              <w:bottom w:val="single" w:sz="8" w:color="D7282F"/>
            </w:tcBorders>
          </w:tcPr>
          <w:p>
            <w:pPr>
              <w:spacing w:after="0"/>
              <w:rPr>
                <w:sz w:val="16"/>
                <w:szCs w:val="16"/>
                <w:color w:val="auto"/>
              </w:rPr>
            </w:pPr>
          </w:p>
        </w:tc>
        <w:tc>
          <w:tcPr>
            <w:tcW w:w="116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Automation</w:t>
            </w:r>
          </w:p>
        </w:tc>
        <w:tc>
          <w:tcPr>
            <w:tcW w:w="1240" w:type="dxa"/>
            <w:vAlign w:val="bottom"/>
            <w:tcBorders>
              <w:bottom w:val="single" w:sz="8" w:color="D7282F"/>
            </w:tcBorders>
            <w:gridSpan w:val="2"/>
          </w:tcPr>
          <w:p>
            <w:pPr>
              <w:jc w:val="right"/>
              <w:ind w:right="88"/>
              <w:spacing w:after="0"/>
              <w:rPr>
                <w:sz w:val="20"/>
                <w:szCs w:val="20"/>
                <w:color w:val="auto"/>
              </w:rPr>
            </w:pPr>
            <w:r>
              <w:rPr>
                <w:rFonts w:ascii="Arial" w:cs="Arial" w:eastAsia="Arial" w:hAnsi="Arial"/>
                <w:sz w:val="14"/>
                <w:szCs w:val="14"/>
                <w:b w:val="1"/>
                <w:bCs w:val="1"/>
                <w:color w:val="auto"/>
              </w:rPr>
              <w:t>and All Other</w:t>
            </w: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Honeywell</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320" w:type="dxa"/>
            <w:vAlign w:val="bottom"/>
            <w:tcBorders>
              <w:bottom w:val="single" w:sz="8" w:color="888B8D"/>
            </w:tcBorders>
          </w:tcPr>
          <w:p>
            <w:pPr>
              <w:spacing w:after="0"/>
              <w:rPr>
                <w:sz w:val="16"/>
                <w:szCs w:val="16"/>
                <w:color w:val="auto"/>
              </w:rPr>
            </w:pPr>
          </w:p>
        </w:tc>
        <w:tc>
          <w:tcPr>
            <w:tcW w:w="120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spacing w:after="0"/>
              <w:rPr>
                <w:sz w:val="16"/>
                <w:szCs w:val="16"/>
                <w:color w:val="auto"/>
              </w:rPr>
            </w:pPr>
          </w:p>
        </w:tc>
        <w:tc>
          <w:tcPr>
            <w:tcW w:w="300" w:type="dxa"/>
            <w:vAlign w:val="bottom"/>
            <w:tcBorders>
              <w:bottom w:val="single" w:sz="8" w:color="888B8D"/>
            </w:tcBorders>
          </w:tcPr>
          <w:p>
            <w:pPr>
              <w:spacing w:after="0"/>
              <w:rPr>
                <w:sz w:val="16"/>
                <w:szCs w:val="16"/>
                <w:color w:val="auto"/>
              </w:rPr>
            </w:pPr>
          </w:p>
        </w:tc>
        <w:tc>
          <w:tcPr>
            <w:tcW w:w="116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Products</w:t>
            </w:r>
          </w:p>
        </w:tc>
        <w:tc>
          <w:tcPr>
            <w:tcW w:w="3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2,393</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1,322</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958</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1,194</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5,867</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1,929</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560</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555</w:t>
            </w:r>
          </w:p>
        </w:tc>
        <w:tc>
          <w:tcPr>
            <w:tcW w:w="30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227</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3,276</w:t>
            </w:r>
          </w:p>
        </w:tc>
        <w:tc>
          <w:tcPr>
            <w:tcW w:w="0" w:type="dxa"/>
            <w:vAlign w:val="bottom"/>
          </w:tcPr>
          <w:p>
            <w:pPr>
              <w:spacing w:after="0"/>
              <w:rPr>
                <w:sz w:val="1"/>
                <w:szCs w:val="1"/>
                <w:color w:val="auto"/>
              </w:rPr>
            </w:pPr>
          </w:p>
        </w:tc>
      </w:tr>
      <w:tr>
        <w:trPr>
          <w:trHeight w:val="199"/>
        </w:trPr>
        <w:tc>
          <w:tcPr>
            <w:tcW w:w="32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sales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4,322</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1,882</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1,513</w:t>
            </w:r>
          </w:p>
        </w:tc>
        <w:tc>
          <w:tcPr>
            <w:tcW w:w="30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1,421</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9,143</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Less</w:t>
            </w:r>
          </w:p>
        </w:tc>
        <w:tc>
          <w:tcPr>
            <w:tcW w:w="32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spacing w:after="0"/>
              <w:rPr>
                <w:sz w:val="17"/>
                <w:szCs w:val="17"/>
                <w:color w:val="auto"/>
              </w:rPr>
            </w:pPr>
          </w:p>
        </w:tc>
        <w:tc>
          <w:tcPr>
            <w:tcW w:w="300" w:type="dxa"/>
            <w:vAlign w:val="bottom"/>
            <w:tcBorders>
              <w:bottom w:val="single" w:sz="8" w:color="888B8D"/>
            </w:tcBorders>
          </w:tcPr>
          <w:p>
            <w:pPr>
              <w:spacing w:after="0"/>
              <w:rPr>
                <w:sz w:val="17"/>
                <w:szCs w:val="17"/>
                <w:color w:val="auto"/>
              </w:rPr>
            </w:pPr>
          </w:p>
        </w:tc>
        <w:tc>
          <w:tcPr>
            <w:tcW w:w="116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Cost of products and services sold</w:t>
            </w:r>
          </w:p>
        </w:tc>
        <w:tc>
          <w:tcPr>
            <w:tcW w:w="320" w:type="dxa"/>
            <w:vAlign w:val="bottom"/>
            <w:tcBorders>
              <w:bottom w:val="single" w:sz="8" w:color="888B8D"/>
            </w:tcBorders>
          </w:tcPr>
          <w:p>
            <w:pPr>
              <w:spacing w:after="0"/>
              <w:rPr>
                <w:sz w:val="16"/>
                <w:szCs w:val="16"/>
                <w:color w:val="auto"/>
              </w:rPr>
            </w:pP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2,675</w:t>
            </w:r>
          </w:p>
        </w:tc>
        <w:tc>
          <w:tcPr>
            <w:tcW w:w="260" w:type="dxa"/>
            <w:vAlign w:val="bottom"/>
            <w:tcBorders>
              <w:bottom w:val="single" w:sz="8" w:color="888B8D"/>
            </w:tcBorders>
          </w:tcPr>
          <w:p>
            <w:pPr>
              <w:spacing w:after="0"/>
              <w:rPr>
                <w:sz w:val="16"/>
                <w:szCs w:val="16"/>
                <w:color w:val="auto"/>
              </w:rPr>
            </w:pP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993</w:t>
            </w: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856</w:t>
            </w:r>
          </w:p>
        </w:tc>
        <w:tc>
          <w:tcPr>
            <w:tcW w:w="300" w:type="dxa"/>
            <w:vAlign w:val="bottom"/>
            <w:tcBorders>
              <w:bottom w:val="single" w:sz="8" w:color="888B8D"/>
            </w:tcBorders>
          </w:tcPr>
          <w:p>
            <w:pPr>
              <w:spacing w:after="0"/>
              <w:rPr>
                <w:sz w:val="16"/>
                <w:szCs w:val="16"/>
                <w:color w:val="auto"/>
              </w:rPr>
            </w:pPr>
          </w:p>
        </w:tc>
        <w:tc>
          <w:tcPr>
            <w:tcW w:w="11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864</w:t>
            </w:r>
          </w:p>
        </w:tc>
        <w:tc>
          <w:tcPr>
            <w:tcW w:w="26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32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196</w:t>
            </w:r>
          </w:p>
        </w:tc>
        <w:tc>
          <w:tcPr>
            <w:tcW w:w="260" w:type="dxa"/>
            <w:vAlign w:val="bottom"/>
            <w:tcBorders>
              <w:bottom w:val="single" w:sz="8" w:color="888B8D"/>
            </w:tcBorders>
          </w:tcPr>
          <w:p>
            <w:pPr>
              <w:spacing w:after="0"/>
              <w:rPr>
                <w:sz w:val="17"/>
                <w:szCs w:val="17"/>
                <w:color w:val="auto"/>
              </w:rPr>
            </w:pP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273</w:t>
            </w: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174</w:t>
            </w:r>
          </w:p>
        </w:tc>
        <w:tc>
          <w:tcPr>
            <w:tcW w:w="300" w:type="dxa"/>
            <w:vAlign w:val="bottom"/>
            <w:tcBorders>
              <w:bottom w:val="single" w:sz="8" w:color="888B8D"/>
            </w:tcBorders>
          </w:tcPr>
          <w:p>
            <w:pPr>
              <w:spacing w:after="0"/>
              <w:rPr>
                <w:sz w:val="17"/>
                <w:szCs w:val="17"/>
                <w:color w:val="auto"/>
              </w:rPr>
            </w:pPr>
          </w:p>
        </w:tc>
        <w:tc>
          <w:tcPr>
            <w:tcW w:w="11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196</w:t>
            </w: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00" w:type="dxa"/>
            <w:vAlign w:val="bottom"/>
            <w:tcBorders>
              <w:bottom w:val="single" w:sz="8" w:color="D7282F"/>
            </w:tcBorders>
          </w:tcPr>
          <w:p>
            <w:pPr>
              <w:ind w:left="140"/>
              <w:spacing w:after="0" w:line="200" w:lineRule="exact"/>
              <w:rPr>
                <w:sz w:val="20"/>
                <w:szCs w:val="20"/>
                <w:color w:val="auto"/>
              </w:rPr>
            </w:pPr>
            <w:r>
              <w:rPr>
                <w:rFonts w:ascii="Arial" w:cs="Arial" w:eastAsia="Arial" w:hAnsi="Arial"/>
                <w:sz w:val="14"/>
                <w:szCs w:val="14"/>
                <w:color w:val="auto"/>
              </w:rPr>
              <w:t>Other segment items</w:t>
            </w:r>
            <w:r>
              <w:rPr>
                <w:rFonts w:ascii="Arial" w:cs="Arial" w:eastAsia="Arial" w:hAnsi="Arial"/>
                <w:sz w:val="18"/>
                <w:szCs w:val="18"/>
                <w:color w:val="auto"/>
                <w:vertAlign w:val="superscript"/>
              </w:rPr>
              <w:t>1</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307</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120</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124</w:t>
            </w:r>
          </w:p>
        </w:tc>
        <w:tc>
          <w:tcPr>
            <w:tcW w:w="30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120</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profit</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1,144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496</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359</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241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(111)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2,129</w:t>
            </w:r>
          </w:p>
        </w:tc>
        <w:tc>
          <w:tcPr>
            <w:tcW w:w="0" w:type="dxa"/>
            <w:vAlign w:val="bottom"/>
          </w:tcPr>
          <w:p>
            <w:pPr>
              <w:spacing w:after="0"/>
              <w:rPr>
                <w:sz w:val="1"/>
                <w:szCs w:val="1"/>
                <w:color w:val="auto"/>
              </w:rPr>
            </w:pPr>
          </w:p>
        </w:tc>
      </w:tr>
      <w:tr>
        <w:trPr>
          <w:trHeight w:val="238"/>
        </w:trPr>
        <w:tc>
          <w:tcPr>
            <w:tcW w:w="3200" w:type="dxa"/>
            <w:vAlign w:val="bottom"/>
            <w:tcBorders>
              <w:bottom w:val="single" w:sz="8" w:color="D7282F"/>
            </w:tcBorders>
          </w:tcPr>
          <w:p>
            <w:pPr>
              <w:spacing w:after="0"/>
              <w:rPr>
                <w:sz w:val="20"/>
                <w:szCs w:val="20"/>
                <w:color w:val="auto"/>
              </w:rPr>
            </w:pPr>
          </w:p>
        </w:tc>
        <w:tc>
          <w:tcPr>
            <w:tcW w:w="320" w:type="dxa"/>
            <w:vAlign w:val="bottom"/>
            <w:tcBorders>
              <w:bottom w:val="single" w:sz="8" w:color="D7282F"/>
            </w:tcBorders>
          </w:tcPr>
          <w:p>
            <w:pPr>
              <w:spacing w:after="0"/>
              <w:rPr>
                <w:sz w:val="20"/>
                <w:szCs w:val="20"/>
                <w:color w:val="auto"/>
              </w:rPr>
            </w:pPr>
          </w:p>
        </w:tc>
        <w:tc>
          <w:tcPr>
            <w:tcW w:w="120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4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60" w:type="dxa"/>
            <w:vAlign w:val="bottom"/>
            <w:tcBorders>
              <w:bottom w:val="single" w:sz="8" w:color="D7282F"/>
            </w:tcBorders>
          </w:tcPr>
          <w:p>
            <w:pPr>
              <w:spacing w:after="0"/>
              <w:rPr>
                <w:sz w:val="20"/>
                <w:szCs w:val="20"/>
                <w:color w:val="auto"/>
              </w:rPr>
            </w:pPr>
          </w:p>
        </w:tc>
        <w:tc>
          <w:tcPr>
            <w:tcW w:w="300" w:type="dxa"/>
            <w:vAlign w:val="bottom"/>
            <w:tcBorders>
              <w:bottom w:val="single" w:sz="8" w:color="D7282F"/>
            </w:tcBorders>
          </w:tcPr>
          <w:p>
            <w:pPr>
              <w:spacing w:after="0"/>
              <w:rPr>
                <w:sz w:val="20"/>
                <w:szCs w:val="20"/>
                <w:color w:val="auto"/>
              </w:rPr>
            </w:pPr>
          </w:p>
        </w:tc>
        <w:tc>
          <w:tcPr>
            <w:tcW w:w="116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4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107</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64</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100</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37</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49</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Capital expenditures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98</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17</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54</w:t>
            </w:r>
          </w:p>
        </w:tc>
        <w:tc>
          <w:tcPr>
            <w:tcW w:w="30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15</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39</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480" w:right="120" w:hanging="344"/>
        <w:spacing w:after="0" w:line="183" w:lineRule="auto"/>
        <w:tabs>
          <w:tab w:leader="none" w:pos="480" w:val="left"/>
        </w:tabs>
        <w:numPr>
          <w:ilvl w:val="0"/>
          <w:numId w:val="29"/>
        </w:numPr>
        <w:rPr>
          <w:rFonts w:ascii="Arial" w:cs="Arial" w:eastAsia="Arial" w:hAnsi="Arial"/>
          <w:sz w:val="24"/>
          <w:szCs w:val="24"/>
          <w:color w:val="auto"/>
          <w:vertAlign w:val="superscript"/>
        </w:rPr>
      </w:pPr>
      <w:r>
        <w:rPr>
          <w:rFonts w:ascii="Arial" w:cs="Arial" w:eastAsia="Arial" w:hAnsi="Arial"/>
          <w:sz w:val="12"/>
          <w:szCs w:val="12"/>
          <w:color w:val="auto"/>
        </w:rPr>
        <w:t>For each reportable segment, the other segment items category includes research and development expenses, equity income of affiliated companies and certain allocated overhead expenses, which are comprised of salaries and fringe benefits, professional &amp; purchased services, and other indirect spend across core corporate functions such as central IT, corporate finance, human resources, supply chain, legal, government relations, and other corporate functions.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center"/>
              <w:ind w:right="148"/>
              <w:spacing w:after="0"/>
              <w:rPr>
                <w:sz w:val="20"/>
                <w:szCs w:val="20"/>
                <w:color w:val="auto"/>
              </w:rPr>
            </w:pPr>
            <w:r>
              <w:rPr>
                <w:rFonts w:ascii="Arial" w:cs="Arial" w:eastAsia="Arial" w:hAnsi="Arial"/>
                <w:sz w:val="14"/>
                <w:szCs w:val="14"/>
                <w:b w:val="1"/>
                <w:bCs w:val="1"/>
                <w:color w:val="auto"/>
              </w:rPr>
              <w:t>Process</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Aerospace</w:t>
            </w:r>
          </w:p>
        </w:tc>
        <w:tc>
          <w:tcPr>
            <w:tcW w:w="260" w:type="dxa"/>
            <w:vAlign w:val="bottom"/>
          </w:tcPr>
          <w:p>
            <w:pPr>
              <w:spacing w:after="0"/>
              <w:rPr>
                <w:sz w:val="12"/>
                <w:szCs w:val="12"/>
                <w:color w:val="auto"/>
              </w:rPr>
            </w:pPr>
          </w:p>
        </w:tc>
        <w:tc>
          <w:tcPr>
            <w:tcW w:w="10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Building</w:t>
            </w:r>
          </w:p>
        </w:tc>
        <w:tc>
          <w:tcPr>
            <w:tcW w:w="260" w:type="dxa"/>
            <w:vAlign w:val="bottom"/>
          </w:tcPr>
          <w:p>
            <w:pPr>
              <w:spacing w:after="0"/>
              <w:rPr>
                <w:sz w:val="12"/>
                <w:szCs w:val="12"/>
                <w:color w:val="auto"/>
              </w:rPr>
            </w:pPr>
          </w:p>
        </w:tc>
        <w:tc>
          <w:tcPr>
            <w:tcW w:w="10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Automation</w:t>
            </w:r>
          </w:p>
        </w:tc>
        <w:tc>
          <w:tcPr>
            <w:tcW w:w="240" w:type="dxa"/>
            <w:vAlign w:val="bottom"/>
          </w:tcPr>
          <w:p>
            <w:pPr>
              <w:spacing w:after="0"/>
              <w:rPr>
                <w:sz w:val="12"/>
                <w:szCs w:val="12"/>
                <w:color w:val="auto"/>
              </w:rPr>
            </w:pPr>
          </w:p>
        </w:tc>
        <w:tc>
          <w:tcPr>
            <w:tcW w:w="11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Industrial</w:t>
            </w:r>
          </w:p>
        </w:tc>
        <w:tc>
          <w:tcPr>
            <w:tcW w:w="132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2"/>
                <w:szCs w:val="12"/>
                <w:color w:val="auto"/>
              </w:rPr>
            </w:pPr>
          </w:p>
        </w:tc>
        <w:tc>
          <w:tcPr>
            <w:tcW w:w="9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2025</w:t>
            </w:r>
          </w:p>
        </w:tc>
        <w:tc>
          <w:tcPr>
            <w:tcW w:w="3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rPr>
              <w:t>and</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00" w:type="dxa"/>
            <w:vAlign w:val="bottom"/>
            <w:tcBorders>
              <w:bottom w:val="single" w:sz="8" w:color="D7282F"/>
            </w:tcBorders>
            <w:vMerge w:val="continue"/>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Technologies</w:t>
            </w:r>
          </w:p>
        </w:tc>
        <w:tc>
          <w:tcPr>
            <w:tcW w:w="26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Technology</w:t>
            </w:r>
          </w:p>
        </w:tc>
        <w:tc>
          <w:tcPr>
            <w:tcW w:w="2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Automation</w:t>
            </w:r>
          </w:p>
        </w:tc>
        <w:tc>
          <w:tcPr>
            <w:tcW w:w="1320" w:type="dxa"/>
            <w:vAlign w:val="bottom"/>
            <w:tcBorders>
              <w:bottom w:val="single" w:sz="8" w:color="D7282F"/>
            </w:tcBorders>
            <w:gridSpan w:val="2"/>
          </w:tcPr>
          <w:p>
            <w:pPr>
              <w:jc w:val="right"/>
              <w:ind w:right="88"/>
              <w:spacing w:after="0"/>
              <w:rPr>
                <w:sz w:val="20"/>
                <w:szCs w:val="20"/>
                <w:color w:val="auto"/>
              </w:rPr>
            </w:pPr>
            <w:r>
              <w:rPr>
                <w:rFonts w:ascii="Arial" w:cs="Arial" w:eastAsia="Arial" w:hAnsi="Arial"/>
                <w:sz w:val="14"/>
                <w:szCs w:val="14"/>
                <w:b w:val="1"/>
                <w:bCs w:val="1"/>
                <w:color w:val="auto"/>
              </w:rPr>
              <w:t>and All Other</w:t>
            </w: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Honeywell</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320" w:type="dxa"/>
            <w:vAlign w:val="bottom"/>
            <w:tcBorders>
              <w:bottom w:val="single" w:sz="8" w:color="888B8D"/>
            </w:tcBorders>
          </w:tcPr>
          <w:p>
            <w:pPr>
              <w:spacing w:after="0"/>
              <w:rPr>
                <w:sz w:val="16"/>
                <w:szCs w:val="16"/>
                <w:color w:val="auto"/>
              </w:rPr>
            </w:pPr>
          </w:p>
        </w:tc>
        <w:tc>
          <w:tcPr>
            <w:tcW w:w="120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140" w:type="dxa"/>
            <w:vAlign w:val="bottom"/>
            <w:tcBorders>
              <w:bottom w:val="single" w:sz="8" w:color="888B8D"/>
            </w:tcBorders>
          </w:tcPr>
          <w:p>
            <w:pPr>
              <w:spacing w:after="0"/>
              <w:rPr>
                <w:sz w:val="16"/>
                <w:szCs w:val="16"/>
                <w:color w:val="auto"/>
              </w:rPr>
            </w:pPr>
          </w:p>
        </w:tc>
        <w:tc>
          <w:tcPr>
            <w:tcW w:w="800" w:type="dxa"/>
            <w:vAlign w:val="bottom"/>
            <w:tcBorders>
              <w:bottom w:val="single" w:sz="8" w:color="888B8D"/>
            </w:tcBorders>
          </w:tcPr>
          <w:p>
            <w:pPr>
              <w:spacing w:after="0"/>
              <w:rPr>
                <w:sz w:val="16"/>
                <w:szCs w:val="16"/>
                <w:color w:val="auto"/>
              </w:rPr>
            </w:pPr>
          </w:p>
        </w:tc>
        <w:tc>
          <w:tcPr>
            <w:tcW w:w="52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Products</w:t>
            </w:r>
          </w:p>
        </w:tc>
        <w:tc>
          <w:tcPr>
            <w:tcW w:w="3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2,365</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1,208</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891</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1,343</w:t>
            </w:r>
          </w:p>
        </w:tc>
        <w:tc>
          <w:tcPr>
            <w:tcW w:w="800" w:type="dxa"/>
            <w:vAlign w:val="bottom"/>
            <w:tcBorders>
              <w:bottom w:val="single" w:sz="8" w:color="888B8D"/>
            </w:tcBorders>
          </w:tcPr>
          <w:p>
            <w:pPr>
              <w:jc w:val="center"/>
              <w:ind w:right="1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5,807</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1,807</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484</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554</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254</w:t>
            </w:r>
          </w:p>
        </w:tc>
        <w:tc>
          <w:tcPr>
            <w:tcW w:w="8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19</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3,118</w:t>
            </w:r>
          </w:p>
        </w:tc>
        <w:tc>
          <w:tcPr>
            <w:tcW w:w="0" w:type="dxa"/>
            <w:vAlign w:val="bottom"/>
          </w:tcPr>
          <w:p>
            <w:pPr>
              <w:spacing w:after="0"/>
              <w:rPr>
                <w:sz w:val="1"/>
                <w:szCs w:val="1"/>
                <w:color w:val="auto"/>
              </w:rPr>
            </w:pPr>
          </w:p>
        </w:tc>
      </w:tr>
      <w:tr>
        <w:trPr>
          <w:trHeight w:val="199"/>
        </w:trPr>
        <w:tc>
          <w:tcPr>
            <w:tcW w:w="32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sales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4,172</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1,692</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1,445</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1,597</w:t>
            </w:r>
          </w:p>
        </w:tc>
        <w:tc>
          <w:tcPr>
            <w:tcW w:w="8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8,925</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Less</w:t>
            </w:r>
          </w:p>
        </w:tc>
        <w:tc>
          <w:tcPr>
            <w:tcW w:w="32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spacing w:after="0"/>
              <w:rPr>
                <w:sz w:val="17"/>
                <w:szCs w:val="17"/>
                <w:color w:val="auto"/>
              </w:rPr>
            </w:pPr>
          </w:p>
        </w:tc>
        <w:tc>
          <w:tcPr>
            <w:tcW w:w="800" w:type="dxa"/>
            <w:vAlign w:val="bottom"/>
            <w:tcBorders>
              <w:bottom w:val="single" w:sz="8" w:color="888B8D"/>
            </w:tcBorders>
          </w:tcPr>
          <w:p>
            <w:pPr>
              <w:spacing w:after="0"/>
              <w:rPr>
                <w:sz w:val="17"/>
                <w:szCs w:val="17"/>
                <w:color w:val="auto"/>
              </w:rPr>
            </w:pPr>
          </w:p>
        </w:tc>
        <w:tc>
          <w:tcPr>
            <w:tcW w:w="52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Cost of products and services sold</w:t>
            </w:r>
          </w:p>
        </w:tc>
        <w:tc>
          <w:tcPr>
            <w:tcW w:w="320" w:type="dxa"/>
            <w:vAlign w:val="bottom"/>
            <w:tcBorders>
              <w:bottom w:val="single" w:sz="8" w:color="888B8D"/>
            </w:tcBorders>
          </w:tcPr>
          <w:p>
            <w:pPr>
              <w:spacing w:after="0"/>
              <w:rPr>
                <w:sz w:val="16"/>
                <w:szCs w:val="16"/>
                <w:color w:val="auto"/>
              </w:rPr>
            </w:pP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2,592</w:t>
            </w:r>
          </w:p>
        </w:tc>
        <w:tc>
          <w:tcPr>
            <w:tcW w:w="260" w:type="dxa"/>
            <w:vAlign w:val="bottom"/>
            <w:tcBorders>
              <w:bottom w:val="single" w:sz="8" w:color="888B8D"/>
            </w:tcBorders>
          </w:tcPr>
          <w:p>
            <w:pPr>
              <w:spacing w:after="0"/>
              <w:rPr>
                <w:sz w:val="16"/>
                <w:szCs w:val="16"/>
                <w:color w:val="auto"/>
              </w:rPr>
            </w:pP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868</w:t>
            </w: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809</w:t>
            </w:r>
          </w:p>
        </w:tc>
        <w:tc>
          <w:tcPr>
            <w:tcW w:w="240" w:type="dxa"/>
            <w:vAlign w:val="bottom"/>
            <w:tcBorders>
              <w:bottom w:val="single" w:sz="8" w:color="888B8D"/>
            </w:tcBorders>
          </w:tcPr>
          <w:p>
            <w:pPr>
              <w:spacing w:after="0"/>
              <w:rPr>
                <w:sz w:val="16"/>
                <w:szCs w:val="16"/>
                <w:color w:val="auto"/>
              </w:rPr>
            </w:pPr>
          </w:p>
        </w:tc>
        <w:tc>
          <w:tcPr>
            <w:tcW w:w="114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989</w:t>
            </w:r>
          </w:p>
        </w:tc>
        <w:tc>
          <w:tcPr>
            <w:tcW w:w="800" w:type="dxa"/>
            <w:vAlign w:val="bottom"/>
            <w:tcBorders>
              <w:bottom w:val="single" w:sz="8" w:color="888B8D"/>
            </w:tcBorders>
          </w:tcPr>
          <w:p>
            <w:pPr>
              <w:spacing w:after="0"/>
              <w:rPr>
                <w:sz w:val="16"/>
                <w:szCs w:val="16"/>
                <w:color w:val="auto"/>
              </w:rPr>
            </w:pPr>
          </w:p>
        </w:tc>
        <w:tc>
          <w:tcPr>
            <w:tcW w:w="52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32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188</w:t>
            </w:r>
          </w:p>
        </w:tc>
        <w:tc>
          <w:tcPr>
            <w:tcW w:w="260" w:type="dxa"/>
            <w:vAlign w:val="bottom"/>
            <w:tcBorders>
              <w:bottom w:val="single" w:sz="8" w:color="888B8D"/>
            </w:tcBorders>
          </w:tcPr>
          <w:p>
            <w:pPr>
              <w:spacing w:after="0"/>
              <w:rPr>
                <w:sz w:val="17"/>
                <w:szCs w:val="17"/>
                <w:color w:val="auto"/>
              </w:rPr>
            </w:pP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275</w:t>
            </w: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208</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239</w:t>
            </w:r>
          </w:p>
        </w:tc>
        <w:tc>
          <w:tcPr>
            <w:tcW w:w="800" w:type="dxa"/>
            <w:vAlign w:val="bottom"/>
            <w:tcBorders>
              <w:bottom w:val="single" w:sz="8" w:color="888B8D"/>
            </w:tcBorders>
          </w:tcPr>
          <w:p>
            <w:pPr>
              <w:spacing w:after="0"/>
              <w:rPr>
                <w:sz w:val="17"/>
                <w:szCs w:val="17"/>
                <w:color w:val="auto"/>
              </w:rPr>
            </w:pPr>
          </w:p>
        </w:tc>
        <w:tc>
          <w:tcPr>
            <w:tcW w:w="52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segment items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293</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109</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115</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139</w:t>
            </w:r>
          </w:p>
        </w:tc>
        <w:tc>
          <w:tcPr>
            <w:tcW w:w="8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profit</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1,099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440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313</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230</w:t>
            </w:r>
          </w:p>
        </w:tc>
        <w:tc>
          <w:tcPr>
            <w:tcW w:w="80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238"/>
        </w:trPr>
        <w:tc>
          <w:tcPr>
            <w:tcW w:w="3200" w:type="dxa"/>
            <w:vAlign w:val="bottom"/>
            <w:tcBorders>
              <w:bottom w:val="single" w:sz="8" w:color="D7282F"/>
            </w:tcBorders>
          </w:tcPr>
          <w:p>
            <w:pPr>
              <w:spacing w:after="0"/>
              <w:rPr>
                <w:sz w:val="20"/>
                <w:szCs w:val="20"/>
                <w:color w:val="auto"/>
              </w:rPr>
            </w:pPr>
          </w:p>
        </w:tc>
        <w:tc>
          <w:tcPr>
            <w:tcW w:w="320" w:type="dxa"/>
            <w:vAlign w:val="bottom"/>
            <w:tcBorders>
              <w:bottom w:val="single" w:sz="8" w:color="D7282F"/>
            </w:tcBorders>
          </w:tcPr>
          <w:p>
            <w:pPr>
              <w:spacing w:after="0"/>
              <w:rPr>
                <w:sz w:val="20"/>
                <w:szCs w:val="20"/>
                <w:color w:val="auto"/>
              </w:rPr>
            </w:pPr>
          </w:p>
        </w:tc>
        <w:tc>
          <w:tcPr>
            <w:tcW w:w="120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4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60" w:type="dxa"/>
            <w:vAlign w:val="bottom"/>
            <w:tcBorders>
              <w:bottom w:val="single" w:sz="8" w:color="D7282F"/>
            </w:tcBorders>
          </w:tcPr>
          <w:p>
            <w:pPr>
              <w:spacing w:after="0"/>
              <w:rPr>
                <w:sz w:val="20"/>
                <w:szCs w:val="20"/>
                <w:color w:val="auto"/>
              </w:rPr>
            </w:pPr>
          </w:p>
        </w:tc>
        <w:tc>
          <w:tcPr>
            <w:tcW w:w="240" w:type="dxa"/>
            <w:vAlign w:val="bottom"/>
            <w:tcBorders>
              <w:bottom w:val="single" w:sz="8" w:color="D7282F"/>
            </w:tcBorders>
          </w:tcPr>
          <w:p>
            <w:pPr>
              <w:spacing w:after="0"/>
              <w:rPr>
                <w:sz w:val="20"/>
                <w:szCs w:val="20"/>
                <w:color w:val="auto"/>
              </w:rPr>
            </w:pPr>
          </w:p>
        </w:tc>
        <w:tc>
          <w:tcPr>
            <w:tcW w:w="1140" w:type="dxa"/>
            <w:vAlign w:val="bottom"/>
            <w:tcBorders>
              <w:bottom w:val="single" w:sz="8" w:color="D7282F"/>
            </w:tcBorders>
          </w:tcPr>
          <w:p>
            <w:pPr>
              <w:spacing w:after="0"/>
              <w:rPr>
                <w:sz w:val="20"/>
                <w:szCs w:val="20"/>
                <w:color w:val="auto"/>
              </w:rPr>
            </w:pPr>
          </w:p>
        </w:tc>
        <w:tc>
          <w:tcPr>
            <w:tcW w:w="800" w:type="dxa"/>
            <w:vAlign w:val="bottom"/>
            <w:tcBorders>
              <w:bottom w:val="single" w:sz="8" w:color="D7282F"/>
            </w:tcBorders>
          </w:tcPr>
          <w:p>
            <w:pPr>
              <w:spacing w:after="0"/>
              <w:rPr>
                <w:sz w:val="20"/>
                <w:szCs w:val="20"/>
                <w:color w:val="auto"/>
              </w:rPr>
            </w:pPr>
          </w:p>
        </w:tc>
        <w:tc>
          <w:tcPr>
            <w:tcW w:w="52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4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94</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60</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68</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56</w:t>
            </w:r>
          </w:p>
        </w:tc>
        <w:tc>
          <w:tcPr>
            <w:tcW w:w="800" w:type="dxa"/>
            <w:vAlign w:val="bottom"/>
            <w:tcBorders>
              <w:bottom w:val="single" w:sz="8" w:color="888B8D"/>
            </w:tcBorders>
          </w:tcPr>
          <w:p>
            <w:pPr>
              <w:jc w:val="center"/>
              <w:ind w:right="1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47</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Capital expenditures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73</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23</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40</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22</w:t>
            </w:r>
          </w:p>
        </w:tc>
        <w:tc>
          <w:tcPr>
            <w:tcW w:w="8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32</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766"/>
        </w:trPr>
        <w:tc>
          <w:tcPr>
            <w:tcW w:w="320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1200" w:type="dxa"/>
            <w:vAlign w:val="bottom"/>
            <w:tcBorders>
              <w:bottom w:val="single" w:sz="8" w:color="D7282F"/>
            </w:tcBorders>
          </w:tcPr>
          <w:p>
            <w:pPr>
              <w:spacing w:after="0"/>
              <w:rPr>
                <w:sz w:val="24"/>
                <w:szCs w:val="24"/>
                <w:color w:val="auto"/>
              </w:rPr>
            </w:pPr>
          </w:p>
        </w:tc>
        <w:tc>
          <w:tcPr>
            <w:tcW w:w="260" w:type="dxa"/>
            <w:vAlign w:val="bottom"/>
            <w:tcBorders>
              <w:bottom w:val="single" w:sz="8" w:color="D7282F"/>
            </w:tcBorders>
          </w:tcPr>
          <w:p>
            <w:pPr>
              <w:spacing w:after="0"/>
              <w:rPr>
                <w:sz w:val="24"/>
                <w:szCs w:val="24"/>
                <w:color w:val="auto"/>
              </w:rPr>
            </w:pPr>
          </w:p>
        </w:tc>
        <w:tc>
          <w:tcPr>
            <w:tcW w:w="1040" w:type="dxa"/>
            <w:vAlign w:val="bottom"/>
            <w:tcBorders>
              <w:bottom w:val="single" w:sz="8" w:color="D7282F"/>
            </w:tcBorders>
          </w:tcPr>
          <w:p>
            <w:pPr>
              <w:spacing w:after="0"/>
              <w:rPr>
                <w:sz w:val="24"/>
                <w:szCs w:val="24"/>
                <w:color w:val="auto"/>
              </w:rPr>
            </w:pPr>
          </w:p>
        </w:tc>
        <w:tc>
          <w:tcPr>
            <w:tcW w:w="260" w:type="dxa"/>
            <w:vAlign w:val="bottom"/>
            <w:tcBorders>
              <w:bottom w:val="single" w:sz="8" w:color="D7282F"/>
            </w:tcBorders>
          </w:tcPr>
          <w:p>
            <w:pPr>
              <w:spacing w:after="0"/>
              <w:rPr>
                <w:sz w:val="24"/>
                <w:szCs w:val="24"/>
                <w:color w:val="auto"/>
              </w:rPr>
            </w:pPr>
          </w:p>
        </w:tc>
        <w:tc>
          <w:tcPr>
            <w:tcW w:w="106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940" w:type="dxa"/>
            <w:vAlign w:val="bottom"/>
            <w:tcBorders>
              <w:bottom w:val="single" w:sz="8" w:color="D7282F"/>
            </w:tcBorders>
            <w:gridSpan w:val="2"/>
          </w:tcPr>
          <w:p>
            <w:pPr>
              <w:ind w:left="320"/>
              <w:spacing w:after="0"/>
              <w:rPr>
                <w:sz w:val="20"/>
                <w:szCs w:val="20"/>
                <w:color w:val="auto"/>
              </w:rPr>
            </w:pPr>
            <w:r>
              <w:rPr>
                <w:rFonts w:ascii="Arial" w:cs="Arial" w:eastAsia="Arial" w:hAnsi="Arial"/>
                <w:sz w:val="14"/>
                <w:szCs w:val="14"/>
                <w:b w:val="1"/>
                <w:bCs w:val="1"/>
                <w:color w:val="auto"/>
              </w:rPr>
              <w:t>March 31, 2026</w:t>
            </w:r>
          </w:p>
        </w:tc>
        <w:tc>
          <w:tcPr>
            <w:tcW w:w="1720" w:type="dxa"/>
            <w:vAlign w:val="bottom"/>
            <w:tcBorders>
              <w:bottom w:val="single" w:sz="8" w:color="D7282F"/>
            </w:tcBorders>
            <w:gridSpan w:val="3"/>
          </w:tcPr>
          <w:p>
            <w:pPr>
              <w:jc w:val="right"/>
              <w:ind w:right="148"/>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93"/>
        </w:trPr>
        <w:tc>
          <w:tcPr>
            <w:tcW w:w="3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Aerospace Technologies</w:t>
            </w:r>
          </w:p>
        </w:tc>
        <w:tc>
          <w:tcPr>
            <w:tcW w:w="320" w:type="dxa"/>
            <w:vAlign w:val="bottom"/>
            <w:tcBorders>
              <w:bottom w:val="single" w:sz="8" w:color="61656A"/>
            </w:tcBorders>
          </w:tcPr>
          <w:p>
            <w:pPr>
              <w:spacing w:after="0"/>
              <w:rPr>
                <w:sz w:val="16"/>
                <w:szCs w:val="16"/>
                <w:color w:val="auto"/>
              </w:rPr>
            </w:pPr>
          </w:p>
        </w:tc>
        <w:tc>
          <w:tcPr>
            <w:tcW w:w="120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jc w:val="right"/>
              <w:ind w:right="9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61656A"/>
            </w:tcBorders>
          </w:tcPr>
          <w:p>
            <w:pPr>
              <w:jc w:val="center"/>
              <w:ind w:right="168"/>
              <w:spacing w:after="0"/>
              <w:rPr>
                <w:sz w:val="20"/>
                <w:szCs w:val="20"/>
                <w:color w:val="auto"/>
              </w:rPr>
            </w:pPr>
            <w:r>
              <w:rPr>
                <w:rFonts w:ascii="Arial" w:cs="Arial" w:eastAsia="Arial" w:hAnsi="Arial"/>
                <w:sz w:val="14"/>
                <w:szCs w:val="14"/>
                <w:color w:val="auto"/>
              </w:rPr>
              <w:t>18,571</w:t>
            </w:r>
          </w:p>
        </w:tc>
        <w:tc>
          <w:tcPr>
            <w:tcW w:w="520" w:type="dxa"/>
            <w:vAlign w:val="bottom"/>
            <w:tcBorders>
              <w:bottom w:val="single" w:sz="8" w:color="61656A"/>
            </w:tcBorders>
          </w:tcPr>
          <w:p>
            <w:pPr>
              <w:jc w:val="right"/>
              <w:ind w:right="3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17,920</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Building Automation</w:t>
            </w:r>
          </w:p>
        </w:tc>
        <w:tc>
          <w:tcPr>
            <w:tcW w:w="32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center"/>
              <w:ind w:right="168"/>
              <w:spacing w:after="0"/>
              <w:rPr>
                <w:sz w:val="20"/>
                <w:szCs w:val="20"/>
                <w:color w:val="auto"/>
              </w:rPr>
            </w:pPr>
            <w:r>
              <w:rPr>
                <w:rFonts w:ascii="Arial" w:cs="Arial" w:eastAsia="Arial" w:hAnsi="Arial"/>
                <w:sz w:val="14"/>
                <w:szCs w:val="14"/>
                <w:color w:val="auto"/>
              </w:rPr>
              <w:t>10,810</w:t>
            </w:r>
          </w:p>
        </w:tc>
        <w:tc>
          <w:tcPr>
            <w:tcW w:w="52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10,883</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Process Automation and Technology</w:t>
            </w:r>
          </w:p>
        </w:tc>
        <w:tc>
          <w:tcPr>
            <w:tcW w:w="32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center"/>
              <w:ind w:right="168"/>
              <w:spacing w:after="0"/>
              <w:rPr>
                <w:sz w:val="20"/>
                <w:szCs w:val="20"/>
                <w:color w:val="auto"/>
              </w:rPr>
            </w:pPr>
            <w:r>
              <w:rPr>
                <w:rFonts w:ascii="Arial" w:cs="Arial" w:eastAsia="Arial" w:hAnsi="Arial"/>
                <w:sz w:val="14"/>
                <w:szCs w:val="14"/>
                <w:color w:val="auto"/>
              </w:rPr>
              <w:t>17,694</w:t>
            </w:r>
          </w:p>
        </w:tc>
        <w:tc>
          <w:tcPr>
            <w:tcW w:w="52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17,572</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Industrial Automation</w:t>
            </w:r>
          </w:p>
        </w:tc>
        <w:tc>
          <w:tcPr>
            <w:tcW w:w="32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center"/>
              <w:ind w:right="168"/>
              <w:spacing w:after="0"/>
              <w:rPr>
                <w:sz w:val="20"/>
                <w:szCs w:val="20"/>
                <w:color w:val="auto"/>
              </w:rPr>
            </w:pPr>
            <w:r>
              <w:rPr>
                <w:rFonts w:ascii="Arial" w:cs="Arial" w:eastAsia="Arial" w:hAnsi="Arial"/>
                <w:sz w:val="14"/>
                <w:szCs w:val="14"/>
                <w:color w:val="auto"/>
              </w:rPr>
              <w:t>10,534</w:t>
            </w:r>
          </w:p>
        </w:tc>
        <w:tc>
          <w:tcPr>
            <w:tcW w:w="52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10,712</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Corporate and All Other</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color w:val="auto"/>
              </w:rPr>
              <w:t>16,379</w:t>
            </w:r>
          </w:p>
        </w:tc>
        <w:tc>
          <w:tcPr>
            <w:tcW w:w="5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16,594</w:t>
            </w:r>
          </w:p>
        </w:tc>
        <w:tc>
          <w:tcPr>
            <w:tcW w:w="0" w:type="dxa"/>
            <w:vAlign w:val="bottom"/>
          </w:tcPr>
          <w:p>
            <w:pPr>
              <w:spacing w:after="0"/>
              <w:rPr>
                <w:sz w:val="1"/>
                <w:szCs w:val="1"/>
                <w:color w:val="auto"/>
              </w:rPr>
            </w:pPr>
          </w:p>
        </w:tc>
      </w:tr>
      <w:tr>
        <w:trPr>
          <w:trHeight w:val="199"/>
        </w:trPr>
        <w:tc>
          <w:tcPr>
            <w:tcW w:w="32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assets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98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73,988</w:t>
            </w:r>
          </w:p>
        </w:tc>
        <w:tc>
          <w:tcPr>
            <w:tcW w:w="52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73,681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31</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segment profit to consolidated income before taxes are as follows:</w:t>
      </w:r>
    </w:p>
    <w:p>
      <w:pPr>
        <w:spacing w:after="0" w:line="158"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80" w:type="dxa"/>
            <w:vAlign w:val="bottom"/>
            <w:tcBorders>
              <w:bottom w:val="single" w:sz="8" w:color="D7282F"/>
            </w:tcBorders>
          </w:tcPr>
          <w:p>
            <w:pPr>
              <w:spacing w:after="0"/>
              <w:rPr>
                <w:sz w:val="17"/>
                <w:szCs w:val="17"/>
                <w:color w:val="auto"/>
              </w:rPr>
            </w:pPr>
          </w:p>
        </w:tc>
        <w:tc>
          <w:tcPr>
            <w:tcW w:w="180" w:type="dxa"/>
            <w:vAlign w:val="bottom"/>
            <w:tcBorders>
              <w:top w:val="single" w:sz="8" w:color="D7282F"/>
              <w:bottom w:val="single" w:sz="8" w:color="D7282F"/>
            </w:tcBorders>
          </w:tcPr>
          <w:p>
            <w:pPr>
              <w:spacing w:after="0"/>
              <w:rPr>
                <w:sz w:val="17"/>
                <w:szCs w:val="17"/>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2025</w:t>
            </w:r>
          </w:p>
        </w:tc>
      </w:tr>
      <w:tr>
        <w:trPr>
          <w:trHeight w:val="192"/>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Segment profit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2,129</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2,002</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and other financial charges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(356)</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(285)</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income</w:t>
            </w:r>
            <w:r>
              <w:rPr>
                <w:rFonts w:ascii="Arial" w:cs="Arial" w:eastAsia="Arial" w:hAnsi="Arial"/>
                <w:sz w:val="9"/>
                <w:szCs w:val="9"/>
                <w:color w:val="auto"/>
              </w:rPr>
              <w:t>1</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90</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91</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Amortization of acquisition-related intangibles</w:t>
            </w:r>
            <w:r>
              <w:rPr>
                <w:rFonts w:ascii="Arial" w:cs="Arial" w:eastAsia="Arial" w:hAnsi="Arial"/>
                <w:sz w:val="9"/>
                <w:szCs w:val="9"/>
                <w:color w:val="auto"/>
              </w:rPr>
              <w:t>2</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(153)</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(135)</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Impairment of assets held for sale</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(263)</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Stock compensation expense</w:t>
            </w:r>
            <w:r>
              <w:rPr>
                <w:rFonts w:ascii="Arial" w:cs="Arial" w:eastAsia="Arial" w:hAnsi="Arial"/>
                <w:sz w:val="9"/>
                <w:szCs w:val="9"/>
                <w:color w:val="auto"/>
              </w:rPr>
              <w:t>3</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(57)</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(59)</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Pension ongoing income</w:t>
            </w:r>
            <w:r>
              <w:rPr>
                <w:rFonts w:ascii="Arial" w:cs="Arial" w:eastAsia="Arial" w:hAnsi="Arial"/>
                <w:sz w:val="9"/>
                <w:szCs w:val="9"/>
                <w:color w:val="auto"/>
              </w:rPr>
              <w:t>4</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126</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Pension mark-to-market expense</w:t>
            </w:r>
            <w:r>
              <w:rPr>
                <w:rFonts w:ascii="Arial" w:cs="Arial" w:eastAsia="Arial" w:hAnsi="Arial"/>
                <w:sz w:val="9"/>
                <w:szCs w:val="9"/>
                <w:color w:val="auto"/>
              </w:rPr>
              <w:t>4</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postretirement income</w:t>
            </w:r>
            <w:r>
              <w:rPr>
                <w:rFonts w:ascii="Arial" w:cs="Arial" w:eastAsia="Arial" w:hAnsi="Arial"/>
                <w:sz w:val="9"/>
                <w:szCs w:val="9"/>
                <w:color w:val="auto"/>
              </w:rPr>
              <w:t>4</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Repositioning and other charges</w:t>
            </w:r>
            <w:r>
              <w:rPr>
                <w:rFonts w:ascii="Arial" w:cs="Arial" w:eastAsia="Arial" w:hAnsi="Arial"/>
                <w:sz w:val="9"/>
                <w:szCs w:val="9"/>
                <w:color w:val="auto"/>
              </w:rPr>
              <w:t>5</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(68)</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Loss on debt extinguishment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(239)</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Divestiture-related costs</w:t>
            </w:r>
            <w:r>
              <w:rPr>
                <w:rFonts w:ascii="Arial" w:cs="Arial" w:eastAsia="Arial" w:hAnsi="Arial"/>
                <w:sz w:val="9"/>
                <w:szCs w:val="9"/>
                <w:color w:val="auto"/>
              </w:rPr>
              <w:t>6</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(314)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expense</w:t>
            </w:r>
            <w:r>
              <w:rPr>
                <w:rFonts w:ascii="Arial" w:cs="Arial" w:eastAsia="Arial" w:hAnsi="Arial"/>
                <w:sz w:val="9"/>
                <w:szCs w:val="9"/>
                <w:color w:val="auto"/>
              </w:rPr>
              <w:t>7</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(49)</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Income before taxes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886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1,665</w:t>
            </w:r>
          </w:p>
        </w:tc>
      </w:tr>
    </w:tbl>
    <w:p>
      <w:pPr>
        <w:spacing w:after="0" w:line="117" w:lineRule="exact"/>
        <w:rPr>
          <w:sz w:val="20"/>
          <w:szCs w:val="20"/>
          <w:color w:val="auto"/>
        </w:rPr>
      </w:pPr>
    </w:p>
    <w:p>
      <w:pPr>
        <w:ind w:left="480" w:hanging="344"/>
        <w:spacing w:after="0"/>
        <w:tabs>
          <w:tab w:leader="none" w:pos="4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Amounts included in Other (income) expense.</w:t>
      </w:r>
    </w:p>
    <w:p>
      <w:pPr>
        <w:spacing w:after="0" w:line="26" w:lineRule="exact"/>
        <w:rPr>
          <w:sz w:val="20"/>
          <w:szCs w:val="20"/>
          <w:color w:val="auto"/>
        </w:rPr>
      </w:pPr>
    </w:p>
    <w:p>
      <w:pPr>
        <w:ind w:left="480" w:hanging="344"/>
        <w:spacing w:after="0"/>
        <w:tabs>
          <w:tab w:leader="none" w:pos="4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Amounts included in Cost of products and services sold.</w:t>
      </w:r>
    </w:p>
    <w:p>
      <w:pPr>
        <w:ind w:left="480" w:hanging="344"/>
        <w:spacing w:after="0" w:line="194" w:lineRule="auto"/>
        <w:tabs>
          <w:tab w:leader="none" w:pos="480" w:val="left"/>
        </w:tabs>
        <w:numPr>
          <w:ilvl w:val="0"/>
          <w:numId w:val="32"/>
        </w:numPr>
        <w:rPr>
          <w:rFonts w:ascii="Arial" w:cs="Arial" w:eastAsia="Arial" w:hAnsi="Arial"/>
          <w:sz w:val="25"/>
          <w:szCs w:val="25"/>
          <w:color w:val="auto"/>
          <w:vertAlign w:val="superscript"/>
        </w:rPr>
      </w:pPr>
      <w:r>
        <w:rPr>
          <w:rFonts w:ascii="Arial" w:cs="Arial" w:eastAsia="Arial" w:hAnsi="Arial"/>
          <w:sz w:val="13"/>
          <w:szCs w:val="13"/>
          <w:color w:val="auto"/>
        </w:rPr>
        <w:t>Amounts included in Selling, general and administrative expenses.</w:t>
      </w:r>
    </w:p>
    <w:p>
      <w:pPr>
        <w:spacing w:after="0" w:line="50" w:lineRule="exact"/>
        <w:rPr>
          <w:sz w:val="20"/>
          <w:szCs w:val="20"/>
          <w:color w:val="auto"/>
        </w:rPr>
      </w:pPr>
    </w:p>
    <w:p>
      <w:pPr>
        <w:ind w:left="480" w:right="40" w:hanging="344"/>
        <w:spacing w:after="0" w:line="181" w:lineRule="auto"/>
        <w:tabs>
          <w:tab w:leader="none" w:pos="480" w:val="left"/>
        </w:tabs>
        <w:numPr>
          <w:ilvl w:val="0"/>
          <w:numId w:val="33"/>
        </w:numPr>
        <w:rPr>
          <w:rFonts w:ascii="Arial" w:cs="Arial" w:eastAsia="Arial" w:hAnsi="Arial"/>
          <w:sz w:val="22"/>
          <w:szCs w:val="22"/>
          <w:color w:val="auto"/>
          <w:vertAlign w:val="superscript"/>
        </w:rPr>
      </w:pPr>
      <w:r>
        <w:rPr>
          <w:rFonts w:ascii="Arial" w:cs="Arial" w:eastAsia="Arial" w:hAnsi="Arial"/>
          <w:sz w:val="11"/>
          <w:szCs w:val="11"/>
          <w:color w:val="auto"/>
        </w:rPr>
        <w:t>Amounts included in Cost of products and services sold (service cost component), Selling, general and administrative expenses (service cost component), Research and development expenses (service cost component), and Other (income) expense (non-service cost component).</w:t>
      </w:r>
    </w:p>
    <w:p>
      <w:pPr>
        <w:ind w:left="480" w:hanging="344"/>
        <w:spacing w:after="0" w:line="181" w:lineRule="auto"/>
        <w:tabs>
          <w:tab w:leader="none" w:pos="480" w:val="left"/>
        </w:tabs>
        <w:numPr>
          <w:ilvl w:val="0"/>
          <w:numId w:val="34"/>
        </w:numPr>
        <w:rPr>
          <w:rFonts w:ascii="Arial" w:cs="Arial" w:eastAsia="Arial" w:hAnsi="Arial"/>
          <w:sz w:val="25"/>
          <w:szCs w:val="25"/>
          <w:color w:val="auto"/>
          <w:vertAlign w:val="superscript"/>
        </w:rPr>
      </w:pPr>
      <w:r>
        <w:rPr>
          <w:rFonts w:ascii="Arial" w:cs="Arial" w:eastAsia="Arial" w:hAnsi="Arial"/>
          <w:sz w:val="13"/>
          <w:szCs w:val="13"/>
          <w:color w:val="auto"/>
        </w:rPr>
        <w:t>Amounts included in Cost of products and services sold, Selling, general and administrative expenses, and Other (income) expense.</w:t>
      </w:r>
    </w:p>
    <w:p>
      <w:pPr>
        <w:spacing w:after="0" w:line="22" w:lineRule="exact"/>
        <w:rPr>
          <w:rFonts w:ascii="Arial" w:cs="Arial" w:eastAsia="Arial" w:hAnsi="Arial"/>
          <w:sz w:val="25"/>
          <w:szCs w:val="25"/>
          <w:color w:val="auto"/>
          <w:vertAlign w:val="superscript"/>
        </w:rPr>
      </w:pPr>
    </w:p>
    <w:p>
      <w:pPr>
        <w:ind w:left="140"/>
        <w:spacing w:after="0"/>
        <w:rPr>
          <w:rFonts w:ascii="Arial" w:cs="Arial" w:eastAsia="Arial" w:hAnsi="Arial"/>
          <w:sz w:val="25"/>
          <w:szCs w:val="25"/>
          <w:color w:val="auto"/>
          <w:vertAlign w:val="superscript"/>
        </w:rPr>
      </w:pPr>
      <w:r>
        <w:rPr>
          <w:rFonts w:ascii="Arial" w:cs="Arial" w:eastAsia="Arial" w:hAnsi="Arial"/>
          <w:sz w:val="13"/>
          <w:szCs w:val="13"/>
          <w:color w:val="auto"/>
        </w:rPr>
        <w:t>6</w:t>
      </w:r>
      <w:r>
        <w:rPr>
          <w:rFonts w:ascii="Arial" w:cs="Arial" w:eastAsia="Arial" w:hAnsi="Arial"/>
          <w:sz w:val="12"/>
          <w:szCs w:val="12"/>
          <w:color w:val="auto"/>
        </w:rPr>
        <w:t>Amounts included in Selling, general and administrative expenses and Other (income) expense.</w:t>
      </w:r>
    </w:p>
    <w:p>
      <w:pPr>
        <w:spacing w:after="0" w:line="55" w:lineRule="exact"/>
        <w:rPr>
          <w:sz w:val="20"/>
          <w:szCs w:val="20"/>
          <w:color w:val="auto"/>
        </w:rPr>
      </w:pPr>
    </w:p>
    <w:p>
      <w:pPr>
        <w:ind w:left="480" w:right="140" w:hanging="344"/>
        <w:spacing w:after="0" w:line="181" w:lineRule="auto"/>
        <w:tabs>
          <w:tab w:leader="none" w:pos="480" w:val="left"/>
        </w:tabs>
        <w:numPr>
          <w:ilvl w:val="0"/>
          <w:numId w:val="35"/>
        </w:numPr>
        <w:rPr>
          <w:rFonts w:ascii="Arial" w:cs="Arial" w:eastAsia="Arial" w:hAnsi="Arial"/>
          <w:sz w:val="22"/>
          <w:szCs w:val="22"/>
          <w:color w:val="auto"/>
          <w:vertAlign w:val="superscript"/>
        </w:rPr>
      </w:pPr>
      <w:r>
        <w:rPr>
          <w:rFonts w:ascii="Arial" w:cs="Arial" w:eastAsia="Arial" w:hAnsi="Arial"/>
          <w:sz w:val="11"/>
          <w:szCs w:val="11"/>
          <w:color w:val="auto"/>
        </w:rPr>
        <w:t>Amounts include the other components of Selling, general and administrative expenses and Other (income) expense not included within other categories in this reconciliation. Equity income of affiliated companies is included in segment profit.</w:t>
      </w:r>
    </w:p>
    <w:p>
      <w:pPr>
        <w:spacing w:after="0" w:line="200" w:lineRule="exact"/>
        <w:rPr>
          <w:sz w:val="20"/>
          <w:szCs w:val="20"/>
          <w:color w:val="auto"/>
        </w:rPr>
      </w:pPr>
    </w:p>
    <w:p>
      <w:pPr>
        <w:spacing w:after="0" w:line="343"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220"/>
        <w:spacing w:after="0" w:line="313" w:lineRule="auto"/>
        <w:rPr>
          <w:sz w:val="20"/>
          <w:szCs w:val="20"/>
          <w:color w:val="auto"/>
        </w:rPr>
      </w:pPr>
      <w:r>
        <w:rPr>
          <w:rFonts w:ascii="Arial" w:cs="Arial" w:eastAsia="Arial" w:hAnsi="Arial"/>
          <w:sz w:val="35"/>
          <w:szCs w:val="35"/>
          <w:b w:val="1"/>
          <w:bCs w:val="1"/>
          <w:color w:val="auto"/>
        </w:rPr>
        <w:t>ITEM 2. 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and graphs in millions, except per share amounts)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is intended to help the reader understand the results of operations and financial condition of Honeywell International Inc. and its consolidated subsidiaries (Honeywell, we, us, our, or the Company) for the three months ended March 31, 2026. The financial information as of March 31, 2026 should be read in conjunction with the Consolidated Financial Statements for the year ended December 31, 2025, contained in our 2025 Annual Report on Form 10-K. Certain prior year amounts are reclassified to conform to the current year presentation.</w:t>
      </w: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color w:val="D7282F"/>
        </w:rPr>
        <w:t>BUSINESS UPDATE</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MACROECONOMIC CONDITIONS</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continue to monitor macroeconomic and geopolitical developments that remain elevated, including armed conflict in the Middle East and its effects on global energy markets and maritime shipping, ongoing trade policy uncertainty following judicial and regulatory developments affecting U.S. tariff authorities, and evolving inflationary pressures. Global growth projections moderated, and tariffs imposed during 2025 and 2026, together with new trade investigations and ongoing negotiations, contributed to heightened volatility. Elevated energy prices, tariff pass-through effects, and financial market uncertainty continue to contribute to supply chain and cost pressures. We continue to engage with suppliers to proactively manage potential disruptions, critical material constraints, and pricing volatility.</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Mitigation strategies are an important component of our approach to managing these risks, including supply chain simplification, alignment to local and regional supply sources, pricing actions, dual-source strategies, and longer-term approaches for constrained materials. These efforts include direct engagement with key suppliers, new supplier development, and, where appropriate, design modifications. We maintain relationships with primary and secondary suppliers that support sourcing continuity and operational flexibility. Due to stringent quality controls and product qualification processes, these strategies have not impacted, and are not expected to impact, product quality or reliability.</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 date, our strategies have helped manage our exposure to these supply chain and cost-related conditions. However, the convergence of geopolitical conflict, evolving trade policies, and persistent inflationary pressures may have a material adverse effect on our consolidated results of operations, cash flows, or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PORTFOLIO TRANSFORMATION</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continually assess the relative strength of each business in our portfolio as to strategic fit, market position, profit, and cash flow contribution in order to identify target investment and acquisition opportunities in order to upgrade our combined portfolio. We also identify businesses that do not fit into our long-term strategic plan based on their market position, relative profitability, or growth potential.</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February 6, 2025, we announced our intention to pursue a separation of Honeywell from Honeywell Aerospace, into independent, U.S. publicly traded companies, which is intended to be completed in the third quarter on June 29, 2026. The planned separation is intended to be a tax-free separation to Honeywell shareowners for U.S. federal income tax purposes. The separation will be subject to the satisfaction of a number of customary conditions, including, among others, the filing and effectiveness of applicable filings (including a Form 10 registration statement that includes required financial statements) with the SEC, assurance that the separation of the businesses will be tax-free to Honeywell’s shareowners, receipt of applicable regulatory approvals, and final approval by Honeywell’s Board of Directors. The proposed separation is complex in nature, and may be affected by unanticipated developments, credit and equity markets, or changes in market conditions.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2025, we announced we are evaluating strategic alternatives for our Productivity Solutions and Services and Warehouse and Workflow Solutions businesses within the Industrial Automation reportable segment to further simplify Honeywell's portfolio and accelerate shareowner value creation ahead of the planned separation of Honeywell from Honeywell Aerospace. Beginning December 31, 2025, the assets and liabilities of these businesses were classified as held for sale. In April 2026, the Company announced it has reached agreements to sell the businesses in two separate transactions, both of which are expected to close in the second half of 2026 and are subject to customary closing conditions, including receipt of certain regulatory approvals.</w:t>
      </w:r>
    </w:p>
    <w:p>
      <w:pPr>
        <w:spacing w:after="0" w:line="200" w:lineRule="exact"/>
        <w:rPr>
          <w:sz w:val="20"/>
          <w:szCs w:val="20"/>
          <w:color w:val="auto"/>
        </w:rPr>
      </w:pPr>
    </w:p>
    <w:p>
      <w:pPr>
        <w:spacing w:after="0" w:line="203"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22, 2025, the Company announced its agreement to acquire Johnson Matthey's Catalyst Technologies business segment in an all-cash transaction. In February 2026, the agreement was amended to adjust the total consideration to £1.325 billion. Completion of the transaction is anticipated in the third quarter of 2026, subject to customary closing conditions, including receipt of certain regulatory approvals.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SEGMENT REALIGNMENT</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Effective in the first quarter of 2026, we realigned certain of our business units comprising our Industrial Automation and Energy and Sustainability Solutions reportable business segments. This realignment formed a new reportable business segment, Process Automation and Technology, and resulted in a new composition of our Industrial Automation reportable business segment. Process Automation and Technology is comprised of UOP, which was previously in Energy and Sustainability Solutions, and the core portion of the Process Solutions business, which was previously in Industrial Automation. The new composition of Industrial Automation continues to include the smart energy, thermal solutions, and process measurement and control businesses, previously included in the Process Solutions business, as well as the Sensing and Safety Technologies, Warehouse and Workflow Solutions, and Productivity Solutions and Services businesses. Following the realignment, our reportable business segments are Aerospace Technologies, Building Automation, Process Automation and Technology, and Industrial Automation. In addition to the realignment, also beginning in 2026, we report the disaggregation of revenue within our Building Automation, Process Automation and Technology, and Industrial Automation segments based on business models. The realignment had no impact on our historical consolidated financial position, results of operations, or cash flows. Prior period amounts have been recast to reflect this change.</w:t>
      </w:r>
    </w:p>
    <w:p>
      <w:pPr>
        <w:spacing w:after="0" w:line="200" w:lineRule="exact"/>
        <w:rPr>
          <w:sz w:val="20"/>
          <w:szCs w:val="20"/>
          <w:color w:val="auto"/>
        </w:rPr>
      </w:pPr>
    </w:p>
    <w:p>
      <w:pPr>
        <w:spacing w:after="0" w:line="213"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8"/>
          <w:szCs w:val="28"/>
          <w:color w:val="D7282F"/>
        </w:rPr>
        <w:t>RESULTS OF OPERATIONS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80645</wp:posOffset>
            </wp:positionV>
            <wp:extent cx="5572125" cy="2571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7212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30429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00375"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Profit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30429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00375"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CONSOLIDATED OPERATING RESULTS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80645</wp:posOffset>
            </wp:positionV>
            <wp:extent cx="2785745" cy="21431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8574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change in Net sales was attributable to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380" w:type="dxa"/>
            <w:vAlign w:val="bottom"/>
            <w:tcBorders>
              <w:bottom w:val="single" w:sz="8" w:color="D7282F"/>
            </w:tcBorders>
          </w:tcPr>
          <w:p>
            <w:pPr>
              <w:spacing w:after="0"/>
              <w:rPr>
                <w:sz w:val="17"/>
                <w:szCs w:val="17"/>
                <w:color w:val="auto"/>
              </w:rPr>
            </w:pPr>
          </w:p>
        </w:tc>
        <w:tc>
          <w:tcPr>
            <w:tcW w:w="18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Q1 2026 vs. Q1 2025</w:t>
            </w:r>
          </w:p>
        </w:tc>
      </w:tr>
      <w:tr>
        <w:trPr>
          <w:trHeight w:val="193"/>
        </w:trPr>
        <w:tc>
          <w:tcPr>
            <w:tcW w:w="93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Volume</w:t>
            </w:r>
          </w:p>
        </w:tc>
        <w:tc>
          <w:tcPr>
            <w:tcW w:w="18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(2 %)</w:t>
            </w:r>
          </w:p>
        </w:tc>
      </w:tr>
      <w:tr>
        <w:trPr>
          <w:trHeight w:val="196"/>
        </w:trPr>
        <w:tc>
          <w:tcPr>
            <w:tcW w:w="93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Price</w:t>
            </w:r>
          </w:p>
        </w:tc>
        <w:tc>
          <w:tcPr>
            <w:tcW w:w="18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4 %</w:t>
            </w:r>
          </w:p>
        </w:tc>
      </w:tr>
      <w:tr>
        <w:trPr>
          <w:trHeight w:val="196"/>
        </w:trPr>
        <w:tc>
          <w:tcPr>
            <w:tcW w:w="93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8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2 %</w:t>
            </w:r>
          </w:p>
        </w:tc>
      </w:tr>
      <w:tr>
        <w:trPr>
          <w:trHeight w:val="196"/>
        </w:trPr>
        <w:tc>
          <w:tcPr>
            <w:tcW w:w="93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Acquisitions</w:t>
            </w:r>
          </w:p>
        </w:tc>
        <w:tc>
          <w:tcPr>
            <w:tcW w:w="18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1 %</w:t>
            </w:r>
          </w:p>
        </w:tc>
      </w:tr>
      <w:tr>
        <w:trPr>
          <w:trHeight w:val="196"/>
        </w:trPr>
        <w:tc>
          <w:tcPr>
            <w:tcW w:w="938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Divestitures</w:t>
            </w:r>
          </w:p>
        </w:tc>
        <w:tc>
          <w:tcPr>
            <w:tcW w:w="1860" w:type="dxa"/>
            <w:vAlign w:val="bottom"/>
            <w:tcBorders>
              <w:bottom w:val="single" w:sz="8" w:color="B1B3B3"/>
            </w:tcBorders>
          </w:tcPr>
          <w:p>
            <w:pPr>
              <w:jc w:val="center"/>
              <w:spacing w:after="0"/>
              <w:rPr>
                <w:sz w:val="20"/>
                <w:szCs w:val="20"/>
                <w:color w:val="auto"/>
              </w:rPr>
            </w:pPr>
            <w:r>
              <w:rPr>
                <w:rFonts w:ascii="Arial" w:cs="Arial" w:eastAsia="Arial" w:hAnsi="Arial"/>
                <w:sz w:val="14"/>
                <w:szCs w:val="14"/>
                <w:color w:val="auto"/>
              </w:rPr>
              <w:t>(3 %)</w:t>
            </w:r>
          </w:p>
        </w:tc>
      </w:tr>
      <w:tr>
        <w:trPr>
          <w:trHeight w:val="196"/>
        </w:trPr>
        <w:tc>
          <w:tcPr>
            <w:tcW w:w="93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w:t>
            </w:r>
          </w:p>
        </w:tc>
        <w:tc>
          <w:tcPr>
            <w:tcW w:w="186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w w:val="98"/>
              </w:rPr>
              <w:t>— %</w:t>
            </w:r>
          </w:p>
        </w:tc>
      </w:tr>
      <w:tr>
        <w:trPr>
          <w:trHeight w:val="199"/>
        </w:trPr>
        <w:tc>
          <w:tcPr>
            <w:tcW w:w="9380" w:type="dxa"/>
            <w:vAlign w:val="bottom"/>
            <w:tcBorders>
              <w:bottom w:val="single" w:sz="8" w:color="D7282F"/>
            </w:tcBorders>
          </w:tcPr>
          <w:p>
            <w:pPr>
              <w:ind w:left="60"/>
              <w:spacing w:after="0"/>
              <w:rPr>
                <w:sz w:val="20"/>
                <w:szCs w:val="20"/>
                <w:color w:val="auto"/>
              </w:rPr>
            </w:pPr>
            <w:r>
              <w:rPr>
                <w:rFonts w:ascii="Arial" w:cs="Arial" w:eastAsia="Arial" w:hAnsi="Arial"/>
                <w:sz w:val="14"/>
                <w:szCs w:val="14"/>
                <w:b w:val="1"/>
                <w:bCs w:val="1"/>
                <w:color w:val="auto"/>
              </w:rPr>
              <w:t>Total % change in Net sales</w:t>
            </w:r>
          </w:p>
        </w:tc>
        <w:tc>
          <w:tcPr>
            <w:tcW w:w="186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2 %</w:t>
            </w:r>
          </w:p>
        </w:tc>
      </w:tr>
    </w:tbl>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 discussion of Net sales by reportable business segment can be found in the </w:t>
      </w:r>
      <w:r>
        <w:rPr>
          <w:rFonts w:ascii="Arial" w:cs="Arial" w:eastAsia="Arial" w:hAnsi="Arial"/>
          <w:sz w:val="16"/>
          <w:szCs w:val="16"/>
          <w:u w:val="single" w:color="auto"/>
          <w:color w:val="0000FF"/>
        </w:rPr>
        <w:t>Review of Business Segments</w:t>
      </w:r>
      <w:r>
        <w:rPr>
          <w:rFonts w:ascii="Arial" w:cs="Arial" w:eastAsia="Arial" w:hAnsi="Arial"/>
          <w:sz w:val="16"/>
          <w:szCs w:val="16"/>
          <w:color w:val="auto"/>
        </w:rPr>
        <w:t xml:space="preserve"> section of this Management's Discussion and Analysis.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2026 compared with Q1 2025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due to the following:</w:t>
      </w:r>
    </w:p>
    <w:p>
      <w:pPr>
        <w:spacing w:after="0" w:line="111" w:lineRule="exact"/>
        <w:rPr>
          <w:sz w:val="20"/>
          <w:szCs w:val="20"/>
          <w:color w:val="auto"/>
        </w:rPr>
      </w:pPr>
    </w:p>
    <w:p>
      <w:pPr>
        <w:ind w:left="200" w:hanging="192"/>
        <w:spacing w:after="0"/>
        <w:tabs>
          <w:tab w:leader="none" w:pos="200" w:val="left"/>
        </w:tabs>
        <w:numPr>
          <w:ilvl w:val="0"/>
          <w:numId w:val="41"/>
        </w:numPr>
        <w:rPr>
          <w:rFonts w:ascii="Arial" w:cs="Arial" w:eastAsia="Arial" w:hAnsi="Arial"/>
          <w:sz w:val="16"/>
          <w:szCs w:val="16"/>
          <w:color w:val="D7282F"/>
        </w:rPr>
      </w:pPr>
      <w:r>
        <w:rPr>
          <w:rFonts w:ascii="Arial" w:cs="Arial" w:eastAsia="Arial" w:hAnsi="Arial"/>
          <w:sz w:val="16"/>
          <w:szCs w:val="16"/>
          <w:color w:val="auto"/>
        </w:rPr>
        <w:t>Increased pricing and price adjustments to offset inflation, and</w:t>
      </w:r>
    </w:p>
    <w:p>
      <w:pPr>
        <w:spacing w:after="0" w:line="72" w:lineRule="exact"/>
        <w:rPr>
          <w:rFonts w:ascii="Arial" w:cs="Arial" w:eastAsia="Arial" w:hAnsi="Arial"/>
          <w:sz w:val="16"/>
          <w:szCs w:val="16"/>
          <w:color w:val="D7282F"/>
        </w:rPr>
      </w:pPr>
    </w:p>
    <w:p>
      <w:pPr>
        <w:ind w:left="200" w:hanging="192"/>
        <w:spacing w:after="0" w:line="299" w:lineRule="auto"/>
        <w:tabs>
          <w:tab w:leader="none" w:pos="197" w:val="left"/>
        </w:tabs>
        <w:numPr>
          <w:ilvl w:val="0"/>
          <w:numId w:val="41"/>
        </w:numPr>
        <w:rPr>
          <w:rFonts w:ascii="Arial" w:cs="Arial" w:eastAsia="Arial" w:hAnsi="Arial"/>
          <w:sz w:val="16"/>
          <w:szCs w:val="16"/>
          <w:color w:val="D7282F"/>
        </w:rPr>
      </w:pPr>
      <w:r>
        <w:rPr>
          <w:rFonts w:ascii="Arial" w:cs="Arial" w:eastAsia="Arial" w:hAnsi="Arial"/>
          <w:sz w:val="16"/>
          <w:szCs w:val="16"/>
          <w:color w:val="auto"/>
        </w:rPr>
        <w:t>Favorable impact of foreign currency translation, driven by the weakening of the U.S. dollar against the currencies of the majority of our international markets, primarily the Australian dollar, Chinese renminbi, and Canadian dollar,</w:t>
      </w:r>
    </w:p>
    <w:p>
      <w:pPr>
        <w:ind w:left="200" w:hanging="192"/>
        <w:spacing w:after="0"/>
        <w:tabs>
          <w:tab w:leader="none" w:pos="200" w:val="left"/>
        </w:tabs>
        <w:numPr>
          <w:ilvl w:val="0"/>
          <w:numId w:val="41"/>
        </w:numPr>
        <w:rPr>
          <w:rFonts w:ascii="Arial" w:cs="Arial" w:eastAsia="Arial" w:hAnsi="Arial"/>
          <w:sz w:val="16"/>
          <w:szCs w:val="16"/>
          <w:color w:val="D7282F"/>
        </w:rPr>
      </w:pPr>
      <w:r>
        <w:rPr>
          <w:rFonts w:ascii="Arial" w:cs="Arial" w:eastAsia="Arial" w:hAnsi="Arial"/>
          <w:sz w:val="16"/>
          <w:szCs w:val="16"/>
          <w:color w:val="auto"/>
        </w:rPr>
        <w:t>Partially offset by lower sales from the divestiture of the personal protective equipment (PPE) business,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1"/>
        </w:numPr>
        <w:rPr>
          <w:rFonts w:ascii="Arial" w:cs="Arial" w:eastAsia="Arial" w:hAnsi="Arial"/>
          <w:sz w:val="16"/>
          <w:szCs w:val="16"/>
          <w:color w:val="D7282F"/>
        </w:rPr>
      </w:pPr>
      <w:r>
        <w:rPr>
          <w:rFonts w:ascii="Arial" w:cs="Arial" w:eastAsia="Arial" w:hAnsi="Arial"/>
          <w:sz w:val="16"/>
          <w:szCs w:val="16"/>
          <w:color w:val="auto"/>
        </w:rPr>
        <w:t>Lower sales volumes.</w:t>
      </w:r>
    </w:p>
    <w:p>
      <w:pPr>
        <w:spacing w:after="0" w:line="200" w:lineRule="exact"/>
        <w:rPr>
          <w:sz w:val="20"/>
          <w:szCs w:val="20"/>
          <w:color w:val="auto"/>
        </w:rPr>
      </w:pPr>
    </w:p>
    <w:p>
      <w:pPr>
        <w:spacing w:after="0" w:line="225"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80645</wp:posOffset>
            </wp:positionV>
            <wp:extent cx="2785745" cy="2143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8574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2026 compared with Q1 2025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higher direct and indirect material costs and higher labor costs.</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143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003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2026 compared with Q1 2025</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Gross margin increased by approximately $0.1 billion and gross margin percentage decreased 10 basis points to 38.7% compared to 38.8% for the same period of 2025.</w:t>
      </w:r>
    </w:p>
    <w:p>
      <w:pPr>
        <w:spacing w:after="0" w:line="389"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1431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003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2026 compared with Q1 2025</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Research and development expenses increased as a percentage of net sales due to increased investment in new product development in our Aerospace Technologies business.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research and development costs is as follows:</w:t>
      </w:r>
    </w:p>
    <w:p>
      <w:pPr>
        <w:spacing w:after="0" w:line="160"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80" w:type="dxa"/>
            <w:vAlign w:val="bottom"/>
            <w:tcBorders>
              <w:bottom w:val="single" w:sz="8" w:color="D7282F"/>
            </w:tcBorders>
          </w:tcPr>
          <w:p>
            <w:pPr>
              <w:spacing w:after="0"/>
              <w:rPr>
                <w:sz w:val="17"/>
                <w:szCs w:val="17"/>
                <w:color w:val="auto"/>
              </w:rPr>
            </w:pPr>
          </w:p>
        </w:tc>
        <w:tc>
          <w:tcPr>
            <w:tcW w:w="180" w:type="dxa"/>
            <w:vAlign w:val="bottom"/>
            <w:tcBorders>
              <w:top w:val="single" w:sz="8" w:color="D7282F"/>
              <w:bottom w:val="single" w:sz="8" w:color="D7282F"/>
            </w:tcBorders>
          </w:tcPr>
          <w:p>
            <w:pPr>
              <w:spacing w:after="0"/>
              <w:rPr>
                <w:sz w:val="17"/>
                <w:szCs w:val="17"/>
                <w:color w:val="auto"/>
              </w:rPr>
            </w:pPr>
          </w:p>
        </w:tc>
        <w:tc>
          <w:tcPr>
            <w:tcW w:w="780" w:type="dxa"/>
            <w:vAlign w:val="bottom"/>
            <w:tcBorders>
              <w:top w:val="single" w:sz="8" w:color="D7282F"/>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2025</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Company funded research and development expenses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492</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416</w:t>
            </w:r>
          </w:p>
        </w:tc>
      </w:tr>
      <w:tr>
        <w:trPr>
          <w:trHeight w:val="200"/>
        </w:trPr>
        <w:tc>
          <w:tcPr>
            <w:tcW w:w="9280" w:type="dxa"/>
            <w:vAlign w:val="bottom"/>
            <w:tcBorders>
              <w:bottom w:val="single" w:sz="8" w:color="D7282F"/>
            </w:tcBorders>
          </w:tcPr>
          <w:p>
            <w:pPr>
              <w:ind w:left="20"/>
              <w:spacing w:after="0" w:line="200" w:lineRule="exact"/>
              <w:rPr>
                <w:sz w:val="20"/>
                <w:szCs w:val="20"/>
                <w:color w:val="auto"/>
              </w:rPr>
            </w:pPr>
            <w:r>
              <w:rPr>
                <w:rFonts w:ascii="Arial" w:cs="Arial" w:eastAsia="Arial" w:hAnsi="Arial"/>
                <w:sz w:val="14"/>
                <w:szCs w:val="14"/>
                <w:color w:val="auto"/>
              </w:rPr>
              <w:t>Customer-sponsored research and development</w:t>
            </w:r>
            <w:r>
              <w:rPr>
                <w:rFonts w:ascii="Arial" w:cs="Arial" w:eastAsia="Arial" w:hAnsi="Arial"/>
                <w:sz w:val="18"/>
                <w:szCs w:val="18"/>
                <w:color w:val="auto"/>
                <w:vertAlign w:val="superscript"/>
              </w:rPr>
              <w:t>1</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266</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267</w:t>
            </w:r>
          </w:p>
        </w:tc>
      </w:tr>
      <w:tr>
        <w:trPr>
          <w:trHeight w:val="195"/>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research and development costs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758</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683</w:t>
            </w:r>
          </w:p>
        </w:tc>
      </w:tr>
    </w:tbl>
    <w:p>
      <w:pPr>
        <w:spacing w:after="0" w:line="117" w:lineRule="exact"/>
        <w:rPr>
          <w:sz w:val="20"/>
          <w:szCs w:val="20"/>
          <w:color w:val="auto"/>
        </w:rPr>
      </w:pPr>
    </w:p>
    <w:p>
      <w:pPr>
        <w:ind w:left="360" w:right="60" w:hanging="334"/>
        <w:spacing w:after="0" w:line="264" w:lineRule="auto"/>
        <w:tabs>
          <w:tab w:leader="none" w:pos="3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Includes deferred customer funded nonrecurring engineering and development activities and expenditures on customer programs with a significant engineering performance obligation, included in Cost of products and services sold in the Consolidated Statement of Operations.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1431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003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2026 compared with Q1 2025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were flat compared to the same period in 2025.</w:t>
      </w:r>
    </w:p>
    <w:p>
      <w:pPr>
        <w:spacing w:after="0" w:line="200" w:lineRule="exact"/>
        <w:rPr>
          <w:sz w:val="20"/>
          <w:szCs w:val="20"/>
          <w:color w:val="auto"/>
        </w:rPr>
      </w:pPr>
    </w:p>
    <w:p>
      <w:pPr>
        <w:spacing w:after="0" w:line="250" w:lineRule="exact"/>
        <w:rPr>
          <w:sz w:val="20"/>
          <w:szCs w:val="20"/>
          <w:color w:val="auto"/>
        </w:rPr>
      </w:pPr>
    </w:p>
    <w:p>
      <w:pPr>
        <w:ind w:left="400" w:hanging="392"/>
        <w:spacing w:after="0"/>
        <w:tabs>
          <w:tab w:leader="none" w:pos="400" w:val="left"/>
        </w:tabs>
        <w:numPr>
          <w:ilvl w:val="0"/>
          <w:numId w:val="4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Assets Held for Sale</w:t>
      </w:r>
    </w:p>
    <w:p>
      <w:pPr>
        <w:spacing w:after="0" w:line="158"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6350</wp:posOffset>
            </wp:positionV>
            <wp:extent cx="12433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8" w:lineRule="exact"/>
        <w:rPr>
          <w:sz w:val="20"/>
          <w:szCs w:val="20"/>
          <w:color w:val="auto"/>
        </w:rPr>
      </w:pPr>
    </w:p>
    <w:p>
      <w:pPr>
        <w:ind w:left="9560"/>
        <w:spacing w:after="0"/>
        <w:tabs>
          <w:tab w:leader="none" w:pos="1062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9280" w:val="left"/>
          <w:tab w:leader="none" w:pos="9820" w:val="left"/>
          <w:tab w:leader="none" w:pos="10380" w:val="left"/>
          <w:tab w:leader="none" w:pos="11000" w:val="left"/>
        </w:tabs>
        <w:rPr>
          <w:sz w:val="20"/>
          <w:szCs w:val="20"/>
          <w:color w:val="auto"/>
        </w:rPr>
      </w:pPr>
      <w:r>
        <w:rPr>
          <w:rFonts w:ascii="Arial" w:cs="Arial" w:eastAsia="Arial" w:hAnsi="Arial"/>
          <w:sz w:val="14"/>
          <w:szCs w:val="14"/>
          <w:color w:val="auto"/>
        </w:rPr>
        <w:t>Impairment of assets held for sale</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263</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2026 compared with Q1 2025</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Impairment of assets held for sale increased due to an impairment charge recorded on the assets held for sale related to the Productivity Solutions and Services and Warehouse and Workflow Solutions businesses for the three months ended March 31, 2026.</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Loss on Debt Extinguishment</w:t>
      </w:r>
    </w:p>
    <w:p>
      <w:pPr>
        <w:spacing w:after="0" w:line="160"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Three Months Ended March</w:t>
      </w:r>
    </w:p>
    <w:p>
      <w:pPr>
        <w:jc w:val="center"/>
        <w:ind w:left="928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14605</wp:posOffset>
            </wp:positionV>
            <wp:extent cx="12433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21" w:lineRule="exact"/>
        <w:rPr>
          <w:sz w:val="20"/>
          <w:szCs w:val="20"/>
          <w:color w:val="auto"/>
        </w:rPr>
      </w:pPr>
    </w:p>
    <w:p>
      <w:pPr>
        <w:ind w:left="9560"/>
        <w:spacing w:after="0"/>
        <w:tabs>
          <w:tab w:leader="none" w:pos="1062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9280" w:val="left"/>
          <w:tab w:leader="none" w:pos="9820" w:val="left"/>
          <w:tab w:leader="none" w:pos="10380" w:val="left"/>
          <w:tab w:leader="none" w:pos="11000" w:val="left"/>
        </w:tabs>
        <w:rPr>
          <w:sz w:val="20"/>
          <w:szCs w:val="20"/>
          <w:color w:val="auto"/>
        </w:rPr>
      </w:pPr>
      <w:r>
        <w:rPr>
          <w:rFonts w:ascii="Arial" w:cs="Arial" w:eastAsia="Arial" w:hAnsi="Arial"/>
          <w:sz w:val="14"/>
          <w:szCs w:val="14"/>
          <w:color w:val="auto"/>
        </w:rPr>
        <w:t>Loss on debt extinguishment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239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2026 compared with Q1 2025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Loss on debt extinguishment in the three months ended March 31, 2026 was due to the debt tender offers and redemptions.</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w:t>
      </w:r>
    </w:p>
    <w:p>
      <w:pPr>
        <w:spacing w:after="0" w:line="158"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6350</wp:posOffset>
            </wp:positionV>
            <wp:extent cx="12433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8" w:lineRule="exact"/>
        <w:rPr>
          <w:sz w:val="20"/>
          <w:szCs w:val="20"/>
          <w:color w:val="auto"/>
        </w:rPr>
      </w:pPr>
    </w:p>
    <w:p>
      <w:pPr>
        <w:ind w:left="9560"/>
        <w:spacing w:after="0"/>
        <w:tabs>
          <w:tab w:leader="none" w:pos="1062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9280" w:val="left"/>
          <w:tab w:leader="none" w:pos="9920" w:val="left"/>
          <w:tab w:leader="none" w:pos="10380" w:val="left"/>
          <w:tab w:leader="none" w:pos="10860" w:val="left"/>
        </w:tabs>
        <w:rPr>
          <w:sz w:val="20"/>
          <w:szCs w:val="20"/>
          <w:color w:val="auto"/>
        </w:rPr>
      </w:pPr>
      <w:r>
        <w:rPr>
          <w:rFonts w:ascii="Arial" w:cs="Arial" w:eastAsia="Arial" w:hAnsi="Arial"/>
          <w:sz w:val="14"/>
          <w:szCs w:val="14"/>
          <w:color w:val="auto"/>
        </w:rPr>
        <w:t>Other (income) expense</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2026 compared with Q1 2025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 income decreased due to higher divestiture-related costs related to the anticipated spin-off of the Aerospace business.</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and Other Financial Charges</w:t>
      </w:r>
    </w:p>
    <w:p>
      <w:pPr>
        <w:spacing w:after="0" w:line="158"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6350</wp:posOffset>
            </wp:positionV>
            <wp:extent cx="12433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8" w:lineRule="exact"/>
        <w:rPr>
          <w:sz w:val="20"/>
          <w:szCs w:val="20"/>
          <w:color w:val="auto"/>
        </w:rPr>
      </w:pPr>
    </w:p>
    <w:p>
      <w:pPr>
        <w:ind w:left="9560"/>
        <w:spacing w:after="0"/>
        <w:tabs>
          <w:tab w:leader="none" w:pos="1062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9280" w:val="left"/>
          <w:tab w:leader="none" w:pos="9820" w:val="left"/>
          <w:tab w:leader="none" w:pos="10380" w:val="left"/>
          <w:tab w:leader="none" w:pos="10920" w:val="left"/>
        </w:tabs>
        <w:rPr>
          <w:sz w:val="20"/>
          <w:szCs w:val="20"/>
          <w:color w:val="auto"/>
        </w:rPr>
      </w:pPr>
      <w:r>
        <w:rPr>
          <w:rFonts w:ascii="Arial" w:cs="Arial" w:eastAsia="Arial" w:hAnsi="Arial"/>
          <w:sz w:val="14"/>
          <w:szCs w:val="14"/>
          <w:color w:val="auto"/>
        </w:rPr>
        <w:t>Interest and other financial charges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356</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2026 compared with Q1 2025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Interest and other financial charges increased due to the pre-separation debt financing in advance of the anticipated spin-off of the Aerospace business.</w:t>
      </w:r>
    </w:p>
    <w:p>
      <w:pPr>
        <w:spacing w:after="0" w:line="200" w:lineRule="exact"/>
        <w:rPr>
          <w:sz w:val="20"/>
          <w:szCs w:val="20"/>
          <w:color w:val="auto"/>
        </w:rPr>
      </w:pPr>
    </w:p>
    <w:p>
      <w:pPr>
        <w:spacing w:after="0" w:line="250"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134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00375"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2026 compared with Q1 2025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decreased 1,190 basis-points due to the following:</w:t>
      </w:r>
    </w:p>
    <w:p>
      <w:pPr>
        <w:spacing w:after="0" w:line="122" w:lineRule="exact"/>
        <w:rPr>
          <w:sz w:val="20"/>
          <w:szCs w:val="20"/>
          <w:color w:val="auto"/>
        </w:rPr>
      </w:pPr>
    </w:p>
    <w:p>
      <w:pPr>
        <w:ind w:left="200" w:hanging="147"/>
        <w:spacing w:after="0"/>
        <w:tabs>
          <w:tab w:leader="none" w:pos="200" w:val="left"/>
        </w:tabs>
        <w:numPr>
          <w:ilvl w:val="0"/>
          <w:numId w:val="47"/>
        </w:numPr>
        <w:rPr>
          <w:rFonts w:ascii="Arial" w:cs="Arial" w:eastAsia="Arial" w:hAnsi="Arial"/>
          <w:sz w:val="20"/>
          <w:szCs w:val="20"/>
          <w:color w:val="D7282F"/>
        </w:rPr>
      </w:pPr>
      <w:r>
        <w:rPr>
          <w:rFonts w:ascii="Arial" w:cs="Arial" w:eastAsia="Arial" w:hAnsi="Arial"/>
          <w:sz w:val="16"/>
          <w:szCs w:val="16"/>
          <w:color w:val="auto"/>
        </w:rPr>
        <w:t>Change in estimate of reduced frictional tax on the spin-off of the Advanced Materials business of 1,130 basis points and</w:t>
      </w:r>
    </w:p>
    <w:p>
      <w:pPr>
        <w:spacing w:after="0" w:line="12" w:lineRule="exact"/>
        <w:rPr>
          <w:rFonts w:ascii="Arial" w:cs="Arial" w:eastAsia="Arial" w:hAnsi="Arial"/>
          <w:sz w:val="20"/>
          <w:szCs w:val="20"/>
          <w:color w:val="D7282F"/>
        </w:rPr>
      </w:pPr>
    </w:p>
    <w:p>
      <w:pPr>
        <w:ind w:left="200" w:hanging="147"/>
        <w:spacing w:after="0" w:line="226" w:lineRule="auto"/>
        <w:tabs>
          <w:tab w:leader="none" w:pos="200" w:val="left"/>
        </w:tabs>
        <w:numPr>
          <w:ilvl w:val="0"/>
          <w:numId w:val="47"/>
        </w:numPr>
        <w:rPr>
          <w:rFonts w:ascii="Arial" w:cs="Arial" w:eastAsia="Arial" w:hAnsi="Arial"/>
          <w:sz w:val="20"/>
          <w:szCs w:val="20"/>
          <w:color w:val="D7282F"/>
        </w:rPr>
      </w:pPr>
      <w:r>
        <w:rPr>
          <w:rFonts w:ascii="Arial" w:cs="Arial" w:eastAsia="Arial" w:hAnsi="Arial"/>
          <w:sz w:val="16"/>
          <w:szCs w:val="16"/>
          <w:color w:val="auto"/>
        </w:rPr>
        <w:t>Changes in estimate on prior tax positions of 460 basis points,</w:t>
      </w:r>
    </w:p>
    <w:p>
      <w:pPr>
        <w:spacing w:after="0" w:line="13" w:lineRule="exact"/>
        <w:rPr>
          <w:rFonts w:ascii="Arial" w:cs="Arial" w:eastAsia="Arial" w:hAnsi="Arial"/>
          <w:sz w:val="20"/>
          <w:szCs w:val="20"/>
          <w:color w:val="D7282F"/>
        </w:rPr>
      </w:pPr>
    </w:p>
    <w:p>
      <w:pPr>
        <w:ind w:left="200" w:hanging="147"/>
        <w:spacing w:after="0"/>
        <w:tabs>
          <w:tab w:leader="none" w:pos="200" w:val="left"/>
        </w:tabs>
        <w:numPr>
          <w:ilvl w:val="0"/>
          <w:numId w:val="47"/>
        </w:numPr>
        <w:rPr>
          <w:rFonts w:ascii="Arial" w:cs="Arial" w:eastAsia="Arial" w:hAnsi="Arial"/>
          <w:sz w:val="20"/>
          <w:szCs w:val="20"/>
          <w:color w:val="D7282F"/>
        </w:rPr>
      </w:pPr>
      <w:r>
        <w:rPr>
          <w:rFonts w:ascii="Arial" w:cs="Arial" w:eastAsia="Arial" w:hAnsi="Arial"/>
          <w:sz w:val="16"/>
          <w:szCs w:val="16"/>
          <w:color w:val="auto"/>
        </w:rPr>
        <w:t>Partially offset by incremental tax expense for tax reserve activities of 480 basis points.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1431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003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2026 compared to Q1 2025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stock–assuming dilution decreased due to the following:</w:t>
      </w:r>
    </w:p>
    <w:p>
      <w:pPr>
        <w:spacing w:after="0" w:line="111" w:lineRule="exact"/>
        <w:rPr>
          <w:sz w:val="20"/>
          <w:szCs w:val="20"/>
          <w:color w:val="auto"/>
        </w:rPr>
      </w:pPr>
    </w:p>
    <w:p>
      <w:pPr>
        <w:ind w:left="200" w:hanging="192"/>
        <w:spacing w:after="0"/>
        <w:tabs>
          <w:tab w:leader="none" w:pos="200" w:val="left"/>
        </w:tabs>
        <w:numPr>
          <w:ilvl w:val="0"/>
          <w:numId w:val="48"/>
        </w:numPr>
        <w:rPr>
          <w:rFonts w:ascii="Arial" w:cs="Arial" w:eastAsia="Arial" w:hAnsi="Arial"/>
          <w:sz w:val="16"/>
          <w:szCs w:val="16"/>
          <w:color w:val="D7282F"/>
        </w:rPr>
      </w:pPr>
      <w:r>
        <w:rPr>
          <w:rFonts w:ascii="Arial" w:cs="Arial" w:eastAsia="Arial" w:hAnsi="Arial"/>
          <w:sz w:val="16"/>
          <w:szCs w:val="16"/>
          <w:color w:val="auto"/>
        </w:rPr>
        <w:t>Loss on debt extinguishment and debt restructuring costs ($0.35 after tax),</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48"/>
        </w:numPr>
        <w:rPr>
          <w:rFonts w:ascii="Arial" w:cs="Arial" w:eastAsia="Arial" w:hAnsi="Arial"/>
          <w:sz w:val="16"/>
          <w:szCs w:val="16"/>
          <w:color w:val="D7282F"/>
        </w:rPr>
      </w:pPr>
      <w:r>
        <w:rPr>
          <w:rFonts w:ascii="Arial" w:cs="Arial" w:eastAsia="Arial" w:hAnsi="Arial"/>
          <w:sz w:val="16"/>
          <w:szCs w:val="16"/>
          <w:color w:val="auto"/>
        </w:rPr>
        <w:t>Impairment of assets held for sale ($0.28 after tax),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8"/>
        </w:numPr>
        <w:rPr>
          <w:rFonts w:ascii="Arial" w:cs="Arial" w:eastAsia="Arial" w:hAnsi="Arial"/>
          <w:sz w:val="16"/>
          <w:szCs w:val="16"/>
          <w:color w:val="D7282F"/>
        </w:rPr>
      </w:pPr>
      <w:r>
        <w:rPr>
          <w:rFonts w:ascii="Arial" w:cs="Arial" w:eastAsia="Arial" w:hAnsi="Arial"/>
          <w:sz w:val="16"/>
          <w:szCs w:val="16"/>
          <w:color w:val="auto"/>
        </w:rPr>
        <w:t>Higher divestiture-related costs ($0.28 after tax),</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8"/>
        </w:numPr>
        <w:rPr>
          <w:rFonts w:ascii="Arial" w:cs="Arial" w:eastAsia="Arial" w:hAnsi="Arial"/>
          <w:sz w:val="16"/>
          <w:szCs w:val="16"/>
          <w:color w:val="D7282F"/>
        </w:rPr>
      </w:pPr>
      <w:r>
        <w:rPr>
          <w:rFonts w:ascii="Arial" w:cs="Arial" w:eastAsia="Arial" w:hAnsi="Arial"/>
          <w:sz w:val="16"/>
          <w:szCs w:val="16"/>
          <w:color w:val="auto"/>
        </w:rPr>
        <w:t>Partially offset by higher segment profit ($0.15 after tax).</w:t>
      </w:r>
    </w:p>
    <w:p>
      <w:pPr>
        <w:spacing w:after="0" w:line="200" w:lineRule="exact"/>
        <w:rPr>
          <w:sz w:val="20"/>
          <w:szCs w:val="20"/>
          <w:color w:val="auto"/>
        </w:rPr>
      </w:pPr>
    </w:p>
    <w:p>
      <w:pPr>
        <w:spacing w:after="0" w:line="225" w:lineRule="exact"/>
        <w:rPr>
          <w:sz w:val="20"/>
          <w:szCs w:val="20"/>
          <w:color w:val="auto"/>
        </w:rPr>
      </w:pPr>
    </w:p>
    <w:p>
      <w:pPr>
        <w:ind w:left="400" w:hanging="392"/>
        <w:spacing w:after="0"/>
        <w:tabs>
          <w:tab w:leader="none" w:pos="400" w:val="left"/>
        </w:tabs>
        <w:numPr>
          <w:ilvl w:val="0"/>
          <w:numId w:val="4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9"/>
          <w:szCs w:val="29"/>
          <w:color w:val="D7282F"/>
        </w:rPr>
        <w:t>BACKLOG</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Our backlog of orders increased 15% to $38.3 billion, as of March 31, 2026, compared to March 31, 2025. Backlog represents the estimated remaining value of work to be performed or products to be shipped under firm contracts. Backlog is equal to our remaining performance obligations under the contracts that meet the guidance on revenue from contracts with customers as discussed in Note 4 </w:t>
      </w:r>
      <w:r>
        <w:rPr>
          <w:rFonts w:ascii="Arial" w:cs="Arial" w:eastAsia="Arial" w:hAnsi="Arial"/>
          <w:sz w:val="16"/>
          <w:szCs w:val="16"/>
          <w:u w:val="single" w:color="auto"/>
          <w:color w:val="0000FF"/>
        </w:rPr>
        <w:t>Revenue Recognition and Contracts with Customers</w:t>
      </w:r>
      <w:r>
        <w:rPr>
          <w:rFonts w:ascii="Arial" w:cs="Arial" w:eastAsia="Arial" w:hAnsi="Arial"/>
          <w:sz w:val="16"/>
          <w:szCs w:val="16"/>
          <w:color w:val="auto"/>
        </w:rPr>
        <w:t xml:space="preserve"> of Notes to Consolidated Financial Statements. Our backlog by reportable business segment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680" w:type="dxa"/>
            <w:vAlign w:val="bottom"/>
          </w:tcPr>
          <w:p>
            <w:pPr>
              <w:jc w:val="right"/>
              <w:ind w:right="388"/>
              <w:spacing w:after="0"/>
              <w:rPr>
                <w:sz w:val="20"/>
                <w:szCs w:val="20"/>
                <w:color w:val="auto"/>
              </w:rPr>
            </w:pPr>
            <w:r>
              <w:rPr>
                <w:rFonts w:ascii="Arial" w:cs="Arial" w:eastAsia="Arial" w:hAnsi="Arial"/>
                <w:sz w:val="14"/>
                <w:szCs w:val="14"/>
                <w:b w:val="1"/>
                <w:bCs w:val="1"/>
                <w:color w:val="auto"/>
              </w:rPr>
              <w:t>March 31, 2026</w:t>
            </w:r>
          </w:p>
        </w:tc>
      </w:tr>
      <w:tr>
        <w:trPr>
          <w:trHeight w:val="56"/>
        </w:trPr>
        <w:tc>
          <w:tcPr>
            <w:tcW w:w="5840" w:type="dxa"/>
            <w:vAlign w:val="bottom"/>
            <w:tcBorders>
              <w:bottom w:val="single" w:sz="8" w:color="D7282F"/>
            </w:tcBorders>
          </w:tcPr>
          <w:p>
            <w:pPr>
              <w:spacing w:after="0"/>
              <w:rPr>
                <w:sz w:val="4"/>
                <w:szCs w:val="4"/>
                <w:color w:val="auto"/>
              </w:rPr>
            </w:pPr>
          </w:p>
        </w:tc>
        <w:tc>
          <w:tcPr>
            <w:tcW w:w="3720" w:type="dxa"/>
            <w:vAlign w:val="bottom"/>
            <w:tcBorders>
              <w:bottom w:val="single" w:sz="8" w:color="D7282F"/>
            </w:tcBorders>
          </w:tcPr>
          <w:p>
            <w:pPr>
              <w:spacing w:after="0"/>
              <w:rPr>
                <w:sz w:val="4"/>
                <w:szCs w:val="4"/>
                <w:color w:val="auto"/>
              </w:rPr>
            </w:pPr>
          </w:p>
        </w:tc>
        <w:tc>
          <w:tcPr>
            <w:tcW w:w="1680" w:type="dxa"/>
            <w:vAlign w:val="bottom"/>
            <w:tcBorders>
              <w:bottom w:val="single" w:sz="8" w:color="D7282F"/>
            </w:tcBorders>
          </w:tcPr>
          <w:p>
            <w:pPr>
              <w:spacing w:after="0"/>
              <w:rPr>
                <w:sz w:val="4"/>
                <w:szCs w:val="4"/>
                <w:color w:val="auto"/>
              </w:rPr>
            </w:pPr>
          </w:p>
        </w:tc>
      </w:tr>
      <w:tr>
        <w:trPr>
          <w:trHeight w:val="192"/>
        </w:trPr>
        <w:tc>
          <w:tcPr>
            <w:tcW w:w="5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Aerospace Technologies</w:t>
            </w:r>
          </w:p>
        </w:tc>
        <w:tc>
          <w:tcPr>
            <w:tcW w:w="3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18,822</w:t>
            </w:r>
          </w:p>
        </w:tc>
      </w:tr>
      <w:tr>
        <w:trPr>
          <w:trHeight w:val="196"/>
        </w:trPr>
        <w:tc>
          <w:tcPr>
            <w:tcW w:w="5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Building Automation</w:t>
            </w:r>
          </w:p>
        </w:tc>
        <w:tc>
          <w:tcPr>
            <w:tcW w:w="3720" w:type="dxa"/>
            <w:vAlign w:val="bottom"/>
            <w:tcBorders>
              <w:bottom w:val="single" w:sz="8" w:color="61656A"/>
            </w:tcBorders>
          </w:tcPr>
          <w:p>
            <w:pPr>
              <w:spacing w:after="0"/>
              <w:rPr>
                <w:sz w:val="17"/>
                <w:szCs w:val="17"/>
                <w:color w:val="auto"/>
              </w:rPr>
            </w:pPr>
          </w:p>
        </w:tc>
        <w:tc>
          <w:tcPr>
            <w:tcW w:w="1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9,255</w:t>
            </w:r>
          </w:p>
        </w:tc>
      </w:tr>
      <w:tr>
        <w:trPr>
          <w:trHeight w:val="196"/>
        </w:trPr>
        <w:tc>
          <w:tcPr>
            <w:tcW w:w="5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Process Automation and Technology</w:t>
            </w:r>
          </w:p>
        </w:tc>
        <w:tc>
          <w:tcPr>
            <w:tcW w:w="3720" w:type="dxa"/>
            <w:vAlign w:val="bottom"/>
            <w:tcBorders>
              <w:bottom w:val="single" w:sz="8" w:color="61656A"/>
            </w:tcBorders>
          </w:tcPr>
          <w:p>
            <w:pPr>
              <w:spacing w:after="0"/>
              <w:rPr>
                <w:sz w:val="17"/>
                <w:szCs w:val="17"/>
                <w:color w:val="auto"/>
              </w:rPr>
            </w:pPr>
          </w:p>
        </w:tc>
        <w:tc>
          <w:tcPr>
            <w:tcW w:w="1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7,437</w:t>
            </w:r>
          </w:p>
        </w:tc>
      </w:tr>
      <w:tr>
        <w:trPr>
          <w:trHeight w:val="196"/>
        </w:trPr>
        <w:tc>
          <w:tcPr>
            <w:tcW w:w="5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Automation</w:t>
            </w:r>
          </w:p>
        </w:tc>
        <w:tc>
          <w:tcPr>
            <w:tcW w:w="3720" w:type="dxa"/>
            <w:vAlign w:val="bottom"/>
            <w:tcBorders>
              <w:bottom w:val="single" w:sz="8" w:color="61656A"/>
            </w:tcBorders>
          </w:tcPr>
          <w:p>
            <w:pPr>
              <w:spacing w:after="0"/>
              <w:rPr>
                <w:sz w:val="17"/>
                <w:szCs w:val="17"/>
                <w:color w:val="auto"/>
              </w:rPr>
            </w:pPr>
          </w:p>
        </w:tc>
        <w:tc>
          <w:tcPr>
            <w:tcW w:w="1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2,667</w:t>
            </w:r>
          </w:p>
        </w:tc>
      </w:tr>
      <w:tr>
        <w:trPr>
          <w:trHeight w:val="196"/>
        </w:trPr>
        <w:tc>
          <w:tcPr>
            <w:tcW w:w="58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r>
              <w:rPr>
                <w:rFonts w:ascii="Arial" w:cs="Arial" w:eastAsia="Arial" w:hAnsi="Arial"/>
                <w:sz w:val="9"/>
                <w:szCs w:val="9"/>
                <w:color w:val="auto"/>
              </w:rPr>
              <w:t>1</w:t>
            </w:r>
          </w:p>
        </w:tc>
        <w:tc>
          <w:tcPr>
            <w:tcW w:w="3720" w:type="dxa"/>
            <w:vAlign w:val="bottom"/>
            <w:tcBorders>
              <w:bottom w:val="single" w:sz="8" w:color="D7282F"/>
            </w:tcBorders>
          </w:tcPr>
          <w:p>
            <w:pPr>
              <w:spacing w:after="0"/>
              <w:rPr>
                <w:sz w:val="17"/>
                <w:szCs w:val="17"/>
                <w:color w:val="auto"/>
              </w:rPr>
            </w:pPr>
          </w:p>
        </w:tc>
        <w:tc>
          <w:tcPr>
            <w:tcW w:w="1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81</w:t>
            </w:r>
          </w:p>
        </w:tc>
      </w:tr>
      <w:tr>
        <w:trPr>
          <w:trHeight w:val="199"/>
        </w:trPr>
        <w:tc>
          <w:tcPr>
            <w:tcW w:w="58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backlog</w:t>
            </w:r>
          </w:p>
        </w:tc>
        <w:tc>
          <w:tcPr>
            <w:tcW w:w="3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38,262</w:t>
            </w:r>
          </w:p>
        </w:tc>
      </w:tr>
    </w:tbl>
    <w:p>
      <w:pPr>
        <w:spacing w:after="0" w:line="198" w:lineRule="exact"/>
        <w:rPr>
          <w:sz w:val="20"/>
          <w:szCs w:val="20"/>
          <w:color w:val="auto"/>
        </w:rPr>
      </w:pPr>
    </w:p>
    <w:p>
      <w:pPr>
        <w:ind w:left="480" w:hanging="344"/>
        <w:spacing w:after="0"/>
        <w:tabs>
          <w:tab w:leader="none" w:pos="4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backlog within Corporate and All Other relates to the Quantinuum business.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hanging="392"/>
        <w:spacing w:after="0"/>
        <w:tabs>
          <w:tab w:leader="none" w:pos="400" w:val="left"/>
        </w:tabs>
        <w:numPr>
          <w:ilvl w:val="0"/>
          <w:numId w:val="5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REVIEW OF BUSINESS SEGMENTS</w:t>
      </w: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During the first quarter of 2026, the Company realigned certain of its business units as reflected in Note 18 Segment Financial Data, which impacts the composition of its reportable segments. The Company recast historical periods to reflect this change in segment presentation. See Note 18 </w:t>
      </w:r>
      <w:r>
        <w:rPr>
          <w:rFonts w:ascii="Arial" w:cs="Arial" w:eastAsia="Arial" w:hAnsi="Arial"/>
          <w:sz w:val="16"/>
          <w:szCs w:val="16"/>
          <w:u w:val="single" w:color="auto"/>
          <w:color w:val="0000FF"/>
        </w:rPr>
        <w:t>Segment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Financial Data</w:t>
      </w:r>
      <w:r>
        <w:rPr>
          <w:rFonts w:ascii="Arial" w:cs="Arial" w:eastAsia="Arial" w:hAnsi="Arial"/>
          <w:sz w:val="16"/>
          <w:szCs w:val="16"/>
          <w:color w:val="0000FF"/>
        </w:rPr>
        <w:t xml:space="preserve"> </w:t>
      </w:r>
      <w:r>
        <w:rPr>
          <w:rFonts w:ascii="Arial" w:cs="Arial" w:eastAsia="Arial" w:hAnsi="Arial"/>
          <w:sz w:val="16"/>
          <w:szCs w:val="16"/>
          <w:color w:val="000000"/>
        </w:rPr>
        <w:t>to Notes to Consolidated Financial Statements for further discussion.</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globally manage our business operations through four reportable business segments: Aerospace Technologies, Building Automation, Process Automation and Technology, and Industrial Automation,</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AEROSPACE TECHNOLOGIES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5717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0003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6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w w:val="99"/>
              </w:rPr>
              <w:t>March 31,</w:t>
            </w:r>
          </w:p>
        </w:tc>
        <w:tc>
          <w:tcPr>
            <w:tcW w:w="72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2026</w:t>
            </w:r>
          </w:p>
        </w:tc>
        <w:tc>
          <w:tcPr>
            <w:tcW w:w="400" w:type="dxa"/>
            <w:vAlign w:val="bottom"/>
          </w:tcPr>
          <w:p>
            <w:pPr>
              <w:spacing w:after="0"/>
              <w:rPr>
                <w:sz w:val="12"/>
                <w:szCs w:val="12"/>
                <w:color w:val="auto"/>
              </w:rPr>
            </w:pPr>
          </w:p>
        </w:tc>
        <w:tc>
          <w:tcPr>
            <w:tcW w:w="106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2025</w:t>
            </w:r>
          </w:p>
        </w:tc>
        <w:tc>
          <w:tcPr>
            <w:tcW w:w="72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836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vMerge w:val="continue"/>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4,322</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4,172</w:t>
            </w: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2,675</w:t>
            </w:r>
          </w:p>
        </w:tc>
        <w:tc>
          <w:tcPr>
            <w:tcW w:w="40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2,592</w:t>
            </w:r>
          </w:p>
        </w:tc>
        <w:tc>
          <w:tcPr>
            <w:tcW w:w="7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503</w:t>
            </w:r>
          </w:p>
        </w:tc>
        <w:tc>
          <w:tcPr>
            <w:tcW w:w="40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481</w:t>
            </w:r>
          </w:p>
        </w:tc>
        <w:tc>
          <w:tcPr>
            <w:tcW w:w="7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1,144</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1,099</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43</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40" w:type="dxa"/>
            <w:vAlign w:val="bottom"/>
          </w:tcPr>
          <w:p>
            <w:pPr>
              <w:spacing w:after="0"/>
              <w:rPr>
                <w:sz w:val="17"/>
                <w:szCs w:val="17"/>
                <w:color w:val="auto"/>
              </w:rPr>
            </w:pPr>
          </w:p>
        </w:tc>
        <w:tc>
          <w:tcPr>
            <w:tcW w:w="220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2026 vs. 2025</w:t>
            </w:r>
          </w:p>
        </w:tc>
        <w:tc>
          <w:tcPr>
            <w:tcW w:w="0" w:type="dxa"/>
            <w:vAlign w:val="bottom"/>
          </w:tcPr>
          <w:p>
            <w:pPr>
              <w:spacing w:after="0"/>
              <w:rPr>
                <w:sz w:val="1"/>
                <w:szCs w:val="1"/>
                <w:color w:val="auto"/>
              </w:rPr>
            </w:pPr>
          </w:p>
        </w:tc>
      </w:tr>
      <w:tr>
        <w:trPr>
          <w:trHeight w:val="147"/>
        </w:trPr>
        <w:tc>
          <w:tcPr>
            <w:tcW w:w="9040" w:type="dxa"/>
            <w:vAlign w:val="bottom"/>
          </w:tcPr>
          <w:p>
            <w:pPr>
              <w:spacing w:after="0"/>
              <w:rPr>
                <w:sz w:val="12"/>
                <w:szCs w:val="12"/>
                <w:color w:val="auto"/>
              </w:rPr>
            </w:pPr>
          </w:p>
        </w:tc>
        <w:tc>
          <w:tcPr>
            <w:tcW w:w="22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9040" w:type="dxa"/>
            <w:vAlign w:val="bottom"/>
          </w:tcPr>
          <w:p>
            <w:pPr>
              <w:spacing w:after="0"/>
              <w:rPr>
                <w:sz w:val="16"/>
                <w:szCs w:val="16"/>
                <w:color w:val="auto"/>
              </w:rPr>
            </w:pPr>
          </w:p>
        </w:tc>
        <w:tc>
          <w:tcPr>
            <w:tcW w:w="220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6"/>
        </w:trPr>
        <w:tc>
          <w:tcPr>
            <w:tcW w:w="9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80" w:type="dxa"/>
            <w:vAlign w:val="bottom"/>
          </w:tcPr>
          <w:p>
            <w:pPr>
              <w:jc w:val="right"/>
              <w:ind w:right="508"/>
              <w:spacing w:after="0" w:line="147" w:lineRule="exact"/>
              <w:rPr>
                <w:sz w:val="20"/>
                <w:szCs w:val="20"/>
                <w:color w:val="auto"/>
              </w:rPr>
            </w:pPr>
            <w:r>
              <w:rPr>
                <w:rFonts w:ascii="Arial" w:cs="Arial" w:eastAsia="Arial" w:hAnsi="Arial"/>
                <w:sz w:val="14"/>
                <w:szCs w:val="14"/>
                <w:b w:val="1"/>
                <w:bCs w:val="1"/>
                <w:color w:val="auto"/>
              </w:rPr>
              <w:t>Net</w:t>
            </w:r>
          </w:p>
        </w:tc>
        <w:tc>
          <w:tcPr>
            <w:tcW w:w="1020" w:type="dxa"/>
            <w:vAlign w:val="bottom"/>
          </w:tcPr>
          <w:p>
            <w:pPr>
              <w:jc w:val="right"/>
              <w:ind w:right="10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9040" w:type="dxa"/>
            <w:vAlign w:val="bottom"/>
            <w:tcBorders>
              <w:bottom w:val="single" w:sz="8" w:color="D7282F"/>
            </w:tcBorders>
            <w:vMerge w:val="continue"/>
          </w:tcPr>
          <w:p>
            <w:pPr>
              <w:spacing w:after="0"/>
              <w:rPr>
                <w:sz w:val="16"/>
                <w:szCs w:val="16"/>
                <w:color w:val="auto"/>
              </w:rPr>
            </w:pPr>
          </w:p>
        </w:tc>
        <w:tc>
          <w:tcPr>
            <w:tcW w:w="118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Sales</w:t>
            </w:r>
          </w:p>
        </w:tc>
        <w:tc>
          <w:tcPr>
            <w:tcW w:w="10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5"/>
        </w:trPr>
        <w:tc>
          <w:tcPr>
            <w:tcW w:w="90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Reported percent change</w:t>
            </w:r>
          </w:p>
        </w:tc>
        <w:tc>
          <w:tcPr>
            <w:tcW w:w="11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4 %</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93"/>
        </w:trPr>
        <w:tc>
          <w:tcPr>
            <w:tcW w:w="90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Impact of divestitures to the prior period</w:t>
            </w:r>
          </w:p>
        </w:tc>
        <w:tc>
          <w:tcPr>
            <w:tcW w:w="11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90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Reported percent change, adjusted for impact of divestitures</w:t>
            </w:r>
          </w:p>
        </w:tc>
        <w:tc>
          <w:tcPr>
            <w:tcW w:w="11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4 %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4 %</w:t>
            </w:r>
          </w:p>
        </w:tc>
        <w:tc>
          <w:tcPr>
            <w:tcW w:w="0" w:type="dxa"/>
            <w:vAlign w:val="bottom"/>
          </w:tcPr>
          <w:p>
            <w:pPr>
              <w:spacing w:after="0"/>
              <w:rPr>
                <w:sz w:val="1"/>
                <w:szCs w:val="1"/>
                <w:color w:val="auto"/>
              </w:rPr>
            </w:pPr>
          </w:p>
        </w:tc>
      </w:tr>
      <w:tr>
        <w:trPr>
          <w:trHeight w:val="193"/>
        </w:trPr>
        <w:tc>
          <w:tcPr>
            <w:tcW w:w="90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Less: Foreign currency translation</w:t>
            </w:r>
          </w:p>
        </w:tc>
        <w:tc>
          <w:tcPr>
            <w:tcW w:w="11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1 %</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6"/>
        </w:trPr>
        <w:tc>
          <w:tcPr>
            <w:tcW w:w="90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Less: Acquisitions</w:t>
            </w:r>
          </w:p>
        </w:tc>
        <w:tc>
          <w:tcPr>
            <w:tcW w:w="118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 %</w:t>
            </w:r>
          </w:p>
        </w:tc>
        <w:tc>
          <w:tcPr>
            <w:tcW w:w="10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90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Other</w:t>
            </w:r>
          </w:p>
        </w:tc>
        <w:tc>
          <w:tcPr>
            <w:tcW w:w="11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0"/>
        </w:trPr>
        <w:tc>
          <w:tcPr>
            <w:tcW w:w="9040" w:type="dxa"/>
            <w:vAlign w:val="bottom"/>
            <w:tcBorders>
              <w:bottom w:val="single" w:sz="8" w:color="D7282F"/>
            </w:tcBorders>
          </w:tcPr>
          <w:p>
            <w:pPr>
              <w:ind w:left="140"/>
              <w:spacing w:after="0" w:line="200" w:lineRule="exact"/>
              <w:rPr>
                <w:sz w:val="20"/>
                <w:szCs w:val="20"/>
                <w:color w:val="auto"/>
              </w:rPr>
            </w:pPr>
            <w:r>
              <w:rPr>
                <w:rFonts w:ascii="Arial" w:cs="Arial" w:eastAsia="Arial" w:hAnsi="Arial"/>
                <w:sz w:val="14"/>
                <w:szCs w:val="14"/>
                <w:b w:val="1"/>
                <w:bCs w:val="1"/>
                <w:color w:val="auto"/>
              </w:rPr>
              <w:t>Organic percent change</w:t>
            </w:r>
            <w:r>
              <w:rPr>
                <w:rFonts w:ascii="Arial" w:cs="Arial" w:eastAsia="Arial" w:hAnsi="Arial"/>
                <w:sz w:val="18"/>
                <w:szCs w:val="18"/>
                <w:b w:val="1"/>
                <w:bCs w:val="1"/>
                <w:color w:val="auto"/>
                <w:vertAlign w:val="superscript"/>
              </w:rPr>
              <w:t>1</w:t>
            </w:r>
          </w:p>
        </w:tc>
        <w:tc>
          <w:tcPr>
            <w:tcW w:w="11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3 %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80" w:right="20" w:hanging="344"/>
        <w:spacing w:after="0" w:line="251" w:lineRule="auto"/>
        <w:tabs>
          <w:tab w:leader="none" w:pos="4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Organic sales % change, presented for all of our reportable business segments, is defined as the change in Net sales, adjusted for the impact of divestitures to the prior period, and excluding the impact on sales from foreign currency translation, acquisitions for the first 12 months following the transaction date, and certain other items that are unusual or non-recurring in nature. We believe this non-GAAP measure is useful to investors and management in understanding the ongoing operations and analysis of ongoing operating trends.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2026 compared to Q1 2025</w:t>
      </w:r>
    </w:p>
    <w:p>
      <w:pPr>
        <w:spacing w:after="0" w:line="3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Sales increased $150 million due to higher organic sales of $58 million in Defense and Space and higher organic sales of $54 million in Commercial Aviation Aftermarket, both driven by increased pricing.</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$45 million and segment margin percentage increased 20 basis points to 26.5% compared to 26.3% for the same period of 2025.</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BUILDING AUTOMATION</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5717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0003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36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w w:val="99"/>
              </w:rPr>
              <w:t>March 31,</w:t>
            </w:r>
          </w:p>
        </w:tc>
        <w:tc>
          <w:tcPr>
            <w:tcW w:w="72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2026</w:t>
            </w:r>
          </w:p>
        </w:tc>
        <w:tc>
          <w:tcPr>
            <w:tcW w:w="400" w:type="dxa"/>
            <w:vAlign w:val="bottom"/>
          </w:tcPr>
          <w:p>
            <w:pPr>
              <w:spacing w:after="0"/>
              <w:rPr>
                <w:sz w:val="12"/>
                <w:szCs w:val="12"/>
                <w:color w:val="auto"/>
              </w:rPr>
            </w:pPr>
          </w:p>
        </w:tc>
        <w:tc>
          <w:tcPr>
            <w:tcW w:w="106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2025</w:t>
            </w:r>
          </w:p>
        </w:tc>
        <w:tc>
          <w:tcPr>
            <w:tcW w:w="72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836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vMerge w:val="continue"/>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1,882</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1,692</w:t>
            </w: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993</w:t>
            </w:r>
          </w:p>
        </w:tc>
        <w:tc>
          <w:tcPr>
            <w:tcW w:w="40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868</w:t>
            </w:r>
          </w:p>
        </w:tc>
        <w:tc>
          <w:tcPr>
            <w:tcW w:w="7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393</w:t>
            </w:r>
          </w:p>
        </w:tc>
        <w:tc>
          <w:tcPr>
            <w:tcW w:w="40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384</w:t>
            </w:r>
          </w:p>
        </w:tc>
        <w:tc>
          <w:tcPr>
            <w:tcW w:w="7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496</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440</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44</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40" w:type="dxa"/>
            <w:vAlign w:val="bottom"/>
          </w:tcPr>
          <w:p>
            <w:pPr>
              <w:spacing w:after="0"/>
              <w:rPr>
                <w:sz w:val="17"/>
                <w:szCs w:val="17"/>
                <w:color w:val="auto"/>
              </w:rPr>
            </w:pPr>
          </w:p>
        </w:tc>
        <w:tc>
          <w:tcPr>
            <w:tcW w:w="220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2026 vs. 2025</w:t>
            </w:r>
          </w:p>
        </w:tc>
        <w:tc>
          <w:tcPr>
            <w:tcW w:w="0" w:type="dxa"/>
            <w:vAlign w:val="bottom"/>
          </w:tcPr>
          <w:p>
            <w:pPr>
              <w:spacing w:after="0"/>
              <w:rPr>
                <w:sz w:val="1"/>
                <w:szCs w:val="1"/>
                <w:color w:val="auto"/>
              </w:rPr>
            </w:pPr>
          </w:p>
        </w:tc>
      </w:tr>
      <w:tr>
        <w:trPr>
          <w:trHeight w:val="147"/>
        </w:trPr>
        <w:tc>
          <w:tcPr>
            <w:tcW w:w="9040" w:type="dxa"/>
            <w:vAlign w:val="bottom"/>
          </w:tcPr>
          <w:p>
            <w:pPr>
              <w:spacing w:after="0"/>
              <w:rPr>
                <w:sz w:val="12"/>
                <w:szCs w:val="12"/>
                <w:color w:val="auto"/>
              </w:rPr>
            </w:pPr>
          </w:p>
        </w:tc>
        <w:tc>
          <w:tcPr>
            <w:tcW w:w="22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9040" w:type="dxa"/>
            <w:vAlign w:val="bottom"/>
          </w:tcPr>
          <w:p>
            <w:pPr>
              <w:spacing w:after="0"/>
              <w:rPr>
                <w:sz w:val="16"/>
                <w:szCs w:val="16"/>
                <w:color w:val="auto"/>
              </w:rPr>
            </w:pPr>
          </w:p>
        </w:tc>
        <w:tc>
          <w:tcPr>
            <w:tcW w:w="220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6"/>
        </w:trPr>
        <w:tc>
          <w:tcPr>
            <w:tcW w:w="9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80" w:type="dxa"/>
            <w:vAlign w:val="bottom"/>
          </w:tcPr>
          <w:p>
            <w:pPr>
              <w:jc w:val="right"/>
              <w:ind w:right="508"/>
              <w:spacing w:after="0" w:line="147" w:lineRule="exact"/>
              <w:rPr>
                <w:sz w:val="20"/>
                <w:szCs w:val="20"/>
                <w:color w:val="auto"/>
              </w:rPr>
            </w:pPr>
            <w:r>
              <w:rPr>
                <w:rFonts w:ascii="Arial" w:cs="Arial" w:eastAsia="Arial" w:hAnsi="Arial"/>
                <w:sz w:val="14"/>
                <w:szCs w:val="14"/>
                <w:b w:val="1"/>
                <w:bCs w:val="1"/>
                <w:color w:val="auto"/>
              </w:rPr>
              <w:t>Net</w:t>
            </w:r>
          </w:p>
        </w:tc>
        <w:tc>
          <w:tcPr>
            <w:tcW w:w="1020" w:type="dxa"/>
            <w:vAlign w:val="bottom"/>
          </w:tcPr>
          <w:p>
            <w:pPr>
              <w:jc w:val="right"/>
              <w:ind w:right="10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9040" w:type="dxa"/>
            <w:vAlign w:val="bottom"/>
            <w:tcBorders>
              <w:bottom w:val="single" w:sz="8" w:color="D7282F"/>
            </w:tcBorders>
            <w:vMerge w:val="continue"/>
          </w:tcPr>
          <w:p>
            <w:pPr>
              <w:spacing w:after="0"/>
              <w:rPr>
                <w:sz w:val="16"/>
                <w:szCs w:val="16"/>
                <w:color w:val="auto"/>
              </w:rPr>
            </w:pPr>
          </w:p>
        </w:tc>
        <w:tc>
          <w:tcPr>
            <w:tcW w:w="118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Sales</w:t>
            </w:r>
          </w:p>
        </w:tc>
        <w:tc>
          <w:tcPr>
            <w:tcW w:w="10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5"/>
        </w:trPr>
        <w:tc>
          <w:tcPr>
            <w:tcW w:w="90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Reported percent change</w:t>
            </w:r>
          </w:p>
        </w:tc>
        <w:tc>
          <w:tcPr>
            <w:tcW w:w="11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11 %</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93"/>
        </w:trPr>
        <w:tc>
          <w:tcPr>
            <w:tcW w:w="90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Impact of divestitures to the prior period</w:t>
            </w:r>
          </w:p>
        </w:tc>
        <w:tc>
          <w:tcPr>
            <w:tcW w:w="11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90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Reported percent change, adjusted for impact of divestitures</w:t>
            </w:r>
          </w:p>
        </w:tc>
        <w:tc>
          <w:tcPr>
            <w:tcW w:w="11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11 %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13 %</w:t>
            </w:r>
          </w:p>
        </w:tc>
        <w:tc>
          <w:tcPr>
            <w:tcW w:w="0" w:type="dxa"/>
            <w:vAlign w:val="bottom"/>
          </w:tcPr>
          <w:p>
            <w:pPr>
              <w:spacing w:after="0"/>
              <w:rPr>
                <w:sz w:val="1"/>
                <w:szCs w:val="1"/>
                <w:color w:val="auto"/>
              </w:rPr>
            </w:pPr>
          </w:p>
        </w:tc>
      </w:tr>
      <w:tr>
        <w:trPr>
          <w:trHeight w:val="193"/>
        </w:trPr>
        <w:tc>
          <w:tcPr>
            <w:tcW w:w="90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Less: Foreign currency translation</w:t>
            </w:r>
          </w:p>
        </w:tc>
        <w:tc>
          <w:tcPr>
            <w:tcW w:w="11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3 %</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96"/>
        </w:trPr>
        <w:tc>
          <w:tcPr>
            <w:tcW w:w="90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Less: Acquisitions</w:t>
            </w:r>
          </w:p>
        </w:tc>
        <w:tc>
          <w:tcPr>
            <w:tcW w:w="11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 %</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90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Other</w:t>
            </w:r>
          </w:p>
        </w:tc>
        <w:tc>
          <w:tcPr>
            <w:tcW w:w="11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90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Organic percent change</w:t>
            </w:r>
          </w:p>
        </w:tc>
        <w:tc>
          <w:tcPr>
            <w:tcW w:w="11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8 %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8 %</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2026 compared to Q1 2025</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Sales increased $190 million due to higher organic sales of $71 million in Products and higher organic sales of $61 million in Solutions, both driven by higher demand.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$56 million and segment margin percentage increased 40 basis points to 26.4% compared to 26.0% for the same period of 2025.</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PROCESS AUTOMATION AND TECHNOLOGY</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200660</wp:posOffset>
            </wp:positionV>
            <wp:extent cx="3000375" cy="2571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003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6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w w:val="99"/>
              </w:rPr>
              <w:t>March 31,</w:t>
            </w:r>
          </w:p>
        </w:tc>
        <w:tc>
          <w:tcPr>
            <w:tcW w:w="72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2026</w:t>
            </w:r>
          </w:p>
        </w:tc>
        <w:tc>
          <w:tcPr>
            <w:tcW w:w="400" w:type="dxa"/>
            <w:vAlign w:val="bottom"/>
          </w:tcPr>
          <w:p>
            <w:pPr>
              <w:spacing w:after="0"/>
              <w:rPr>
                <w:sz w:val="12"/>
                <w:szCs w:val="12"/>
                <w:color w:val="auto"/>
              </w:rPr>
            </w:pPr>
          </w:p>
        </w:tc>
        <w:tc>
          <w:tcPr>
            <w:tcW w:w="106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2025</w:t>
            </w:r>
          </w:p>
        </w:tc>
        <w:tc>
          <w:tcPr>
            <w:tcW w:w="72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836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vMerge w:val="continue"/>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1,513</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1,445</w:t>
            </w: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856</w:t>
            </w:r>
          </w:p>
        </w:tc>
        <w:tc>
          <w:tcPr>
            <w:tcW w:w="40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809</w:t>
            </w:r>
          </w:p>
        </w:tc>
        <w:tc>
          <w:tcPr>
            <w:tcW w:w="7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298</w:t>
            </w:r>
          </w:p>
        </w:tc>
        <w:tc>
          <w:tcPr>
            <w:tcW w:w="40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323</w:t>
            </w:r>
          </w:p>
        </w:tc>
        <w:tc>
          <w:tcPr>
            <w:tcW w:w="7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359</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313</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45</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40" w:type="dxa"/>
            <w:vAlign w:val="bottom"/>
          </w:tcPr>
          <w:p>
            <w:pPr>
              <w:spacing w:after="0"/>
              <w:rPr>
                <w:sz w:val="17"/>
                <w:szCs w:val="17"/>
                <w:color w:val="auto"/>
              </w:rPr>
            </w:pPr>
          </w:p>
        </w:tc>
        <w:tc>
          <w:tcPr>
            <w:tcW w:w="220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2026 vs. 2025</w:t>
            </w:r>
          </w:p>
        </w:tc>
        <w:tc>
          <w:tcPr>
            <w:tcW w:w="0" w:type="dxa"/>
            <w:vAlign w:val="bottom"/>
          </w:tcPr>
          <w:p>
            <w:pPr>
              <w:spacing w:after="0"/>
              <w:rPr>
                <w:sz w:val="1"/>
                <w:szCs w:val="1"/>
                <w:color w:val="auto"/>
              </w:rPr>
            </w:pPr>
          </w:p>
        </w:tc>
      </w:tr>
      <w:tr>
        <w:trPr>
          <w:trHeight w:val="147"/>
        </w:trPr>
        <w:tc>
          <w:tcPr>
            <w:tcW w:w="9040" w:type="dxa"/>
            <w:vAlign w:val="bottom"/>
          </w:tcPr>
          <w:p>
            <w:pPr>
              <w:spacing w:after="0"/>
              <w:rPr>
                <w:sz w:val="12"/>
                <w:szCs w:val="12"/>
                <w:color w:val="auto"/>
              </w:rPr>
            </w:pPr>
          </w:p>
        </w:tc>
        <w:tc>
          <w:tcPr>
            <w:tcW w:w="22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9040" w:type="dxa"/>
            <w:vAlign w:val="bottom"/>
          </w:tcPr>
          <w:p>
            <w:pPr>
              <w:spacing w:after="0"/>
              <w:rPr>
                <w:sz w:val="16"/>
                <w:szCs w:val="16"/>
                <w:color w:val="auto"/>
              </w:rPr>
            </w:pPr>
          </w:p>
        </w:tc>
        <w:tc>
          <w:tcPr>
            <w:tcW w:w="220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6"/>
        </w:trPr>
        <w:tc>
          <w:tcPr>
            <w:tcW w:w="9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80" w:type="dxa"/>
            <w:vAlign w:val="bottom"/>
          </w:tcPr>
          <w:p>
            <w:pPr>
              <w:jc w:val="right"/>
              <w:ind w:right="508"/>
              <w:spacing w:after="0" w:line="147" w:lineRule="exact"/>
              <w:rPr>
                <w:sz w:val="20"/>
                <w:szCs w:val="20"/>
                <w:color w:val="auto"/>
              </w:rPr>
            </w:pPr>
            <w:r>
              <w:rPr>
                <w:rFonts w:ascii="Arial" w:cs="Arial" w:eastAsia="Arial" w:hAnsi="Arial"/>
                <w:sz w:val="14"/>
                <w:szCs w:val="14"/>
                <w:b w:val="1"/>
                <w:bCs w:val="1"/>
                <w:color w:val="auto"/>
              </w:rPr>
              <w:t>Net</w:t>
            </w:r>
          </w:p>
        </w:tc>
        <w:tc>
          <w:tcPr>
            <w:tcW w:w="1020" w:type="dxa"/>
            <w:vAlign w:val="bottom"/>
          </w:tcPr>
          <w:p>
            <w:pPr>
              <w:jc w:val="right"/>
              <w:ind w:right="10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9040" w:type="dxa"/>
            <w:vAlign w:val="bottom"/>
            <w:tcBorders>
              <w:bottom w:val="single" w:sz="8" w:color="D7282F"/>
            </w:tcBorders>
            <w:vMerge w:val="continue"/>
          </w:tcPr>
          <w:p>
            <w:pPr>
              <w:spacing w:after="0"/>
              <w:rPr>
                <w:sz w:val="16"/>
                <w:szCs w:val="16"/>
                <w:color w:val="auto"/>
              </w:rPr>
            </w:pPr>
          </w:p>
        </w:tc>
        <w:tc>
          <w:tcPr>
            <w:tcW w:w="118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Sales</w:t>
            </w:r>
          </w:p>
        </w:tc>
        <w:tc>
          <w:tcPr>
            <w:tcW w:w="10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5"/>
        </w:trPr>
        <w:tc>
          <w:tcPr>
            <w:tcW w:w="90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Reported percent change</w:t>
            </w:r>
          </w:p>
        </w:tc>
        <w:tc>
          <w:tcPr>
            <w:tcW w:w="11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5 %</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93"/>
        </w:trPr>
        <w:tc>
          <w:tcPr>
            <w:tcW w:w="90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Impact of divestitures to the prior period</w:t>
            </w:r>
          </w:p>
        </w:tc>
        <w:tc>
          <w:tcPr>
            <w:tcW w:w="11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90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Reported percent change, adjusted for impact of divestitures</w:t>
            </w:r>
          </w:p>
        </w:tc>
        <w:tc>
          <w:tcPr>
            <w:tcW w:w="11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5 %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15 %</w:t>
            </w:r>
          </w:p>
        </w:tc>
        <w:tc>
          <w:tcPr>
            <w:tcW w:w="0" w:type="dxa"/>
            <w:vAlign w:val="bottom"/>
          </w:tcPr>
          <w:p>
            <w:pPr>
              <w:spacing w:after="0"/>
              <w:rPr>
                <w:sz w:val="1"/>
                <w:szCs w:val="1"/>
                <w:color w:val="auto"/>
              </w:rPr>
            </w:pPr>
          </w:p>
        </w:tc>
      </w:tr>
      <w:tr>
        <w:trPr>
          <w:trHeight w:val="193"/>
        </w:trPr>
        <w:tc>
          <w:tcPr>
            <w:tcW w:w="90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Less: Foreign currency translation</w:t>
            </w:r>
          </w:p>
        </w:tc>
        <w:tc>
          <w:tcPr>
            <w:tcW w:w="11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2 %</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6"/>
        </w:trPr>
        <w:tc>
          <w:tcPr>
            <w:tcW w:w="90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Less: Acquisitions</w:t>
            </w:r>
          </w:p>
        </w:tc>
        <w:tc>
          <w:tcPr>
            <w:tcW w:w="118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9 %</w:t>
            </w:r>
          </w:p>
        </w:tc>
        <w:tc>
          <w:tcPr>
            <w:tcW w:w="10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96"/>
        </w:trPr>
        <w:tc>
          <w:tcPr>
            <w:tcW w:w="90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Other</w:t>
            </w:r>
          </w:p>
        </w:tc>
        <w:tc>
          <w:tcPr>
            <w:tcW w:w="11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90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Organic percent change</w:t>
            </w:r>
          </w:p>
        </w:tc>
        <w:tc>
          <w:tcPr>
            <w:tcW w:w="11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(6)%</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1 %</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2026 compared to Q1 2025</w:t>
      </w:r>
    </w:p>
    <w:p>
      <w:pPr>
        <w:spacing w:after="0" w:line="2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Sales increased $68 million due to inorganic sales of $121 million in Sundyne during the three months ended March 31, 2026, partially offset by lower organic sales of $82 million in Aftermarket driven by a decline in refining catalyst shipments.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$46 million and segment margin percentage increased 200 basis points to 23.7% compared to 21.7% for the same period of 2025.</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INDUSTRIAL AUTOMATION</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89535</wp:posOffset>
            </wp:positionV>
            <wp:extent cx="3000375" cy="28803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0037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36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w w:val="99"/>
              </w:rPr>
              <w:t>March 31,</w:t>
            </w:r>
          </w:p>
        </w:tc>
        <w:tc>
          <w:tcPr>
            <w:tcW w:w="72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2026</w:t>
            </w:r>
          </w:p>
        </w:tc>
        <w:tc>
          <w:tcPr>
            <w:tcW w:w="400" w:type="dxa"/>
            <w:vAlign w:val="bottom"/>
          </w:tcPr>
          <w:p>
            <w:pPr>
              <w:spacing w:after="0"/>
              <w:rPr>
                <w:sz w:val="12"/>
                <w:szCs w:val="12"/>
                <w:color w:val="auto"/>
              </w:rPr>
            </w:pPr>
          </w:p>
        </w:tc>
        <w:tc>
          <w:tcPr>
            <w:tcW w:w="106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2025</w:t>
            </w:r>
          </w:p>
        </w:tc>
        <w:tc>
          <w:tcPr>
            <w:tcW w:w="72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836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vMerge w:val="continue"/>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1,421</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1,597</w:t>
            </w: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864</w:t>
            </w:r>
          </w:p>
        </w:tc>
        <w:tc>
          <w:tcPr>
            <w:tcW w:w="40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989</w:t>
            </w:r>
          </w:p>
        </w:tc>
        <w:tc>
          <w:tcPr>
            <w:tcW w:w="7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316</w:t>
            </w:r>
          </w:p>
        </w:tc>
        <w:tc>
          <w:tcPr>
            <w:tcW w:w="40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378</w:t>
            </w:r>
          </w:p>
        </w:tc>
        <w:tc>
          <w:tcPr>
            <w:tcW w:w="7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241</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230</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46</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60" w:type="dxa"/>
            <w:vAlign w:val="bottom"/>
          </w:tcPr>
          <w:p>
            <w:pPr>
              <w:spacing w:after="0"/>
              <w:rPr>
                <w:sz w:val="17"/>
                <w:szCs w:val="17"/>
                <w:color w:val="auto"/>
              </w:rPr>
            </w:pPr>
          </w:p>
        </w:tc>
        <w:tc>
          <w:tcPr>
            <w:tcW w:w="21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2026 vs. 2025</w:t>
            </w:r>
          </w:p>
        </w:tc>
        <w:tc>
          <w:tcPr>
            <w:tcW w:w="0" w:type="dxa"/>
            <w:vAlign w:val="bottom"/>
          </w:tcPr>
          <w:p>
            <w:pPr>
              <w:spacing w:after="0"/>
              <w:rPr>
                <w:sz w:val="1"/>
                <w:szCs w:val="1"/>
                <w:color w:val="auto"/>
              </w:rPr>
            </w:pPr>
          </w:p>
        </w:tc>
      </w:tr>
      <w:tr>
        <w:trPr>
          <w:trHeight w:val="147"/>
        </w:trPr>
        <w:tc>
          <w:tcPr>
            <w:tcW w:w="9060" w:type="dxa"/>
            <w:vAlign w:val="bottom"/>
          </w:tcPr>
          <w:p>
            <w:pPr>
              <w:spacing w:after="0"/>
              <w:rPr>
                <w:sz w:val="12"/>
                <w:szCs w:val="12"/>
                <w:color w:val="auto"/>
              </w:rPr>
            </w:pPr>
          </w:p>
        </w:tc>
        <w:tc>
          <w:tcPr>
            <w:tcW w:w="21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9060" w:type="dxa"/>
            <w:vAlign w:val="bottom"/>
          </w:tcPr>
          <w:p>
            <w:pPr>
              <w:spacing w:after="0"/>
              <w:rPr>
                <w:sz w:val="16"/>
                <w:szCs w:val="16"/>
                <w:color w:val="auto"/>
              </w:rPr>
            </w:pPr>
          </w:p>
        </w:tc>
        <w:tc>
          <w:tcPr>
            <w:tcW w:w="21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6"/>
        </w:trPr>
        <w:tc>
          <w:tcPr>
            <w:tcW w:w="9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60" w:type="dxa"/>
            <w:vAlign w:val="bottom"/>
          </w:tcPr>
          <w:p>
            <w:pPr>
              <w:jc w:val="right"/>
              <w:ind w:right="488"/>
              <w:spacing w:after="0" w:line="147" w:lineRule="exact"/>
              <w:rPr>
                <w:sz w:val="20"/>
                <w:szCs w:val="20"/>
                <w:color w:val="auto"/>
              </w:rPr>
            </w:pPr>
            <w:r>
              <w:rPr>
                <w:rFonts w:ascii="Arial" w:cs="Arial" w:eastAsia="Arial" w:hAnsi="Arial"/>
                <w:sz w:val="14"/>
                <w:szCs w:val="14"/>
                <w:b w:val="1"/>
                <w:bCs w:val="1"/>
                <w:color w:val="auto"/>
              </w:rPr>
              <w:t>Net</w:t>
            </w:r>
          </w:p>
        </w:tc>
        <w:tc>
          <w:tcPr>
            <w:tcW w:w="1020" w:type="dxa"/>
            <w:vAlign w:val="bottom"/>
          </w:tcPr>
          <w:p>
            <w:pPr>
              <w:jc w:val="right"/>
              <w:ind w:right="10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9060" w:type="dxa"/>
            <w:vAlign w:val="bottom"/>
            <w:tcBorders>
              <w:bottom w:val="single" w:sz="8" w:color="D7282F"/>
            </w:tcBorders>
            <w:vMerge w:val="continue"/>
          </w:tcPr>
          <w:p>
            <w:pPr>
              <w:spacing w:after="0"/>
              <w:rPr>
                <w:sz w:val="16"/>
                <w:szCs w:val="16"/>
                <w:color w:val="auto"/>
              </w:rPr>
            </w:pPr>
          </w:p>
        </w:tc>
        <w:tc>
          <w:tcPr>
            <w:tcW w:w="11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Sales</w:t>
            </w:r>
          </w:p>
        </w:tc>
        <w:tc>
          <w:tcPr>
            <w:tcW w:w="10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5"/>
        </w:trPr>
        <w:tc>
          <w:tcPr>
            <w:tcW w:w="90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Reported percent change</w:t>
            </w:r>
          </w:p>
        </w:tc>
        <w:tc>
          <w:tcPr>
            <w:tcW w:w="116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(11)%</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93"/>
        </w:trPr>
        <w:tc>
          <w:tcPr>
            <w:tcW w:w="9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Impact of divestitures to the prior period</w:t>
            </w: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(15)%</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9"/>
        </w:trPr>
        <w:tc>
          <w:tcPr>
            <w:tcW w:w="9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Reported percent change, adjusted for impact of divestitures</w:t>
            </w: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4 %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18 %</w:t>
            </w:r>
          </w:p>
        </w:tc>
        <w:tc>
          <w:tcPr>
            <w:tcW w:w="0" w:type="dxa"/>
            <w:vAlign w:val="bottom"/>
          </w:tcPr>
          <w:p>
            <w:pPr>
              <w:spacing w:after="0"/>
              <w:rPr>
                <w:sz w:val="1"/>
                <w:szCs w:val="1"/>
                <w:color w:val="auto"/>
              </w:rPr>
            </w:pPr>
          </w:p>
        </w:tc>
      </w:tr>
      <w:tr>
        <w:trPr>
          <w:trHeight w:val="193"/>
        </w:trPr>
        <w:tc>
          <w:tcPr>
            <w:tcW w:w="90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Less: Foreign currency translation</w:t>
            </w:r>
          </w:p>
        </w:tc>
        <w:tc>
          <w:tcPr>
            <w:tcW w:w="116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3 %</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96"/>
        </w:trPr>
        <w:tc>
          <w:tcPr>
            <w:tcW w:w="90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Less: Acquisitions</w:t>
            </w:r>
          </w:p>
        </w:tc>
        <w:tc>
          <w:tcPr>
            <w:tcW w:w="116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 %</w:t>
            </w:r>
          </w:p>
        </w:tc>
        <w:tc>
          <w:tcPr>
            <w:tcW w:w="10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9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Other</w:t>
            </w: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90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Organic percent change</w:t>
            </w: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1 %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13 %</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2026 compared to Q1 2025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Sales decreased $176 million due to the sale of our PPE business on May 21, 2025.</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$11 million and segment margin percentage increased 260 basis points to 17.0% compared to 14.4% for the same period in 2025.</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July 8, 2025, the Company announced it is evaluating strategic alternatives for its Productivity Solutions and Services and Warehouse and Workflow Solutions businesses. Following the Company's strategic review, the assets and liabilities of these businesses were classified as held for sale beginning December 31, 2025. In April 2026, the Company announced it has reached agreements to sell the businesses in two transactions, both of which are expected to close in the second half of 2026 and are subject to customary closing conditions, including receipt of certain regulatory approvals.</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CORPORATE AND ALL OTHER</w:t>
      </w: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Corporate and All Other primarily includes unallocated corporate costs, interest expense on holding-company debt, and the controlling majority-owned interest in Quantinuum. Corporate expenses historically allocated to Advanced Materials and not eligible to be part of discontinued operations are now included in Corporate and All Other. Corporate and All Other is not a separate reportable business segment as segment reporting criteria is not met. The Company continues to monitor the activities in Corporate and All Other to determine the need for further reportable business segment disaggregation.</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REPOSITIONING CHARGES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See Note 5 </w:t>
      </w:r>
      <w:r>
        <w:rPr>
          <w:rFonts w:ascii="Arial" w:cs="Arial" w:eastAsia="Arial" w:hAnsi="Arial"/>
          <w:sz w:val="16"/>
          <w:szCs w:val="16"/>
          <w:u w:val="single" w:color="auto"/>
          <w:color w:val="0000FF"/>
        </w:rPr>
        <w:t>Repositioning and Other Charges</w:t>
      </w:r>
      <w:r>
        <w:rPr>
          <w:rFonts w:ascii="Arial" w:cs="Arial" w:eastAsia="Arial" w:hAnsi="Arial"/>
          <w:sz w:val="16"/>
          <w:szCs w:val="16"/>
          <w:color w:val="auto"/>
        </w:rPr>
        <w:t xml:space="preserve"> of Notes to Consolidated Financial Statements for a discussion of our repositioning actions and related charges incurred in the three months ended March 31, 2026 and 2025. Cash spending related to our repositioning actions was $37 million in the three months ended March 31, 2026, and was funded through operating cash flows.</w:t>
      </w:r>
    </w:p>
    <w:p>
      <w:pPr>
        <w:spacing w:after="0" w:line="395"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LIQUIDITY AND CAPITAL RESOURCES</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in millions)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leverage operating cash flows as the primary source of liquidity. Each of our businesses focuses on increasing operating cash flows through revenue growth, margin expansion, and improved working capital turnover. We also maintain other key sources of liquidity, including U.S. cash balances, and the ability to access non-U.S. cash balances, short-term debt from the commercial paper market, long-term borrowings, committed credit lines, and access to the public debt and equity markets.</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CASH</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March 31, 2026 and December 31, 2025, we held $12.4 billion and $12.9 billion, respectively, of cash and cash equivalents, including our short-term investments. We monitor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counterparty.</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March 31, 2026, we held $6.7 billion of the Company’s cash, cash equivalents, and short-term investments in non-U.S. subsidiaries. We do not have material amounts related to any jurisdiction subject to currency control restrictions that impact our ability to access and repatriate such amounts. Under current laws, we do not expect taxes on repatriation or restrictions on amounts held outside of the U.S. to have a material effect on our overall liquidity.</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CASH FLOW SUMMARY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from operating, investing, and financing activities, as reflected in the Consolidated Statement of Cash Flows,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Pr>
          <w:p>
            <w:pPr>
              <w:spacing w:after="0"/>
              <w:rPr>
                <w:sz w:val="17"/>
                <w:szCs w:val="17"/>
                <w:color w:val="auto"/>
              </w:rPr>
            </w:pPr>
          </w:p>
        </w:tc>
        <w:tc>
          <w:tcPr>
            <w:tcW w:w="200" w:type="dxa"/>
            <w:vAlign w:val="bottom"/>
            <w:tcBorders>
              <w:bottom w:val="single" w:sz="8" w:color="D7282F"/>
            </w:tcBorders>
          </w:tcPr>
          <w:p>
            <w:pPr>
              <w:spacing w:after="0"/>
              <w:rPr>
                <w:sz w:val="17"/>
                <w:szCs w:val="17"/>
                <w:color w:val="auto"/>
              </w:rPr>
            </w:pPr>
          </w:p>
        </w:tc>
        <w:tc>
          <w:tcPr>
            <w:tcW w:w="286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180" w:type="dxa"/>
            <w:vAlign w:val="bottom"/>
            <w:tcBorders>
              <w:bottom w:val="single" w:sz="8" w:color="D7282F"/>
            </w:tcBorders>
          </w:tcPr>
          <w:p>
            <w:pPr>
              <w:spacing w:after="0"/>
              <w:rPr>
                <w:sz w:val="17"/>
                <w:szCs w:val="17"/>
                <w:color w:val="auto"/>
              </w:rPr>
            </w:pP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w w:val="99"/>
              </w:rPr>
              <w:t>Variance</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12,487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10,567</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1,920</w:t>
            </w:r>
          </w:p>
        </w:tc>
      </w:tr>
      <w:tr>
        <w:trPr>
          <w:trHeight w:val="196"/>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r>
      <w:tr>
        <w:trPr>
          <w:trHeight w:val="193"/>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from continuing operations</w:t>
            </w:r>
          </w:p>
        </w:tc>
        <w:tc>
          <w:tcPr>
            <w:tcW w:w="20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795</w:t>
            </w:r>
          </w:p>
        </w:tc>
        <w:tc>
          <w:tcPr>
            <w:tcW w:w="3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1,296</w:t>
            </w:r>
          </w:p>
        </w:tc>
        <w:tc>
          <w:tcPr>
            <w:tcW w:w="2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(501)</w:t>
            </w:r>
          </w:p>
        </w:tc>
      </w:tr>
      <w:tr>
        <w:trPr>
          <w:trHeight w:val="196"/>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Noncash adjustments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694</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278</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416</w:t>
            </w:r>
          </w:p>
        </w:tc>
      </w:tr>
      <w:tr>
        <w:trPr>
          <w:trHeight w:val="196"/>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Changes in working capital</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(939)</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(703)</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(236)</w:t>
            </w:r>
          </w:p>
        </w:tc>
      </w:tr>
      <w:tr>
        <w:trPr>
          <w:trHeight w:val="196"/>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operating activities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(1,200)</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(493)</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(707)</w:t>
            </w:r>
          </w:p>
        </w:tc>
      </w:tr>
      <w:tr>
        <w:trPr>
          <w:trHeight w:val="196"/>
        </w:trPr>
        <w:tc>
          <w:tcPr>
            <w:tcW w:w="81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Net cash provided by operating activities from discontinued operations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219</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(219)</w:t>
            </w:r>
          </w:p>
        </w:tc>
      </w:tr>
      <w:tr>
        <w:trPr>
          <w:trHeight w:val="199"/>
        </w:trPr>
        <w:tc>
          <w:tcPr>
            <w:tcW w:w="8180" w:type="dxa"/>
            <w:vAlign w:val="bottom"/>
            <w:tcBorders>
              <w:bottom w:val="single" w:sz="8" w:color="DC202E"/>
            </w:tcBorders>
          </w:tcPr>
          <w:p>
            <w:pPr>
              <w:ind w:left="20"/>
              <w:spacing w:after="0"/>
              <w:rPr>
                <w:sz w:val="20"/>
                <w:szCs w:val="20"/>
                <w:color w:val="auto"/>
              </w:rPr>
            </w:pPr>
            <w:r>
              <w:rPr>
                <w:rFonts w:ascii="Arial" w:cs="Arial" w:eastAsia="Arial" w:hAnsi="Arial"/>
                <w:sz w:val="14"/>
                <w:szCs w:val="14"/>
                <w:b w:val="1"/>
                <w:bCs w:val="1"/>
                <w:color w:val="auto"/>
              </w:rPr>
              <w:t>Net cash (used for) provided by operating activities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(650)</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597</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(1,247)</w:t>
            </w:r>
          </w:p>
        </w:tc>
      </w:tr>
      <w:tr>
        <w:trPr>
          <w:trHeight w:val="193"/>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used for investing activities from continuing operations</w:t>
            </w:r>
          </w:p>
        </w:tc>
        <w:tc>
          <w:tcPr>
            <w:tcW w:w="20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(119)</w:t>
            </w:r>
          </w:p>
        </w:tc>
        <w:tc>
          <w:tcPr>
            <w:tcW w:w="3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(333)</w:t>
            </w:r>
          </w:p>
        </w:tc>
        <w:tc>
          <w:tcPr>
            <w:tcW w:w="2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214</w:t>
            </w:r>
          </w:p>
        </w:tc>
      </w:tr>
      <w:tr>
        <w:trPr>
          <w:trHeight w:val="196"/>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used for investing activities from discontinued operations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(38)</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w:t>
            </w:r>
          </w:p>
        </w:tc>
      </w:tr>
      <w:tr>
        <w:trPr>
          <w:trHeight w:val="196"/>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provided by (used for) financing activities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267</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(1,180)</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1,447</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44</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(52)</w:t>
            </w:r>
          </w:p>
        </w:tc>
      </w:tr>
      <w:tr>
        <w:trPr>
          <w:trHeight w:val="199"/>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decrease in cash and cash equivalents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(510)</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(910)</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400</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11,977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9,657</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2,320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March 31, 2026</w:t>
      </w:r>
    </w:p>
    <w:p>
      <w:pPr>
        <w:spacing w:after="0" w:line="3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Net cash used for operating activities from continuing operations was driven by an $825 million decline in accrued liabilities driven by the Flexjet litigation settlement payment of $375 million and a decline in accrued interest due to cash interest payments of $463 million.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for investing activities from continuing operations was driven by capital expenditures.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cash provided by financing activities was driven by $15,835 million of pre-separation funding related to the anticipated spin-off of the Aerospace business, partially offset by $12,605 million of payments of long-term debt, $1,260 million of net payments of commercial paper, $1,000 million of repurchases of common stock, and $781 million of cash dividends paid.</w:t>
      </w:r>
    </w:p>
    <w:p>
      <w:pPr>
        <w:spacing w:after="0" w:line="395" w:lineRule="exact"/>
        <w:rPr>
          <w:sz w:val="20"/>
          <w:szCs w:val="20"/>
          <w:color w:val="auto"/>
        </w:rPr>
      </w:pPr>
    </w:p>
    <w:p>
      <w:pPr>
        <w:ind w:left="400" w:hanging="392"/>
        <w:spacing w:after="0"/>
        <w:tabs>
          <w:tab w:leader="none" w:pos="400" w:val="left"/>
        </w:tabs>
        <w:numPr>
          <w:ilvl w:val="0"/>
          <w:numId w:val="5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March 31, 2026 compared with three months ended March 31, 2025</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Net cash used for operating activities from continuing operations increased by $1,028 million, driven by an increase in accrued liabilities of $683 million due to the Flexjet litigation settlement payment of $375 million, higher cash interest payments of $136 million, and a $236 million unfavorable impact of working capital driven by timing of payments of accounts payable.</w:t>
      </w:r>
    </w:p>
    <w:p>
      <w:pPr>
        <w:spacing w:after="0" w:line="7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Net cash used for investing activities from continuing operations decreased by $214 million, driven by a $210 million net increase in cash receipts from settlements of derivative contracts.</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cash provided by financing activities increased by $1,447 million, driven by $15,835 million of pre-separation funding related to the anticipated spin-off of the Aerospace business and a $902 million decrease in repurchases of common stock, partially offset by a $12,561 million increase of payments of long-term debt, and a $2,702 million increase of net payments of commercial paper.</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ASSESSMENT OF CURRENT LIQUIDITY AND CASH REQUIREMENTS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Based on past performance and current expectations, we believe our operating cash flows will be sufficient to meet our future operating cash needs for at least the next twelve months. If necessary, our available cash, committed credit lines, and access to the public debt and equity markets provide additional sources of short-term and long-term liquidity to fund current operations, debt maturities, and future investment opportunities.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9 </w:t>
      </w:r>
      <w:r>
        <w:rPr>
          <w:rFonts w:ascii="Arial" w:cs="Arial" w:eastAsia="Arial" w:hAnsi="Arial"/>
          <w:sz w:val="16"/>
          <w:szCs w:val="16"/>
          <w:u w:val="single" w:color="auto"/>
          <w:color w:val="0000FF"/>
        </w:rPr>
        <w:t>Debt and Credit Agreements</w:t>
      </w:r>
      <w:r>
        <w:rPr>
          <w:rFonts w:ascii="Arial" w:cs="Arial" w:eastAsia="Arial" w:hAnsi="Arial"/>
          <w:sz w:val="16"/>
          <w:szCs w:val="16"/>
          <w:color w:val="auto"/>
        </w:rPr>
        <w:t xml:space="preserve"> of Notes to Consolidated Financial Statements for additional discussion of items impacting our liquidity.</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to normal operating cash requirements, our principal future cash requirements include funding capital expenditures, share repurchases, dividends, strategic acquisitions, and debt repayments. During the three months ended March 31, 2026, we repurchased common stock of $1.0 billion. Refer to the section titled Liquidity and Capital Resources of our 2025 Form 10-K for a discussion of our expected capital expenditures, share repurchases, mergers and acquisitions activity, and dividends for 2026.</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We continually assess the relative strength of each business in our portfolio as to strategic fit, market position, profit, and cash flow contribution in order to identify target investment and acquisition opportunities in order to upgrade our combined portfolio. We seek to identify acquisition candidates that will further our strategic plan and strengthen our existing core businesses. On May 22, 2025, the Company announced its agreement to acquire Johnson Matthey's Catalyst Technologies business segment in an all cash transaction. In February 2026, the agreement was amended to adjust the total consideration to £1.325 billion.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 On February 6, 2025, we announced our intention to separate Honeywell from Honeywell Aerospace into independent, U.S. publicly traded companies, which is expected to be completed in the third quarter on June 29, 2026. On July 8, 2025, we announced we are evaluating strategic alternatives for our Productivity Solutions and Services and Warehouse and Workflow Solutions businesses within the Industrial Automation reportable business segment and classified the assets and liabilities of the businesses as held for sale beginning December 31, 2025. In April 2026, the Company announced it has reached agreements to sell the businesses in two transactions, both of which are expected to close in the second half of 2026 and are subject to customary closing conditions, including receipt of certain regulatory approvals. See Note 3 </w:t>
      </w:r>
      <w:r>
        <w:rPr>
          <w:rFonts w:ascii="Arial" w:cs="Arial" w:eastAsia="Arial" w:hAnsi="Arial"/>
          <w:sz w:val="16"/>
          <w:szCs w:val="16"/>
          <w:u w:val="single" w:color="auto"/>
          <w:color w:val="0000FF"/>
        </w:rPr>
        <w:t>Acquisitions, Divestitures, and Discontinued Operations</w:t>
      </w:r>
      <w:r>
        <w:rPr>
          <w:rFonts w:ascii="Arial" w:cs="Arial" w:eastAsia="Arial" w:hAnsi="Arial"/>
          <w:sz w:val="16"/>
          <w:szCs w:val="16"/>
          <w:color w:val="auto"/>
        </w:rPr>
        <w:t xml:space="preserve"> of Notes to Consolidated Financial Statements for additional discussion.</w:t>
      </w:r>
    </w:p>
    <w:p>
      <w:pPr>
        <w:spacing w:after="0" w:line="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continually seek opportunities to improve our liquidity and working capital efficiency, which includes the extension of payment terms with our suppliers and transfer of our trade receivables to unaffiliated financial institutions on a true sale basis. The impact of these programs is not material to our overall liquidity.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 w:hanging="392"/>
        <w:spacing w:after="0"/>
        <w:tabs>
          <w:tab w:leader="none" w:pos="400" w:val="left"/>
        </w:tabs>
        <w:numPr>
          <w:ilvl w:val="0"/>
          <w:numId w:val="5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BORROWINGS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leverage a variety of debt instruments to manage our overall borrowing costs. As of March 31, 2026, and December 31, 2025, our total borrowings were $36.7 billion and $34.6 billion, respectively.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Borders>
              <w:bottom w:val="single" w:sz="8" w:color="D7282F"/>
            </w:tcBorders>
          </w:tcPr>
          <w:p>
            <w:pPr>
              <w:spacing w:after="0"/>
              <w:rPr>
                <w:sz w:val="17"/>
                <w:szCs w:val="17"/>
                <w:color w:val="auto"/>
              </w:rPr>
            </w:pPr>
          </w:p>
        </w:tc>
        <w:tc>
          <w:tcPr>
            <w:tcW w:w="288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March 31, 2026</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2025</w:t>
            </w:r>
          </w:p>
        </w:tc>
      </w:tr>
      <w:tr>
        <w:trPr>
          <w:trHeight w:val="193"/>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Fixed rate notes</w:t>
            </w:r>
          </w:p>
        </w:tc>
        <w:tc>
          <w:tcPr>
            <w:tcW w:w="28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29,194</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25,164</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Commercial paper</w:t>
            </w:r>
          </w:p>
        </w:tc>
        <w:tc>
          <w:tcPr>
            <w:tcW w:w="288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4,630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5,892</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Term loans</w:t>
            </w:r>
          </w:p>
        </w:tc>
        <w:tc>
          <w:tcPr>
            <w:tcW w:w="288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3,750</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Variable rate notes</w:t>
            </w:r>
          </w:p>
        </w:tc>
        <w:tc>
          <w:tcPr>
            <w:tcW w:w="288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512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w:t>
            </w:r>
          </w:p>
        </w:tc>
        <w:tc>
          <w:tcPr>
            <w:tcW w:w="288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96</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111</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288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(88)</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(79)</w:t>
            </w:r>
          </w:p>
        </w:tc>
      </w:tr>
      <w:tr>
        <w:trPr>
          <w:trHeight w:val="196"/>
        </w:trPr>
        <w:tc>
          <w:tcPr>
            <w:tcW w:w="48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288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(355)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(280)</w:t>
            </w:r>
          </w:p>
        </w:tc>
      </w:tr>
      <w:tr>
        <w:trPr>
          <w:trHeight w:val="199"/>
        </w:trPr>
        <w:tc>
          <w:tcPr>
            <w:tcW w:w="48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borrowings</w:t>
            </w:r>
          </w:p>
        </w:tc>
        <w:tc>
          <w:tcPr>
            <w:tcW w:w="28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36,739</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34,580</w:t>
            </w:r>
          </w:p>
        </w:tc>
      </w:tr>
    </w:tbl>
    <w:p>
      <w:pPr>
        <w:spacing w:after="0" w:line="1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 key source of liquidity is our ability to access the corporate bond markets. Through these markets, we issue a variety of long-term fixed rate notes to manage our overall funding costs.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Another key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In addition, we have the following loan and revolving credit agreements:</w:t>
      </w:r>
    </w:p>
    <w:p>
      <w:pPr>
        <w:spacing w:after="0" w:line="127" w:lineRule="exact"/>
        <w:rPr>
          <w:sz w:val="20"/>
          <w:szCs w:val="20"/>
          <w:color w:val="auto"/>
        </w:rPr>
      </w:pPr>
    </w:p>
    <w:p>
      <w:pPr>
        <w:jc w:val="both"/>
        <w:ind w:left="200" w:hanging="192"/>
        <w:spacing w:after="0" w:line="260" w:lineRule="auto"/>
        <w:tabs>
          <w:tab w:leader="none" w:pos="197" w:val="left"/>
        </w:tabs>
        <w:numPr>
          <w:ilvl w:val="0"/>
          <w:numId w:val="56"/>
        </w:numPr>
        <w:rPr>
          <w:rFonts w:ascii="Arial" w:cs="Arial" w:eastAsia="Arial" w:hAnsi="Arial"/>
          <w:sz w:val="16"/>
          <w:szCs w:val="16"/>
          <w:color w:val="D7282F"/>
        </w:rPr>
      </w:pPr>
      <w:r>
        <w:rPr>
          <w:rFonts w:ascii="Arial" w:cs="Arial" w:eastAsia="Arial" w:hAnsi="Arial"/>
          <w:sz w:val="16"/>
          <w:szCs w:val="16"/>
          <w:color w:val="auto"/>
        </w:rPr>
        <w:t>A $6.0 billion Delayed Draw Term Loan Agreement (the 2025 Term Loan Agreement), dated as of May 7, 2025. The 2025 Term Loan Agreement is comprised of two tranches: (i) commitments to provide loans in an aggregate principal amount of up to $4.0 billion, which was fully drawn effective May 30, 2025, and (ii) commitments to provide loans in an aggregate amount of up to $2.0 billion, which expired on December 19, 2025. Amounts borrowed under the 2025 Term Loan Agreement are required to be paid no later than May 7, 2027, unless the 2025 Term Loan Agreement is terminated earlier pursuant to its terms. As of March 31, 2026, there were $2.75 billion of borrowings outstanding on the 2025 Term Loan Agreement.</w:t>
      </w:r>
    </w:p>
    <w:p>
      <w:pPr>
        <w:spacing w:after="0" w:line="42" w:lineRule="exact"/>
        <w:rPr>
          <w:rFonts w:ascii="Arial" w:cs="Arial" w:eastAsia="Arial" w:hAnsi="Arial"/>
          <w:sz w:val="16"/>
          <w:szCs w:val="16"/>
          <w:color w:val="D7282F"/>
        </w:rPr>
      </w:pPr>
    </w:p>
    <w:p>
      <w:pPr>
        <w:jc w:val="both"/>
        <w:ind w:left="200" w:hanging="192"/>
        <w:spacing w:after="0" w:line="265" w:lineRule="auto"/>
        <w:tabs>
          <w:tab w:leader="none" w:pos="197" w:val="left"/>
        </w:tabs>
        <w:numPr>
          <w:ilvl w:val="0"/>
          <w:numId w:val="56"/>
        </w:numPr>
        <w:rPr>
          <w:rFonts w:ascii="Arial" w:cs="Arial" w:eastAsia="Arial" w:hAnsi="Arial"/>
          <w:sz w:val="16"/>
          <w:szCs w:val="16"/>
          <w:color w:val="D7282F"/>
        </w:rPr>
      </w:pPr>
      <w:r>
        <w:rPr>
          <w:rFonts w:ascii="Arial" w:cs="Arial" w:eastAsia="Arial" w:hAnsi="Arial"/>
          <w:sz w:val="16"/>
          <w:szCs w:val="16"/>
          <w:color w:val="auto"/>
        </w:rPr>
        <w:t>A $3.0 billion 364-day credit agreement (the 364-Day Credit Agreement) with a syndicate of banks, dated as of March 6, 2026. Upon consummation of the spin-off of the Aerospace business, the aggregate revolving credit commitments under the 364-Day Credit Agreement will be reduced to $2.0 billion. Amounts borrowed under the 364-Day Credit Agreement are required to be repaid no later than March 5, 2027, unless (i) we elect to convert all then outstanding amounts into a term loan, upon which such amounts shall be repaid in full on March 5, 2028, or (ii) the 364-Day Credit Agreement is terminated earlier pursuant to its terms. As of March 31, 2026, there were no outstanding borrowings under the 364-Day Credit Agreement.</w:t>
      </w:r>
    </w:p>
    <w:p>
      <w:pPr>
        <w:spacing w:after="0" w:line="23" w:lineRule="exact"/>
        <w:rPr>
          <w:rFonts w:ascii="Arial" w:cs="Arial" w:eastAsia="Arial" w:hAnsi="Arial"/>
          <w:sz w:val="16"/>
          <w:szCs w:val="16"/>
          <w:color w:val="D7282F"/>
        </w:rPr>
      </w:pPr>
    </w:p>
    <w:p>
      <w:pPr>
        <w:jc w:val="both"/>
        <w:ind w:left="200" w:hanging="192"/>
        <w:spacing w:after="0" w:line="259" w:lineRule="auto"/>
        <w:tabs>
          <w:tab w:leader="none" w:pos="197" w:val="left"/>
        </w:tabs>
        <w:numPr>
          <w:ilvl w:val="0"/>
          <w:numId w:val="56"/>
        </w:numPr>
        <w:rPr>
          <w:rFonts w:ascii="Arial" w:cs="Arial" w:eastAsia="Arial" w:hAnsi="Arial"/>
          <w:sz w:val="16"/>
          <w:szCs w:val="16"/>
          <w:color w:val="D7282F"/>
        </w:rPr>
      </w:pPr>
      <w:r>
        <w:rPr>
          <w:rFonts w:ascii="Arial" w:cs="Arial" w:eastAsia="Arial" w:hAnsi="Arial"/>
          <w:sz w:val="16"/>
          <w:szCs w:val="16"/>
          <w:color w:val="auto"/>
        </w:rPr>
        <w:t>A $4.0 billion five-year credit agreement (the Five-Year Credit Agreement) with a syndicate of banks, dated as of March 6, 2026. Upon consummation of the spin-off of the Aerospace business, the aggregate revolving credit commitments under the Five-Year Credit Agreement will be reduced to $3.0 billion. Commitments under the Five-Year Credit Agreement can be increased pursuant to the terms of the Five-Year Credit Agreement to an aggregate amount not to exceed (i) $4.5 billion prior to the spin-off of the Aerospace business and (ii) $3.5 billion following the spin-off of the Aerospace business. Amounts borrowed under the Five-Year Credit Agreement are required to be repaid no later than March 6, 2031, unless such date is extended pursuant to the terms of the Five-Year Credit Agreement. Amounts borrowed under the Five-Year Credit Agreement are required to be repaid no later than March 6, 2031, unless such date is extended pursuant to the terms of the Five-Year Credit Agreement. As of March 31, 2026, there were no outstanding borrowings under the Five-Year Credit Agreement.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9 </w:t>
      </w:r>
      <w:r>
        <w:rPr>
          <w:rFonts w:ascii="Arial" w:cs="Arial" w:eastAsia="Arial" w:hAnsi="Arial"/>
          <w:sz w:val="16"/>
          <w:szCs w:val="16"/>
          <w:u w:val="single" w:color="auto"/>
          <w:color w:val="0000FF"/>
        </w:rPr>
        <w:t>Debt and Credit Agreements</w:t>
      </w:r>
      <w:r>
        <w:rPr>
          <w:rFonts w:ascii="Arial" w:cs="Arial" w:eastAsia="Arial" w:hAnsi="Arial"/>
          <w:sz w:val="16"/>
          <w:szCs w:val="16"/>
          <w:color w:val="auto"/>
        </w:rPr>
        <w:t xml:space="preserve"> of Notes to Consolidated Financial Statements for additional information regarding our debt instruments.</w:t>
      </w:r>
    </w:p>
    <w:p>
      <w:pPr>
        <w:spacing w:after="0" w:line="12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also maintain a current shelf registration statement filed with the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pacing w:after="0" w:line="395" w:lineRule="exact"/>
        <w:rPr>
          <w:sz w:val="20"/>
          <w:szCs w:val="20"/>
          <w:color w:val="auto"/>
        </w:rPr>
      </w:pPr>
    </w:p>
    <w:p>
      <w:pPr>
        <w:ind w:left="400" w:hanging="392"/>
        <w:spacing w:after="0"/>
        <w:tabs>
          <w:tab w:leader="none" w:pos="400" w:val="left"/>
        </w:tabs>
        <w:numPr>
          <w:ilvl w:val="0"/>
          <w:numId w:val="5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CREDIT RATINGS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ability to access the global debt capital markets and the related cost of these borrowings is affected by the strength of our credit rating and market conditions. Our credit ratings are periodically reviewed by the major independent debt-rating agencies. As of March 31, 2026, S&amp;P Global Inc. (S&amp;P), Fitch Ratings Inc. (Fitch), and Moody’s Investor Service (Moody's) have ratings on our debt set forth in the table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40" w:type="dxa"/>
            <w:vAlign w:val="bottom"/>
            <w:tcBorders>
              <w:bottom w:val="single" w:sz="8" w:color="D7282F"/>
            </w:tcBorders>
          </w:tcPr>
          <w:p>
            <w:pPr>
              <w:spacing w:after="0"/>
              <w:rPr>
                <w:sz w:val="17"/>
                <w:szCs w:val="17"/>
                <w:color w:val="auto"/>
              </w:rPr>
            </w:pPr>
          </w:p>
        </w:tc>
        <w:tc>
          <w:tcPr>
            <w:tcW w:w="4280" w:type="dxa"/>
            <w:vAlign w:val="bottom"/>
            <w:tcBorders>
              <w:bottom w:val="single" w:sz="8" w:color="D7282F"/>
            </w:tcBorders>
          </w:tcPr>
          <w:p>
            <w:pPr>
              <w:jc w:val="center"/>
              <w:ind w:left="2508"/>
              <w:spacing w:after="0"/>
              <w:rPr>
                <w:sz w:val="20"/>
                <w:szCs w:val="20"/>
                <w:color w:val="auto"/>
              </w:rPr>
            </w:pPr>
            <w:r>
              <w:rPr>
                <w:rFonts w:ascii="Arial" w:cs="Arial" w:eastAsia="Arial" w:hAnsi="Arial"/>
                <w:sz w:val="14"/>
                <w:szCs w:val="14"/>
                <w:b w:val="1"/>
                <w:bCs w:val="1"/>
                <w:color w:val="auto"/>
              </w:rPr>
              <w:t>S&amp;P</w:t>
            </w:r>
          </w:p>
        </w:tc>
        <w:tc>
          <w:tcPr>
            <w:tcW w:w="15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Fitch</w:t>
            </w:r>
          </w:p>
        </w:tc>
        <w:tc>
          <w:tcPr>
            <w:tcW w:w="1600" w:type="dxa"/>
            <w:vAlign w:val="bottom"/>
            <w:tcBorders>
              <w:bottom w:val="single" w:sz="8" w:color="D7282F"/>
            </w:tcBorders>
          </w:tcPr>
          <w:p>
            <w:pPr>
              <w:jc w:val="center"/>
              <w:ind w:left="108"/>
              <w:spacing w:after="0"/>
              <w:rPr>
                <w:sz w:val="20"/>
                <w:szCs w:val="20"/>
                <w:color w:val="auto"/>
              </w:rPr>
            </w:pPr>
            <w:r>
              <w:rPr>
                <w:rFonts w:ascii="Arial" w:cs="Arial" w:eastAsia="Arial" w:hAnsi="Arial"/>
                <w:sz w:val="14"/>
                <w:szCs w:val="14"/>
                <w:b w:val="1"/>
                <w:bCs w:val="1"/>
                <w:color w:val="auto"/>
              </w:rPr>
              <w:t>Moody's</w:t>
            </w:r>
          </w:p>
        </w:tc>
        <w:tc>
          <w:tcPr>
            <w:tcW w:w="0" w:type="dxa"/>
            <w:vAlign w:val="bottom"/>
          </w:tcPr>
          <w:p>
            <w:pPr>
              <w:spacing w:after="0"/>
              <w:rPr>
                <w:sz w:val="1"/>
                <w:szCs w:val="1"/>
                <w:color w:val="auto"/>
              </w:rPr>
            </w:pPr>
          </w:p>
        </w:tc>
      </w:tr>
      <w:tr>
        <w:trPr>
          <w:trHeight w:val="147"/>
        </w:trPr>
        <w:tc>
          <w:tcPr>
            <w:tcW w:w="3840" w:type="dxa"/>
            <w:vAlign w:val="bottom"/>
            <w:vMerge w:val="restart"/>
          </w:tcPr>
          <w:p>
            <w:pPr>
              <w:ind w:left="20"/>
              <w:spacing w:after="0"/>
              <w:rPr>
                <w:sz w:val="20"/>
                <w:szCs w:val="20"/>
                <w:color w:val="auto"/>
              </w:rPr>
            </w:pPr>
            <w:r>
              <w:rPr>
                <w:rFonts w:ascii="Arial" w:cs="Arial" w:eastAsia="Arial" w:hAnsi="Arial"/>
                <w:sz w:val="14"/>
                <w:szCs w:val="14"/>
                <w:color w:val="auto"/>
              </w:rPr>
              <w:t>Outlook</w:t>
            </w:r>
          </w:p>
        </w:tc>
        <w:tc>
          <w:tcPr>
            <w:tcW w:w="4280" w:type="dxa"/>
            <w:vAlign w:val="bottom"/>
            <w:vMerge w:val="restart"/>
          </w:tcPr>
          <w:p>
            <w:pPr>
              <w:jc w:val="center"/>
              <w:ind w:left="2508"/>
              <w:spacing w:after="0"/>
              <w:rPr>
                <w:sz w:val="20"/>
                <w:szCs w:val="20"/>
                <w:color w:val="auto"/>
              </w:rPr>
            </w:pPr>
            <w:r>
              <w:rPr>
                <w:rFonts w:ascii="Arial" w:cs="Arial" w:eastAsia="Arial" w:hAnsi="Arial"/>
                <w:sz w:val="14"/>
                <w:szCs w:val="14"/>
                <w:color w:val="auto"/>
              </w:rPr>
              <w:t>Negative</w:t>
            </w: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rPr>
              <w:t>Stable</w:t>
            </w:r>
          </w:p>
        </w:tc>
        <w:tc>
          <w:tcPr>
            <w:tcW w:w="1600" w:type="dxa"/>
            <w:vAlign w:val="bottom"/>
          </w:tcPr>
          <w:p>
            <w:pPr>
              <w:jc w:val="center"/>
              <w:ind w:left="128"/>
              <w:spacing w:after="0" w:line="147" w:lineRule="exact"/>
              <w:rPr>
                <w:sz w:val="20"/>
                <w:szCs w:val="20"/>
                <w:color w:val="auto"/>
              </w:rPr>
            </w:pPr>
            <w:r>
              <w:rPr>
                <w:rFonts w:ascii="Arial" w:cs="Arial" w:eastAsia="Arial" w:hAnsi="Arial"/>
                <w:sz w:val="14"/>
                <w:szCs w:val="14"/>
                <w:color w:val="auto"/>
              </w:rPr>
              <w:t>Review for</w:t>
            </w:r>
          </w:p>
        </w:tc>
        <w:tc>
          <w:tcPr>
            <w:tcW w:w="0" w:type="dxa"/>
            <w:vAlign w:val="bottom"/>
          </w:tcPr>
          <w:p>
            <w:pPr>
              <w:spacing w:after="0"/>
              <w:rPr>
                <w:sz w:val="1"/>
                <w:szCs w:val="1"/>
                <w:color w:val="auto"/>
              </w:rPr>
            </w:pPr>
          </w:p>
        </w:tc>
      </w:tr>
      <w:tr>
        <w:trPr>
          <w:trHeight w:val="185"/>
        </w:trPr>
        <w:tc>
          <w:tcPr>
            <w:tcW w:w="3840" w:type="dxa"/>
            <w:vAlign w:val="bottom"/>
            <w:tcBorders>
              <w:bottom w:val="single" w:sz="8" w:color="61656A"/>
            </w:tcBorders>
            <w:vMerge w:val="continue"/>
          </w:tcPr>
          <w:p>
            <w:pPr>
              <w:spacing w:after="0"/>
              <w:rPr>
                <w:sz w:val="16"/>
                <w:szCs w:val="16"/>
                <w:color w:val="auto"/>
              </w:rPr>
            </w:pPr>
          </w:p>
        </w:tc>
        <w:tc>
          <w:tcPr>
            <w:tcW w:w="4280" w:type="dxa"/>
            <w:vAlign w:val="bottom"/>
            <w:tcBorders>
              <w:bottom w:val="single" w:sz="8" w:color="61656A"/>
            </w:tcBorders>
            <w:vMerge w:val="continue"/>
          </w:tcPr>
          <w:p>
            <w:pPr>
              <w:spacing w:after="0"/>
              <w:rPr>
                <w:sz w:val="16"/>
                <w:szCs w:val="16"/>
                <w:color w:val="auto"/>
              </w:rPr>
            </w:pPr>
          </w:p>
        </w:tc>
        <w:tc>
          <w:tcPr>
            <w:tcW w:w="1520" w:type="dxa"/>
            <w:vAlign w:val="bottom"/>
            <w:tcBorders>
              <w:bottom w:val="single" w:sz="8" w:color="61656A"/>
            </w:tcBorders>
            <w:vMerge w:val="continue"/>
          </w:tcPr>
          <w:p>
            <w:pPr>
              <w:spacing w:after="0"/>
              <w:rPr>
                <w:sz w:val="16"/>
                <w:szCs w:val="16"/>
                <w:color w:val="auto"/>
              </w:rPr>
            </w:pPr>
          </w:p>
        </w:tc>
        <w:tc>
          <w:tcPr>
            <w:tcW w:w="1600" w:type="dxa"/>
            <w:vAlign w:val="bottom"/>
            <w:tcBorders>
              <w:bottom w:val="single" w:sz="8" w:color="61656A"/>
            </w:tcBorders>
          </w:tcPr>
          <w:p>
            <w:pPr>
              <w:jc w:val="center"/>
              <w:ind w:left="128"/>
              <w:spacing w:after="0"/>
              <w:rPr>
                <w:sz w:val="20"/>
                <w:szCs w:val="20"/>
                <w:color w:val="auto"/>
              </w:rPr>
            </w:pPr>
            <w:r>
              <w:rPr>
                <w:rFonts w:ascii="Arial" w:cs="Arial" w:eastAsia="Arial" w:hAnsi="Arial"/>
                <w:sz w:val="14"/>
                <w:szCs w:val="14"/>
                <w:color w:val="auto"/>
              </w:rPr>
              <w:t>Downgrade</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Short-term</w:t>
            </w:r>
          </w:p>
        </w:tc>
        <w:tc>
          <w:tcPr>
            <w:tcW w:w="4280" w:type="dxa"/>
            <w:vAlign w:val="bottom"/>
            <w:tcBorders>
              <w:bottom w:val="single" w:sz="8" w:color="61656A"/>
            </w:tcBorders>
          </w:tcPr>
          <w:p>
            <w:pPr>
              <w:jc w:val="center"/>
              <w:ind w:left="2508"/>
              <w:spacing w:after="0"/>
              <w:rPr>
                <w:sz w:val="20"/>
                <w:szCs w:val="20"/>
                <w:color w:val="auto"/>
              </w:rPr>
            </w:pPr>
            <w:r>
              <w:rPr>
                <w:rFonts w:ascii="Arial" w:cs="Arial" w:eastAsia="Arial" w:hAnsi="Arial"/>
                <w:sz w:val="14"/>
                <w:szCs w:val="14"/>
                <w:color w:val="auto"/>
              </w:rPr>
              <w:t>A-1</w:t>
            </w:r>
          </w:p>
        </w:tc>
        <w:tc>
          <w:tcPr>
            <w:tcW w:w="15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7"/>
              </w:rPr>
              <w:t>F1</w:t>
            </w:r>
          </w:p>
        </w:tc>
        <w:tc>
          <w:tcPr>
            <w:tcW w:w="1600" w:type="dxa"/>
            <w:vAlign w:val="bottom"/>
            <w:tcBorders>
              <w:bottom w:val="single" w:sz="8" w:color="61656A"/>
            </w:tcBorders>
          </w:tcPr>
          <w:p>
            <w:pPr>
              <w:jc w:val="center"/>
              <w:ind w:left="128"/>
              <w:spacing w:after="0"/>
              <w:rPr>
                <w:sz w:val="20"/>
                <w:szCs w:val="20"/>
                <w:color w:val="auto"/>
              </w:rPr>
            </w:pPr>
            <w:r>
              <w:rPr>
                <w:rFonts w:ascii="Arial" w:cs="Arial" w:eastAsia="Arial" w:hAnsi="Arial"/>
                <w:sz w:val="14"/>
                <w:szCs w:val="14"/>
                <w:color w:val="auto"/>
                <w:w w:val="93"/>
              </w:rPr>
              <w:t>P1</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w:t>
            </w:r>
          </w:p>
        </w:tc>
        <w:tc>
          <w:tcPr>
            <w:tcW w:w="4280" w:type="dxa"/>
            <w:vAlign w:val="bottom"/>
            <w:tcBorders>
              <w:bottom w:val="single" w:sz="8" w:color="D7282F"/>
            </w:tcBorders>
          </w:tcPr>
          <w:p>
            <w:pPr>
              <w:jc w:val="center"/>
              <w:ind w:left="2508"/>
              <w:spacing w:after="0"/>
              <w:rPr>
                <w:sz w:val="20"/>
                <w:szCs w:val="20"/>
                <w:color w:val="auto"/>
              </w:rPr>
            </w:pPr>
            <w:r>
              <w:rPr>
                <w:rFonts w:ascii="Arial" w:cs="Arial" w:eastAsia="Arial" w:hAnsi="Arial"/>
                <w:sz w:val="14"/>
                <w:szCs w:val="14"/>
                <w:color w:val="auto"/>
              </w:rPr>
              <w:t>A</w:t>
            </w:r>
          </w:p>
        </w:tc>
        <w:tc>
          <w:tcPr>
            <w:tcW w:w="15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A</w:t>
            </w:r>
          </w:p>
        </w:tc>
        <w:tc>
          <w:tcPr>
            <w:tcW w:w="160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color w:val="auto"/>
                <w:w w:val="93"/>
              </w:rPr>
              <w:t>A2</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February 2, 2026, Moody's revised their credit rating outlook from stable to review for downgrade. On March 6, 2026, S&amp;P revised their credit rating outlook from watch negative to negative. On March 6, 2026, Fitch revised their credit rating outlook from watch negative to stable.</w:t>
      </w:r>
    </w:p>
    <w:p>
      <w:pPr>
        <w:spacing w:after="0" w:line="29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MATTERS</w:t>
      </w: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D7282F"/>
        </w:rPr>
        <w:t>LITIGATION</w:t>
      </w:r>
    </w:p>
    <w:p>
      <w:pPr>
        <w:spacing w:after="0" w:line="23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 xml:space="preserve">See Note 15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Notes to Consolidated Financial Statements for further discussion of environmental and other litigation matters.</w:t>
      </w: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color w:val="D7282F"/>
        </w:rPr>
        <w:t>CRITICAL ACCOUNTING ESTIMATES</w:t>
      </w:r>
    </w:p>
    <w:p>
      <w:pPr>
        <w:spacing w:after="0" w:line="23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There have been no material changes to our Critical Accounting Estimates presented in our 2025 Annual Report on Form 10-K. For a discussion of the Company’s Critical Accounting Estimates, see the section titled Critical Accounting Estimates in our 2025 Annual Report on Form 10-K.</w:t>
      </w:r>
    </w:p>
    <w:p>
      <w:pPr>
        <w:spacing w:after="0" w:line="191" w:lineRule="exact"/>
        <w:rPr>
          <w:sz w:val="20"/>
          <w:szCs w:val="20"/>
          <w:color w:val="auto"/>
        </w:rPr>
      </w:pPr>
    </w:p>
    <w:p>
      <w:pPr>
        <w:spacing w:after="0"/>
        <w:rPr>
          <w:sz w:val="20"/>
          <w:szCs w:val="20"/>
          <w:color w:val="auto"/>
        </w:rPr>
      </w:pPr>
      <w:r>
        <w:rPr>
          <w:rFonts w:ascii="Arial" w:cs="Arial" w:eastAsia="Arial" w:hAnsi="Arial"/>
          <w:sz w:val="29"/>
          <w:szCs w:val="29"/>
          <w:color w:val="D7282F"/>
        </w:rPr>
        <w:t>RECENT ACCOUNTING PRONOUNCEMENTS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See Note 2 </w:t>
      </w:r>
      <w:r>
        <w:rPr>
          <w:rFonts w:ascii="Arial" w:cs="Arial" w:eastAsia="Arial" w:hAnsi="Arial"/>
          <w:sz w:val="16"/>
          <w:szCs w:val="16"/>
          <w:u w:val="single" w:color="auto"/>
          <w:color w:val="0000FF"/>
        </w:rPr>
        <w:t>Summary of Significant Accounting Policies</w:t>
      </w:r>
      <w:r>
        <w:rPr>
          <w:rFonts w:ascii="Arial" w:cs="Arial" w:eastAsia="Arial" w:hAnsi="Arial"/>
          <w:sz w:val="16"/>
          <w:szCs w:val="16"/>
          <w:color w:val="auto"/>
        </w:rPr>
        <w:t xml:space="preserve"> of Notes to Consolidated Financial Statements for a discussion of recent accounting pronouncements.</w:t>
      </w:r>
    </w:p>
    <w:p>
      <w:pPr>
        <w:spacing w:after="0" w:line="200" w:lineRule="exact"/>
        <w:rPr>
          <w:sz w:val="20"/>
          <w:szCs w:val="20"/>
          <w:color w:val="auto"/>
        </w:rPr>
      </w:pPr>
    </w:p>
    <w:p>
      <w:pPr>
        <w:spacing w:after="0" w:line="331" w:lineRule="exact"/>
        <w:rPr>
          <w:sz w:val="20"/>
          <w:szCs w:val="20"/>
          <w:color w:val="auto"/>
        </w:rPr>
      </w:pPr>
    </w:p>
    <w:p>
      <w:pPr>
        <w:ind w:right="1240"/>
        <w:spacing w:after="0" w:line="297" w:lineRule="auto"/>
        <w:rPr>
          <w:sz w:val="20"/>
          <w:szCs w:val="20"/>
          <w:color w:val="auto"/>
        </w:rPr>
      </w:pPr>
      <w:r>
        <w:rPr>
          <w:rFonts w:ascii="Arial" w:cs="Arial" w:eastAsia="Arial" w:hAnsi="Arial"/>
          <w:sz w:val="36"/>
          <w:szCs w:val="36"/>
          <w:b w:val="1"/>
          <w:bCs w:val="1"/>
          <w:color w:val="auto"/>
        </w:rPr>
        <w:t>ITEM 3. QUANTITATIVE AND QUALITATIVE DISCLOSURES ABOUT MARKET RISKS</w:t>
      </w:r>
    </w:p>
    <w:p>
      <w:pPr>
        <w:spacing w:after="0" w:line="21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For a discussion of the Company’s quantitative and qualitative disclosures about market risks, see the section titled Quantitative and Qualitative Disclosures About Market Risks in our 2025 Annual Report on Form 10-K. As of March 31, 2026, there has been no material change in this information.</w:t>
      </w:r>
    </w:p>
    <w:p>
      <w:pPr>
        <w:spacing w:after="0" w:line="400" w:lineRule="exact"/>
        <w:rPr>
          <w:sz w:val="20"/>
          <w:szCs w:val="20"/>
          <w:color w:val="auto"/>
        </w:rPr>
      </w:pPr>
    </w:p>
    <w:p>
      <w:pPr>
        <w:ind w:left="400" w:hanging="392"/>
        <w:spacing w:after="0"/>
        <w:tabs>
          <w:tab w:leader="none" w:pos="400" w:val="left"/>
        </w:tabs>
        <w:numPr>
          <w:ilvl w:val="0"/>
          <w:numId w:val="5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CONTROLS AND PROCEDURES</w:t>
      </w:r>
    </w:p>
    <w:p>
      <w:pPr>
        <w:spacing w:after="0" w:line="37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Honeywell management, including the Chairman and Chief Executive Officer (CEO) and Chief Financial Officer (CFO),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Chairman and CEO and the CFO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SEC's rules and forms, and that it is accumulated and communicated to our management, including our Chairman and CEO, our CFO, and our Controller, as appropriate, to allow timely decisions regarding required disclosure. There were no changes that materially affected, or are reasonably likely to materially affect, Honeywell’s internal control over financial reporting that occurred during the period covered by this Quarterly Report on Form 10-Q.</w:t>
      </w:r>
    </w:p>
    <w:p>
      <w:pPr>
        <w:spacing w:after="0" w:line="200" w:lineRule="exact"/>
        <w:rPr>
          <w:sz w:val="20"/>
          <w:szCs w:val="20"/>
          <w:color w:val="auto"/>
        </w:rPr>
      </w:pPr>
    </w:p>
    <w:p>
      <w:pPr>
        <w:spacing w:after="0" w:line="222" w:lineRule="exact"/>
        <w:rPr>
          <w:sz w:val="20"/>
          <w:szCs w:val="20"/>
          <w:color w:val="auto"/>
        </w:rPr>
      </w:pPr>
    </w:p>
    <w:p>
      <w:pPr>
        <w:ind w:left="400" w:hanging="392"/>
        <w:spacing w:after="0"/>
        <w:tabs>
          <w:tab w:leader="none" w:pos="400" w:val="left"/>
        </w:tabs>
        <w:numPr>
          <w:ilvl w:val="0"/>
          <w:numId w:val="5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II. OTHER INFORMATION</w:t>
      </w:r>
    </w:p>
    <w:p>
      <w:pPr>
        <w:spacing w:after="0" w:line="38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 LEGAL PROCEEDINGS</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a number of lawsuits, investigations, and claims (some of which involve substantial amounts) arising out of the conduct of our business.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a discussion of environmental and other litigation matters in Note 15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Notes to Consolidated Financial Statements.</w:t>
      </w:r>
    </w:p>
    <w:p>
      <w:pPr>
        <w:spacing w:after="0" w:line="10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There were no matters requiring disclosure pursuant to the requirement to disclose certain environmental matters involving potential monetary sanctions in excess of $300,000.</w:t>
      </w:r>
    </w:p>
    <w:p>
      <w:pPr>
        <w:spacing w:after="0" w:line="30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1A. RISK FACTORS</w:t>
      </w:r>
    </w:p>
    <w:p>
      <w:pPr>
        <w:spacing w:after="0" w:line="379"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Other than as noted below, there have been no material changes to our Risk Factors presented in our 2025 Annual Report on Form 10-K under the section titled Risk Factors. For further discussion of our Risk Factors, refer to the section titled Risk Factors in our 2025 Annual Report on Form 10-K.</w:t>
      </w:r>
    </w:p>
    <w:p>
      <w:pPr>
        <w:spacing w:after="0" w:line="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D7282F"/>
        </w:rPr>
        <w:t>Raw material price fluctuations, inflation, the ability of key suppliers to meet quality and delivery requirements, or catastrophic events can increase the cost of our products and services, impact our ability to meet commitments to customers, and cause us to incur significant liabilities.</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cost of raw materials is a key element in the cost of our products, particularly in Energy and Sustainability Solutions (copper, tungsten salts, aluminum, and molybdenum) and in Aerospace Technologies (nickel, steel, titanium, and other metals). As of December 31, 2025, the majority of the raw materials supply base of Aerospace Technologies and Energy and Sustainability Solutions were under contract. While we have implemented mitigation strategies to reduce the impact of supply chain disruptions, any inability to source necessary materials when and as needed, offset material price or labor inflation through increased prices to customers, formula-driven or long-term fixed price contracts with suppliers, productivity actions, or commodity hedges could adversely affect our results of operations.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Many major components, product equipment items, and raw materials, particularly in Aerospace Technologies,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in addition to other supply chain disruptions, may have in the future. Our ability to manage inventory and meet delivery requirements may be constrained by our suppliers’ inability to scale production and adjust delivery of long-lead time products during times of volatile demand. In addition, current or future global economic uncertainty, including inflation and high interest rates, supply chain and labor disruptions, tariffs and other trade barriers and restrictions, unemployment rates, banking instability, any U.S. government shutdown, any downgrades in the U.S. government's sovereign credit rating, public health crises, volatile financial markets, geopolitical instability and regional conflicts, including ongoing conflicts in the Middle East, and potential recession may affect the financial stability of our key suppliers or their access to financing, which may in turn affect their ability to perform their obligations to us. If one or more of our suppliers experiences financial difficulties, delivery delays, or other performance problems, our resulting inability to fill our supply needs would jeopardize our ability to fulfill obligations under commercial and government contracts, which could, in turn, result in reduced sales and profits, contract penalties or terminations, and damage to customer relationships.</w:t>
      </w:r>
    </w:p>
    <w:p>
      <w:pPr>
        <w:spacing w:after="0" w:line="28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certain of our businesses, our contracts are typically awarded on a competitive basis. Our bids are based upon, among other factors, the cost to timely provide the products and services. To generate an acceptable return, we must accurately estimate our input costs and delivery schedules. If we fail to do so, the profitability of contracts may be adversely affected – including because some of our contracts provide for liquidated damages if we do not perform on time – which could have a material adverse effect on our competitive position, results of operations, cash flows or financial condition.</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an effort to reduce the impact of current and future supply chain disruptions, we have implemented short-term and long-term strategies to reduce the impact of such disruptions, including supply chain simplification, continued alignment to local supply sources, digital solutions for identifying and managing shortages, pricing actions and dual source strategies, longer-term planning for constrained materials, supply tracking tools, direct engagement with key suppliers to meet customer demand, new supplier development, and development of new or redesigned products that satisfy our product quality controls and engineering qualifications and/or any applicable regulatory requirements. We cannot provide any assurance that our mitigation strategies will continue to be successful, or that we will be able to alter our strategies or develop new strategies if and as needed.</w:t>
      </w:r>
    </w:p>
    <w:p>
      <w:pPr>
        <w:spacing w:after="0" w:line="200" w:lineRule="exact"/>
        <w:rPr>
          <w:sz w:val="20"/>
          <w:szCs w:val="20"/>
          <w:color w:val="auto"/>
        </w:rPr>
      </w:pPr>
    </w:p>
    <w:p>
      <w:pPr>
        <w:spacing w:after="0" w:line="221" w:lineRule="exact"/>
        <w:rPr>
          <w:sz w:val="20"/>
          <w:szCs w:val="20"/>
          <w:color w:val="auto"/>
        </w:rPr>
      </w:pPr>
    </w:p>
    <w:p>
      <w:pPr>
        <w:ind w:left="400" w:hanging="392"/>
        <w:spacing w:after="0"/>
        <w:tabs>
          <w:tab w:leader="none" w:pos="400" w:val="left"/>
        </w:tabs>
        <w:numPr>
          <w:ilvl w:val="0"/>
          <w:numId w:val="6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540"/>
        <w:spacing w:after="0" w:line="297" w:lineRule="auto"/>
        <w:rPr>
          <w:sz w:val="20"/>
          <w:szCs w:val="20"/>
          <w:color w:val="auto"/>
        </w:rPr>
      </w:pPr>
      <w:r>
        <w:rPr>
          <w:rFonts w:ascii="Arial" w:cs="Arial" w:eastAsia="Arial" w:hAnsi="Arial"/>
          <w:sz w:val="36"/>
          <w:szCs w:val="36"/>
          <w:b w:val="1"/>
          <w:bCs w:val="1"/>
          <w:color w:val="auto"/>
        </w:rPr>
        <w:t>ITEM 2. UNREGISTERED SALES OF EQUITY SECURITIES AND USE OF PROCEEDS</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April 24, 2023, Honeywell's Board of Directors authorized the repurchase of up to $10 billion of Honeywell common stock, including approximately $2.1 billion of remaining availability under the previously announced $10 billion share repurchase authorization. The repurchase authorization does not have an expiration date and may be amended or terminated by Honeywell's Board of Directors at any time without prior notice.</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Repurchases may be made through a variety of methods, which could include open market purchases, accelerated share repurchase transactions, negotiated block transactions, 10b5-1 plans, other transactions that may be structured through investment banking institutions or privately negotiated, or a combination of the foregoing. Honeywell presently expects to repurchase outstanding shares from time to time (i) to offset the dilutive impact of employee stock-based compensation plans, including option exercises, restricted unit vesting, and matching contributions under our savings plans, and (ii) to reduce share count via share repurchases as and when attractive opportunities arise. The amount and timing of future repurchases may vary depending on market conditions and the level of operating, financing, and other investing activities.</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three months ended March 31, 2026, Honeywell repurchased 4.4 million shares of its common stock, par value $1 per share. As of March 31, 2026, $679 million remained available under the share repurchase authorization for additional share repurchases. The following table summarizes our purchases of Honeywell's common stock for the three months ended March 31, 2026:</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500" w:type="dxa"/>
            <w:vAlign w:val="bottom"/>
            <w:tcBorders>
              <w:top w:val="single" w:sz="8" w:color="D7282F"/>
            </w:tcBorders>
          </w:tcPr>
          <w:p>
            <w:pPr>
              <w:spacing w:after="0"/>
              <w:rPr>
                <w:sz w:val="12"/>
                <w:szCs w:val="12"/>
                <w:color w:val="auto"/>
              </w:rPr>
            </w:pPr>
          </w:p>
        </w:tc>
        <w:tc>
          <w:tcPr>
            <w:tcW w:w="2300" w:type="dxa"/>
            <w:vAlign w:val="bottom"/>
            <w:tcBorders>
              <w:top w:val="single" w:sz="8" w:color="D7282F"/>
            </w:tcBorders>
          </w:tcPr>
          <w:p>
            <w:pPr>
              <w:spacing w:after="0"/>
              <w:rPr>
                <w:sz w:val="12"/>
                <w:szCs w:val="12"/>
                <w:color w:val="auto"/>
              </w:rPr>
            </w:pPr>
          </w:p>
        </w:tc>
        <w:tc>
          <w:tcPr>
            <w:tcW w:w="1680" w:type="dxa"/>
            <w:vAlign w:val="bottom"/>
            <w:tcBorders>
              <w:top w:val="single" w:sz="8" w:color="D7282F"/>
            </w:tcBorders>
          </w:tcPr>
          <w:p>
            <w:pPr>
              <w:spacing w:after="0"/>
              <w:rPr>
                <w:sz w:val="12"/>
                <w:szCs w:val="12"/>
                <w:color w:val="auto"/>
              </w:rPr>
            </w:pPr>
          </w:p>
        </w:tc>
        <w:tc>
          <w:tcPr>
            <w:tcW w:w="1700" w:type="dxa"/>
            <w:vAlign w:val="bottom"/>
            <w:tcBorders>
              <w:top w:val="single" w:sz="8" w:color="D7282F"/>
            </w:tcBorders>
          </w:tcPr>
          <w:p>
            <w:pPr>
              <w:jc w:val="center"/>
              <w:ind w:left="188"/>
              <w:spacing w:after="0" w:line="149" w:lineRule="exact"/>
              <w:rPr>
                <w:sz w:val="20"/>
                <w:szCs w:val="20"/>
                <w:color w:val="auto"/>
              </w:rPr>
            </w:pPr>
            <w:r>
              <w:rPr>
                <w:rFonts w:ascii="Arial" w:cs="Arial" w:eastAsia="Arial" w:hAnsi="Arial"/>
                <w:sz w:val="14"/>
                <w:szCs w:val="14"/>
                <w:b w:val="1"/>
                <w:bCs w:val="1"/>
                <w:color w:val="auto"/>
              </w:rPr>
              <w:t>Total Number</w:t>
            </w:r>
          </w:p>
        </w:tc>
        <w:tc>
          <w:tcPr>
            <w:tcW w:w="2060" w:type="dxa"/>
            <w:vAlign w:val="bottom"/>
            <w:tcBorders>
              <w:top w:val="single" w:sz="8" w:color="D7282F"/>
            </w:tcBorders>
            <w:vMerge w:val="restart"/>
          </w:tcPr>
          <w:p>
            <w:pPr>
              <w:jc w:val="center"/>
              <w:ind w:left="88"/>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00" w:type="dxa"/>
            <w:vAlign w:val="bottom"/>
          </w:tcPr>
          <w:p>
            <w:pPr>
              <w:jc w:val="center"/>
              <w:ind w:left="168"/>
              <w:spacing w:after="0" w:line="145" w:lineRule="exact"/>
              <w:rPr>
                <w:sz w:val="20"/>
                <w:szCs w:val="20"/>
                <w:color w:val="auto"/>
              </w:rPr>
            </w:pPr>
            <w:r>
              <w:rPr>
                <w:rFonts w:ascii="Arial" w:cs="Arial" w:eastAsia="Arial" w:hAnsi="Arial"/>
                <w:sz w:val="14"/>
                <w:szCs w:val="14"/>
                <w:b w:val="1"/>
                <w:bCs w:val="1"/>
                <w:color w:val="auto"/>
              </w:rPr>
              <w:t>of Shares</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300" w:type="dxa"/>
            <w:vAlign w:val="bottom"/>
            <w:vMerge w:val="restart"/>
          </w:tcPr>
          <w:p>
            <w:pPr>
              <w:jc w:val="center"/>
              <w:ind w:left="448"/>
              <w:spacing w:after="0"/>
              <w:rPr>
                <w:sz w:val="20"/>
                <w:szCs w:val="20"/>
                <w:color w:val="auto"/>
              </w:rPr>
            </w:pPr>
            <w:r>
              <w:rPr>
                <w:rFonts w:ascii="Arial" w:cs="Arial" w:eastAsia="Arial" w:hAnsi="Arial"/>
                <w:sz w:val="14"/>
                <w:szCs w:val="14"/>
                <w:b w:val="1"/>
                <w:bCs w:val="1"/>
                <w:color w:val="auto"/>
              </w:rPr>
              <w:t>Total</w:t>
            </w:r>
          </w:p>
        </w:tc>
        <w:tc>
          <w:tcPr>
            <w:tcW w:w="1680" w:type="dxa"/>
            <w:vAlign w:val="bottom"/>
          </w:tcPr>
          <w:p>
            <w:pPr>
              <w:spacing w:after="0"/>
              <w:rPr>
                <w:sz w:val="12"/>
                <w:szCs w:val="12"/>
                <w:color w:val="auto"/>
              </w:rPr>
            </w:pPr>
          </w:p>
        </w:tc>
        <w:tc>
          <w:tcPr>
            <w:tcW w:w="170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Purchased as</w:t>
            </w:r>
          </w:p>
        </w:tc>
        <w:tc>
          <w:tcPr>
            <w:tcW w:w="206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39"/>
        </w:trPr>
        <w:tc>
          <w:tcPr>
            <w:tcW w:w="350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16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ind w:left="168"/>
              <w:spacing w:after="0" w:line="139" w:lineRule="exact"/>
              <w:rPr>
                <w:sz w:val="20"/>
                <w:szCs w:val="20"/>
                <w:color w:val="auto"/>
              </w:rPr>
            </w:pPr>
            <w:r>
              <w:rPr>
                <w:rFonts w:ascii="Arial" w:cs="Arial" w:eastAsia="Arial" w:hAnsi="Arial"/>
                <w:sz w:val="14"/>
                <w:szCs w:val="14"/>
                <w:b w:val="1"/>
                <w:bCs w:val="1"/>
                <w:color w:val="auto"/>
              </w:rPr>
              <w:t>Part of Publicly</w:t>
            </w:r>
          </w:p>
        </w:tc>
        <w:tc>
          <w:tcPr>
            <w:tcW w:w="2060" w:type="dxa"/>
            <w:vAlign w:val="bottom"/>
          </w:tcPr>
          <w:p>
            <w:pPr>
              <w:jc w:val="center"/>
              <w:ind w:left="68"/>
              <w:spacing w:after="0" w:line="139" w:lineRule="exact"/>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2300" w:type="dxa"/>
            <w:vAlign w:val="bottom"/>
          </w:tcPr>
          <w:p>
            <w:pPr>
              <w:jc w:val="center"/>
              <w:ind w:left="468"/>
              <w:spacing w:after="0" w:line="145" w:lineRule="exact"/>
              <w:rPr>
                <w:sz w:val="20"/>
                <w:szCs w:val="20"/>
                <w:color w:val="auto"/>
              </w:rPr>
            </w:pPr>
            <w:r>
              <w:rPr>
                <w:rFonts w:ascii="Arial" w:cs="Arial" w:eastAsia="Arial" w:hAnsi="Arial"/>
                <w:sz w:val="14"/>
                <w:szCs w:val="14"/>
                <w:b w:val="1"/>
                <w:bCs w:val="1"/>
                <w:color w:val="auto"/>
              </w:rPr>
              <w:t>Number of</w:t>
            </w:r>
          </w:p>
        </w:tc>
        <w:tc>
          <w:tcPr>
            <w:tcW w:w="1680" w:type="dxa"/>
            <w:vAlign w:val="bottom"/>
            <w:vMerge w:val="continue"/>
          </w:tcPr>
          <w:p>
            <w:pPr>
              <w:spacing w:after="0"/>
              <w:rPr>
                <w:sz w:val="12"/>
                <w:szCs w:val="12"/>
                <w:color w:val="auto"/>
              </w:rPr>
            </w:pPr>
          </w:p>
        </w:tc>
        <w:tc>
          <w:tcPr>
            <w:tcW w:w="1700" w:type="dxa"/>
            <w:vAlign w:val="bottom"/>
          </w:tcPr>
          <w:p>
            <w:pPr>
              <w:jc w:val="center"/>
              <w:ind w:left="168"/>
              <w:spacing w:after="0" w:line="145" w:lineRule="exact"/>
              <w:rPr>
                <w:sz w:val="20"/>
                <w:szCs w:val="20"/>
                <w:color w:val="auto"/>
              </w:rPr>
            </w:pPr>
            <w:r>
              <w:rPr>
                <w:rFonts w:ascii="Arial" w:cs="Arial" w:eastAsia="Arial" w:hAnsi="Arial"/>
                <w:sz w:val="14"/>
                <w:szCs w:val="14"/>
                <w:b w:val="1"/>
                <w:bCs w:val="1"/>
                <w:color w:val="auto"/>
              </w:rPr>
              <w:t>Announced</w:t>
            </w:r>
          </w:p>
        </w:tc>
        <w:tc>
          <w:tcPr>
            <w:tcW w:w="2060" w:type="dxa"/>
            <w:vAlign w:val="bottom"/>
          </w:tcPr>
          <w:p>
            <w:pPr>
              <w:jc w:val="center"/>
              <w:ind w:left="68"/>
              <w:spacing w:after="0" w:line="145" w:lineRule="exact"/>
              <w:rPr>
                <w:sz w:val="20"/>
                <w:szCs w:val="20"/>
                <w:color w:val="auto"/>
              </w:rPr>
            </w:pPr>
            <w:r>
              <w:rPr>
                <w:rFonts w:ascii="Arial" w:cs="Arial" w:eastAsia="Arial" w:hAnsi="Arial"/>
                <w:sz w:val="14"/>
                <w:szCs w:val="14"/>
                <w:b w:val="1"/>
                <w:bCs w:val="1"/>
                <w:color w:val="auto"/>
              </w:rPr>
              <w:t>Purchased Under Plans or</w:t>
            </w:r>
          </w:p>
        </w:tc>
        <w:tc>
          <w:tcPr>
            <w:tcW w:w="0" w:type="dxa"/>
            <w:vAlign w:val="bottom"/>
          </w:tcPr>
          <w:p>
            <w:pPr>
              <w:spacing w:after="0"/>
              <w:rPr>
                <w:sz w:val="1"/>
                <w:szCs w:val="1"/>
                <w:color w:val="auto"/>
              </w:rPr>
            </w:pPr>
          </w:p>
        </w:tc>
      </w:tr>
      <w:tr>
        <w:trPr>
          <w:trHeight w:val="148"/>
        </w:trPr>
        <w:tc>
          <w:tcPr>
            <w:tcW w:w="3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30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rPr>
              <w:t>Shares</w:t>
            </w:r>
          </w:p>
        </w:tc>
        <w:tc>
          <w:tcPr>
            <w:tcW w:w="168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Plans</w:t>
            </w:r>
          </w:p>
        </w:tc>
        <w:tc>
          <w:tcPr>
            <w:tcW w:w="206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89"/>
        </w:trPr>
        <w:tc>
          <w:tcPr>
            <w:tcW w:w="3500" w:type="dxa"/>
            <w:vAlign w:val="bottom"/>
            <w:tcBorders>
              <w:bottom w:val="single" w:sz="8" w:color="D7282F"/>
            </w:tcBorders>
            <w:vMerge w:val="continue"/>
          </w:tcPr>
          <w:p>
            <w:pPr>
              <w:spacing w:after="0"/>
              <w:rPr>
                <w:sz w:val="16"/>
                <w:szCs w:val="16"/>
                <w:color w:val="auto"/>
              </w:rPr>
            </w:pPr>
          </w:p>
        </w:tc>
        <w:tc>
          <w:tcPr>
            <w:tcW w:w="2300" w:type="dxa"/>
            <w:vAlign w:val="bottom"/>
            <w:tcBorders>
              <w:bottom w:val="single" w:sz="8" w:color="D7282F"/>
            </w:tcBorders>
          </w:tcPr>
          <w:p>
            <w:pPr>
              <w:jc w:val="center"/>
              <w:ind w:left="448"/>
              <w:spacing w:after="0"/>
              <w:rPr>
                <w:sz w:val="20"/>
                <w:szCs w:val="20"/>
                <w:color w:val="auto"/>
              </w:rPr>
            </w:pPr>
            <w:r>
              <w:rPr>
                <w:rFonts w:ascii="Arial" w:cs="Arial" w:eastAsia="Arial" w:hAnsi="Arial"/>
                <w:sz w:val="14"/>
                <w:szCs w:val="14"/>
                <w:b w:val="1"/>
                <w:bCs w:val="1"/>
                <w:color w:val="auto"/>
              </w:rPr>
              <w:t>Purchased</w:t>
            </w:r>
          </w:p>
        </w:tc>
        <w:tc>
          <w:tcPr>
            <w:tcW w:w="168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1</w:t>
            </w:r>
          </w:p>
        </w:tc>
        <w:tc>
          <w:tcPr>
            <w:tcW w:w="1700" w:type="dxa"/>
            <w:vAlign w:val="bottom"/>
            <w:tcBorders>
              <w:bottom w:val="single" w:sz="8" w:color="D7282F"/>
            </w:tcBorders>
          </w:tcPr>
          <w:p>
            <w:pPr>
              <w:jc w:val="center"/>
              <w:ind w:left="168"/>
              <w:spacing w:after="0"/>
              <w:rPr>
                <w:sz w:val="20"/>
                <w:szCs w:val="20"/>
                <w:color w:val="auto"/>
              </w:rPr>
            </w:pPr>
            <w:r>
              <w:rPr>
                <w:rFonts w:ascii="Arial" w:cs="Arial" w:eastAsia="Arial" w:hAnsi="Arial"/>
                <w:sz w:val="14"/>
                <w:szCs w:val="14"/>
                <w:b w:val="1"/>
                <w:bCs w:val="1"/>
                <w:color w:val="auto"/>
              </w:rPr>
              <w:t>or Programs</w:t>
            </w:r>
          </w:p>
        </w:tc>
        <w:tc>
          <w:tcPr>
            <w:tcW w:w="2060" w:type="dxa"/>
            <w:vAlign w:val="bottom"/>
            <w:tcBorders>
              <w:bottom w:val="single" w:sz="8" w:color="D7282F"/>
            </w:tcBorders>
          </w:tcPr>
          <w:p>
            <w:pPr>
              <w:jc w:val="center"/>
              <w:ind w:left="88"/>
              <w:spacing w:after="0"/>
              <w:rPr>
                <w:sz w:val="20"/>
                <w:szCs w:val="20"/>
                <w:color w:val="auto"/>
              </w:rPr>
            </w:pPr>
            <w:r>
              <w:rPr>
                <w:rFonts w:ascii="Arial" w:cs="Arial" w:eastAsia="Arial" w:hAnsi="Arial"/>
                <w:sz w:val="14"/>
                <w:szCs w:val="14"/>
                <w:b w:val="1"/>
                <w:bCs w:val="1"/>
                <w:color w:val="auto"/>
              </w:rPr>
              <w:t>(Dollars in millions)</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92"/>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January 1, 2026 - January 24, 2026</w:t>
            </w:r>
          </w:p>
        </w:tc>
        <w:tc>
          <w:tcPr>
            <w:tcW w:w="2300" w:type="dxa"/>
            <w:vAlign w:val="bottom"/>
            <w:tcBorders>
              <w:bottom w:val="single" w:sz="8" w:color="61656A"/>
            </w:tcBorders>
          </w:tcPr>
          <w:p>
            <w:pPr>
              <w:jc w:val="center"/>
              <w:ind w:left="468"/>
              <w:spacing w:after="0"/>
              <w:rPr>
                <w:sz w:val="20"/>
                <w:szCs w:val="20"/>
                <w:color w:val="auto"/>
              </w:rPr>
            </w:pPr>
            <w:r>
              <w:rPr>
                <w:rFonts w:ascii="Arial" w:cs="Arial" w:eastAsia="Arial" w:hAnsi="Arial"/>
                <w:sz w:val="14"/>
                <w:szCs w:val="14"/>
                <w:color w:val="auto"/>
              </w:rPr>
              <w:t>1,215,077</w:t>
            </w:r>
          </w:p>
        </w:tc>
        <w:tc>
          <w:tcPr>
            <w:tcW w:w="168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216.01</w:t>
            </w:r>
          </w:p>
        </w:tc>
        <w:tc>
          <w:tcPr>
            <w:tcW w:w="1700" w:type="dxa"/>
            <w:vAlign w:val="bottom"/>
            <w:tcBorders>
              <w:bottom w:val="single" w:sz="8" w:color="61656A"/>
            </w:tcBorders>
          </w:tcPr>
          <w:p>
            <w:pPr>
              <w:jc w:val="center"/>
              <w:ind w:left="188"/>
              <w:spacing w:after="0"/>
              <w:rPr>
                <w:sz w:val="20"/>
                <w:szCs w:val="20"/>
                <w:color w:val="auto"/>
              </w:rPr>
            </w:pPr>
            <w:r>
              <w:rPr>
                <w:rFonts w:ascii="Arial" w:cs="Arial" w:eastAsia="Arial" w:hAnsi="Arial"/>
                <w:sz w:val="14"/>
                <w:szCs w:val="14"/>
                <w:color w:val="auto"/>
              </w:rPr>
              <w:t>1,215,077</w:t>
            </w:r>
          </w:p>
        </w:tc>
        <w:tc>
          <w:tcPr>
            <w:tcW w:w="206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color w:val="auto"/>
              </w:rPr>
              <w:t>$1,416</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January 25, 2026 - February 21, 2026</w:t>
            </w:r>
          </w:p>
        </w:tc>
        <w:tc>
          <w:tcPr>
            <w:tcW w:w="2300" w:type="dxa"/>
            <w:vAlign w:val="bottom"/>
            <w:tcBorders>
              <w:bottom w:val="single" w:sz="8" w:color="61656A"/>
            </w:tcBorders>
          </w:tcPr>
          <w:p>
            <w:pPr>
              <w:jc w:val="center"/>
              <w:ind w:left="468"/>
              <w:spacing w:after="0"/>
              <w:rPr>
                <w:sz w:val="20"/>
                <w:szCs w:val="20"/>
                <w:color w:val="auto"/>
              </w:rPr>
            </w:pPr>
            <w:r>
              <w:rPr>
                <w:rFonts w:ascii="Arial" w:cs="Arial" w:eastAsia="Arial" w:hAnsi="Arial"/>
                <w:sz w:val="14"/>
                <w:szCs w:val="14"/>
                <w:color w:val="auto"/>
              </w:rPr>
              <w:t>2,591,065</w:t>
            </w:r>
          </w:p>
        </w:tc>
        <w:tc>
          <w:tcPr>
            <w:tcW w:w="168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231.54</w:t>
            </w:r>
          </w:p>
        </w:tc>
        <w:tc>
          <w:tcPr>
            <w:tcW w:w="1700" w:type="dxa"/>
            <w:vAlign w:val="bottom"/>
            <w:tcBorders>
              <w:bottom w:val="single" w:sz="8" w:color="61656A"/>
            </w:tcBorders>
          </w:tcPr>
          <w:p>
            <w:pPr>
              <w:jc w:val="center"/>
              <w:ind w:left="188"/>
              <w:spacing w:after="0"/>
              <w:rPr>
                <w:sz w:val="20"/>
                <w:szCs w:val="20"/>
                <w:color w:val="auto"/>
              </w:rPr>
            </w:pPr>
            <w:r>
              <w:rPr>
                <w:rFonts w:ascii="Arial" w:cs="Arial" w:eastAsia="Arial" w:hAnsi="Arial"/>
                <w:sz w:val="14"/>
                <w:szCs w:val="14"/>
                <w:color w:val="auto"/>
              </w:rPr>
              <w:t>2,591,065</w:t>
            </w:r>
          </w:p>
        </w:tc>
        <w:tc>
          <w:tcPr>
            <w:tcW w:w="206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February 22, 2026 - March 28, 2026</w:t>
            </w:r>
          </w:p>
        </w:tc>
        <w:tc>
          <w:tcPr>
            <w:tcW w:w="2300" w:type="dxa"/>
            <w:vAlign w:val="bottom"/>
            <w:tcBorders>
              <w:bottom w:val="single" w:sz="8" w:color="D7282F"/>
            </w:tcBorders>
          </w:tcPr>
          <w:p>
            <w:pPr>
              <w:jc w:val="center"/>
              <w:ind w:left="468"/>
              <w:spacing w:after="0"/>
              <w:rPr>
                <w:sz w:val="20"/>
                <w:szCs w:val="20"/>
                <w:color w:val="auto"/>
              </w:rPr>
            </w:pPr>
            <w:r>
              <w:rPr>
                <w:rFonts w:ascii="Arial" w:cs="Arial" w:eastAsia="Arial" w:hAnsi="Arial"/>
                <w:sz w:val="14"/>
                <w:szCs w:val="14"/>
                <w:color w:val="auto"/>
              </w:rPr>
              <w:t>565,962</w:t>
            </w:r>
          </w:p>
        </w:tc>
        <w:tc>
          <w:tcPr>
            <w:tcW w:w="168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rPr>
              <w:t>242.94</w:t>
            </w:r>
          </w:p>
        </w:tc>
        <w:tc>
          <w:tcPr>
            <w:tcW w:w="1700" w:type="dxa"/>
            <w:vAlign w:val="bottom"/>
            <w:tcBorders>
              <w:bottom w:val="single" w:sz="8" w:color="D7282F"/>
            </w:tcBorders>
          </w:tcPr>
          <w:p>
            <w:pPr>
              <w:jc w:val="center"/>
              <w:ind w:left="188"/>
              <w:spacing w:after="0"/>
              <w:rPr>
                <w:sz w:val="20"/>
                <w:szCs w:val="20"/>
                <w:color w:val="auto"/>
              </w:rPr>
            </w:pPr>
            <w:r>
              <w:rPr>
                <w:rFonts w:ascii="Arial" w:cs="Arial" w:eastAsia="Arial" w:hAnsi="Arial"/>
                <w:sz w:val="14"/>
                <w:szCs w:val="14"/>
                <w:color w:val="auto"/>
              </w:rPr>
              <w:t>565,962</w:t>
            </w:r>
          </w:p>
        </w:tc>
        <w:tc>
          <w:tcPr>
            <w:tcW w:w="206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80" w:hanging="344"/>
        <w:spacing w:after="0"/>
        <w:tabs>
          <w:tab w:leader="none" w:pos="4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Excludes excise tax on net share repurchases.</w:t>
      </w:r>
    </w:p>
    <w:p>
      <w:pPr>
        <w:spacing w:after="0" w:line="19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MINE SAFETY DISCLOSURES</w:t>
      </w:r>
    </w:p>
    <w:p>
      <w:pPr>
        <w:spacing w:after="0" w:line="39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quarterly report.</w:t>
      </w: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5. OTHER INFORMATION</w:t>
      </w:r>
    </w:p>
    <w:p>
      <w:pPr>
        <w:spacing w:after="0" w:line="361" w:lineRule="exact"/>
        <w:rPr>
          <w:sz w:val="20"/>
          <w:szCs w:val="20"/>
          <w:color w:val="auto"/>
        </w:rPr>
      </w:pPr>
    </w:p>
    <w:p>
      <w:pPr>
        <w:spacing w:after="0"/>
        <w:rPr>
          <w:sz w:val="20"/>
          <w:szCs w:val="20"/>
          <w:color w:val="auto"/>
        </w:rPr>
      </w:pPr>
      <w:r>
        <w:rPr>
          <w:rFonts w:ascii="Arial" w:cs="Arial" w:eastAsia="Arial" w:hAnsi="Arial"/>
          <w:sz w:val="29"/>
          <w:szCs w:val="29"/>
          <w:color w:val="D7282F"/>
        </w:rPr>
        <w:t>EQUITY TRADING ARRANGEMENTS ELECTIONS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executive officers and directors of the Company may execute purchases and sales of the Company's common stock through Rule 10b5-1 and non-Rule 10b5-1 equity trading arrangements.</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three months ended March 31, 2026, none of our executive officers or directors adopted, terminated or modified a "Rule 10b5-1 trading arrangement," or adopted, terminated, or modified any "non-Rule 10b5-1 trading arrangement" (each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0" w:hanging="392"/>
        <w:spacing w:after="0"/>
        <w:tabs>
          <w:tab w:leader="none" w:pos="400" w:val="left"/>
        </w:tabs>
        <w:numPr>
          <w:ilvl w:val="0"/>
          <w:numId w:val="6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6. EXHIBITS</w:t>
      </w: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0120" w:type="dxa"/>
            <w:vAlign w:val="bottom"/>
            <w:tcBorders>
              <w:bottom w:val="single" w:sz="8" w:color="D7282F"/>
            </w:tcBorders>
          </w:tcPr>
          <w:p>
            <w:pPr>
              <w:ind w:left="300"/>
              <w:spacing w:after="0"/>
              <w:rPr>
                <w:sz w:val="20"/>
                <w:szCs w:val="20"/>
                <w:color w:val="auto"/>
              </w:rPr>
            </w:pPr>
            <w:r>
              <w:rPr>
                <w:rFonts w:ascii="Arial" w:cs="Arial" w:eastAsia="Arial" w:hAnsi="Arial"/>
                <w:sz w:val="14"/>
                <w:szCs w:val="14"/>
                <w:b w:val="1"/>
                <w:bCs w:val="1"/>
                <w:color w:val="auto"/>
              </w:rPr>
              <w:t>Description</w:t>
            </w:r>
          </w:p>
        </w:tc>
      </w:tr>
      <w:tr>
        <w:trPr>
          <w:trHeight w:val="143"/>
        </w:trPr>
        <w:tc>
          <w:tcPr>
            <w:tcW w:w="1080" w:type="dxa"/>
            <w:vAlign w:val="bottom"/>
          </w:tcPr>
          <w:p>
            <w:pPr>
              <w:ind w:left="20"/>
              <w:spacing w:after="0" w:line="143" w:lineRule="exact"/>
              <w:rPr>
                <w:sz w:val="20"/>
                <w:szCs w:val="20"/>
                <w:color w:val="auto"/>
              </w:rPr>
            </w:pPr>
            <w:r>
              <w:rPr>
                <w:rFonts w:ascii="Arial" w:cs="Arial" w:eastAsia="Arial" w:hAnsi="Arial"/>
                <w:sz w:val="14"/>
                <w:szCs w:val="14"/>
                <w:color w:val="auto"/>
              </w:rPr>
              <w:t>4.1</w:t>
            </w:r>
          </w:p>
        </w:tc>
        <w:tc>
          <w:tcPr>
            <w:tcW w:w="10120" w:type="dxa"/>
            <w:vAlign w:val="bottom"/>
          </w:tcPr>
          <w:p>
            <w:pPr>
              <w:ind w:left="300"/>
              <w:spacing w:after="0" w:line="143" w:lineRule="exact"/>
              <w:rPr>
                <w:rFonts w:ascii="Arial" w:cs="Arial" w:eastAsia="Arial" w:hAnsi="Arial"/>
                <w:sz w:val="14"/>
                <w:szCs w:val="14"/>
                <w:color w:val="auto"/>
              </w:rPr>
            </w:pPr>
            <w:hyperlink r:id="rId95">
              <w:r>
                <w:rPr>
                  <w:rFonts w:ascii="Arial" w:cs="Arial" w:eastAsia="Arial" w:hAnsi="Arial"/>
                  <w:sz w:val="14"/>
                  <w:szCs w:val="14"/>
                  <w:color w:val="auto"/>
                </w:rPr>
                <w:t>Indenture, dated as of March 16, 2026, between Honeywell Aerospace Inc. and Deutsche Bank Trust Company Americas, as trustee (incorporated by</w:t>
              </w:r>
            </w:hyperlink>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95">
              <w:r>
                <w:rPr>
                  <w:rFonts w:ascii="Arial" w:cs="Arial" w:eastAsia="Arial" w:hAnsi="Arial"/>
                  <w:sz w:val="14"/>
                  <w:szCs w:val="14"/>
                  <w:color w:val="auto"/>
                </w:rPr>
                <w:t>reference to Exhibit 4.1 to Honeywell’s Form 8-K filed March 16, 2026)</w:t>
              </w:r>
            </w:hyperlink>
          </w:p>
        </w:tc>
      </w:tr>
      <w:tr>
        <w:trPr>
          <w:trHeight w:val="142"/>
        </w:trPr>
        <w:tc>
          <w:tcPr>
            <w:tcW w:w="1080" w:type="dxa"/>
            <w:vAlign w:val="bottom"/>
          </w:tcPr>
          <w:p>
            <w:pPr>
              <w:ind w:left="20"/>
              <w:spacing w:after="0" w:line="142" w:lineRule="exact"/>
              <w:rPr>
                <w:sz w:val="20"/>
                <w:szCs w:val="20"/>
                <w:color w:val="auto"/>
              </w:rPr>
            </w:pPr>
            <w:r>
              <w:rPr>
                <w:rFonts w:ascii="Arial" w:cs="Arial" w:eastAsia="Arial" w:hAnsi="Arial"/>
                <w:sz w:val="14"/>
                <w:szCs w:val="14"/>
                <w:color w:val="auto"/>
              </w:rPr>
              <w:t>4.2</w:t>
            </w:r>
          </w:p>
        </w:tc>
        <w:tc>
          <w:tcPr>
            <w:tcW w:w="10120" w:type="dxa"/>
            <w:vAlign w:val="bottom"/>
          </w:tcPr>
          <w:p>
            <w:pPr>
              <w:ind w:left="300"/>
              <w:spacing w:after="0" w:line="142" w:lineRule="exact"/>
              <w:rPr>
                <w:rFonts w:ascii="Arial" w:cs="Arial" w:eastAsia="Arial" w:hAnsi="Arial"/>
                <w:sz w:val="14"/>
                <w:szCs w:val="14"/>
                <w:color w:val="auto"/>
              </w:rPr>
            </w:pPr>
            <w:hyperlink r:id="rId96">
              <w:r>
                <w:rPr>
                  <w:rFonts w:ascii="Arial" w:cs="Arial" w:eastAsia="Arial" w:hAnsi="Arial"/>
                  <w:sz w:val="14"/>
                  <w:szCs w:val="14"/>
                  <w:color w:val="auto"/>
                </w:rPr>
                <w:t>First Supplemental Indenture, dated as of March 16, 2026, between Honeywell Aerospace Inc. and Deutsche Bank Trust Company Americas, as trustee</w:t>
              </w:r>
            </w:hyperlink>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96">
              <w:r>
                <w:rPr>
                  <w:rFonts w:ascii="Arial" w:cs="Arial" w:eastAsia="Arial" w:hAnsi="Arial"/>
                  <w:sz w:val="14"/>
                  <w:szCs w:val="14"/>
                  <w:color w:val="auto"/>
                </w:rPr>
                <w:t>(incorporated by reference to Exhibit 4.2 to Honeywell’s Form 8-K filed March 16, 2026)</w:t>
              </w:r>
            </w:hyperlink>
          </w:p>
        </w:tc>
      </w:tr>
      <w:tr>
        <w:trPr>
          <w:trHeight w:val="142"/>
        </w:trPr>
        <w:tc>
          <w:tcPr>
            <w:tcW w:w="1080" w:type="dxa"/>
            <w:vAlign w:val="bottom"/>
          </w:tcPr>
          <w:p>
            <w:pPr>
              <w:ind w:left="20"/>
              <w:spacing w:after="0" w:line="142" w:lineRule="exact"/>
              <w:rPr>
                <w:sz w:val="20"/>
                <w:szCs w:val="20"/>
                <w:color w:val="auto"/>
              </w:rPr>
            </w:pPr>
            <w:r>
              <w:rPr>
                <w:rFonts w:ascii="Arial" w:cs="Arial" w:eastAsia="Arial" w:hAnsi="Arial"/>
                <w:sz w:val="14"/>
                <w:szCs w:val="14"/>
                <w:color w:val="auto"/>
              </w:rPr>
              <w:t>4.3</w:t>
            </w:r>
          </w:p>
        </w:tc>
        <w:tc>
          <w:tcPr>
            <w:tcW w:w="10120" w:type="dxa"/>
            <w:vAlign w:val="bottom"/>
          </w:tcPr>
          <w:p>
            <w:pPr>
              <w:ind w:left="300"/>
              <w:spacing w:after="0" w:line="142" w:lineRule="exact"/>
              <w:rPr>
                <w:rFonts w:ascii="Arial" w:cs="Arial" w:eastAsia="Arial" w:hAnsi="Arial"/>
                <w:sz w:val="14"/>
                <w:szCs w:val="14"/>
                <w:color w:val="auto"/>
              </w:rPr>
            </w:pPr>
            <w:hyperlink r:id="rId97">
              <w:r>
                <w:rPr>
                  <w:rFonts w:ascii="Arial" w:cs="Arial" w:eastAsia="Arial" w:hAnsi="Arial"/>
                  <w:sz w:val="14"/>
                  <w:szCs w:val="14"/>
                  <w:color w:val="auto"/>
                </w:rPr>
                <w:t>Guarantee Agreement, dated as of March 16, 2026, among Honeywell International Inc., as guarantor, Honeywell Aerospace Inc. and Deutsche Bank</w:t>
              </w:r>
            </w:hyperlink>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97">
              <w:r>
                <w:rPr>
                  <w:rFonts w:ascii="Arial" w:cs="Arial" w:eastAsia="Arial" w:hAnsi="Arial"/>
                  <w:sz w:val="14"/>
                  <w:szCs w:val="14"/>
                  <w:color w:val="auto"/>
                </w:rPr>
                <w:t>Trust Company Americas, as trustee (incorporated by reference to Exhibit 4.3 to Honeywell’s Form 8-K filed March 16, 2026)</w:t>
              </w:r>
            </w:hyperlink>
          </w:p>
        </w:tc>
      </w:tr>
      <w:tr>
        <w:trPr>
          <w:trHeight w:val="142"/>
        </w:trPr>
        <w:tc>
          <w:tcPr>
            <w:tcW w:w="1080" w:type="dxa"/>
            <w:vAlign w:val="bottom"/>
          </w:tcPr>
          <w:p>
            <w:pPr>
              <w:ind w:left="20"/>
              <w:spacing w:after="0" w:line="142" w:lineRule="exact"/>
              <w:rPr>
                <w:sz w:val="20"/>
                <w:szCs w:val="20"/>
                <w:color w:val="auto"/>
              </w:rPr>
            </w:pPr>
            <w:r>
              <w:rPr>
                <w:rFonts w:ascii="Arial" w:cs="Arial" w:eastAsia="Arial" w:hAnsi="Arial"/>
                <w:sz w:val="14"/>
                <w:szCs w:val="14"/>
                <w:color w:val="auto"/>
              </w:rPr>
              <w:t>10.1+</w:t>
            </w:r>
          </w:p>
        </w:tc>
        <w:tc>
          <w:tcPr>
            <w:tcW w:w="10120" w:type="dxa"/>
            <w:vAlign w:val="bottom"/>
          </w:tcPr>
          <w:p>
            <w:pPr>
              <w:ind w:left="300"/>
              <w:spacing w:after="0" w:line="142" w:lineRule="exact"/>
              <w:rPr>
                <w:rFonts w:ascii="Arial" w:cs="Arial" w:eastAsia="Arial" w:hAnsi="Arial"/>
                <w:sz w:val="14"/>
                <w:szCs w:val="14"/>
                <w:color w:val="auto"/>
              </w:rPr>
            </w:pPr>
            <w:hyperlink r:id="rId98">
              <w:r>
                <w:rPr>
                  <w:rFonts w:ascii="Arial" w:cs="Arial" w:eastAsia="Arial" w:hAnsi="Arial"/>
                  <w:sz w:val="14"/>
                  <w:szCs w:val="14"/>
                  <w:color w:val="auto"/>
                </w:rPr>
                <w:t>364-Day Credit Agreement, dated as of March 6, 2026, among Honeywell International Inc., the banks, financial institutions and other institutional lenders</w:t>
              </w:r>
            </w:hyperlink>
          </w:p>
        </w:tc>
      </w:tr>
      <w:tr>
        <w:trPr>
          <w:trHeight w:val="139"/>
        </w:trPr>
        <w:tc>
          <w:tcPr>
            <w:tcW w:w="1080" w:type="dxa"/>
            <w:vAlign w:val="bottom"/>
          </w:tcPr>
          <w:p>
            <w:pPr>
              <w:spacing w:after="0"/>
              <w:rPr>
                <w:sz w:val="12"/>
                <w:szCs w:val="12"/>
                <w:color w:val="auto"/>
              </w:rPr>
            </w:pPr>
          </w:p>
        </w:tc>
        <w:tc>
          <w:tcPr>
            <w:tcW w:w="10120" w:type="dxa"/>
            <w:vAlign w:val="bottom"/>
          </w:tcPr>
          <w:p>
            <w:pPr>
              <w:ind w:left="300"/>
              <w:spacing w:after="0" w:line="139" w:lineRule="exact"/>
              <w:rPr>
                <w:rFonts w:ascii="Arial" w:cs="Arial" w:eastAsia="Arial" w:hAnsi="Arial"/>
                <w:sz w:val="14"/>
                <w:szCs w:val="14"/>
                <w:color w:val="auto"/>
              </w:rPr>
            </w:pPr>
            <w:hyperlink r:id="rId98">
              <w:r>
                <w:rPr>
                  <w:rFonts w:ascii="Arial" w:cs="Arial" w:eastAsia="Arial" w:hAnsi="Arial"/>
                  <w:sz w:val="14"/>
                  <w:szCs w:val="14"/>
                  <w:color w:val="auto"/>
                </w:rPr>
                <w:t>parties thereto, Bank of America, N.A., as administrative agent, and Goldman Sachs Bank USA, Morgan Stanley Senior Funding, Inc. and MUFG Bank,</w:t>
              </w:r>
            </w:hyperlink>
          </w:p>
        </w:tc>
      </w:tr>
      <w:tr>
        <w:trPr>
          <w:trHeight w:val="194"/>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98">
              <w:r>
                <w:rPr>
                  <w:rFonts w:ascii="Arial" w:cs="Arial" w:eastAsia="Arial" w:hAnsi="Arial"/>
                  <w:sz w:val="14"/>
                  <w:szCs w:val="14"/>
                  <w:color w:val="auto"/>
                </w:rPr>
                <w:t>Ltd., as syndication agents (incorporated by reference to Exhibit 10.1 to Honeywell's Form 8-K filed March 6, 2026)</w:t>
              </w:r>
            </w:hyperlink>
          </w:p>
        </w:tc>
      </w:tr>
      <w:tr>
        <w:trPr>
          <w:trHeight w:val="146"/>
        </w:trPr>
        <w:tc>
          <w:tcPr>
            <w:tcW w:w="1080" w:type="dxa"/>
            <w:vAlign w:val="bottom"/>
          </w:tcPr>
          <w:p>
            <w:pPr>
              <w:ind w:left="20"/>
              <w:spacing w:after="0" w:line="146" w:lineRule="exact"/>
              <w:rPr>
                <w:sz w:val="20"/>
                <w:szCs w:val="20"/>
                <w:color w:val="auto"/>
              </w:rPr>
            </w:pPr>
            <w:r>
              <w:rPr>
                <w:rFonts w:ascii="Arial" w:cs="Arial" w:eastAsia="Arial" w:hAnsi="Arial"/>
                <w:sz w:val="14"/>
                <w:szCs w:val="14"/>
                <w:color w:val="auto"/>
              </w:rPr>
              <w:t>10.2+</w:t>
            </w:r>
          </w:p>
        </w:tc>
        <w:tc>
          <w:tcPr>
            <w:tcW w:w="10120" w:type="dxa"/>
            <w:vAlign w:val="bottom"/>
          </w:tcPr>
          <w:p>
            <w:pPr>
              <w:ind w:left="300"/>
              <w:spacing w:after="0" w:line="146" w:lineRule="exact"/>
              <w:rPr>
                <w:rFonts w:ascii="Arial" w:cs="Arial" w:eastAsia="Arial" w:hAnsi="Arial"/>
                <w:sz w:val="14"/>
                <w:szCs w:val="14"/>
                <w:color w:val="auto"/>
              </w:rPr>
            </w:pPr>
            <w:hyperlink r:id="rId99">
              <w:r>
                <w:rPr>
                  <w:rFonts w:ascii="Arial" w:cs="Arial" w:eastAsia="Arial" w:hAnsi="Arial"/>
                  <w:sz w:val="14"/>
                  <w:szCs w:val="14"/>
                  <w:color w:val="auto"/>
                </w:rPr>
                <w:t>Five-Year Credit Agreement, dated as of March 6, 2026, among Honeywell International Inc., the banks, financial institutions and other institutional</w:t>
              </w:r>
            </w:hyperlink>
          </w:p>
        </w:tc>
      </w:tr>
      <w:tr>
        <w:trPr>
          <w:trHeight w:val="139"/>
        </w:trPr>
        <w:tc>
          <w:tcPr>
            <w:tcW w:w="1080" w:type="dxa"/>
            <w:vAlign w:val="bottom"/>
          </w:tcPr>
          <w:p>
            <w:pPr>
              <w:spacing w:after="0"/>
              <w:rPr>
                <w:sz w:val="12"/>
                <w:szCs w:val="12"/>
                <w:color w:val="auto"/>
              </w:rPr>
            </w:pPr>
          </w:p>
        </w:tc>
        <w:tc>
          <w:tcPr>
            <w:tcW w:w="10120" w:type="dxa"/>
            <w:vAlign w:val="bottom"/>
          </w:tcPr>
          <w:p>
            <w:pPr>
              <w:ind w:left="300"/>
              <w:spacing w:after="0" w:line="139" w:lineRule="exact"/>
              <w:rPr>
                <w:rFonts w:ascii="Arial" w:cs="Arial" w:eastAsia="Arial" w:hAnsi="Arial"/>
                <w:sz w:val="14"/>
                <w:szCs w:val="14"/>
                <w:color w:val="auto"/>
              </w:rPr>
            </w:pPr>
            <w:hyperlink r:id="rId99">
              <w:r>
                <w:rPr>
                  <w:rFonts w:ascii="Arial" w:cs="Arial" w:eastAsia="Arial" w:hAnsi="Arial"/>
                  <w:sz w:val="14"/>
                  <w:szCs w:val="14"/>
                  <w:color w:val="auto"/>
                </w:rPr>
                <w:t>lenders parties thereto, Bank of America, N.A., as administrative agent, and Goldman Sachs Bank USA, Morgan Stanley Senior Funding, Inc. and MUFG</w:t>
              </w:r>
            </w:hyperlink>
          </w:p>
        </w:tc>
      </w:tr>
      <w:tr>
        <w:trPr>
          <w:trHeight w:val="194"/>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99">
              <w:r>
                <w:rPr>
                  <w:rFonts w:ascii="Arial" w:cs="Arial" w:eastAsia="Arial" w:hAnsi="Arial"/>
                  <w:sz w:val="14"/>
                  <w:szCs w:val="14"/>
                  <w:color w:val="auto"/>
                </w:rPr>
                <w:t>Bank, Ltd., as syndication agents (incorporated by reference to Exhibit 10.2 to Honeywell's Form 8-K filed March 6, 2026)</w:t>
              </w:r>
            </w:hyperlink>
          </w:p>
        </w:tc>
      </w:tr>
      <w:tr>
        <w:trPr>
          <w:trHeight w:val="146"/>
        </w:trPr>
        <w:tc>
          <w:tcPr>
            <w:tcW w:w="1080" w:type="dxa"/>
            <w:vAlign w:val="bottom"/>
          </w:tcPr>
          <w:p>
            <w:pPr>
              <w:ind w:left="20"/>
              <w:spacing w:after="0" w:line="146" w:lineRule="exact"/>
              <w:rPr>
                <w:sz w:val="20"/>
                <w:szCs w:val="20"/>
                <w:color w:val="auto"/>
              </w:rPr>
            </w:pPr>
            <w:r>
              <w:rPr>
                <w:rFonts w:ascii="Arial" w:cs="Arial" w:eastAsia="Arial" w:hAnsi="Arial"/>
                <w:sz w:val="14"/>
                <w:szCs w:val="14"/>
                <w:color w:val="auto"/>
              </w:rPr>
              <w:t>10.3*</w:t>
            </w:r>
          </w:p>
        </w:tc>
        <w:tc>
          <w:tcPr>
            <w:tcW w:w="10120" w:type="dxa"/>
            <w:vAlign w:val="bottom"/>
          </w:tcPr>
          <w:p>
            <w:pPr>
              <w:ind w:left="300"/>
              <w:spacing w:after="0" w:line="146" w:lineRule="exact"/>
              <w:rPr>
                <w:rFonts w:ascii="Arial" w:cs="Arial" w:eastAsia="Arial" w:hAnsi="Arial"/>
                <w:sz w:val="14"/>
                <w:szCs w:val="14"/>
                <w:color w:val="auto"/>
              </w:rPr>
            </w:pPr>
            <w:hyperlink r:id="rId100">
              <w:r>
                <w:rPr>
                  <w:rFonts w:ascii="Arial" w:cs="Arial" w:eastAsia="Arial" w:hAnsi="Arial"/>
                  <w:sz w:val="14"/>
                  <w:szCs w:val="14"/>
                  <w:color w:val="auto"/>
                </w:rPr>
                <w:t>Offer Letter dated February 17, 2026 from Honeywell International Inc. to James Currier (incorporated by reference to Exhibit 10.66 to Honeywell’s Form</w:t>
              </w:r>
            </w:hyperlink>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100">
              <w:r>
                <w:rPr>
                  <w:rFonts w:ascii="Arial" w:cs="Arial" w:eastAsia="Arial" w:hAnsi="Arial"/>
                  <w:sz w:val="14"/>
                  <w:szCs w:val="14"/>
                  <w:color w:val="auto"/>
                </w:rPr>
                <w:t>10-K for the year ended December 31, 2025)</w:t>
              </w:r>
            </w:hyperlink>
          </w:p>
        </w:tc>
      </w:tr>
      <w:tr>
        <w:trPr>
          <w:trHeight w:val="192"/>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31.1</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Certification of Principal Executive Officer Pursuant to Section 302 of the Sarbanes-Oxley Act of 2002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31.2</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Certification of Principal Financial Officer Pursuant to Section 302 of the Sarbanes-Oxley Act of 2002 (filed herewith)</w:t>
            </w:r>
          </w:p>
        </w:tc>
      </w:tr>
      <w:tr>
        <w:trPr>
          <w:trHeight w:val="146"/>
        </w:trPr>
        <w:tc>
          <w:tcPr>
            <w:tcW w:w="1080" w:type="dxa"/>
            <w:vAlign w:val="bottom"/>
          </w:tcPr>
          <w:p>
            <w:pPr>
              <w:ind w:left="20"/>
              <w:spacing w:after="0" w:line="146" w:lineRule="exact"/>
              <w:rPr>
                <w:sz w:val="20"/>
                <w:szCs w:val="20"/>
                <w:color w:val="auto"/>
              </w:rPr>
            </w:pPr>
            <w:r>
              <w:rPr>
                <w:rFonts w:ascii="Arial" w:cs="Arial" w:eastAsia="Arial" w:hAnsi="Arial"/>
                <w:sz w:val="14"/>
                <w:szCs w:val="14"/>
                <w:color w:val="auto"/>
              </w:rPr>
              <w:t>32.1</w:t>
            </w:r>
          </w:p>
        </w:tc>
        <w:tc>
          <w:tcPr>
            <w:tcW w:w="10120" w:type="dxa"/>
            <w:vAlign w:val="bottom"/>
          </w:tcPr>
          <w:p>
            <w:pPr>
              <w:ind w:left="300"/>
              <w:spacing w:after="0" w:line="146" w:lineRule="exact"/>
              <w:rPr>
                <w:sz w:val="20"/>
                <w:szCs w:val="20"/>
                <w:color w:val="auto"/>
              </w:rPr>
            </w:pPr>
            <w:r>
              <w:rPr>
                <w:rFonts w:ascii="Arial" w:cs="Arial" w:eastAsia="Arial" w:hAnsi="Arial"/>
                <w:sz w:val="14"/>
                <w:szCs w:val="14"/>
                <w:color w:val="auto"/>
              </w:rPr>
              <w:t>Certification of Principal Executive Officer Pursuant to 18 U.S.C. Section 1350, as Adopted Pursuant to Section 906 of the Sarbanes-Oxley Act of 2002</w:t>
            </w:r>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(furnished herewith)</w:t>
            </w:r>
          </w:p>
        </w:tc>
      </w:tr>
      <w:tr>
        <w:trPr>
          <w:trHeight w:val="142"/>
        </w:trPr>
        <w:tc>
          <w:tcPr>
            <w:tcW w:w="1080" w:type="dxa"/>
            <w:vAlign w:val="bottom"/>
          </w:tcPr>
          <w:p>
            <w:pPr>
              <w:ind w:left="20"/>
              <w:spacing w:after="0" w:line="142" w:lineRule="exact"/>
              <w:rPr>
                <w:sz w:val="20"/>
                <w:szCs w:val="20"/>
                <w:color w:val="auto"/>
              </w:rPr>
            </w:pPr>
            <w:r>
              <w:rPr>
                <w:rFonts w:ascii="Arial" w:cs="Arial" w:eastAsia="Arial" w:hAnsi="Arial"/>
                <w:sz w:val="14"/>
                <w:szCs w:val="14"/>
                <w:color w:val="auto"/>
              </w:rPr>
              <w:t>32.2</w:t>
            </w:r>
          </w:p>
        </w:tc>
        <w:tc>
          <w:tcPr>
            <w:tcW w:w="10120" w:type="dxa"/>
            <w:vAlign w:val="bottom"/>
          </w:tcPr>
          <w:p>
            <w:pPr>
              <w:ind w:left="300"/>
              <w:spacing w:after="0" w:line="142" w:lineRule="exact"/>
              <w:rPr>
                <w:sz w:val="20"/>
                <w:szCs w:val="20"/>
                <w:color w:val="auto"/>
              </w:rPr>
            </w:pPr>
            <w:r>
              <w:rPr>
                <w:rFonts w:ascii="Arial" w:cs="Arial" w:eastAsia="Arial" w:hAnsi="Arial"/>
                <w:sz w:val="14"/>
                <w:szCs w:val="14"/>
                <w:color w:val="auto"/>
              </w:rPr>
              <w:t>Certification of Principal Financial Officer Pursuant to 18 U.S.C. Section 1350, as Adopted Pursuant to Section 906 of the Sarbanes-Oxley Act of 2002</w:t>
            </w:r>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(furnished herewith)</w:t>
            </w:r>
          </w:p>
        </w:tc>
      </w:tr>
      <w:tr>
        <w:trPr>
          <w:trHeight w:val="192"/>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95</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Mine Safety Disclosures (filed herewith)</w:t>
            </w:r>
          </w:p>
        </w:tc>
      </w:tr>
      <w:tr>
        <w:trPr>
          <w:trHeight w:val="146"/>
        </w:trPr>
        <w:tc>
          <w:tcPr>
            <w:tcW w:w="1080" w:type="dxa"/>
            <w:vAlign w:val="bottom"/>
          </w:tcPr>
          <w:p>
            <w:pPr>
              <w:ind w:left="20"/>
              <w:spacing w:after="0" w:line="146" w:lineRule="exact"/>
              <w:rPr>
                <w:sz w:val="20"/>
                <w:szCs w:val="20"/>
                <w:color w:val="auto"/>
              </w:rPr>
            </w:pPr>
            <w:r>
              <w:rPr>
                <w:rFonts w:ascii="Arial" w:cs="Arial" w:eastAsia="Arial" w:hAnsi="Arial"/>
                <w:sz w:val="14"/>
                <w:szCs w:val="14"/>
                <w:color w:val="auto"/>
              </w:rPr>
              <w:t>101.INS</w:t>
            </w:r>
          </w:p>
        </w:tc>
        <w:tc>
          <w:tcPr>
            <w:tcW w:w="10120" w:type="dxa"/>
            <w:vAlign w:val="bottom"/>
          </w:tcPr>
          <w:p>
            <w:pPr>
              <w:ind w:left="300"/>
              <w:spacing w:after="0" w:line="146" w:lineRule="exact"/>
              <w:rPr>
                <w:sz w:val="20"/>
                <w:szCs w:val="20"/>
                <w:color w:val="auto"/>
              </w:rPr>
            </w:pPr>
            <w:r>
              <w:rPr>
                <w:rFonts w:ascii="Arial" w:cs="Arial" w:eastAsia="Arial" w:hAnsi="Arial"/>
                <w:sz w:val="14"/>
                <w:szCs w:val="14"/>
                <w:color w:val="auto"/>
              </w:rPr>
              <w:t>Inline XBRL Instance Document (the instance document does not appear in the Interactive Data File because its XBRL tags are embedded within the</w:t>
            </w:r>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document)</w:t>
            </w:r>
          </w:p>
        </w:tc>
      </w:tr>
      <w:tr>
        <w:trPr>
          <w:trHeight w:val="192"/>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101.SCH</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Schema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101.CAL</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Calculation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101.DEF</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Definition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101.LAB</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Label Linkbase (filed herewith)</w:t>
            </w:r>
          </w:p>
        </w:tc>
      </w:tr>
      <w:tr>
        <w:trPr>
          <w:trHeight w:val="192"/>
        </w:trPr>
        <w:tc>
          <w:tcPr>
            <w:tcW w:w="1080" w:type="dxa"/>
            <w:vAlign w:val="bottom"/>
          </w:tcPr>
          <w:p>
            <w:pPr>
              <w:ind w:left="20"/>
              <w:spacing w:after="0"/>
              <w:rPr>
                <w:sz w:val="20"/>
                <w:szCs w:val="20"/>
                <w:color w:val="auto"/>
              </w:rPr>
            </w:pPr>
            <w:r>
              <w:rPr>
                <w:rFonts w:ascii="Arial" w:cs="Arial" w:eastAsia="Arial" w:hAnsi="Arial"/>
                <w:sz w:val="14"/>
                <w:szCs w:val="14"/>
                <w:color w:val="auto"/>
              </w:rPr>
              <w:t>101.PRE</w:t>
            </w:r>
          </w:p>
        </w:tc>
        <w:tc>
          <w:tcPr>
            <w:tcW w:w="10120" w:type="dxa"/>
            <w:vAlign w:val="bottom"/>
          </w:tcPr>
          <w:p>
            <w:pPr>
              <w:ind w:left="300"/>
              <w:spacing w:after="0"/>
              <w:rPr>
                <w:sz w:val="20"/>
                <w:szCs w:val="20"/>
                <w:color w:val="auto"/>
              </w:rPr>
            </w:pPr>
            <w:r>
              <w:rPr>
                <w:rFonts w:ascii="Arial" w:cs="Arial" w:eastAsia="Arial" w:hAnsi="Arial"/>
                <w:sz w:val="14"/>
                <w:szCs w:val="14"/>
                <w:color w:val="auto"/>
              </w:rPr>
              <w:t>Inline XBRL Taxonomy Extension Presentation Linkbase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5080</wp:posOffset>
            </wp:positionV>
            <wp:extent cx="71151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6" w:lineRule="exact"/>
        <w:rPr>
          <w:sz w:val="20"/>
          <w:szCs w:val="20"/>
          <w:color w:val="auto"/>
        </w:rPr>
      </w:pPr>
    </w:p>
    <w:p>
      <w:pPr>
        <w:ind w:left="1400" w:hanging="1361"/>
        <w:spacing w:after="0"/>
        <w:tabs>
          <w:tab w:leader="none" w:pos="1400" w:val="left"/>
        </w:tabs>
        <w:numPr>
          <w:ilvl w:val="1"/>
          <w:numId w:val="63"/>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230" w:lineRule="exact"/>
        <w:rPr>
          <w:rFonts w:ascii="Arial" w:cs="Arial" w:eastAsia="Arial" w:hAnsi="Arial"/>
          <w:sz w:val="14"/>
          <w:szCs w:val="14"/>
          <w:color w:val="auto"/>
        </w:rPr>
      </w:pPr>
    </w:p>
    <w:p>
      <w:pPr>
        <w:ind w:firstLine="8"/>
        <w:spacing w:after="0" w:line="305" w:lineRule="auto"/>
        <w:tabs>
          <w:tab w:leader="none" w:pos="131" w:val="left"/>
        </w:tabs>
        <w:numPr>
          <w:ilvl w:val="0"/>
          <w:numId w:val="63"/>
        </w:numPr>
        <w:rPr>
          <w:rFonts w:ascii="Arial" w:cs="Arial" w:eastAsia="Arial" w:hAnsi="Arial"/>
          <w:sz w:val="14"/>
          <w:szCs w:val="14"/>
          <w:color w:val="auto"/>
        </w:rPr>
      </w:pPr>
      <w:r>
        <w:rPr>
          <w:rFonts w:ascii="Arial" w:cs="Arial" w:eastAsia="Arial" w:hAnsi="Arial"/>
          <w:sz w:val="14"/>
          <w:szCs w:val="14"/>
          <w:color w:val="auto"/>
        </w:rPr>
        <w:t>Certain schedules and exhibits to this agreement have been omitted pursuant to Item 601(a)(5) of Regulation S-K. The Company agrees to furnish supplementally a copy of any omitted schedule or exhibit to the Commission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-381635</wp:posOffset>
            </wp:positionV>
            <wp:extent cx="71151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The Exhibits identified above with an asterisk (*) are management contracts or compensatory plans or arrangements.</w:t>
      </w:r>
    </w:p>
    <w:p>
      <w:pPr>
        <w:spacing w:after="0" w:line="349" w:lineRule="exact"/>
        <w:rPr>
          <w:sz w:val="20"/>
          <w:szCs w:val="20"/>
          <w:color w:val="auto"/>
        </w:rPr>
      </w:pPr>
    </w:p>
    <w:p>
      <w:pPr>
        <w:ind w:left="400" w:hanging="392"/>
        <w:spacing w:after="0"/>
        <w:tabs>
          <w:tab w:leader="none" w:pos="400" w:val="left"/>
        </w:tabs>
        <w:numPr>
          <w:ilvl w:val="0"/>
          <w:numId w:val="6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SIGNATURES</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9"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HONEYWELL INTERNATIONAL INC.</w:t>
      </w:r>
    </w:p>
    <w:p>
      <w:pPr>
        <w:spacing w:after="0" w:line="248" w:lineRule="exact"/>
        <w:rPr>
          <w:sz w:val="20"/>
          <w:szCs w:val="20"/>
          <w:color w:val="auto"/>
        </w:rPr>
      </w:pPr>
    </w:p>
    <w:p>
      <w:pPr>
        <w:ind w:left="20"/>
        <w:spacing w:after="0"/>
        <w:tabs>
          <w:tab w:leader="none" w:pos="6640" w:val="left"/>
          <w:tab w:leader="none" w:pos="7160" w:val="left"/>
        </w:tabs>
        <w:rPr>
          <w:sz w:val="20"/>
          <w:szCs w:val="20"/>
          <w:color w:val="auto"/>
        </w:rPr>
      </w:pPr>
      <w:r>
        <w:rPr>
          <w:rFonts w:ascii="Arial" w:cs="Arial" w:eastAsia="Arial" w:hAnsi="Arial"/>
          <w:sz w:val="16"/>
          <w:szCs w:val="16"/>
          <w:color w:val="auto"/>
        </w:rPr>
        <w:t>Date: April 23, 2026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20955</wp:posOffset>
            </wp:positionV>
            <wp:extent cx="24517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Robert D. Mailloux</w:t>
      </w:r>
    </w:p>
    <w:p>
      <w:pPr>
        <w:ind w:left="7180"/>
        <w:spacing w:after="0" w:line="211" w:lineRule="auto"/>
        <w:rPr>
          <w:sz w:val="20"/>
          <w:szCs w:val="20"/>
          <w:color w:val="auto"/>
        </w:rPr>
      </w:pPr>
      <w:r>
        <w:rPr>
          <w:rFonts w:ascii="Arial" w:cs="Arial" w:eastAsia="Arial" w:hAnsi="Arial"/>
          <w:sz w:val="16"/>
          <w:szCs w:val="16"/>
          <w:color w:val="auto"/>
        </w:rPr>
        <w:t>Vice President and Controller</w:t>
      </w:r>
    </w:p>
    <w:p>
      <w:pPr>
        <w:ind w:left="7180"/>
        <w:spacing w:after="0" w:line="211" w:lineRule="auto"/>
        <w:rPr>
          <w:sz w:val="20"/>
          <w:szCs w:val="20"/>
          <w:color w:val="auto"/>
        </w:rPr>
      </w:pPr>
      <w:r>
        <w:rPr>
          <w:rFonts w:ascii="Arial" w:cs="Arial" w:eastAsia="Arial" w:hAnsi="Arial"/>
          <w:sz w:val="16"/>
          <w:szCs w:val="16"/>
          <w:color w:val="auto"/>
        </w:rPr>
        <w:t>(on behalf of the Registrant</w:t>
      </w:r>
    </w:p>
    <w:p>
      <w:pPr>
        <w:ind w:left="7180"/>
        <w:spacing w:after="0" w:line="211" w:lineRule="auto"/>
        <w:rPr>
          <w:sz w:val="20"/>
          <w:szCs w:val="20"/>
          <w:color w:val="auto"/>
        </w:rPr>
      </w:pPr>
      <w:r>
        <w:rPr>
          <w:rFonts w:ascii="Arial" w:cs="Arial" w:eastAsia="Arial" w:hAnsi="Arial"/>
          <w:sz w:val="16"/>
          <w:szCs w:val="16"/>
          <w:color w:val="auto"/>
        </w:rPr>
        <w:t>and as the Registrant’s</w:t>
      </w:r>
    </w:p>
    <w:p>
      <w:pPr>
        <w:spacing w:after="0" w:line="1"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hanging="392"/>
        <w:spacing w:after="0"/>
        <w:tabs>
          <w:tab w:leader="none" w:pos="400" w:val="left"/>
        </w:tabs>
        <w:numPr>
          <w:ilvl w:val="0"/>
          <w:numId w:val="6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ectPr>
          <w:pgSz w:w="11900" w:h="16838" w:orient="portrait"/>
          <w:cols w:equalWidth="0" w:num="1">
            <w:col w:w="11240"/>
          </w:cols>
          <w:pgMar w:left="320" w:top="122"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Vimal Kapur, certify that:</w:t>
      </w:r>
    </w:p>
    <w:p>
      <w:pPr>
        <w:spacing w:after="0" w:line="266" w:lineRule="exact"/>
        <w:rPr>
          <w:sz w:val="20"/>
          <w:szCs w:val="20"/>
          <w:color w:val="auto"/>
        </w:rPr>
      </w:pPr>
    </w:p>
    <w:p>
      <w:pPr>
        <w:ind w:left="360" w:hanging="334"/>
        <w:spacing w:after="0"/>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0" w:lineRule="exact"/>
        <w:rPr>
          <w:rFonts w:ascii="Arial" w:cs="Arial" w:eastAsia="Arial" w:hAnsi="Arial"/>
          <w:sz w:val="18"/>
          <w:szCs w:val="18"/>
          <w:color w:val="auto"/>
        </w:rPr>
      </w:pPr>
    </w:p>
    <w:p>
      <w:pPr>
        <w:ind w:left="360" w:right="60" w:hanging="334"/>
        <w:spacing w:after="0"/>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18"/>
          <w:szCs w:val="18"/>
          <w:color w:val="auto"/>
        </w:rPr>
      </w:pPr>
    </w:p>
    <w:p>
      <w:pPr>
        <w:jc w:val="both"/>
        <w:ind w:left="360" w:right="60" w:hanging="334"/>
        <w:spacing w:after="0" w:line="221" w:lineRule="auto"/>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1380" w:right="80" w:hanging="608"/>
        <w:spacing w:after="0" w:line="233" w:lineRule="auto"/>
        <w:tabs>
          <w:tab w:leader="none" w:pos="13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8"/>
          <w:szCs w:val="18"/>
          <w:color w:val="auto"/>
        </w:rPr>
      </w:pPr>
    </w:p>
    <w:p>
      <w:pPr>
        <w:jc w:val="both"/>
        <w:ind w:left="1380" w:right="60" w:hanging="603"/>
        <w:spacing w:after="0" w:line="233" w:lineRule="auto"/>
        <w:tabs>
          <w:tab w:leader="none" w:pos="13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0"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0" w:lineRule="exact"/>
        <w:rPr>
          <w:rFonts w:ascii="Arial" w:cs="Arial" w:eastAsia="Arial" w:hAnsi="Arial"/>
          <w:sz w:val="18"/>
          <w:szCs w:val="18"/>
          <w:color w:val="auto"/>
        </w:rPr>
      </w:pPr>
    </w:p>
    <w:p>
      <w:pPr>
        <w:ind w:left="1380" w:right="60" w:hanging="608"/>
        <w:spacing w:after="0"/>
        <w:tabs>
          <w:tab w:leader="none" w:pos="13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April 23,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Vimal Kapur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232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Vimal Kapur</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90"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Michal Stepniak, certify that:</w:t>
      </w:r>
    </w:p>
    <w:p>
      <w:pPr>
        <w:spacing w:after="0" w:line="266" w:lineRule="exact"/>
        <w:rPr>
          <w:sz w:val="20"/>
          <w:szCs w:val="20"/>
          <w:color w:val="auto"/>
        </w:rPr>
      </w:pPr>
    </w:p>
    <w:p>
      <w:pPr>
        <w:ind w:left="360" w:hanging="334"/>
        <w:spacing w:after="0"/>
        <w:tabs>
          <w:tab w:leader="none" w:pos="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0" w:lineRule="exact"/>
        <w:rPr>
          <w:rFonts w:ascii="Arial" w:cs="Arial" w:eastAsia="Arial" w:hAnsi="Arial"/>
          <w:sz w:val="18"/>
          <w:szCs w:val="18"/>
          <w:color w:val="auto"/>
        </w:rPr>
      </w:pPr>
    </w:p>
    <w:p>
      <w:pPr>
        <w:ind w:left="360" w:right="60" w:hanging="334"/>
        <w:spacing w:after="0"/>
        <w:tabs>
          <w:tab w:leader="none" w:pos="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18"/>
          <w:szCs w:val="18"/>
          <w:color w:val="auto"/>
        </w:rPr>
      </w:pPr>
    </w:p>
    <w:p>
      <w:pPr>
        <w:jc w:val="both"/>
        <w:ind w:left="360" w:right="60" w:hanging="334"/>
        <w:spacing w:after="0" w:line="221" w:lineRule="auto"/>
        <w:tabs>
          <w:tab w:leader="none" w:pos="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1380" w:right="80" w:hanging="608"/>
        <w:spacing w:after="0" w:line="233" w:lineRule="auto"/>
        <w:tabs>
          <w:tab w:leader="none" w:pos="13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8"/>
          <w:szCs w:val="18"/>
          <w:color w:val="auto"/>
        </w:rPr>
      </w:pPr>
    </w:p>
    <w:p>
      <w:pPr>
        <w:jc w:val="both"/>
        <w:ind w:left="1380" w:right="60" w:hanging="603"/>
        <w:spacing w:after="0" w:line="233" w:lineRule="auto"/>
        <w:tabs>
          <w:tab w:leader="none" w:pos="13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0"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0" w:lineRule="exact"/>
        <w:rPr>
          <w:rFonts w:ascii="Arial" w:cs="Arial" w:eastAsia="Arial" w:hAnsi="Arial"/>
          <w:sz w:val="18"/>
          <w:szCs w:val="18"/>
          <w:color w:val="auto"/>
        </w:rPr>
      </w:pPr>
    </w:p>
    <w:p>
      <w:pPr>
        <w:ind w:left="1380" w:right="60" w:hanging="608"/>
        <w:spacing w:after="0"/>
        <w:tabs>
          <w:tab w:leader="none" w:pos="13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April 23,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Michal Stepniak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232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Michal Stepniak</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90"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March 31, 2026 as filed with the Securities and Exchange Commission on the date hereof (the Report), I, Vimal Kapur, Chairman and Chief Executive Officer of the Company, certify, pursuant to 18 U.S.C. Section 1350, as adopted pursuant to Section 906 of the Sarbanes-Oxley Act of 2002, that:</w:t>
      </w:r>
    </w:p>
    <w:p>
      <w:pPr>
        <w:spacing w:after="0" w:line="171" w:lineRule="exact"/>
        <w:rPr>
          <w:sz w:val="20"/>
          <w:szCs w:val="20"/>
          <w:color w:val="auto"/>
        </w:rPr>
      </w:pPr>
    </w:p>
    <w:p>
      <w:pPr>
        <w:ind w:left="800" w:hanging="306"/>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1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3500" w:type="dxa"/>
            <w:vAlign w:val="bottom"/>
          </w:tcPr>
          <w:p>
            <w:pPr>
              <w:spacing w:after="0"/>
              <w:rPr>
                <w:sz w:val="20"/>
                <w:szCs w:val="20"/>
                <w:color w:val="auto"/>
              </w:rPr>
            </w:pPr>
            <w:r>
              <w:rPr>
                <w:rFonts w:ascii="Arial" w:cs="Arial" w:eastAsia="Arial" w:hAnsi="Arial"/>
                <w:sz w:val="18"/>
                <w:szCs w:val="18"/>
                <w:color w:val="auto"/>
              </w:rPr>
              <w:t>Date: April 23, 2026</w:t>
            </w:r>
          </w:p>
        </w:tc>
        <w:tc>
          <w:tcPr>
            <w:tcW w:w="2520" w:type="dxa"/>
            <w:vAlign w:val="bottom"/>
          </w:tcPr>
          <w:p>
            <w:pPr>
              <w:ind w:left="19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Vimal Kapur</w:t>
            </w:r>
          </w:p>
        </w:tc>
      </w:tr>
      <w:tr>
        <w:trPr>
          <w:trHeight w:val="218"/>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Vimal Kapur</w:t>
            </w:r>
          </w:p>
        </w:tc>
      </w:tr>
      <w:tr>
        <w:trPr>
          <w:trHeight w:val="239"/>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bl>
    <w:p>
      <w:pPr>
        <w:sectPr>
          <w:pgSz w:w="11900" w:h="16838" w:orient="portrait"/>
          <w:cols w:equalWidth="0" w:num="1">
            <w:col w:w="11240"/>
          </w:cols>
          <w:pgMar w:left="320" w:top="890"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March 31, 2026 as filed with the Securities and Exchange Commission on the date hereof (the Report), I, Michal Stepniak, Senior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800" w:hanging="306"/>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1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3500" w:type="dxa"/>
            <w:vAlign w:val="bottom"/>
          </w:tcPr>
          <w:p>
            <w:pPr>
              <w:spacing w:after="0"/>
              <w:rPr>
                <w:sz w:val="20"/>
                <w:szCs w:val="20"/>
                <w:color w:val="auto"/>
              </w:rPr>
            </w:pPr>
            <w:r>
              <w:rPr>
                <w:rFonts w:ascii="Arial" w:cs="Arial" w:eastAsia="Arial" w:hAnsi="Arial"/>
                <w:sz w:val="18"/>
                <w:szCs w:val="18"/>
                <w:color w:val="auto"/>
              </w:rPr>
              <w:t>Date: April 23, 2026</w:t>
            </w:r>
          </w:p>
        </w:tc>
        <w:tc>
          <w:tcPr>
            <w:tcW w:w="2520" w:type="dxa"/>
            <w:vAlign w:val="bottom"/>
          </w:tcPr>
          <w:p>
            <w:pPr>
              <w:ind w:left="19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Michal Stepniak</w:t>
            </w:r>
          </w:p>
        </w:tc>
      </w:tr>
      <w:tr>
        <w:trPr>
          <w:trHeight w:val="218"/>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Michal Stepniak</w:t>
            </w:r>
          </w:p>
        </w:tc>
      </w:tr>
      <w:tr>
        <w:trPr>
          <w:trHeight w:val="239"/>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0"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95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333"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71"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During the quarter ended March 31, 2026,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74"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In addition, during the quarter ended March 31, 2026,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bullet"/>
      <w:start w:val="1"/>
    </w:lvl>
  </w:abstractNum>
  <w:abstractNum w:abstractNumId="3">
    <w:nsid w:val="3804823E"/>
    <w:multiLevelType w:val="hybridMultilevel"/>
    <w:lvl w:ilvl="0">
      <w:lvlJc w:val="left"/>
      <w:lvlText w:val="2"/>
      <w:numFmt w:val="bullet"/>
      <w:start w:val="1"/>
    </w:lvl>
  </w:abstractNum>
  <w:abstractNum w:abstractNumId="4">
    <w:nsid w:val="77465F01"/>
    <w:multiLevelType w:val="hybridMultilevel"/>
    <w:lvl w:ilvl="0">
      <w:lvlJc w:val="left"/>
      <w:lvlText w:val="3"/>
      <w:numFmt w:val="bullet"/>
      <w:start w:val="1"/>
    </w:lvl>
  </w:abstractNum>
  <w:abstractNum w:abstractNumId="5">
    <w:nsid w:val="7724C67E"/>
    <w:multiLevelType w:val="hybridMultilevel"/>
    <w:lvl w:ilvl="0">
      <w:lvlJc w:val="left"/>
      <w:lvlText w:val="4"/>
      <w:numFmt w:val="bullet"/>
      <w:start w:val="1"/>
    </w:lvl>
  </w:abstractNum>
  <w:abstractNum w:abstractNumId="6">
    <w:nsid w:val="5C482A97"/>
    <w:multiLevelType w:val="hybridMultilevel"/>
    <w:lvl w:ilvl="0">
      <w:lvlJc w:val="left"/>
      <w:lvlText w:val="5"/>
      <w:numFmt w:val="bullet"/>
      <w:start w:val="1"/>
    </w:lvl>
  </w:abstractNum>
  <w:abstractNum w:abstractNumId="7">
    <w:nsid w:val="2463B9EA"/>
    <w:multiLevelType w:val="hybridMultilevel"/>
    <w:lvl w:ilvl="0">
      <w:lvlJc w:val="left"/>
      <w:lvlText w:val="6"/>
      <w:numFmt w:val="bullet"/>
      <w:start w:val="1"/>
    </w:lvl>
  </w:abstractNum>
  <w:abstractNum w:abstractNumId="8">
    <w:nsid w:val="5E884ADC"/>
    <w:multiLevelType w:val="hybridMultilevel"/>
    <w:lvl w:ilvl="0">
      <w:lvlJc w:val="left"/>
      <w:lvlText w:val="7"/>
      <w:numFmt w:val="bullet"/>
      <w:start w:val="1"/>
    </w:lvl>
  </w:abstractNum>
  <w:abstractNum w:abstractNumId="9">
    <w:nsid w:val="51EAD36B"/>
    <w:multiLevelType w:val="hybridMultilevel"/>
    <w:lvl w:ilvl="0">
      <w:lvlJc w:val="left"/>
      <w:lvlText w:val="8"/>
      <w:numFmt w:val="bullet"/>
      <w:start w:val="1"/>
    </w:lvl>
  </w:abstractNum>
  <w:abstractNum w:abstractNumId="10">
    <w:nsid w:val="2D517796"/>
    <w:multiLevelType w:val="hybridMultilevel"/>
    <w:lvl w:ilvl="0">
      <w:lvlJc w:val="left"/>
      <w:lvlText w:val="9"/>
      <w:numFmt w:val="bullet"/>
      <w:start w:val="1"/>
    </w:lvl>
  </w:abstractNum>
  <w:abstractNum w:abstractNumId="11">
    <w:nsid w:val="580BD78F"/>
    <w:multiLevelType w:val="hybridMultilevel"/>
    <w:lvl w:ilvl="0">
      <w:lvlJc w:val="left"/>
      <w:lvlText w:val="%1"/>
      <w:numFmt w:val="decimal"/>
      <w:start w:val="10"/>
    </w:lvl>
  </w:abstractNum>
  <w:abstractNum w:abstractNumId="12">
    <w:nsid w:val="153EA438"/>
    <w:multiLevelType w:val="hybridMultilevel"/>
    <w:lvl w:ilvl="0">
      <w:lvlJc w:val="left"/>
      <w:lvlText w:val="%1"/>
      <w:numFmt w:val="decimal"/>
      <w:start w:val="12"/>
    </w:lvl>
  </w:abstractNum>
  <w:abstractNum w:abstractNumId="13">
    <w:nsid w:val="3855585C"/>
    <w:multiLevelType w:val="hybridMultilevel"/>
    <w:lvl w:ilvl="0">
      <w:lvlJc w:val="left"/>
      <w:lvlText w:val="%1"/>
      <w:numFmt w:val="decimal"/>
      <w:start w:val="13"/>
    </w:lvl>
  </w:abstractNum>
  <w:abstractNum w:abstractNumId="14">
    <w:nsid w:val="70A64E2A"/>
    <w:multiLevelType w:val="hybridMultilevel"/>
    <w:lvl w:ilvl="0">
      <w:lvlJc w:val="left"/>
      <w:lvlText w:val="%1"/>
      <w:numFmt w:val="decimal"/>
      <w:start w:val="14"/>
    </w:lvl>
  </w:abstractNum>
  <w:abstractNum w:abstractNumId="15">
    <w:nsid w:val="6A2342EC"/>
    <w:multiLevelType w:val="hybridMultilevel"/>
    <w:lvl w:ilvl="0">
      <w:lvlJc w:val="left"/>
      <w:lvlText w:val="%1"/>
      <w:numFmt w:val="decimal"/>
      <w:start w:val="15"/>
    </w:lvl>
  </w:abstractNum>
  <w:abstractNum w:abstractNumId="16">
    <w:nsid w:val="2A487CB0"/>
    <w:multiLevelType w:val="hybridMultilevel"/>
    <w:lvl w:ilvl="0">
      <w:lvlJc w:val="left"/>
      <w:lvlText w:val="%1"/>
      <w:numFmt w:val="decimal"/>
      <w:start w:val="16"/>
    </w:lvl>
  </w:abstractNum>
  <w:abstractNum w:abstractNumId="17">
    <w:nsid w:val="1D4ED43B"/>
    <w:multiLevelType w:val="hybridMultilevel"/>
    <w:lvl w:ilvl="0">
      <w:lvlJc w:val="left"/>
      <w:lvlText w:val="%1"/>
      <w:numFmt w:val="decimal"/>
      <w:start w:val="19"/>
    </w:lvl>
  </w:abstractNum>
  <w:abstractNum w:abstractNumId="18">
    <w:nsid w:val="725A06FB"/>
    <w:multiLevelType w:val="hybridMultilevel"/>
    <w:lvl w:ilvl="0">
      <w:lvlJc w:val="left"/>
      <w:lvlText w:val="%1"/>
      <w:numFmt w:val="decimal"/>
      <w:start w:val="20"/>
    </w:lvl>
  </w:abstractNum>
  <w:abstractNum w:abstractNumId="19">
    <w:nsid w:val="2CD89A32"/>
    <w:multiLevelType w:val="hybridMultilevel"/>
    <w:lvl w:ilvl="0">
      <w:lvlJc w:val="left"/>
      <w:lvlText w:val="%1"/>
      <w:numFmt w:val="decimal"/>
      <w:start w:val="21"/>
    </w:lvl>
  </w:abstractNum>
  <w:abstractNum w:abstractNumId="20">
    <w:nsid w:val="57E4CCAF"/>
    <w:multiLevelType w:val="hybridMultilevel"/>
    <w:lvl w:ilvl="0">
      <w:lvlJc w:val="left"/>
      <w:lvlText w:val="%1"/>
      <w:numFmt w:val="decimal"/>
      <w:start w:val="23"/>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1"/>
      <w:numFmt w:val="decimal"/>
      <w:start w:val="25"/>
    </w:lvl>
  </w:abstractNum>
  <w:abstractNum w:abstractNumId="23">
    <w:nsid w:val="542289EC"/>
    <w:multiLevelType w:val="hybridMultilevel"/>
    <w:lvl w:ilvl="0">
      <w:lvlJc w:val="left"/>
      <w:lvlText w:val="%1"/>
      <w:numFmt w:val="decimal"/>
      <w:start w:val="26"/>
    </w:lvl>
  </w:abstractNum>
  <w:abstractNum w:abstractNumId="24">
    <w:nsid w:val="6DE91B18"/>
    <w:multiLevelType w:val="hybridMultilevel"/>
    <w:lvl w:ilvl="0">
      <w:lvlJc w:val="left"/>
      <w:lvlText w:val="%1"/>
      <w:numFmt w:val="decimal"/>
      <w:start w:val="28"/>
    </w:lvl>
  </w:abstractNum>
  <w:abstractNum w:abstractNumId="25">
    <w:nsid w:val="38437FDB"/>
    <w:multiLevelType w:val="hybridMultilevel"/>
    <w:lvl w:ilvl="0">
      <w:lvlJc w:val="left"/>
      <w:lvlText w:val="%1"/>
      <w:numFmt w:val="decimal"/>
      <w:start w:val="29"/>
    </w:lvl>
  </w:abstractNum>
  <w:abstractNum w:abstractNumId="26">
    <w:nsid w:val="7644A45C"/>
    <w:multiLevelType w:val="hybridMultilevel"/>
    <w:lvl w:ilvl="0">
      <w:lvlJc w:val="left"/>
      <w:lvlText w:val="1"/>
      <w:numFmt w:val="bullet"/>
      <w:start w:val="1"/>
    </w:lvl>
  </w:abstractNum>
  <w:abstractNum w:abstractNumId="27">
    <w:nsid w:val="32FFF902"/>
    <w:multiLevelType w:val="hybridMultilevel"/>
    <w:lvl w:ilvl="0">
      <w:lvlJc w:val="left"/>
      <w:lvlText w:val="%1"/>
      <w:numFmt w:val="decimal"/>
      <w:start w:val="30"/>
    </w:lvl>
  </w:abstractNum>
  <w:abstractNum w:abstractNumId="28">
    <w:nsid w:val="684A481A"/>
    <w:multiLevelType w:val="hybridMultilevel"/>
    <w:lvl w:ilvl="0">
      <w:lvlJc w:val="left"/>
      <w:lvlText w:val="1"/>
      <w:numFmt w:val="bullet"/>
      <w:start w:val="1"/>
    </w:lvl>
  </w:abstractNum>
  <w:abstractNum w:abstractNumId="29">
    <w:nsid w:val="579478FE"/>
    <w:multiLevelType w:val="hybridMultilevel"/>
    <w:lvl w:ilvl="0">
      <w:lvlJc w:val="left"/>
      <w:lvlText w:val="1"/>
      <w:numFmt w:val="bullet"/>
      <w:start w:val="1"/>
    </w:lvl>
  </w:abstractNum>
  <w:abstractNum w:abstractNumId="30">
    <w:nsid w:val="749ABB43"/>
    <w:multiLevelType w:val="hybridMultilevel"/>
    <w:lvl w:ilvl="0">
      <w:lvlJc w:val="left"/>
      <w:lvlText w:val="2"/>
      <w:numFmt w:val="bullet"/>
      <w:start w:val="1"/>
    </w:lvl>
  </w:abstractNum>
  <w:abstractNum w:abstractNumId="31">
    <w:nsid w:val="3DC240FB"/>
    <w:multiLevelType w:val="hybridMultilevel"/>
    <w:lvl w:ilvl="0">
      <w:lvlJc w:val="left"/>
      <w:lvlText w:val="3"/>
      <w:numFmt w:val="bullet"/>
      <w:start w:val="1"/>
    </w:lvl>
  </w:abstractNum>
  <w:abstractNum w:abstractNumId="32">
    <w:nsid w:val="1BA026FA"/>
    <w:multiLevelType w:val="hybridMultilevel"/>
    <w:lvl w:ilvl="0">
      <w:lvlJc w:val="left"/>
      <w:lvlText w:val="4"/>
      <w:numFmt w:val="bullet"/>
      <w:start w:val="1"/>
    </w:lvl>
  </w:abstractNum>
  <w:abstractNum w:abstractNumId="33">
    <w:nsid w:val="79A1DEAA"/>
    <w:multiLevelType w:val="hybridMultilevel"/>
    <w:lvl w:ilvl="0">
      <w:lvlJc w:val="left"/>
      <w:lvlText w:val="5"/>
      <w:numFmt w:val="bullet"/>
      <w:start w:val="1"/>
    </w:lvl>
  </w:abstractNum>
  <w:abstractNum w:abstractNumId="34">
    <w:nsid w:val="75C6C33A"/>
    <w:multiLevelType w:val="hybridMultilevel"/>
    <w:lvl w:ilvl="0">
      <w:lvlJc w:val="left"/>
      <w:lvlText w:val="7"/>
      <w:numFmt w:val="bullet"/>
      <w:start w:val="1"/>
    </w:lvl>
  </w:abstractNum>
  <w:abstractNum w:abstractNumId="35">
    <w:nsid w:val="12E685FB"/>
    <w:multiLevelType w:val="hybridMultilevel"/>
    <w:lvl w:ilvl="0">
      <w:lvlJc w:val="left"/>
      <w:lvlText w:val="%1"/>
      <w:numFmt w:val="decimal"/>
      <w:start w:val="32"/>
    </w:lvl>
  </w:abstractNum>
  <w:abstractNum w:abstractNumId="36">
    <w:nsid w:val="70C6A529"/>
    <w:multiLevelType w:val="hybridMultilevel"/>
    <w:lvl w:ilvl="0">
      <w:lvlJc w:val="left"/>
      <w:lvlText w:val="%1"/>
      <w:numFmt w:val="decimal"/>
      <w:start w:val="33"/>
    </w:lvl>
  </w:abstractNum>
  <w:abstractNum w:abstractNumId="37">
    <w:nsid w:val="520EEDD1"/>
    <w:multiLevelType w:val="hybridMultilevel"/>
    <w:lvl w:ilvl="0">
      <w:lvlJc w:val="left"/>
      <w:lvlText w:val="%1"/>
      <w:numFmt w:val="decimal"/>
      <w:start w:val="34"/>
    </w:lvl>
  </w:abstractNum>
  <w:abstractNum w:abstractNumId="38">
    <w:nsid w:val="374A3FE6"/>
    <w:multiLevelType w:val="hybridMultilevel"/>
    <w:lvl w:ilvl="0">
      <w:lvlJc w:val="left"/>
      <w:lvlText w:val="%1"/>
      <w:numFmt w:val="decimal"/>
      <w:start w:val="35"/>
    </w:lvl>
  </w:abstractNum>
  <w:abstractNum w:abstractNumId="39">
    <w:nsid w:val="4F4EF005"/>
    <w:multiLevelType w:val="hybridMultilevel"/>
    <w:lvl w:ilvl="0">
      <w:lvlJc w:val="left"/>
      <w:lvlText w:val="%1"/>
      <w:numFmt w:val="decimal"/>
      <w:start w:val="36"/>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1"/>
      <w:numFmt w:val="decimal"/>
      <w:start w:val="37"/>
    </w:lvl>
  </w:abstractNum>
  <w:abstractNum w:abstractNumId="42">
    <w:nsid w:val="275AC794"/>
    <w:multiLevelType w:val="hybridMultilevel"/>
    <w:lvl w:ilvl="0">
      <w:lvlJc w:val="left"/>
      <w:lvlText w:val="%1"/>
      <w:numFmt w:val="decimal"/>
      <w:start w:val="38"/>
    </w:lvl>
  </w:abstractNum>
  <w:abstractNum w:abstractNumId="43">
    <w:nsid w:val="39386575"/>
    <w:multiLevelType w:val="hybridMultilevel"/>
    <w:lvl w:ilvl="0">
      <w:lvlJc w:val="left"/>
      <w:lvlText w:val="1"/>
      <w:numFmt w:val="bullet"/>
      <w:start w:val="1"/>
    </w:lvl>
  </w:abstractNum>
  <w:abstractNum w:abstractNumId="44">
    <w:nsid w:val="1CF10FD8"/>
    <w:multiLevelType w:val="hybridMultilevel"/>
    <w:lvl w:ilvl="0">
      <w:lvlJc w:val="left"/>
      <w:lvlText w:val="%1"/>
      <w:numFmt w:val="decimal"/>
      <w:start w:val="39"/>
    </w:lvl>
  </w:abstractNum>
  <w:abstractNum w:abstractNumId="45">
    <w:nsid w:val="180115BE"/>
    <w:multiLevelType w:val="hybridMultilevel"/>
    <w:lvl w:ilvl="0">
      <w:lvlJc w:val="left"/>
      <w:lvlText w:val="%1"/>
      <w:numFmt w:val="decimal"/>
      <w:start w:val="40"/>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1"/>
      <w:numFmt w:val="decimal"/>
      <w:start w:val="41"/>
    </w:lvl>
  </w:abstractNum>
  <w:abstractNum w:abstractNumId="49">
    <w:nsid w:val="15B5AF5C"/>
    <w:multiLevelType w:val="hybridMultilevel"/>
    <w:lvl w:ilvl="0">
      <w:lvlJc w:val="left"/>
      <w:lvlText w:val="1"/>
      <w:numFmt w:val="bullet"/>
      <w:start w:val="1"/>
    </w:lvl>
  </w:abstractNum>
  <w:abstractNum w:abstractNumId="50">
    <w:nsid w:val="741226BB"/>
    <w:multiLevelType w:val="hybridMultilevel"/>
    <w:lvl w:ilvl="0">
      <w:lvlJc w:val="left"/>
      <w:lvlText w:val="%1"/>
      <w:numFmt w:val="decimal"/>
      <w:start w:val="42"/>
    </w:lvl>
  </w:abstractNum>
  <w:abstractNum w:abstractNumId="51">
    <w:nsid w:val="D34B6A8"/>
    <w:multiLevelType w:val="hybridMultilevel"/>
    <w:lvl w:ilvl="0">
      <w:lvlJc w:val="left"/>
      <w:lvlText w:val="1"/>
      <w:numFmt w:val="bullet"/>
      <w:start w:val="1"/>
    </w:lvl>
  </w:abstractNum>
  <w:abstractNum w:abstractNumId="52">
    <w:nsid w:val="10233C99"/>
    <w:multiLevelType w:val="hybridMultilevel"/>
    <w:lvl w:ilvl="0">
      <w:lvlJc w:val="left"/>
      <w:lvlText w:val="%1"/>
      <w:numFmt w:val="decimal"/>
      <w:start w:val="47"/>
    </w:lvl>
  </w:abstractNum>
  <w:abstractNum w:abstractNumId="53">
    <w:nsid w:val="3F6AB60F"/>
    <w:multiLevelType w:val="hybridMultilevel"/>
    <w:lvl w:ilvl="0">
      <w:lvlJc w:val="left"/>
      <w:lvlText w:val="%1"/>
      <w:numFmt w:val="decimal"/>
      <w:start w:val="48"/>
    </w:lvl>
  </w:abstractNum>
  <w:abstractNum w:abstractNumId="54">
    <w:nsid w:val="61574095"/>
    <w:multiLevelType w:val="hybridMultilevel"/>
    <w:lvl w:ilvl="0">
      <w:lvlJc w:val="left"/>
      <w:lvlText w:val="%1"/>
      <w:numFmt w:val="decimal"/>
      <w:start w:val="49"/>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1"/>
      <w:numFmt w:val="decimal"/>
      <w:start w:val="50"/>
    </w:lvl>
  </w:abstractNum>
  <w:abstractNum w:abstractNumId="57">
    <w:nsid w:val="579BE4F1"/>
    <w:multiLevelType w:val="hybridMultilevel"/>
    <w:lvl w:ilvl="0">
      <w:lvlJc w:val="left"/>
      <w:lvlText w:val="%1"/>
      <w:numFmt w:val="decimal"/>
      <w:start w:val="51"/>
    </w:lvl>
  </w:abstractNum>
  <w:abstractNum w:abstractNumId="58">
    <w:nsid w:val="310C50B3"/>
    <w:multiLevelType w:val="hybridMultilevel"/>
    <w:lvl w:ilvl="0">
      <w:lvlJc w:val="left"/>
      <w:lvlText w:val="%1"/>
      <w:numFmt w:val="decimal"/>
      <w:start w:val="52"/>
    </w:lvl>
  </w:abstractNum>
  <w:abstractNum w:abstractNumId="59">
    <w:nsid w:val="5FF87E05"/>
    <w:multiLevelType w:val="hybridMultilevel"/>
    <w:lvl w:ilvl="0">
      <w:lvlJc w:val="left"/>
      <w:lvlText w:val="%1"/>
      <w:numFmt w:val="decimal"/>
      <w:start w:val="53"/>
    </w:lvl>
  </w:abstractNum>
  <w:abstractNum w:abstractNumId="60">
    <w:nsid w:val="2F305DEF"/>
    <w:multiLevelType w:val="hybridMultilevel"/>
    <w:lvl w:ilvl="0">
      <w:lvlJc w:val="left"/>
      <w:lvlText w:val="1"/>
      <w:numFmt w:val="bullet"/>
      <w:start w:val="1"/>
    </w:lvl>
  </w:abstractNum>
  <w:abstractNum w:abstractNumId="61">
    <w:nsid w:val="25A70BF7"/>
    <w:multiLevelType w:val="hybridMultilevel"/>
    <w:lvl w:ilvl="0">
      <w:lvlJc w:val="left"/>
      <w:lvlText w:val="%1"/>
      <w:numFmt w:val="decimal"/>
      <w:start w:val="54"/>
    </w:lvl>
  </w:abstractNum>
  <w:abstractNum w:abstractNumId="62">
    <w:nsid w:val="1DBABF00"/>
    <w:multiLevelType w:val="hybridMultilevel"/>
    <w:lvl w:ilvl="0">
      <w:lvlJc w:val="left"/>
      <w:lvlText w:val="+"/>
      <w:numFmt w:val="bullet"/>
      <w:start w:val="1"/>
    </w:lvl>
    <w:lvl w:ilvl="1">
      <w:lvlJc w:val="left"/>
      <w:lvlText w:val="%2"/>
      <w:numFmt w:val="decimal"/>
      <w:start w:val="104"/>
    </w:lvl>
  </w:abstractNum>
  <w:abstractNum w:abstractNumId="63">
    <w:nsid w:val="4AD084E9"/>
    <w:multiLevelType w:val="hybridMultilevel"/>
    <w:lvl w:ilvl="0">
      <w:lvlJc w:val="left"/>
      <w:lvlText w:val="%1"/>
      <w:numFmt w:val="decimal"/>
      <w:start w:val="55"/>
    </w:lvl>
  </w:abstractNum>
  <w:abstractNum w:abstractNumId="64">
    <w:nsid w:val="1F48EAA1"/>
    <w:multiLevelType w:val="hybridMultilevel"/>
    <w:lvl w:ilvl="0">
      <w:lvlJc w:val="left"/>
      <w:lvlText w:val="%1"/>
      <w:numFmt w:val="decimal"/>
      <w:start w:val="56"/>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95" Type="http://schemas.openxmlformats.org/officeDocument/2006/relationships/hyperlink" Target="https://www.sec.gov/Archives/edgar/data/773840/000119312526108366/d107386dex41.htm" TargetMode="External"/><Relationship Id="rId96" Type="http://schemas.openxmlformats.org/officeDocument/2006/relationships/hyperlink" Target="https://www.sec.gov/Archives/edgar/data/773840/000119312526108366/d107386dex42.htm" TargetMode="External"/><Relationship Id="rId97" Type="http://schemas.openxmlformats.org/officeDocument/2006/relationships/hyperlink" Target="https://www.sec.gov/Archives/edgar/data/773840/000119312526108366/d107386dex43.htm" TargetMode="External"/><Relationship Id="rId98" Type="http://schemas.openxmlformats.org/officeDocument/2006/relationships/hyperlink" Target="https://www.sec.gov/Archives/edgar/data/773840/000119312526095179/d71810dex101.htm" TargetMode="External"/><Relationship Id="rId99" Type="http://schemas.openxmlformats.org/officeDocument/2006/relationships/hyperlink" Target="https://www.sec.gov/Archives/edgar/data/773840/000119312526095179/d71810dex102.htm" TargetMode="External"/><Relationship Id="rId100" Type="http://schemas.openxmlformats.org/officeDocument/2006/relationships/hyperlink" Target="https://www.sec.gov/Archives/edgar/data/773840/000077384026000013/exhibit106612312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2026-04-23T08:59:10Z</dcterms:created>
  <dcterms:modified xsi:type="dcterms:W3CDTF">2026-04-23T08:59:10Z</dcterms:modified>
</cp:coreProperties>
</file>