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UNITED STATES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SECURITIES AND EXCHANGE COMMISSION</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SECTION 13 OR 15(D) OF THE SECURITIES EXCHANGE ACT OF 1934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DATE OF REPORT – July 23, 2026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earliest event reported)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HONEYWELL INTERNATIONAL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7769" w:type="dxa"/>
        <w:jc w:val="center"/>
        <w:tblInd w:w="0" w:type="dxa"/>
        <w:tblLayout w:type="fixed"/>
        <w:tblCellMar>
          <w:top w:w="28" w:type="dxa"/>
          <w:left w:w="28" w:type="dxa"/>
          <w:bottom w:w="28" w:type="dxa"/>
          <w:right w:w="28" w:type="dxa"/>
        </w:tblCellMar>
      </w:tblPr>
      <w:tblGrid>
        <w:gridCol w:w="935"/>
        <w:gridCol w:w="819"/>
        <w:gridCol w:w="826"/>
        <w:gridCol w:w="802"/>
        <w:gridCol w:w="802"/>
        <w:gridCol w:w="810"/>
        <w:gridCol w:w="810"/>
        <w:gridCol w:w="810"/>
        <w:gridCol w:w="1155"/>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1-8974</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22-2640650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w:t>
              <w:br/>
              <w:t>incorporation)</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w:t>
              <w:br/>
              <w:t>Number)</w:t>
            </w:r>
          </w:p>
        </w:tc>
      </w:tr>
    </w:tbl>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20"/>
        </w:rPr>
        <w:t>855 S. MINT STREET, CHARLOTTE, NC</w:t>
      </w:r>
      <w:r>
        <w:rPr>
          <w:rFonts w:ascii="Arial;sans-serif" w:hAnsi="Arial;sans-serif"/>
          <w:b w:val="false"/>
          <w:color w:val="FFFFFF"/>
          <w:sz w:val="20"/>
        </w:rPr>
        <w:t>..................................................</w:t>
      </w:r>
      <w:r>
        <w:rPr>
          <w:rFonts w:ascii="Arial;sans-serif" w:hAnsi="Arial;sans-serif"/>
          <w:b w:val="false"/>
          <w:color w:val="000000"/>
          <w:sz w:val="20"/>
        </w:rPr>
        <w:t>28202</w:t>
      </w:r>
    </w:p>
    <w:p>
      <w:pPr>
        <w:pStyle w:val="TextBody"/>
        <w:bidi w:val="0"/>
        <w:spacing w:lineRule="auto" w:line="288" w:before="0" w:after="0"/>
        <w:jc w:val="center"/>
        <w:rPr/>
      </w:pPr>
      <w:r>
        <w:rPr>
          <w:rFonts w:ascii="Arial;sans-serif" w:hAnsi="Arial;sans-serif"/>
          <w:b w:val="false"/>
          <w:color w:val="FFFFFF"/>
          <w:sz w:val="20"/>
        </w:rPr>
        <w:t>......</w:t>
      </w:r>
      <w:r>
        <w:rPr>
          <w:rFonts w:ascii="Arial;sans-serif" w:hAnsi="Arial;sans-serif"/>
          <w:b w:val="false"/>
          <w:color w:val="000000"/>
          <w:sz w:val="20"/>
        </w:rPr>
        <w:t>(Address of principal executive offices)</w:t>
      </w:r>
      <w:r>
        <w:rPr>
          <w:rFonts w:ascii="Arial;sans-serif" w:hAnsi="Arial;sans-serif"/>
          <w:b w:val="false"/>
          <w:color w:val="FFFFFF"/>
          <w:sz w:val="20"/>
        </w:rPr>
        <w:t>.................................................</w:t>
      </w:r>
      <w:r>
        <w:rPr>
          <w:rFonts w:ascii="Arial;sans-serif" w:hAnsi="Arial;sans-serif"/>
          <w:b w:val="false"/>
          <w:color w:val="000000"/>
          <w:sz w:val="20"/>
        </w:rPr>
        <w:t>(Zip Code)</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Arial;sans-serif" w:hAnsi="Arial;sans-serif"/>
          <w:b w:val="false"/>
          <w:color w:val="000000"/>
          <w:sz w:val="20"/>
        </w:rPr>
        <w:t xml:space="preserve">Registrant’s telephone number, including area code: (704) 627-6200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877" w:type="dxa"/>
        <w:jc w:val="left"/>
        <w:tblInd w:w="0" w:type="dxa"/>
        <w:tblLayout w:type="fixed"/>
        <w:tblCellMar>
          <w:top w:w="28" w:type="dxa"/>
          <w:left w:w="28" w:type="dxa"/>
          <w:bottom w:w="28" w:type="dxa"/>
          <w:right w:w="28" w:type="dxa"/>
        </w:tblCellMar>
      </w:tblPr>
      <w:tblGrid>
        <w:gridCol w:w="1276"/>
        <w:gridCol w:w="1118"/>
        <w:gridCol w:w="1131"/>
        <w:gridCol w:w="109"/>
        <w:gridCol w:w="109"/>
        <w:gridCol w:w="109"/>
        <w:gridCol w:w="564"/>
        <w:gridCol w:w="564"/>
        <w:gridCol w:w="566"/>
        <w:gridCol w:w="109"/>
        <w:gridCol w:w="109"/>
        <w:gridCol w:w="109"/>
        <w:gridCol w:w="1170"/>
        <w:gridCol w:w="1170"/>
        <w:gridCol w:w="1664"/>
      </w:tblGrid>
      <w:tr>
        <w:trPr/>
        <w:tc>
          <w:tcPr>
            <w:tcW w:w="127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3.375%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4.125%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3.750% Senior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July 23, 2026, Honeywell International Inc. (the “Company”) issued a press release announcing its second quarter 2026 earnings, which is furnished herewith as Exhibit 99. The information furnished pursuant to this Item 2.02, including Exhibit 99,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(d) Exhibits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following exhibits are filed as part of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6"/>
        <w:gridCol w:w="295"/>
        <w:gridCol w:w="297"/>
        <w:gridCol w:w="109"/>
        <w:gridCol w:w="109"/>
        <w:gridCol w:w="109"/>
        <w:gridCol w:w="2618"/>
        <w:gridCol w:w="2618"/>
        <w:gridCol w:w="371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0"/>
              </w:rPr>
            </w:pPr>
            <w:r>
              <w:rPr>
                <w:rFonts w:ascii="Arial;sans-serif" w:hAnsi="Arial;sans-serif"/>
                <w:b/>
                <w:color w:val="000000"/>
                <w:sz w:val="20"/>
              </w:rPr>
              <w:t>Description</w:t>
            </w:r>
          </w:p>
        </w:tc>
      </w:tr>
      <w:tr>
        <w:trPr/>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q22026earningsre.htm">
              <w:r>
                <w:rPr>
                  <w:rStyle w:val="InternetLink"/>
                  <w:rFonts w:ascii="Arial;sans-serif" w:hAnsi="Arial;sans-serif"/>
                  <w:b w:val="false"/>
                  <w:color w:val="000080"/>
                  <w:sz w:val="20"/>
                  <w:u w:val="single"/>
                </w:rPr>
                <w:t xml:space="preserve">Honeywell International Inc. Earnings Press Release dated </w:t>
              </w:r>
            </w:hyperlink>
            <w:hyperlink w:anchor="exhibit99-q22026earningsre.htm">
              <w:r>
                <w:rPr>
                  <w:rStyle w:val="InternetLink"/>
                  <w:rFonts w:ascii="Arial;sans-serif" w:hAnsi="Arial;sans-serif"/>
                  <w:b w:val="false"/>
                  <w:color w:val="000080"/>
                  <w:sz w:val="20"/>
                  <w:u w:val="single"/>
                </w:rPr>
                <w:t>July</w:t>
              </w:r>
            </w:hyperlink>
            <w:hyperlink w:anchor="exhibit99-q22026earningsre.htm">
              <w:r>
                <w:rPr>
                  <w:rStyle w:val="InternetLink"/>
                  <w:rFonts w:ascii="Arial;sans-serif" w:hAnsi="Arial;sans-serif"/>
                  <w:b w:val="false"/>
                  <w:color w:val="000080"/>
                  <w:sz w:val="20"/>
                  <w:u w:val="single"/>
                </w:rPr>
                <w:t xml:space="preserve"> 23, 2026.</w:t>
              </w:r>
            </w:hyperlink>
          </w:p>
        </w:tc>
      </w:tr>
      <w:tr>
        <w:trPr/>
        <w:tc>
          <w:tcPr>
            <w:tcW w:w="928"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7959" w:type="dxa"/>
        <w:jc w:val="left"/>
        <w:tblInd w:w="0" w:type="dxa"/>
        <w:tblLayout w:type="fixed"/>
        <w:tblCellMar>
          <w:top w:w="28" w:type="dxa"/>
          <w:left w:w="28" w:type="dxa"/>
          <w:bottom w:w="28" w:type="dxa"/>
          <w:right w:w="28" w:type="dxa"/>
        </w:tblCellMar>
      </w:tblPr>
      <w:tblGrid>
        <w:gridCol w:w="211"/>
        <w:gridCol w:w="186"/>
        <w:gridCol w:w="188"/>
        <w:gridCol w:w="424"/>
        <w:gridCol w:w="424"/>
        <w:gridCol w:w="427"/>
        <w:gridCol w:w="109"/>
        <w:gridCol w:w="109"/>
        <w:gridCol w:w="109"/>
        <w:gridCol w:w="865"/>
        <w:gridCol w:w="865"/>
        <w:gridCol w:w="865"/>
        <w:gridCol w:w="865"/>
        <w:gridCol w:w="865"/>
        <w:gridCol w:w="877"/>
        <w:gridCol w:w="167"/>
        <w:gridCol w:w="167"/>
        <w:gridCol w:w="23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INTERNATIONAL INC.</w:t>
            </w:r>
          </w:p>
        </w:tc>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Su Ping Lu</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 Ping Lu</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General Counsel and Corporate Secretary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Aptos;sans-serif" w:hAnsi="Aptos;sans-serif"/>
          <w:b/>
          <w:color w:val="000000"/>
          <w:sz w:val="20"/>
        </w:rPr>
      </w:pPr>
      <w:r>
        <w:rPr>
          <w:rFonts w:ascii="Aptos;sans-serif" w:hAnsi="Aptos;sans-serif"/>
          <w:b/>
          <w:color w:val="000000"/>
          <w:sz w:val="20"/>
        </w:rPr>
        <w:t>Exhibit 99</w:t>
      </w:r>
    </w:p>
    <w:p>
      <w:pPr>
        <w:pStyle w:val="TextBody"/>
        <w:bidi w:val="0"/>
        <w:spacing w:lineRule="auto" w:line="288" w:before="0" w:after="0"/>
        <w:jc w:val="left"/>
        <w:rPr/>
      </w:pPr>
      <w:r>
        <w:rPr>
          <w:color w:val="000000"/>
        </w:rPr>
        <w:t> </w:t>
      </w:r>
      <w:r>
        <w:rPr/>
        <w:drawing>
          <wp:inline distT="0" distB="0" distL="0" distR="0">
            <wp:extent cx="2286000" cy="771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771525"/>
                    </a:xfrm>
                    <a:prstGeom prst="rect">
                      <a:avLst/>
                    </a:prstGeom>
                  </pic:spPr>
                </pic:pic>
              </a:graphicData>
            </a:graphic>
          </wp:inline>
        </w:drawing>
      </w:r>
    </w:p>
    <w:tbl>
      <w:tblPr>
        <w:tblW w:w="6377" w:type="dxa"/>
        <w:jc w:val="left"/>
        <w:tblInd w:w="0" w:type="dxa"/>
        <w:tblLayout w:type="fixed"/>
        <w:tblCellMar>
          <w:top w:w="28" w:type="dxa"/>
          <w:left w:w="28" w:type="dxa"/>
          <w:bottom w:w="28" w:type="dxa"/>
          <w:right w:w="28" w:type="dxa"/>
        </w:tblCellMar>
      </w:tblPr>
      <w:tblGrid>
        <w:gridCol w:w="1096"/>
        <w:gridCol w:w="965"/>
        <w:gridCol w:w="970"/>
        <w:gridCol w:w="980"/>
        <w:gridCol w:w="980"/>
        <w:gridCol w:w="1386"/>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ptos;sans-serif" w:hAnsi="Aptos;sans-serif"/>
                <w:b w:val="false"/>
                <w:color w:val="000000"/>
                <w:sz w:val="20"/>
              </w:rPr>
              <w:br/>
              <w:t>Contacts:</w:t>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Media</w:t>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Investor Relations</w:t>
            </w:r>
          </w:p>
        </w:tc>
      </w:tr>
      <w:tr>
        <w:trPr/>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Stacey Jones</w:t>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Mark Macaluso</w:t>
            </w:r>
          </w:p>
        </w:tc>
      </w:tr>
      <w:tr>
        <w:trPr/>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(980) 378-6258</w:t>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(704) 627-6118</w:t>
            </w:r>
          </w:p>
        </w:tc>
      </w:tr>
      <w:tr>
        <w:trPr/>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u w:val="single"/>
              </w:rPr>
            </w:pPr>
            <w:r>
              <w:rPr>
                <w:rFonts w:ascii="Aptos;sans-serif" w:hAnsi="Aptos;sans-serif"/>
                <w:b w:val="false"/>
                <w:color w:val="000000"/>
                <w:sz w:val="20"/>
                <w:u w:val="single"/>
              </w:rPr>
              <w:t>stacey.jones@honeywell.com</w:t>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u w:val="single"/>
              </w:rPr>
            </w:pPr>
            <w:r>
              <w:rPr>
                <w:rFonts w:ascii="Aptos;sans-serif" w:hAnsi="Aptos;sans-serif"/>
                <w:b w:val="false"/>
                <w:color w:val="000000"/>
                <w:sz w:val="20"/>
                <w:u w:val="single"/>
              </w:rPr>
              <w:t>mark.macaluso@honeywell.com</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ptos;sans-serif" w:hAnsi="Aptos;sans-serif"/>
          <w:b/>
          <w:color w:val="000000"/>
          <w:sz w:val="24"/>
        </w:rPr>
      </w:pPr>
      <w:r>
        <w:rPr>
          <w:rFonts w:ascii="Aptos;sans-serif" w:hAnsi="Aptos;sans-serif"/>
          <w:b/>
          <w:color w:val="000000"/>
          <w:sz w:val="24"/>
        </w:rPr>
        <w:t>HONEYWELL TECHNOLOGIES REPORTS SECOND QUARTER RESULTS</w:t>
      </w:r>
    </w:p>
    <w:p>
      <w:pPr>
        <w:pStyle w:val="TextBody"/>
        <w:bidi w:val="0"/>
        <w:spacing w:before="0" w:after="60"/>
        <w:jc w:val="center"/>
        <w:rPr/>
      </w:pPr>
      <w:r>
        <w:rPr/>
      </w:r>
    </w:p>
    <w:p>
      <w:pPr>
        <w:pStyle w:val="TextBody"/>
        <w:bidi w:val="0"/>
        <w:spacing w:lineRule="auto" w:line="417" w:before="0" w:after="0"/>
        <w:ind w:left="0" w:right="0" w:firstLine="720"/>
        <w:jc w:val="left"/>
        <w:rPr>
          <w:rFonts w:ascii="Aptos;sans-serif" w:hAnsi="Aptos;sans-serif"/>
          <w:b w:val="false"/>
          <w:color w:val="000000"/>
          <w:sz w:val="20"/>
        </w:rPr>
      </w:pPr>
      <w:r>
        <w:rPr>
          <w:rFonts w:ascii="Aptos;sans-serif" w:hAnsi="Aptos;sans-serif"/>
          <w:b w:val="false"/>
          <w:color w:val="000000"/>
          <w:sz w:val="20"/>
        </w:rPr>
        <w:t>CHARLOTTE, N.C., July 23, 2026 -- Honeywell Technologies (NASDAQ: HON) today announced results for the second quarter of 2026. The consolidated results include the operations of Honeywell Aerospace (NASDAQ: HONA), which successfully separated in a spin-off from Honeywell Technologies on June 29, 2026 (third quarter 2026).</w:t>
      </w:r>
    </w:p>
    <w:p>
      <w:pPr>
        <w:pStyle w:val="TextBody"/>
        <w:bidi w:val="0"/>
        <w:spacing w:before="0" w:after="0"/>
        <w:ind w:left="0" w:right="0" w:firstLine="720"/>
        <w:jc w:val="left"/>
        <w:rPr/>
      </w:pPr>
      <w:r>
        <w:rPr/>
      </w:r>
    </w:p>
    <w:p>
      <w:pPr>
        <w:pStyle w:val="TextBody"/>
        <w:bidi w:val="0"/>
        <w:spacing w:lineRule="auto" w:line="417" w:before="0" w:after="0"/>
        <w:jc w:val="left"/>
        <w:rPr>
          <w:rFonts w:ascii="Aptos;sans-serif" w:hAnsi="Aptos;sans-serif"/>
          <w:b/>
          <w:color w:val="000000"/>
          <w:sz w:val="20"/>
        </w:rPr>
      </w:pPr>
      <w:r>
        <w:rPr>
          <w:rFonts w:ascii="Aptos;sans-serif" w:hAnsi="Aptos;sans-serif"/>
          <w:b/>
          <w:color w:val="000000"/>
          <w:sz w:val="20"/>
        </w:rPr>
        <w:t>Second Quarter 2026 Consolidated Results (including legacy Aerospace Technologies segment):</w:t>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Orders up 4% leading to ~$38 billion backlog</w:t>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Sales of $9.7 billion, reported sales up 4% and organic</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sales up 4%</w:t>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Operating margin of 17.9% and segment margin</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of 23.1%</w:t>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Earnings per share (EPS) of $17.83, which reflects the impact of a one-time gain on deconsolidation of Quantinuum, and adjusted EPS</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of $4.52</w:t>
      </w:r>
    </w:p>
    <w:p>
      <w:pPr>
        <w:pStyle w:val="TextBody"/>
        <w:bidi w:val="0"/>
        <w:spacing w:before="0" w:after="0"/>
        <w:jc w:val="left"/>
        <w:rPr/>
      </w:pPr>
      <w:r>
        <w:rPr/>
      </w:r>
    </w:p>
    <w:p>
      <w:pPr>
        <w:pStyle w:val="TextBody"/>
        <w:bidi w:val="0"/>
        <w:spacing w:lineRule="auto" w:line="417" w:before="0" w:after="0"/>
        <w:jc w:val="left"/>
        <w:rPr>
          <w:rFonts w:ascii="Aptos;sans-serif" w:hAnsi="Aptos;sans-serif"/>
          <w:b/>
          <w:color w:val="000000"/>
          <w:sz w:val="20"/>
        </w:rPr>
      </w:pPr>
      <w:r>
        <w:rPr>
          <w:rFonts w:ascii="Aptos;sans-serif" w:hAnsi="Aptos;sans-serif"/>
          <w:b/>
          <w:color w:val="000000"/>
          <w:sz w:val="20"/>
        </w:rPr>
        <w:t>Second Quarter 2026 Honeywell Technologies Results (excluding Aerospace Technologies):</w:t>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Orders up 16% leading to ~$20 billion backlog</w:t>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Sales of $5.2 billion, up 3% reported and up 4% organic</w:t>
      </w:r>
      <w:r>
        <w:rPr>
          <w:rFonts w:ascii="Aptos;sans-serif" w:hAnsi="Aptos;sans-serif"/>
          <w:b w:val="false"/>
          <w:color w:val="000000"/>
          <w:sz w:val="13"/>
        </w:rPr>
        <w:t>1</w:t>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Operating margin of 12.8% and segment margin</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of 19.0%</w:t>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EPS of $16.65 and adjusted EPS</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of $1.95</w:t>
      </w:r>
    </w:p>
    <w:p>
      <w:pPr>
        <w:pStyle w:val="TextBody"/>
        <w:bidi w:val="0"/>
        <w:spacing w:before="0" w:after="0"/>
        <w:jc w:val="left"/>
        <w:rPr/>
      </w:pPr>
      <w:r>
        <w:rPr/>
      </w:r>
    </w:p>
    <w:p>
      <w:pPr>
        <w:pStyle w:val="TextBody"/>
        <w:bidi w:val="0"/>
        <w:spacing w:lineRule="auto" w:line="417" w:before="0" w:after="0"/>
        <w:jc w:val="left"/>
        <w:rPr>
          <w:rFonts w:ascii="Aptos;sans-serif" w:hAnsi="Aptos;sans-serif"/>
          <w:b/>
          <w:color w:val="000000"/>
          <w:sz w:val="20"/>
          <w:u w:val="single"/>
        </w:rPr>
      </w:pPr>
      <w:r>
        <w:rPr>
          <w:rFonts w:ascii="Aptos;sans-serif" w:hAnsi="Aptos;sans-serif"/>
          <w:b/>
          <w:color w:val="000000"/>
          <w:sz w:val="20"/>
          <w:u w:val="single"/>
        </w:rPr>
        <w:t>Management Commentary</w:t>
      </w:r>
    </w:p>
    <w:p>
      <w:pPr>
        <w:pStyle w:val="TextBody"/>
        <w:bidi w:val="0"/>
        <w:spacing w:lineRule="auto" w:line="417"/>
        <w:ind w:left="0" w:right="0" w:firstLine="720"/>
        <w:jc w:val="left"/>
        <w:rPr>
          <w:rFonts w:ascii="Aptos;sans-serif" w:hAnsi="Aptos;sans-serif"/>
          <w:b w:val="false"/>
          <w:color w:val="000000"/>
          <w:sz w:val="20"/>
        </w:rPr>
      </w:pPr>
      <w:r>
        <w:rPr>
          <w:rFonts w:ascii="Aptos;sans-serif" w:hAnsi="Aptos;sans-serif"/>
          <w:b w:val="false"/>
          <w:color w:val="000000"/>
          <w:sz w:val="20"/>
        </w:rPr>
        <w:t>"The second quarter marked a historic milestone for Honeywell Technologies as we completed the separation of Honeywell Aerospace and began a new era as a leading pure-play automation company. The results we delivered this quarter are the outcome of a year-plus long process to simplify our business, and we are already seeing the benefits of this transformation today. Honeywell Technologies delivered strong organic orders and sales growth, and 100 basis points of segment margin expansion, leading to double digit earnings growth in the second quarter and reinforcing our confidence in the long-term targets that we shared at our recent investor day. As a simplified company, Honeywell Technologies is now positioned to further accelerate profitable growth as we leverage our deep domain expertise and vast installed base to create enduring value for our shareowners," said Vimal Kapur, chairman and chief executive officer of Honeywell Technologies.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19405"/>
                <wp:effectExtent l="0" t="0" r="0" b="0"/>
                <wp:wrapNone/>
                <wp:docPr id="5" name="Frame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76" w:before="0" w:after="0"/>
                              <w:jc w:val="center"/>
                              <w:rPr>
                                <w:color w:val="000000"/>
                              </w:rPr>
                            </w:pPr>
                            <w:r>
                              <w:rPr>
                                <w:color w:val="000000"/>
                              </w:rPr>
                              <w:t>                                                          </w:t>
                            </w:r>
                            <w:r>
                              <w:br w:type="page"/>
                            </w:r>
                          </w:p>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color w:val="000000"/>
                        </w:rPr>
                      </w:pPr>
                      <w:r>
                        <w:rPr>
                          <w:color w:val="000000"/>
                        </w:rPr>
                        <w:t>                                                          </w:t>
                      </w:r>
                    </w:p>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- 2</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417" w:before="0" w:after="0"/>
        <w:jc w:val="left"/>
        <w:rPr>
          <w:rFonts w:ascii="Aptos;sans-serif" w:hAnsi="Aptos;sans-serif"/>
          <w:b/>
          <w:color w:val="000000"/>
          <w:sz w:val="20"/>
          <w:u w:val="single"/>
        </w:rPr>
      </w:pPr>
      <w:r>
        <w:rPr>
          <w:rFonts w:ascii="Aptos;sans-serif" w:hAnsi="Aptos;sans-serif"/>
          <w:b/>
          <w:color w:val="000000"/>
          <w:sz w:val="20"/>
          <w:u w:val="single"/>
        </w:rPr>
        <w:t>Table 1: Summary of Consolidated Financial Results</w:t>
      </w:r>
    </w:p>
    <w:p>
      <w:pPr>
        <w:pStyle w:val="TextBody"/>
        <w:bidi w:val="0"/>
        <w:spacing w:lineRule="auto" w:line="417" w:before="0" w:after="0"/>
        <w:jc w:val="left"/>
        <w:rPr>
          <w:rFonts w:ascii="Aptos;sans-serif" w:hAnsi="Aptos;sans-serif"/>
          <w:b w:val="false"/>
          <w:i/>
          <w:color w:val="000000"/>
          <w:sz w:val="16"/>
        </w:rPr>
      </w:pPr>
      <w:r>
        <w:rPr>
          <w:rFonts w:ascii="Aptos;sans-serif" w:hAnsi="Aptos;sans-serif"/>
          <w:b w:val="false"/>
          <w:i/>
          <w:color w:val="000000"/>
          <w:sz w:val="16"/>
        </w:rPr>
        <w:t>Including Honeywell Technologies and Honeywell Aerospace business</w:t>
      </w:r>
    </w:p>
    <w:p>
      <w:pPr>
        <w:pStyle w:val="TextBody"/>
        <w:bidi w:val="0"/>
        <w:spacing w:lineRule="auto" w:line="417" w:before="0" w:after="0"/>
        <w:jc w:val="left"/>
        <w:rPr>
          <w:rFonts w:ascii="Aptos;sans-serif" w:hAnsi="Aptos;sans-serif"/>
          <w:b w:val="false"/>
          <w:color w:val="000000"/>
          <w:sz w:val="16"/>
        </w:rPr>
      </w:pPr>
      <w:r>
        <w:rPr>
          <w:rFonts w:ascii="Aptos;sans-serif" w:hAnsi="Aptos;sans-serif"/>
          <w:b w:val="false"/>
          <w:color w:val="000000"/>
          <w:sz w:val="16"/>
        </w:rPr>
        <w:t>(Dollars in millions, except per share amounts)</w:t>
      </w:r>
    </w:p>
    <w:p>
      <w:pPr>
        <w:pStyle w:val="TextBody"/>
        <w:bidi w:val="0"/>
        <w:spacing w:before="0" w:after="0"/>
        <w:jc w:val="left"/>
        <w:rPr/>
      </w:pPr>
      <w:r>
        <w:rPr/>
      </w:r>
    </w:p>
    <w:tbl>
      <w:tblPr>
        <w:tblW w:w="8119" w:type="dxa"/>
        <w:jc w:val="left"/>
        <w:tblInd w:w="0" w:type="dxa"/>
        <w:tblLayout w:type="fixed"/>
        <w:tblCellMar>
          <w:top w:w="28" w:type="dxa"/>
          <w:left w:w="28" w:type="dxa"/>
          <w:bottom w:w="28" w:type="dxa"/>
          <w:right w:w="28" w:type="dxa"/>
        </w:tblCellMar>
      </w:tblPr>
      <w:tblGrid>
        <w:gridCol w:w="1593"/>
        <w:gridCol w:w="1396"/>
        <w:gridCol w:w="1421"/>
        <w:gridCol w:w="109"/>
        <w:gridCol w:w="109"/>
        <w:gridCol w:w="109"/>
        <w:gridCol w:w="299"/>
        <w:gridCol w:w="299"/>
        <w:gridCol w:w="301"/>
        <w:gridCol w:w="109"/>
        <w:gridCol w:w="109"/>
        <w:gridCol w:w="109"/>
        <w:gridCol w:w="299"/>
        <w:gridCol w:w="299"/>
        <w:gridCol w:w="301"/>
        <w:gridCol w:w="109"/>
        <w:gridCol w:w="109"/>
        <w:gridCol w:w="109"/>
        <w:gridCol w:w="272"/>
        <w:gridCol w:w="272"/>
        <w:gridCol w:w="386"/>
      </w:tblGrid>
      <w:tr>
        <w:trPr/>
        <w:tc>
          <w:tcPr>
            <w:tcW w:w="159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2Q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2Q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Change</w:t>
            </w:r>
          </w:p>
        </w:tc>
      </w:tr>
      <w:tr>
        <w:trPr/>
        <w:tc>
          <w:tcPr>
            <w:tcW w:w="4410"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$9,719</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$9,322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i/>
                <w:color w:val="000000"/>
                <w:sz w:val="16"/>
              </w:rPr>
              <w:t>Organic</w:t>
            </w:r>
            <w:r>
              <w:rPr>
                <w:rFonts w:ascii="Aptos;sans-serif" w:hAnsi="Aptos;sans-serif"/>
                <w:b w:val="false"/>
                <w:i/>
                <w:color w:val="000000"/>
                <w:sz w:val="10"/>
              </w:rPr>
              <w:t>1</w:t>
            </w:r>
            <w:r>
              <w:rPr>
                <w:color w:val="000000"/>
              </w:rPr>
              <w:t xml:space="preserve"> </w:t>
            </w:r>
            <w:r>
              <w:rPr>
                <w:rFonts w:ascii="Aptos;sans-serif" w:hAnsi="Aptos;sans-serif"/>
                <w:b w:val="false"/>
                <w:i/>
                <w:color w:val="000000"/>
                <w:sz w:val="16"/>
              </w:rPr>
              <w:t>Growth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i/>
                <w:color w:val="000000"/>
                <w:sz w:val="16"/>
              </w:rPr>
            </w:pPr>
            <w:r>
              <w:rPr>
                <w:rFonts w:ascii="Aptos;sans-serif" w:hAnsi="Aptos;sans-serif"/>
                <w:b w:val="false"/>
                <w:i/>
                <w:color w:val="000000"/>
                <w:sz w:val="16"/>
              </w:rPr>
              <w:t>4%</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Operating Income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$1,737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$1,843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(6%)</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Operating Income Margin</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17.9%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19.8%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(190 bps)</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Segment Profit</w:t>
            </w:r>
            <w:r>
              <w:rPr>
                <w:rFonts w:ascii="Aptos;sans-serif" w:hAnsi="Aptos;sans-serif"/>
                <w:b w:val="false"/>
                <w:color w:val="000000"/>
                <w:sz w:val="10"/>
              </w:rPr>
              <w:t>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$2,240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$2,128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5%</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Segment Margin</w:t>
            </w:r>
            <w:r>
              <w:rPr>
                <w:rFonts w:ascii="Aptos;sans-serif" w:hAnsi="Aptos;sans-serif"/>
                <w:b w:val="false"/>
                <w:color w:val="000000"/>
                <w:sz w:val="10"/>
              </w:rPr>
              <w:t>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23.1%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22.8%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30 bps</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Earnings Per Share - Continuing Operations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$17.83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$4.33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312%</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Adjusted Earnings Per Share</w:t>
            </w:r>
            <w:r>
              <w:rPr>
                <w:rFonts w:ascii="Aptos;sans-serif" w:hAnsi="Aptos;sans-serif"/>
                <w:b w:val="false"/>
                <w:color w:val="000000"/>
                <w:sz w:val="10"/>
              </w:rPr>
              <w:t>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$4.52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$4.72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Cash Flow from Operations - Continuing Operations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$1,276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$1,064</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20%</w:t>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2" w:space="0" w:color="61656A"/>
              <w:left w:val="single" w:sz="2" w:space="0" w:color="FFFFFF"/>
              <w:bottom w:val="single" w:sz="4" w:space="0" w:color="D7282F"/>
            </w:tcBorders>
            <w:tcMar>
              <w:top w:w="52" w:type="dxa"/>
              <w:bottom w:w="3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Free Cash Flow</w:t>
            </w:r>
            <w:r>
              <w:rPr>
                <w:rFonts w:ascii="Aptos;sans-serif" w:hAnsi="Aptos;sans-serif"/>
                <w:b w:val="false"/>
                <w:color w:val="000000"/>
                <w:sz w:val="10"/>
              </w:rPr>
              <w:t>1,4</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$1,252</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$878</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1656A"/>
              <w:bottom w:val="single" w:sz="4" w:space="0" w:color="D7282F"/>
              <w:right w:val="single" w:sz="2" w:space="0" w:color="FFFFFF"/>
            </w:tcBorders>
            <w:tcMar>
              <w:top w:w="52" w:type="dxa"/>
              <w:left w:w="0" w:type="dxa"/>
              <w:bottom w:w="3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43%</w:t>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268" w:before="0" w:after="0"/>
        <w:jc w:val="left"/>
        <w:rPr/>
      </w:pPr>
      <w:r>
        <w:rPr>
          <w:rFonts w:ascii="Aptos;sans-serif" w:hAnsi="Aptos;sans-serif"/>
          <w:b w:val="false"/>
          <w:color w:val="000000"/>
          <w:sz w:val="20"/>
        </w:rPr>
        <w:t>The information in Tables 2, 3 and 4 and all subsequent commentary (other than under the heading “Honeywell Aerospace”) refers to Honeywell Technologies only</w:t>
      </w:r>
      <w:r>
        <w:rPr>
          <w:rFonts w:ascii="Aptos;sans-serif" w:hAnsi="Aptos;sans-serif"/>
          <w:b w:val="false"/>
          <w:color w:val="000000"/>
          <w:sz w:val="13"/>
        </w:rPr>
        <w:t>*</w:t>
      </w:r>
      <w:r>
        <w:rPr>
          <w:rFonts w:ascii="Aptos;sans-serif" w:hAnsi="Aptos;sans-serif"/>
          <w:b w:val="false"/>
          <w:color w:val="000000"/>
          <w:sz w:val="20"/>
        </w:rPr>
        <w:t>. Please refer to our quarterly report on Form 10-Q for the second quarter of 2026 for additional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20"/>
        <w:jc w:val="left"/>
        <w:rPr>
          <w:rFonts w:ascii="Aptos;sans-serif" w:hAnsi="Aptos;sans-serif"/>
          <w:b/>
          <w:color w:val="000000"/>
          <w:sz w:val="20"/>
          <w:u w:val="single"/>
        </w:rPr>
      </w:pPr>
      <w:r>
        <w:rPr>
          <w:rFonts w:ascii="Aptos;sans-serif" w:hAnsi="Aptos;sans-serif"/>
          <w:b/>
          <w:color w:val="000000"/>
          <w:sz w:val="20"/>
          <w:u w:val="single"/>
        </w:rPr>
        <w:t>Table 2: Summary of Honeywell Technologies Financial Results</w:t>
      </w:r>
    </w:p>
    <w:p>
      <w:pPr>
        <w:pStyle w:val="TextBody"/>
        <w:bidi w:val="0"/>
        <w:spacing w:lineRule="auto" w:line="417" w:before="0" w:after="20"/>
        <w:jc w:val="left"/>
        <w:rPr>
          <w:rFonts w:ascii="Aptos;sans-serif" w:hAnsi="Aptos;sans-serif"/>
          <w:b w:val="false"/>
          <w:color w:val="000000"/>
          <w:sz w:val="16"/>
        </w:rPr>
      </w:pPr>
      <w:r>
        <w:rPr>
          <w:rFonts w:ascii="Aptos;sans-serif" w:hAnsi="Aptos;sans-serif"/>
          <w:b w:val="false"/>
          <w:color w:val="000000"/>
          <w:sz w:val="16"/>
        </w:rPr>
        <w:t>(Dollars in millions, except per share amounts)</w:t>
      </w:r>
    </w:p>
    <w:p>
      <w:pPr>
        <w:pStyle w:val="TextBody"/>
        <w:bidi w:val="0"/>
        <w:spacing w:before="0" w:after="20"/>
        <w:jc w:val="left"/>
        <w:rPr/>
      </w:pPr>
      <w:r>
        <w:rPr/>
      </w:r>
    </w:p>
    <w:tbl>
      <w:tblPr>
        <w:tblW w:w="8030" w:type="dxa"/>
        <w:jc w:val="left"/>
        <w:tblInd w:w="0" w:type="dxa"/>
        <w:tblLayout w:type="fixed"/>
        <w:tblCellMar>
          <w:top w:w="28" w:type="dxa"/>
          <w:left w:w="28" w:type="dxa"/>
          <w:bottom w:w="28" w:type="dxa"/>
          <w:right w:w="28" w:type="dxa"/>
        </w:tblCellMar>
      </w:tblPr>
      <w:tblGrid>
        <w:gridCol w:w="1593"/>
        <w:gridCol w:w="1396"/>
        <w:gridCol w:w="1421"/>
        <w:gridCol w:w="109"/>
        <w:gridCol w:w="109"/>
        <w:gridCol w:w="109"/>
        <w:gridCol w:w="299"/>
        <w:gridCol w:w="299"/>
        <w:gridCol w:w="301"/>
        <w:gridCol w:w="109"/>
        <w:gridCol w:w="109"/>
        <w:gridCol w:w="109"/>
        <w:gridCol w:w="299"/>
        <w:gridCol w:w="299"/>
        <w:gridCol w:w="301"/>
        <w:gridCol w:w="109"/>
        <w:gridCol w:w="109"/>
        <w:gridCol w:w="109"/>
        <w:gridCol w:w="246"/>
        <w:gridCol w:w="246"/>
        <w:gridCol w:w="349"/>
      </w:tblGrid>
      <w:tr>
        <w:trPr/>
        <w:tc>
          <w:tcPr>
            <w:tcW w:w="159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2Q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2Q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Change</w:t>
            </w:r>
          </w:p>
        </w:tc>
      </w:tr>
      <w:tr>
        <w:trPr/>
        <w:tc>
          <w:tcPr>
            <w:tcW w:w="4410"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$5,187</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$5,018</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3%</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i/>
                <w:color w:val="000000"/>
                <w:sz w:val="16"/>
              </w:rPr>
              <w:t>Organic</w:t>
            </w:r>
            <w:r>
              <w:rPr>
                <w:rFonts w:ascii="Aptos;sans-serif" w:hAnsi="Aptos;sans-serif"/>
                <w:b w:val="false"/>
                <w:i/>
                <w:color w:val="000000"/>
                <w:sz w:val="10"/>
              </w:rPr>
              <w:t>1</w:t>
            </w:r>
            <w:r>
              <w:rPr>
                <w:color w:val="000000"/>
              </w:rPr>
              <w:t xml:space="preserve"> </w:t>
            </w:r>
            <w:r>
              <w:rPr>
                <w:rFonts w:ascii="Aptos;sans-serif" w:hAnsi="Aptos;sans-serif"/>
                <w:b w:val="false"/>
                <w:i/>
                <w:color w:val="000000"/>
                <w:sz w:val="16"/>
              </w:rPr>
              <w:t>Growth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i/>
                <w:color w:val="000000"/>
                <w:sz w:val="16"/>
              </w:rPr>
            </w:pPr>
            <w:r>
              <w:rPr>
                <w:rFonts w:ascii="Aptos;sans-serif" w:hAnsi="Aptos;sans-serif"/>
                <w:b w:val="false"/>
                <w:i/>
                <w:color w:val="000000"/>
                <w:sz w:val="16"/>
              </w:rPr>
              <w:t>4%</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Operating Income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$662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$666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Operating Income Margin</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12.8%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13.3%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(50 bps)</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Segment Profit</w:t>
            </w:r>
            <w:r>
              <w:rPr>
                <w:rFonts w:ascii="Aptos;sans-serif" w:hAnsi="Aptos;sans-serif"/>
                <w:b w:val="false"/>
                <w:color w:val="000000"/>
                <w:sz w:val="10"/>
              </w:rPr>
              <w:t>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$985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$904</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9%</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Segment Margin</w:t>
            </w:r>
            <w:r>
              <w:rPr>
                <w:rFonts w:ascii="Aptos;sans-serif" w:hAnsi="Aptos;sans-serif"/>
                <w:b w:val="false"/>
                <w:color w:val="000000"/>
                <w:sz w:val="10"/>
              </w:rPr>
              <w:t>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19.0%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18.0%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100 bps</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Earnings Per Share - Continuing Operations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$16.65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$1.21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1,276%</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Adjusted Earnings Per Share</w:t>
            </w:r>
            <w:r>
              <w:rPr>
                <w:rFonts w:ascii="Aptos;sans-serif" w:hAnsi="Aptos;sans-serif"/>
                <w:b w:val="false"/>
                <w:color w:val="000000"/>
                <w:sz w:val="10"/>
              </w:rPr>
              <w:t>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$1.95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$1.77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10%</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Cash Flow from Operations - Continuing Operations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$563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$187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201%</w:t>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2" w:space="0" w:color="61656A"/>
              <w:left w:val="single" w:sz="2" w:space="0" w:color="FFFFFF"/>
              <w:bottom w:val="single" w:sz="4" w:space="0" w:color="D7282F"/>
            </w:tcBorders>
            <w:tcMar>
              <w:top w:w="52" w:type="dxa"/>
              <w:bottom w:w="3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Free Cash Flow</w:t>
            </w:r>
            <w:r>
              <w:rPr>
                <w:rFonts w:ascii="Aptos;sans-serif" w:hAnsi="Aptos;sans-serif"/>
                <w:b w:val="false"/>
                <w:color w:val="000000"/>
                <w:sz w:val="10"/>
              </w:rPr>
              <w:t>1,4</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$456</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$114</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bottom w:val="single" w:sz="4" w:space="0" w:color="D7282F"/>
              <w:right w:val="single" w:sz="2" w:space="0" w:color="FFFFFF"/>
            </w:tcBorders>
            <w:tcMar>
              <w:top w:w="52" w:type="dxa"/>
              <w:left w:w="0" w:type="dxa"/>
              <w:bottom w:w="3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300%</w:t>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before="0" w:after="20"/>
        <w:jc w:val="left"/>
        <w:rPr/>
      </w:pPr>
      <w:r>
        <w:rPr/>
      </w:r>
    </w:p>
    <w:p>
      <w:pPr>
        <w:pStyle w:val="TextBody"/>
        <w:bidi w:val="0"/>
        <w:spacing w:before="0" w:after="20"/>
        <w:jc w:val="left"/>
        <w:rPr/>
      </w:pPr>
      <w:r>
        <w:rPr/>
      </w:r>
    </w:p>
    <w:p>
      <w:pPr>
        <w:pStyle w:val="TextBody"/>
        <w:bidi w:val="0"/>
        <w:spacing w:before="0" w:after="20"/>
        <w:jc w:val="left"/>
        <w:rPr/>
      </w:pPr>
      <w:r>
        <w:rPr/>
      </w:r>
    </w:p>
    <w:p>
      <w:pPr>
        <w:pStyle w:val="TextBody"/>
        <w:bidi w:val="0"/>
        <w:spacing w:before="0" w:after="20"/>
        <w:jc w:val="left"/>
        <w:rPr/>
      </w:pPr>
      <w:r>
        <w:rPr/>
      </w:r>
    </w:p>
    <w:p>
      <w:pPr>
        <w:pStyle w:val="TextBody"/>
        <w:bidi w:val="0"/>
        <w:spacing w:before="0" w:after="20"/>
        <w:jc w:val="left"/>
        <w:rPr/>
      </w:pPr>
      <w:r>
        <w:rPr/>
      </w:r>
    </w:p>
    <w:p>
      <w:pPr>
        <w:pStyle w:val="TextBody"/>
        <w:bidi w:val="0"/>
        <w:spacing w:before="0" w:after="20"/>
        <w:jc w:val="left"/>
        <w:rPr/>
      </w:pPr>
      <w:r>
        <w:rPr/>
      </w:r>
    </w:p>
    <w:p>
      <w:pPr>
        <w:pStyle w:val="TextBody"/>
        <w:bidi w:val="0"/>
        <w:spacing w:lineRule="auto" w:line="288"/>
        <w:jc w:val="left"/>
        <w:rPr/>
      </w:pPr>
      <w:r>
        <w:rPr>
          <w:rFonts w:ascii="Times New Roman;serif" w:hAnsi="Times New Roman;serif"/>
          <w:b w:val="false"/>
          <w:color w:val="000000"/>
          <w:sz w:val="13"/>
        </w:rPr>
        <w:t>*</w:t>
      </w:r>
      <w:r>
        <w:rPr>
          <w:color w:val="000000"/>
        </w:rPr>
        <w:t xml:space="preserve"> </w:t>
      </w:r>
      <w:r>
        <w:rPr>
          <w:rFonts w:ascii="Aptos;sans-serif" w:hAnsi="Aptos;sans-serif"/>
          <w:b w:val="false"/>
          <w:color w:val="000000"/>
          <w:sz w:val="16"/>
        </w:rPr>
        <w:t>Results refer to Honeywell Technologies only, excluding results attributable to the Honeywell Aerospace business, including adjustments related to the perimeter of the Aerospace spin-off, allocation of Honeywell Technologies corporate costs, and treatment of intracompany transactions, among other items.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8110"/>
                <wp:effectExtent l="0" t="0" r="0" b="0"/>
                <wp:wrapNone/>
                <wp:docPr id="6" name="Frame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- 3</w:t>
      </w:r>
    </w:p>
    <w:p>
      <w:pPr>
        <w:pStyle w:val="TextBody"/>
        <w:bidi w:val="0"/>
        <w:spacing w:before="0" w:after="0"/>
        <w:jc w:val="left"/>
        <w:rPr/>
      </w:pPr>
      <w:r>
        <w:rPr/>
      </w:r>
    </w:p>
    <w:p>
      <w:pPr>
        <w:pStyle w:val="TextBody"/>
        <w:bidi w:val="0"/>
        <w:spacing w:lineRule="auto" w:line="417" w:before="0" w:after="20"/>
        <w:jc w:val="left"/>
        <w:rPr>
          <w:rFonts w:ascii="Aptos;sans-serif" w:hAnsi="Aptos;sans-serif"/>
          <w:b/>
          <w:color w:val="000000"/>
          <w:sz w:val="20"/>
          <w:u w:val="single"/>
        </w:rPr>
      </w:pPr>
      <w:r>
        <w:rPr>
          <w:rFonts w:ascii="Aptos;sans-serif" w:hAnsi="Aptos;sans-serif"/>
          <w:b/>
          <w:color w:val="000000"/>
          <w:sz w:val="20"/>
          <w:u w:val="single"/>
        </w:rPr>
        <w:t>Table 3: Summary of Honeywell Technologies Segment Financial Results</w: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(Dollars in millions)</w:t>
      </w:r>
    </w:p>
    <w:p>
      <w:pPr>
        <w:pStyle w:val="TextBody"/>
        <w:bidi w:val="0"/>
        <w:spacing w:before="0" w:after="0"/>
        <w:jc w:val="left"/>
        <w:rPr/>
      </w:pPr>
      <w:r>
        <w:rPr/>
      </w:r>
    </w:p>
    <w:tbl>
      <w:tblPr>
        <w:tblW w:w="7922" w:type="dxa"/>
        <w:jc w:val="left"/>
        <w:tblInd w:w="0" w:type="dxa"/>
        <w:tblLayout w:type="fixed"/>
        <w:tblCellMar>
          <w:top w:w="28" w:type="dxa"/>
          <w:left w:w="28" w:type="dxa"/>
          <w:bottom w:w="28" w:type="dxa"/>
          <w:right w:w="28" w:type="dxa"/>
        </w:tblCellMar>
      </w:tblPr>
      <w:tblGrid>
        <w:gridCol w:w="1484"/>
        <w:gridCol w:w="1302"/>
        <w:gridCol w:w="1308"/>
        <w:gridCol w:w="109"/>
        <w:gridCol w:w="109"/>
        <w:gridCol w:w="109"/>
        <w:gridCol w:w="319"/>
        <w:gridCol w:w="319"/>
        <w:gridCol w:w="321"/>
        <w:gridCol w:w="109"/>
        <w:gridCol w:w="109"/>
        <w:gridCol w:w="109"/>
        <w:gridCol w:w="319"/>
        <w:gridCol w:w="319"/>
        <w:gridCol w:w="321"/>
        <w:gridCol w:w="109"/>
        <w:gridCol w:w="109"/>
        <w:gridCol w:w="109"/>
        <w:gridCol w:w="272"/>
        <w:gridCol w:w="272"/>
        <w:gridCol w:w="385"/>
      </w:tblGrid>
      <w:tr>
        <w:trPr/>
        <w:tc>
          <w:tcPr>
            <w:tcW w:w="14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BUILDING AUTOMATION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ptos;sans-serif" w:hAnsi="Aptos;sans-serif"/>
                <w:b/>
                <w:color w:val="000000"/>
                <w:sz w:val="16"/>
              </w:rPr>
              <w:t>2Q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ptos;sans-serif" w:hAnsi="Aptos;sans-serif"/>
                <w:b/>
                <w:color w:val="000000"/>
                <w:sz w:val="16"/>
              </w:rPr>
              <w:t>2Q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color w:val="000000"/>
              </w:rPr>
            </w:pPr>
            <w:r>
              <w:rPr>
                <w:color w:val="000000"/>
              </w:rPr>
              <w:t> </w:t>
            </w:r>
            <w:r>
              <w:rPr>
                <w:rFonts w:ascii="Aptos;sans-serif" w:hAnsi="Aptos;sans-serif"/>
                <w:b/>
                <w:color w:val="000000"/>
                <w:sz w:val="16"/>
              </w:rPr>
              <w:t>Change</w:t>
            </w:r>
          </w:p>
        </w:tc>
      </w:tr>
      <w:tr>
        <w:trPr/>
        <w:tc>
          <w:tcPr>
            <w:tcW w:w="4094"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$2,002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$1,826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10%</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i/>
                <w:color w:val="000000"/>
                <w:sz w:val="16"/>
              </w:rPr>
              <w:t>Organic</w:t>
            </w:r>
            <w:r>
              <w:rPr>
                <w:rFonts w:ascii="Aptos;sans-serif" w:hAnsi="Aptos;sans-serif"/>
                <w:b w:val="false"/>
                <w:i/>
                <w:color w:val="000000"/>
                <w:sz w:val="10"/>
              </w:rPr>
              <w:t>1</w:t>
            </w:r>
            <w:r>
              <w:rPr>
                <w:color w:val="000000"/>
              </w:rPr>
              <w:t xml:space="preserve"> </w:t>
            </w:r>
            <w:r>
              <w:rPr>
                <w:rFonts w:ascii="Aptos;sans-serif" w:hAnsi="Aptos;sans-serif"/>
                <w:b w:val="false"/>
                <w:i/>
                <w:color w:val="000000"/>
                <w:sz w:val="16"/>
              </w:rPr>
              <w:t>Growth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i/>
                <w:color w:val="000000"/>
                <w:sz w:val="16"/>
              </w:rPr>
            </w:pPr>
            <w:r>
              <w:rPr>
                <w:rFonts w:ascii="Aptos;sans-serif" w:hAnsi="Aptos;sans-serif"/>
                <w:b w:val="false"/>
                <w:i/>
                <w:color w:val="000000"/>
                <w:sz w:val="16"/>
              </w:rPr>
              <w:t>9%</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Profit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$542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$479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13%</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Margin</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27.1%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26.2%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90 bps</w:t>
            </w:r>
          </w:p>
        </w:tc>
      </w:tr>
      <w:tr>
        <w:trPr/>
        <w:tc>
          <w:tcPr>
            <w:tcW w:w="4094"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PROCESS AUTOMATION AND TECHNOLOGY</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color w:val="000000"/>
              </w:rPr>
            </w:pPr>
            <w:r>
              <w:rPr>
                <w:color w:val="000000"/>
              </w:rPr>
              <w:t> </w:t>
            </w:r>
          </w:p>
        </w:tc>
      </w:tr>
      <w:tr>
        <w:trPr/>
        <w:tc>
          <w:tcPr>
            <w:tcW w:w="4094"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$1,679</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$1,613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i/>
                <w:color w:val="000000"/>
                <w:sz w:val="16"/>
              </w:rPr>
              <w:t>Organic</w:t>
            </w:r>
            <w:r>
              <w:rPr>
                <w:rFonts w:ascii="Aptos;sans-serif" w:hAnsi="Aptos;sans-serif"/>
                <w:b w:val="false"/>
                <w:i/>
                <w:color w:val="000000"/>
                <w:sz w:val="10"/>
              </w:rPr>
              <w:t>1</w:t>
            </w:r>
            <w:r>
              <w:rPr>
                <w:color w:val="000000"/>
              </w:rPr>
              <w:t xml:space="preserve"> </w:t>
            </w:r>
            <w:r>
              <w:rPr>
                <w:rFonts w:ascii="Aptos;sans-serif" w:hAnsi="Aptos;sans-serif"/>
                <w:b w:val="false"/>
                <w:i/>
                <w:color w:val="000000"/>
                <w:sz w:val="16"/>
              </w:rPr>
              <w:t>Growth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i/>
                <w:color w:val="000000"/>
                <w:sz w:val="16"/>
              </w:rPr>
            </w:pPr>
            <w:r>
              <w:rPr>
                <w:rFonts w:ascii="Aptos;sans-serif" w:hAnsi="Aptos;sans-serif"/>
                <w:b w:val="false"/>
                <w:i/>
                <w:color w:val="000000"/>
                <w:sz w:val="16"/>
              </w:rPr>
              <w:t>(1%)</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Profit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$371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$386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Margin</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22.1%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23.9%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(180) bps</w:t>
            </w:r>
          </w:p>
        </w:tc>
      </w:tr>
      <w:tr>
        <w:trPr/>
        <w:tc>
          <w:tcPr>
            <w:tcW w:w="4094"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INDUSTRIAL AUTOMATION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right w:val="single" w:sz="2"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$1,501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$1,577</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(5%)</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i/>
                <w:color w:val="000000"/>
                <w:sz w:val="16"/>
              </w:rPr>
              <w:t>Organic</w:t>
            </w:r>
            <w:r>
              <w:rPr>
                <w:rFonts w:ascii="Aptos;sans-serif" w:hAnsi="Aptos;sans-serif"/>
                <w:b w:val="false"/>
                <w:i/>
                <w:color w:val="000000"/>
                <w:sz w:val="10"/>
              </w:rPr>
              <w:t>1</w:t>
            </w:r>
            <w:r>
              <w:rPr>
                <w:color w:val="000000"/>
              </w:rPr>
              <w:t xml:space="preserve"> </w:t>
            </w:r>
            <w:r>
              <w:rPr>
                <w:rFonts w:ascii="Aptos;sans-serif" w:hAnsi="Aptos;sans-serif"/>
                <w:b w:val="false"/>
                <w:i/>
                <w:color w:val="000000"/>
                <w:sz w:val="16"/>
              </w:rPr>
              <w:t>Growth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i/>
                <w:color w:val="000000"/>
                <w:sz w:val="16"/>
              </w:rPr>
            </w:pPr>
            <w:r>
              <w:rPr>
                <w:rFonts w:ascii="Aptos;sans-serif" w:hAnsi="Aptos;sans-serif"/>
                <w:b w:val="false"/>
                <w:i/>
                <w:color w:val="000000"/>
                <w:sz w:val="16"/>
              </w:rPr>
              <w:t>4%</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Profit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$258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$257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4094" w:type="dxa"/>
            <w:gridSpan w:val="3"/>
            <w:tcBorders>
              <w:top w:val="single" w:sz="2" w:space="0" w:color="61656A"/>
              <w:left w:val="single" w:sz="2" w:space="0" w:color="FFFFFF"/>
              <w:bottom w:val="single" w:sz="4" w:space="0" w:color="D7282F"/>
            </w:tcBorders>
            <w:tcMar>
              <w:top w:w="52"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Margin</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17.2%</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16.3%</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bottom w:val="single" w:sz="4" w:space="0" w:color="D7282F"/>
              <w:right w:val="single" w:sz="2" w:space="0" w:color="FFFFFF"/>
            </w:tcBorders>
            <w:tcMar>
              <w:top w:w="52" w:type="dxa"/>
              <w:left w:w="0" w:type="dxa"/>
              <w:bottom w:w="3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90 bps</w:t>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417" w:before="0" w:after="0"/>
        <w:ind w:left="0" w:right="0" w:firstLine="720"/>
        <w:jc w:val="left"/>
        <w:rPr/>
      </w:pPr>
      <w:r>
        <w:rPr>
          <w:rFonts w:ascii="Aptos;sans-serif" w:hAnsi="Aptos;sans-serif"/>
          <w:b/>
          <w:color w:val="000000"/>
          <w:sz w:val="20"/>
        </w:rPr>
        <w:t>Building Automation</w:t>
      </w:r>
      <w:r>
        <w:rPr>
          <w:color w:val="000000"/>
        </w:rPr>
        <w:t xml:space="preserve"> </w:t>
      </w:r>
      <w:r>
        <w:rPr>
          <w:rFonts w:ascii="Aptos;sans-serif" w:hAnsi="Aptos;sans-serif"/>
          <w:b w:val="false"/>
          <w:color w:val="000000"/>
          <w:sz w:val="20"/>
        </w:rPr>
        <w:t>sales for the second quarter grew 9% organically</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year over year. Building products grew 10% led by continued double-digit growth in the fire business, and building solutions grew 7%, driven by services. Orders increased 13% year over year led by robust growth in data center and hospitality verticals. Segment margin expanded 90 basis points to 27.1% driven by volume leverage and pricing, partially offset by inflation.</w:t>
      </w:r>
    </w:p>
    <w:p>
      <w:pPr>
        <w:pStyle w:val="TextBody"/>
        <w:bidi w:val="0"/>
        <w:spacing w:lineRule="auto" w:line="417" w:before="0" w:after="0"/>
        <w:ind w:left="0" w:right="0" w:firstLine="720"/>
        <w:jc w:val="left"/>
        <w:rPr/>
      </w:pPr>
      <w:r>
        <w:rPr>
          <w:rFonts w:ascii="Aptos;sans-serif" w:hAnsi="Aptos;sans-serif"/>
          <w:b/>
          <w:color w:val="000000"/>
          <w:sz w:val="20"/>
        </w:rPr>
        <w:t>Process Automation and Technology</w:t>
      </w:r>
      <w:r>
        <w:rPr>
          <w:color w:val="000000"/>
        </w:rPr>
        <w:t xml:space="preserve"> </w:t>
      </w:r>
      <w:r>
        <w:rPr>
          <w:rFonts w:ascii="Aptos;sans-serif" w:hAnsi="Aptos;sans-serif"/>
          <w:b w:val="false"/>
          <w:color w:val="000000"/>
          <w:sz w:val="20"/>
        </w:rPr>
        <w:t>sales for the second quarter decreased 1% organically</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 xml:space="preserve">year over year. Projects sales increased 5% organically, led by continued strength in LNG and a return to growth in automation projects. This was offset by a 6% decline in aftermarket sales driven by higher catalyst shipments in the prior year. Orders were up 24% led by demand in LNG. Segment margin contracted 180 basis points to 22.1% driven by lower catalyst volumes and unfavorable product mix. </w:t>
      </w:r>
    </w:p>
    <w:p>
      <w:pPr>
        <w:pStyle w:val="TextBody"/>
        <w:bidi w:val="0"/>
        <w:spacing w:lineRule="auto" w:line="417" w:before="0" w:after="0"/>
        <w:ind w:left="0" w:right="0" w:firstLine="720"/>
        <w:jc w:val="left"/>
        <w:rPr/>
      </w:pPr>
      <w:r>
        <w:rPr>
          <w:rFonts w:ascii="Aptos;sans-serif" w:hAnsi="Aptos;sans-serif"/>
          <w:b/>
          <w:color w:val="000000"/>
          <w:sz w:val="20"/>
        </w:rPr>
        <w:t>Industrial Automation</w:t>
      </w:r>
      <w:r>
        <w:rPr>
          <w:color w:val="000000"/>
          <w:shd w:fill="FFFFFF" w:val="clear"/>
        </w:rPr>
        <w:t xml:space="preserve"> </w:t>
      </w:r>
      <w:r>
        <w:rPr>
          <w:rFonts w:ascii="Aptos;sans-serif" w:hAnsi="Aptos;sans-serif"/>
          <w:b w:val="false"/>
          <w:color w:val="000000"/>
          <w:sz w:val="20"/>
          <w:shd w:fill="FFFFFF" w:val="clear"/>
        </w:rPr>
        <w:t>sales for the second quarter grew 4% organically</w:t>
      </w:r>
      <w:r>
        <w:rPr>
          <w:rFonts w:ascii="Aptos;sans-serif" w:hAnsi="Aptos;sans-serif"/>
          <w:b w:val="false"/>
          <w:color w:val="000000"/>
          <w:sz w:val="13"/>
        </w:rPr>
        <w:t>1</w:t>
      </w:r>
      <w:r>
        <w:rPr>
          <w:color w:val="000000"/>
          <w:shd w:fill="FFFFFF" w:val="clear"/>
        </w:rPr>
        <w:t xml:space="preserve"> </w:t>
      </w:r>
      <w:r>
        <w:rPr>
          <w:rFonts w:ascii="Aptos;sans-serif" w:hAnsi="Aptos;sans-serif"/>
          <w:b w:val="false"/>
          <w:color w:val="000000"/>
          <w:sz w:val="20"/>
          <w:shd w:fill="FFFFFF" w:val="clear"/>
        </w:rPr>
        <w:t>year over year led by 10% growth in solutions, driven by strength in utilities projects and strong backlog conversion in the warehouse business. Products grew 1% led by demand in sensing and industrial measurement. Segment margin expanded 90 basis points year over year to 17.2% driven by pricing and productivity, partially offset by inflation.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8110"/>
                <wp:effectExtent l="0" t="0" r="0" b="0"/>
                <wp:wrapNone/>
                <wp:docPr id="7" name="Frame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ptos;sans-serif" w:hAnsi="Aptos;sans-serif"/>
          <w:b/>
          <w:color w:val="000000"/>
          <w:sz w:val="20"/>
          <w:u w:val="single"/>
        </w:rPr>
        <w:t>Table 4: Honeywell Technologies Full-Year 2026 Guidance</w:t>
      </w:r>
      <w:r>
        <w:rPr>
          <w:rFonts w:ascii="Aptos;sans-serif" w:hAnsi="Aptos;sans-serif"/>
          <w:b/>
          <w:color w:val="000000"/>
          <w:sz w:val="13"/>
        </w:rPr>
        <w:t>1</w:t>
      </w:r>
    </w:p>
    <w:p>
      <w:pPr>
        <w:pStyle w:val="TextBody"/>
        <w:bidi w:val="0"/>
        <w:spacing w:before="0" w:after="0"/>
        <w:jc w:val="left"/>
        <w:rPr/>
      </w:pPr>
      <w:r>
        <w:rPr/>
      </w:r>
    </w:p>
    <w:tbl>
      <w:tblPr>
        <w:tblW w:w="6267" w:type="dxa"/>
        <w:jc w:val="left"/>
        <w:tblInd w:w="0" w:type="dxa"/>
        <w:tblLayout w:type="fixed"/>
        <w:tblCellMar>
          <w:top w:w="28" w:type="dxa"/>
          <w:left w:w="28" w:type="dxa"/>
          <w:bottom w:w="28" w:type="dxa"/>
          <w:right w:w="28" w:type="dxa"/>
        </w:tblCellMar>
      </w:tblPr>
      <w:tblGrid>
        <w:gridCol w:w="962"/>
        <w:gridCol w:w="838"/>
        <w:gridCol w:w="854"/>
        <w:gridCol w:w="614"/>
        <w:gridCol w:w="614"/>
        <w:gridCol w:w="616"/>
        <w:gridCol w:w="518"/>
        <w:gridCol w:w="518"/>
        <w:gridCol w:w="733"/>
      </w:tblGrid>
      <w:tr>
        <w:trPr/>
        <w:tc>
          <w:tcPr>
            <w:tcW w:w="96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Previous Guidance</w:t>
            </w:r>
          </w:p>
        </w:tc>
        <w:tc>
          <w:tcPr>
            <w:tcW w:w="176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Current Guidance</w:t>
            </w:r>
          </w:p>
        </w:tc>
      </w:tr>
      <w:tr>
        <w:trPr/>
        <w:tc>
          <w:tcPr>
            <w:tcW w:w="26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16"/>
              </w:rPr>
            </w:pPr>
            <w:r>
              <w:rPr>
                <w:rFonts w:ascii="Aptos;sans-serif" w:hAnsi="Aptos;sans-serif"/>
                <w:b w:val="false"/>
                <w:color w:val="000000"/>
                <w:sz w:val="16"/>
              </w:rPr>
              <w:t>Sales</w:t>
            </w:r>
          </w:p>
        </w:tc>
        <w:tc>
          <w:tcPr>
            <w:tcW w:w="184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color w:val="000000"/>
                <w:sz w:val="16"/>
              </w:rPr>
            </w:pPr>
            <w:r>
              <w:rPr>
                <w:rFonts w:ascii="Aptos;sans-serif" w:hAnsi="Aptos;sans-serif"/>
                <w:b w:val="false"/>
                <w:color w:val="000000"/>
                <w:sz w:val="16"/>
              </w:rPr>
              <w:t>$19.9B - $20.2B</w:t>
            </w:r>
          </w:p>
        </w:tc>
        <w:tc>
          <w:tcPr>
            <w:tcW w:w="176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68" w:before="0" w:after="283"/>
              <w:ind w:left="0" w:right="0" w:firstLine="270"/>
              <w:jc w:val="center"/>
              <w:rPr>
                <w:rFonts w:ascii="Aptos;sans-serif" w:hAnsi="Aptos;sans-serif"/>
                <w:b w:val="false"/>
                <w:color w:val="000000"/>
                <w:sz w:val="16"/>
              </w:rPr>
            </w:pPr>
            <w:r>
              <w:rPr>
                <w:rFonts w:ascii="Aptos;sans-serif" w:hAnsi="Aptos;sans-serif"/>
                <w:b w:val="false"/>
                <w:color w:val="000000"/>
                <w:sz w:val="16"/>
              </w:rPr>
              <w:t>$19.8B - $20.0B</w:t>
            </w:r>
          </w:p>
        </w:tc>
      </w:tr>
      <w:tr>
        <w:trPr/>
        <w:tc>
          <w:tcPr>
            <w:tcW w:w="26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i/>
                <w:color w:val="000000"/>
                <w:sz w:val="16"/>
              </w:rPr>
            </w:pPr>
            <w:r>
              <w:rPr>
                <w:rFonts w:ascii="Aptos;sans-serif" w:hAnsi="Aptos;sans-serif"/>
                <w:b w:val="false"/>
                <w:i/>
                <w:color w:val="000000"/>
                <w:sz w:val="16"/>
              </w:rPr>
              <w:t>Organic Growth</w:t>
            </w:r>
          </w:p>
        </w:tc>
        <w:tc>
          <w:tcPr>
            <w:tcW w:w="184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i/>
                <w:color w:val="000000"/>
                <w:sz w:val="16"/>
              </w:rPr>
            </w:pPr>
            <w:r>
              <w:rPr>
                <w:rFonts w:ascii="Aptos;sans-serif" w:hAnsi="Aptos;sans-serif"/>
                <w:b w:val="false"/>
                <w:i/>
                <w:color w:val="000000"/>
                <w:sz w:val="16"/>
              </w:rPr>
              <w:t>2% - 3%</w:t>
            </w:r>
          </w:p>
        </w:tc>
        <w:tc>
          <w:tcPr>
            <w:tcW w:w="176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i/>
                <w:color w:val="000000"/>
                <w:sz w:val="16"/>
              </w:rPr>
            </w:pPr>
            <w:r>
              <w:rPr>
                <w:rFonts w:ascii="Aptos;sans-serif" w:hAnsi="Aptos;sans-serif"/>
                <w:b w:val="false"/>
                <w:i/>
                <w:color w:val="000000"/>
                <w:sz w:val="16"/>
              </w:rPr>
              <w:t>3% - 4%</w:t>
            </w:r>
          </w:p>
        </w:tc>
      </w:tr>
      <w:tr>
        <w:trPr/>
        <w:tc>
          <w:tcPr>
            <w:tcW w:w="26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0"/>
              <w:jc w:val="left"/>
              <w:rPr/>
            </w:pPr>
            <w:r>
              <w:rPr>
                <w:rFonts w:ascii="Aptos;sans-serif" w:hAnsi="Aptos;sans-serif"/>
                <w:b w:val="false"/>
                <w:color w:val="000000"/>
                <w:sz w:val="16"/>
              </w:rPr>
              <w:t>Segment Margin</w:t>
            </w:r>
            <w:r>
              <w:rPr>
                <w:rFonts w:ascii="Aptos;sans-serif" w:hAnsi="Aptos;sans-serif"/>
                <w:b w:val="false"/>
                <w:color w:val="000000"/>
                <w:sz w:val="10"/>
              </w:rPr>
              <w:t>2</w:t>
            </w:r>
          </w:p>
        </w:tc>
        <w:tc>
          <w:tcPr>
            <w:tcW w:w="184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color w:val="000000"/>
                <w:sz w:val="16"/>
              </w:rPr>
            </w:pPr>
            <w:r>
              <w:rPr>
                <w:rFonts w:ascii="Aptos;sans-serif" w:hAnsi="Aptos;sans-serif"/>
                <w:b w:val="false"/>
                <w:color w:val="000000"/>
                <w:sz w:val="16"/>
              </w:rPr>
              <w:t>19.8% - 20.3%</w:t>
            </w:r>
          </w:p>
        </w:tc>
        <w:tc>
          <w:tcPr>
            <w:tcW w:w="176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ind w:left="0" w:right="0" w:firstLine="240"/>
              <w:jc w:val="center"/>
              <w:rPr>
                <w:rFonts w:ascii="Aptos;sans-serif" w:hAnsi="Aptos;sans-serif"/>
                <w:b w:val="false"/>
                <w:color w:val="000000"/>
                <w:sz w:val="16"/>
              </w:rPr>
            </w:pPr>
            <w:r>
              <w:rPr>
                <w:rFonts w:ascii="Aptos;sans-serif" w:hAnsi="Aptos;sans-serif"/>
                <w:b w:val="false"/>
                <w:color w:val="000000"/>
                <w:sz w:val="16"/>
              </w:rPr>
              <w:t>20.1% - 20.5%</w:t>
            </w:r>
          </w:p>
        </w:tc>
      </w:tr>
      <w:tr>
        <w:trPr/>
        <w:tc>
          <w:tcPr>
            <w:tcW w:w="26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i/>
                <w:color w:val="000000"/>
                <w:sz w:val="16"/>
              </w:rPr>
            </w:pPr>
            <w:r>
              <w:rPr>
                <w:rFonts w:ascii="Aptos;sans-serif" w:hAnsi="Aptos;sans-serif"/>
                <w:b w:val="false"/>
                <w:i/>
                <w:color w:val="000000"/>
                <w:sz w:val="16"/>
              </w:rPr>
              <w:t>Expansion</w:t>
            </w:r>
          </w:p>
        </w:tc>
        <w:tc>
          <w:tcPr>
            <w:tcW w:w="184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i/>
                <w:color w:val="000000"/>
                <w:sz w:val="16"/>
              </w:rPr>
            </w:pPr>
            <w:r>
              <w:rPr>
                <w:rFonts w:ascii="Aptos;sans-serif" w:hAnsi="Aptos;sans-serif"/>
                <w:b w:val="false"/>
                <w:i/>
                <w:color w:val="000000"/>
                <w:sz w:val="16"/>
              </w:rPr>
              <w:t>Up 220 - 270 bps</w:t>
            </w:r>
          </w:p>
        </w:tc>
        <w:tc>
          <w:tcPr>
            <w:tcW w:w="176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i/>
                <w:color w:val="000000"/>
                <w:sz w:val="16"/>
              </w:rPr>
            </w:pPr>
            <w:r>
              <w:rPr>
                <w:rFonts w:ascii="Aptos;sans-serif" w:hAnsi="Aptos;sans-serif"/>
                <w:b w:val="false"/>
                <w:i/>
                <w:color w:val="000000"/>
                <w:sz w:val="16"/>
              </w:rPr>
              <w:t>Up 250 - 290 bps</w:t>
            </w:r>
          </w:p>
        </w:tc>
      </w:tr>
      <w:tr>
        <w:trPr/>
        <w:tc>
          <w:tcPr>
            <w:tcW w:w="26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0"/>
              <w:jc w:val="left"/>
              <w:rPr/>
            </w:pPr>
            <w:r>
              <w:rPr>
                <w:rFonts w:ascii="Aptos;sans-serif" w:hAnsi="Aptos;sans-serif"/>
                <w:b w:val="false"/>
                <w:color w:val="000000"/>
                <w:sz w:val="16"/>
              </w:rPr>
              <w:t>Adjusted Earnings Per Share</w:t>
            </w:r>
            <w:r>
              <w:rPr>
                <w:rFonts w:ascii="Aptos;sans-serif" w:hAnsi="Aptos;sans-serif"/>
                <w:b w:val="false"/>
                <w:color w:val="000000"/>
                <w:sz w:val="10"/>
              </w:rPr>
              <w:t>2,3</w:t>
            </w:r>
          </w:p>
        </w:tc>
        <w:tc>
          <w:tcPr>
            <w:tcW w:w="184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color w:val="000000"/>
                <w:sz w:val="16"/>
              </w:rPr>
            </w:pPr>
            <w:r>
              <w:rPr>
                <w:rFonts w:ascii="Aptos;sans-serif" w:hAnsi="Aptos;sans-serif"/>
                <w:b w:val="false"/>
                <w:color w:val="000000"/>
                <w:sz w:val="16"/>
              </w:rPr>
              <w:t>$7.90 - $8.30</w:t>
            </w:r>
          </w:p>
        </w:tc>
        <w:tc>
          <w:tcPr>
            <w:tcW w:w="176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color w:val="000000"/>
                <w:sz w:val="16"/>
              </w:rPr>
            </w:pPr>
            <w:r>
              <w:rPr>
                <w:rFonts w:ascii="Aptos;sans-serif" w:hAnsi="Aptos;sans-serif"/>
                <w:b w:val="false"/>
                <w:color w:val="000000"/>
                <w:sz w:val="16"/>
              </w:rPr>
              <w:t>$8.05 - $8.35</w:t>
            </w:r>
          </w:p>
        </w:tc>
      </w:tr>
      <w:tr>
        <w:trPr/>
        <w:tc>
          <w:tcPr>
            <w:tcW w:w="26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0"/>
              <w:ind w:left="0" w:right="0" w:firstLine="270"/>
              <w:jc w:val="left"/>
              <w:rPr/>
            </w:pPr>
            <w:r>
              <w:rPr>
                <w:rFonts w:ascii="Aptos;sans-serif" w:hAnsi="Aptos;sans-serif"/>
                <w:b w:val="false"/>
                <w:i/>
                <w:color w:val="000000"/>
                <w:sz w:val="16"/>
              </w:rPr>
              <w:t>Adjusted Earnings Growth</w:t>
            </w:r>
            <w:r>
              <w:rPr>
                <w:rFonts w:ascii="Aptos;sans-serif" w:hAnsi="Aptos;sans-serif"/>
                <w:b w:val="false"/>
                <w:i/>
                <w:color w:val="000000"/>
                <w:sz w:val="10"/>
              </w:rPr>
              <w:t>3</w:t>
            </w:r>
          </w:p>
        </w:tc>
        <w:tc>
          <w:tcPr>
            <w:tcW w:w="184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i/>
                <w:color w:val="000000"/>
                <w:sz w:val="16"/>
              </w:rPr>
            </w:pPr>
            <w:r>
              <w:rPr>
                <w:rFonts w:ascii="Aptos;sans-serif" w:hAnsi="Aptos;sans-serif"/>
                <w:b w:val="false"/>
                <w:i/>
                <w:color w:val="000000"/>
                <w:sz w:val="16"/>
              </w:rPr>
              <w:t>22% - 28%</w:t>
            </w:r>
          </w:p>
        </w:tc>
        <w:tc>
          <w:tcPr>
            <w:tcW w:w="176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i/>
                <w:color w:val="000000"/>
                <w:sz w:val="16"/>
              </w:rPr>
            </w:pPr>
            <w:r>
              <w:rPr>
                <w:rFonts w:ascii="Aptos;sans-serif" w:hAnsi="Aptos;sans-serif"/>
                <w:b w:val="false"/>
                <w:i/>
                <w:color w:val="000000"/>
                <w:sz w:val="16"/>
              </w:rPr>
              <w:t>25% - 29%</w:t>
            </w:r>
          </w:p>
        </w:tc>
      </w:tr>
      <w:tr>
        <w:trPr/>
        <w:tc>
          <w:tcPr>
            <w:tcW w:w="26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16"/>
              </w:rPr>
            </w:pPr>
            <w:r>
              <w:rPr>
                <w:rFonts w:ascii="Aptos;sans-serif" w:hAnsi="Aptos;sans-serif"/>
                <w:b w:val="false"/>
                <w:color w:val="000000"/>
                <w:sz w:val="16"/>
              </w:rPr>
              <w:t>Operating Cash Flow</w:t>
            </w:r>
          </w:p>
        </w:tc>
        <w:tc>
          <w:tcPr>
            <w:tcW w:w="184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color w:val="000000"/>
                <w:sz w:val="16"/>
              </w:rPr>
            </w:pPr>
            <w:r>
              <w:rPr>
                <w:rFonts w:ascii="Aptos;sans-serif" w:hAnsi="Aptos;sans-serif"/>
                <w:b w:val="false"/>
                <w:color w:val="000000"/>
                <w:sz w:val="16"/>
              </w:rPr>
              <w:t>~$2.1B</w:t>
            </w:r>
          </w:p>
        </w:tc>
        <w:tc>
          <w:tcPr>
            <w:tcW w:w="176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color w:val="000000"/>
                <w:sz w:val="16"/>
              </w:rPr>
            </w:pPr>
            <w:r>
              <w:rPr>
                <w:rFonts w:ascii="Aptos;sans-serif" w:hAnsi="Aptos;sans-serif"/>
                <w:b w:val="false"/>
                <w:color w:val="000000"/>
                <w:sz w:val="16"/>
              </w:rPr>
              <w:t>~$2.1B</w:t>
            </w:r>
          </w:p>
        </w:tc>
      </w:tr>
      <w:tr>
        <w:trPr/>
        <w:tc>
          <w:tcPr>
            <w:tcW w:w="2654"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Free Cash Flow</w:t>
            </w:r>
            <w:r>
              <w:rPr>
                <w:rFonts w:ascii="Aptos;sans-serif" w:hAnsi="Aptos;sans-serif"/>
                <w:b w:val="false"/>
                <w:color w:val="000000"/>
                <w:sz w:val="10"/>
              </w:rPr>
              <w:t>4</w:t>
            </w:r>
          </w:p>
        </w:tc>
        <w:tc>
          <w:tcPr>
            <w:tcW w:w="1844"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~$2.0B</w:t>
            </w:r>
          </w:p>
        </w:tc>
        <w:tc>
          <w:tcPr>
            <w:tcW w:w="176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~$2.0B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69"/>
        <w:gridCol w:w="2675"/>
        <w:gridCol w:w="37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ptos;sans-serif" w:hAnsi="Aptos;sans-serif"/>
                <w:b w:val="false"/>
                <w:color w:val="000000"/>
                <w:sz w:val="14"/>
              </w:rPr>
            </w:pPr>
            <w:r>
              <w:rPr>
                <w:rFonts w:ascii="Aptos;sans-serif" w:hAnsi="Aptos;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76" w:before="40" w:after="283"/>
              <w:jc w:val="left"/>
              <w:rPr>
                <w:rFonts w:ascii="Aptos;sans-serif" w:hAnsi="Aptos;sans-serif"/>
                <w:b w:val="false"/>
                <w:color w:val="000000"/>
                <w:sz w:val="14"/>
              </w:rPr>
            </w:pPr>
            <w:r>
              <w:rPr>
                <w:rFonts w:ascii="Aptos;sans-serif" w:hAnsi="Aptos;sans-serif"/>
                <w:b w:val="false"/>
                <w:color w:val="000000"/>
                <w:sz w:val="14"/>
              </w:rPr>
              <w:t>See additional information at the end of this release regarding non-GAAP financial measures.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14"/>
              </w:rPr>
            </w:pPr>
            <w:r>
              <w:rPr>
                <w:rFonts w:ascii="Aptos;sans-serif" w:hAnsi="Aptos;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40" w:after="283"/>
              <w:jc w:val="left"/>
              <w:rPr>
                <w:rFonts w:ascii="Aptos;sans-serif" w:hAnsi="Aptos;sans-serif"/>
                <w:b w:val="false"/>
                <w:color w:val="000000"/>
                <w:sz w:val="14"/>
              </w:rPr>
            </w:pPr>
            <w:r>
              <w:rPr>
                <w:rFonts w:ascii="Aptos;sans-serif" w:hAnsi="Aptos;sans-serif"/>
                <w:b w:val="false"/>
                <w:color w:val="000000"/>
                <w:sz w:val="14"/>
              </w:rPr>
              <w:t>Segment margin and adjusted EPS are non-GAAP financial measures. Management cannot reliably predict or estimate, without unreasonable effort, the impact and timing on future operating results arising from items excluded from segment margin and adjusted EPS. We therefore, do not present a guidance range, or a reconciliation to, the nearest GAAP financial measures of operating margin or EPS.</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14"/>
              </w:rPr>
            </w:pPr>
            <w:r>
              <w:rPr>
                <w:rFonts w:ascii="Aptos;sans-serif" w:hAnsi="Aptos;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40" w:after="283"/>
              <w:jc w:val="left"/>
              <w:rPr>
                <w:rFonts w:ascii="Aptos;sans-serif" w:hAnsi="Aptos;sans-serif"/>
                <w:b w:val="false"/>
                <w:color w:val="000000"/>
                <w:sz w:val="14"/>
              </w:rPr>
            </w:pPr>
            <w:r>
              <w:rPr>
                <w:rFonts w:ascii="Aptos;sans-serif" w:hAnsi="Aptos;sans-serif"/>
                <w:b w:val="false"/>
                <w:color w:val="000000"/>
                <w:sz w:val="14"/>
              </w:rPr>
              <w:t>Adjusted EPS and adjusted EPS V% guidance excludes items identified in the non-GAAP reconciliation of adjusted EPS at the end of this release, and any potential future one-time items that we cannot reliably predict or estimate.</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14"/>
              </w:rPr>
            </w:pPr>
            <w:r>
              <w:rPr>
                <w:rFonts w:ascii="Aptos;sans-serif" w:hAnsi="Aptos;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14"/>
              </w:rPr>
            </w:pPr>
            <w:r>
              <w:rPr>
                <w:rFonts w:ascii="Aptos;sans-serif" w:hAnsi="Aptos;sans-serif"/>
                <w:b w:val="false"/>
                <w:color w:val="000000"/>
                <w:sz w:val="14"/>
              </w:rPr>
              <w:t>With respect to historical periods, free cash flow adjusts for capital expenditures, spin-off and separation-related cost payments, Resideo indemnification and reimbursement agreement termination payment, cash payment for settlement of the divestiture of asbestos liabilities, and cash flows attributable to Quantinuum. With respect to the company’s outlook for 2026, free cash flow adjusts for capital expenditures, spin-off and separation-related cost payments, and cash flows attributable to Quantinuum.</w:t>
            </w:r>
          </w:p>
        </w:tc>
      </w:tr>
    </w:tbl>
    <w:p>
      <w:pPr>
        <w:pStyle w:val="TextBody"/>
        <w:bidi w:val="0"/>
        <w:spacing w:before="0" w:after="0"/>
        <w:jc w:val="left"/>
        <w:rPr/>
      </w:pPr>
      <w:r>
        <w:rPr/>
      </w:r>
    </w:p>
    <w:p>
      <w:pPr>
        <w:pStyle w:val="TextBody"/>
        <w:bidi w:val="0"/>
        <w:spacing w:lineRule="auto" w:line="417" w:before="0" w:after="20"/>
        <w:jc w:val="left"/>
        <w:rPr>
          <w:rFonts w:ascii="Aptos;sans-serif" w:hAnsi="Aptos;sans-serif"/>
          <w:b/>
          <w:color w:val="000000"/>
          <w:sz w:val="20"/>
          <w:u w:val="single"/>
        </w:rPr>
      </w:pPr>
      <w:r>
        <w:rPr>
          <w:rFonts w:ascii="Aptos;sans-serif" w:hAnsi="Aptos;sans-serif"/>
          <w:b/>
          <w:color w:val="000000"/>
          <w:sz w:val="20"/>
          <w:u w:val="single"/>
        </w:rPr>
        <w:t>2026 Outlook</w:t>
      </w:r>
    </w:p>
    <w:p>
      <w:pPr>
        <w:pStyle w:val="TextBody"/>
        <w:bidi w:val="0"/>
        <w:spacing w:lineRule="auto" w:line="417" w:before="0" w:after="0"/>
        <w:ind w:left="0" w:right="0" w:firstLine="720"/>
        <w:jc w:val="left"/>
        <w:rPr/>
      </w:pPr>
      <w:r>
        <w:rPr>
          <w:rFonts w:ascii="Aptos;sans-serif" w:hAnsi="Aptos;sans-serif"/>
          <w:b w:val="false"/>
          <w:color w:val="000000"/>
          <w:sz w:val="20"/>
        </w:rPr>
        <w:t>Honeywell Technologies is updating its full-year outlook after a strong second quarter and improved organic growth fundamentals for process and industrial in the second half. The company now expects full-year sales of $19.8 billion to $20.0 billion with organic</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sales growth of 3% to 4%, and 4% to 6% organic</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growth in the second half. The company now expects segment margin</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in the range of 20.1% to 20.5% with segment margin</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expansion of 250 to 290 basis points year over year; and adjusted earnings per share</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in the range of $8.05 to $8.35, up 25% to 29%. Operating cash flow is expected to be approximately $2.1 billion, while free cash flow</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 xml:space="preserve">expectations are unchanged at approximately $2.0 billion for the full year. Guidance incorporates expected results for the acquisition of Johnson Matthey's Catalyst Technologies business, which closed on July 17, 2026, and the expected close of the Productivity Solutions and Services (PSS) and Warehouse and Workflow Solutions (WWS) business divestitures by early August. </w:t>
      </w:r>
    </w:p>
    <w:p>
      <w:pPr>
        <w:pStyle w:val="TextBody"/>
        <w:bidi w:val="0"/>
        <w:spacing w:before="0" w:after="0"/>
        <w:ind w:left="0" w:right="0" w:firstLine="720"/>
        <w:jc w:val="left"/>
        <w:rPr/>
      </w:pPr>
      <w:r>
        <w:rPr/>
      </w:r>
    </w:p>
    <w:p>
      <w:pPr>
        <w:pStyle w:val="TextBody"/>
        <w:bidi w:val="0"/>
        <w:spacing w:lineRule="auto" w:line="417" w:before="0" w:after="0"/>
        <w:jc w:val="left"/>
        <w:rPr>
          <w:rFonts w:ascii="Aptos;sans-serif" w:hAnsi="Aptos;sans-serif"/>
          <w:b/>
          <w:color w:val="000000"/>
          <w:sz w:val="20"/>
          <w:u w:val="single"/>
        </w:rPr>
      </w:pPr>
      <w:r>
        <w:rPr>
          <w:rFonts w:ascii="Aptos;sans-serif" w:hAnsi="Aptos;sans-serif"/>
          <w:b/>
          <w:color w:val="000000"/>
          <w:sz w:val="20"/>
          <w:u w:val="single"/>
        </w:rPr>
        <w:t>Honeywell Aerospace</w:t>
      </w:r>
    </w:p>
    <w:p>
      <w:pPr>
        <w:pStyle w:val="TextBody"/>
        <w:bidi w:val="0"/>
        <w:spacing w:lineRule="auto" w:line="417" w:before="0" w:after="0"/>
        <w:ind w:left="0" w:right="0" w:firstLine="720"/>
        <w:jc w:val="left"/>
        <w:rPr>
          <w:rFonts w:ascii="Aptos;sans-serif" w:hAnsi="Aptos;sans-serif"/>
          <w:b w:val="false"/>
          <w:color w:val="000000"/>
          <w:sz w:val="20"/>
        </w:rPr>
      </w:pPr>
      <w:r>
        <w:rPr>
          <w:rFonts w:ascii="Aptos;sans-serif" w:hAnsi="Aptos;sans-serif"/>
          <w:b w:val="false"/>
          <w:color w:val="000000"/>
          <w:sz w:val="20"/>
        </w:rPr>
        <w:t>The former Aerospace Technologies segment now operates independently as Honeywell Aerospace and trades under the ticker symbol "HONA" following its spin-off from Honeywell Technologies on June 29. Consistent with precedent spin-off transactions, Honeywell Aerospace's financial results may differ from Aerospace Technologies financial information for the former segment due to the perimeter of the transaction, allocation of Honeywell Technologies corporate costs, and treatment of intracompany transactions, among other items, for both current and prior reporting periods. Because the creation of carve-out financial statements requires a lengthier closing process, Honeywell Aerospace announced that it will issue its second quarter results on a standalone basis after market close on August 5.</w:t>
      </w:r>
    </w:p>
    <w:p>
      <w:pPr>
        <w:pStyle w:val="TextBody"/>
        <w:bidi w:val="0"/>
        <w:spacing w:lineRule="auto" w:line="417"/>
        <w:ind w:left="0" w:right="0" w:firstLine="720"/>
        <w:jc w:val="left"/>
        <w:rPr>
          <w:rFonts w:ascii="Aptos;sans-serif" w:hAnsi="Aptos;sans-serif"/>
          <w:b w:val="false"/>
          <w:color w:val="000000"/>
          <w:sz w:val="20"/>
        </w:rPr>
      </w:pPr>
      <w:r>
        <w:rPr>
          <w:rFonts w:ascii="Aptos;sans-serif" w:hAnsi="Aptos;sans-serif"/>
          <w:b w:val="false"/>
          <w:color w:val="000000"/>
          <w:sz w:val="20"/>
        </w:rPr>
        <w:t xml:space="preserve">The information below represents results for the former Aerospace Technologies segment on a basis consistent with Honeywell Technologies on a consolidated basis. Please refer to Honeywell Technologies' quarterly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8110"/>
                <wp:effectExtent l="0" t="0" r="0" b="0"/>
                <wp:wrapNone/>
                <wp:docPr id="8" name="Frame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- 5</w:t>
      </w:r>
    </w:p>
    <w:p>
      <w:pPr>
        <w:pStyle w:val="TextBody"/>
        <w:bidi w:val="0"/>
        <w:spacing w:before="0" w:after="0"/>
        <w:jc w:val="left"/>
        <w:rPr/>
      </w:pPr>
      <w:r>
        <w:rPr/>
      </w:r>
    </w:p>
    <w:p>
      <w:pPr>
        <w:pStyle w:val="TextBody"/>
        <w:bidi w:val="0"/>
        <w:spacing w:lineRule="auto" w:line="417" w:before="0" w:after="0"/>
        <w:jc w:val="left"/>
        <w:rPr>
          <w:rFonts w:ascii="Aptos;sans-serif" w:hAnsi="Aptos;sans-serif"/>
          <w:b w:val="false"/>
          <w:color w:val="000000"/>
          <w:sz w:val="20"/>
        </w:rPr>
      </w:pPr>
      <w:r>
        <w:rPr>
          <w:rFonts w:ascii="Aptos;sans-serif" w:hAnsi="Aptos;sans-serif"/>
          <w:b w:val="false"/>
          <w:color w:val="000000"/>
          <w:sz w:val="20"/>
        </w:rPr>
        <w:t>report on Form 10-Q for the second quarter of 2026 for information on results for or including the former Aerospace Technologies segment.</w:t>
      </w:r>
    </w:p>
    <w:p>
      <w:pPr>
        <w:pStyle w:val="TextBody"/>
        <w:bidi w:val="0"/>
        <w:spacing w:lineRule="auto" w:line="417" w:before="0" w:after="0"/>
        <w:ind w:left="0" w:right="0" w:firstLine="720"/>
        <w:jc w:val="left"/>
        <w:rPr>
          <w:rFonts w:ascii="Aptos;sans-serif" w:hAnsi="Aptos;sans-serif"/>
          <w:b w:val="false"/>
          <w:color w:val="000000"/>
          <w:sz w:val="20"/>
        </w:rPr>
      </w:pPr>
      <w:r>
        <w:rPr>
          <w:rFonts w:ascii="Aptos;sans-serif" w:hAnsi="Aptos;sans-serif"/>
          <w:b w:val="false"/>
          <w:color w:val="000000"/>
          <w:sz w:val="20"/>
        </w:rPr>
        <w:t>In the second quarter, Aerospace Technologies segment sales of $4.5 billion grew 5% organically year over year. Mechanical supply chain showed sequential improvement during the quarter though material supply continued to limit sales growth across end markets. Sales growth was led by a 17% increase in Commercial aviation original equipment due to shipments recoupling to build schedules, particularly in commercial air transport, and a 7% increase in Commercial aviation aftermarket driven by increasing demand from the installed base. Defense and space sales were flat as continued strong demand was constrained by output and program timing. Segment profit grew 2% from the prior year to $1.1 billion, which included approximately $40 million of inventory obsolescence charges related to lower demand for pockets of existing inventory stock driven by emerging repair technologies extending product lives.</w:t>
      </w:r>
    </w:p>
    <w:p>
      <w:pPr>
        <w:pStyle w:val="TextBody"/>
        <w:bidi w:val="0"/>
        <w:spacing w:before="0" w:after="0"/>
        <w:ind w:left="0" w:right="0" w:firstLine="720"/>
        <w:jc w:val="left"/>
        <w:rPr/>
      </w:pPr>
      <w:r>
        <w:rPr/>
      </w:r>
    </w:p>
    <w:p>
      <w:pPr>
        <w:pStyle w:val="TextBody"/>
        <w:bidi w:val="0"/>
        <w:spacing w:lineRule="auto" w:line="417" w:before="0" w:after="20"/>
        <w:jc w:val="left"/>
        <w:rPr>
          <w:rFonts w:ascii="Aptos;sans-serif" w:hAnsi="Aptos;sans-serif"/>
          <w:b/>
          <w:color w:val="000000"/>
          <w:sz w:val="20"/>
          <w:u w:val="single"/>
        </w:rPr>
      </w:pPr>
      <w:r>
        <w:rPr>
          <w:rFonts w:ascii="Aptos;sans-serif" w:hAnsi="Aptos;sans-serif"/>
          <w:b/>
          <w:color w:val="000000"/>
          <w:sz w:val="20"/>
          <w:u w:val="single"/>
        </w:rPr>
        <w:t>Conference Call Details</w:t>
      </w:r>
    </w:p>
    <w:p>
      <w:pPr>
        <w:pStyle w:val="TextBody"/>
        <w:bidi w:val="0"/>
        <w:spacing w:lineRule="auto" w:line="417" w:before="0" w:after="0"/>
        <w:ind w:left="0" w:right="0" w:firstLine="720"/>
        <w:jc w:val="left"/>
        <w:rPr/>
      </w:pPr>
      <w:r>
        <w:rPr>
          <w:rFonts w:ascii="Aptos;sans-serif" w:hAnsi="Aptos;sans-serif"/>
          <w:b w:val="false"/>
          <w:color w:val="000000"/>
          <w:sz w:val="20"/>
        </w:rPr>
        <w:t>Honeywell Technologies will discuss its second-quarter results and full-year 2026 guidance for during an investor conference call starting at 8:30 a.m. Eastern Daylight Time today. A live webcast of the investor call as well as related presentation materials will be available through the Investor Relations section of the company's website (</w:t>
      </w:r>
      <w:r>
        <w:rPr>
          <w:rFonts w:ascii="Aptos;sans-serif" w:hAnsi="Aptos;sans-serif"/>
          <w:b w:val="false"/>
          <w:color w:val="000000"/>
          <w:sz w:val="20"/>
          <w:u w:val="single"/>
        </w:rPr>
        <w:t>www.honeywell.com/investor</w:t>
      </w:r>
      <w:r>
        <w:rPr>
          <w:rFonts w:ascii="Aptos;sans-serif" w:hAnsi="Aptos;sans-serif"/>
          <w:b w:val="false"/>
          <w:color w:val="000000"/>
          <w:sz w:val="20"/>
        </w:rPr>
        <w:t>). A replay of the webcast will be available for 30 days following the presentation.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ptos;sans-serif" w:hAnsi="Aptos;sans-serif"/>
          <w:b/>
          <w:color w:val="000000"/>
          <w:sz w:val="20"/>
        </w:rPr>
      </w:pPr>
      <w:r>
        <w:rPr>
          <w:rFonts w:ascii="Aptos;sans-serif" w:hAnsi="Aptos;sans-serif"/>
          <w:b/>
          <w:color w:val="000000"/>
          <w:sz w:val="20"/>
        </w:rPr>
        <w:t>About Honeywell Technologies</w:t>
      </w:r>
    </w:p>
    <w:p>
      <w:pPr>
        <w:pStyle w:val="TextBody"/>
        <w:bidi w:val="0"/>
        <w:spacing w:lineRule="auto" w:line="288" w:before="0" w:after="0"/>
        <w:jc w:val="left"/>
        <w:rPr/>
      </w:pPr>
      <w:r>
        <w:rPr>
          <w:rFonts w:ascii="Aptos;sans-serif" w:hAnsi="Aptos;sans-serif"/>
          <w:b w:val="false"/>
          <w:color w:val="000000"/>
          <w:sz w:val="20"/>
        </w:rPr>
        <w:t>Honeywell Technologies is a global, pure-play automation company with a legacy of innovating to help solve the world's most mission-critical challenges, enhancing the quality of life for people and communities around the world.</w:t>
      </w:r>
      <w:r>
        <w:rPr>
          <w:color w:val="000000"/>
        </w:rPr>
        <w:t xml:space="preserve"> </w:t>
      </w:r>
      <w:r>
        <w:rPr>
          <w:rFonts w:ascii="Aptos;sans-serif" w:hAnsi="Aptos;sans-serif"/>
          <w:b w:val="false"/>
          <w:color w:val="000000"/>
          <w:sz w:val="20"/>
        </w:rPr>
        <w:t>We serve the building, industrial, and process sectors with a broad portfolio of services, solutions, and products, underpinned by our Honeywell Technologies Accelerator operating system and Honeywell Technologies Forge intelligence layer.</w:t>
      </w:r>
      <w:r>
        <w:rPr>
          <w:color w:val="000000"/>
        </w:rPr>
        <w:t xml:space="preserve"> </w:t>
      </w:r>
      <w:r>
        <w:rPr>
          <w:rFonts w:ascii="Aptos;sans-serif" w:hAnsi="Aptos;sans-serif"/>
          <w:b w:val="false"/>
          <w:color w:val="000000"/>
          <w:sz w:val="20"/>
        </w:rPr>
        <w:t>By combining the deep domain expertise of our more than 50,000 employees with decades of data from our global installed base, we are uniquely positioned to lead the industrial sector's transition from automation to autonomy. For more news and information on Honeywell Technologies, please visit Honeywell Technologies Newsroom.</w:t>
      </w:r>
    </w:p>
    <w:p>
      <w:pPr>
        <w:pStyle w:val="TextBody"/>
        <w:bidi w:val="0"/>
        <w:spacing w:before="0" w:after="0"/>
        <w:jc w:val="left"/>
        <w:rPr/>
      </w:pPr>
      <w:r>
        <w:rPr/>
      </w:r>
    </w:p>
    <w:p>
      <w:pPr>
        <w:pStyle w:val="TextBody"/>
        <w:bidi w:val="0"/>
        <w:spacing w:lineRule="auto" w:line="288" w:before="0" w:after="0"/>
        <w:jc w:val="left"/>
        <w:rPr>
          <w:rFonts w:ascii="Aptos;sans-serif" w:hAnsi="Aptos;sans-serif"/>
          <w:b/>
          <w:color w:val="000000"/>
          <w:sz w:val="20"/>
        </w:rPr>
      </w:pPr>
      <w:r>
        <w:rPr>
          <w:rFonts w:ascii="Aptos;sans-serif" w:hAnsi="Aptos;sans-serif"/>
          <w:b/>
          <w:color w:val="000000"/>
          <w:sz w:val="20"/>
        </w:rPr>
        <w:t>Additional Information</w:t>
      </w:r>
    </w:p>
    <w:p>
      <w:pPr>
        <w:pStyle w:val="TextBody"/>
        <w:bidi w:val="0"/>
        <w:spacing w:lineRule="auto" w:line="288" w:before="0" w:after="0"/>
        <w:jc w:val="left"/>
        <w:rPr/>
      </w:pPr>
      <w:r>
        <w:rPr>
          <w:rFonts w:ascii="Aptos;sans-serif" w:hAnsi="Aptos;sans-serif"/>
          <w:b w:val="false"/>
          <w:color w:val="000000"/>
          <w:sz w:val="20"/>
        </w:rPr>
        <w:t>Honeywell Technologies uses our Investor Relations website, investor.honeywell.com, as a means of disclosing information which may be of interest or material to our investors and for complying with disclosure obligations under Regulation FD.</w:t>
      </w:r>
      <w:r>
        <w:rPr>
          <w:color w:val="000000"/>
        </w:rPr>
        <w:t xml:space="preserve"> </w:t>
      </w:r>
      <w:r>
        <w:rPr>
          <w:rFonts w:ascii="Aptos;sans-serif" w:hAnsi="Aptos;sans-serif"/>
          <w:b w:val="false"/>
          <w:color w:val="000000"/>
          <w:sz w:val="20"/>
        </w:rPr>
        <w:t xml:space="preserve">Accordingly, investors should monitor our Investor Relations website, in addition to following our press releases, SEC filings, public conference calls, webcasts, and social media.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8110"/>
                <wp:effectExtent l="0" t="0" r="0" b="0"/>
                <wp:wrapNone/>
                <wp:docPr id="9" name="Frame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- 6</w:t>
      </w:r>
    </w:p>
    <w:p>
      <w:pPr>
        <w:pStyle w:val="TextBody"/>
        <w:bidi w:val="0"/>
        <w:spacing w:before="0" w:after="0"/>
        <w:jc w:val="left"/>
        <w:rPr/>
      </w:pPr>
      <w:r>
        <w:rPr/>
      </w:r>
    </w:p>
    <w:p>
      <w:pPr>
        <w:pStyle w:val="TextBody"/>
        <w:bidi w:val="0"/>
        <w:spacing w:lineRule="auto" w:line="288" w:before="0" w:after="0"/>
        <w:jc w:val="left"/>
        <w:rPr>
          <w:rFonts w:ascii="Aptos;sans-serif" w:hAnsi="Aptos;sans-serif"/>
          <w:b/>
          <w:color w:val="000000"/>
          <w:sz w:val="20"/>
        </w:rPr>
      </w:pPr>
      <w:r>
        <w:rPr>
          <w:rFonts w:ascii="Aptos;sans-serif" w:hAnsi="Aptos;sans-serif"/>
          <w:b/>
          <w:color w:val="000000"/>
          <w:sz w:val="20"/>
        </w:rPr>
        <w:t>Forward Looking Statements</w: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We describe many of the trends and other factors that drive our business and future results in this release. Such discussions contain forward-looking statements within the meaning of Section 21E of the Securities Exchange Act of 1934, as amended (the Exchange Act), including statements related to the planned sales of the Productivity Solutions and Services and Warehouse and Workflow Solutions businesses.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including Honeywell Technologies' current expectations, estimates, and projections regarding the planned sales of the Productivity Solutions and Services and Warehouse and Workflow Solutions businesses. They are not guarantees of future performance, and actual results, developments, and business decisions may differ significantly from those envisaged by our forward-looking statements, including the planned sales of the Productivity Solutions and Services and Warehouse and Workflow Solutions businesses, and the anticipated benefits of each.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including ongoing conflicts in the Middle East, that can affect our performance in both the near- and long-term. In addition, no assurance can be given that any plan, initiative, projection, goal, commitment, expectation, or prospect set forth in this release can or will be achieved. These forward-looking statements should be considered in light of the information included in this release, our Form 10-K, and our other filings with the Securities and Exchange Commission. Any forward-looking plans described herein are not final and may be modified or abandoned at any time.</w:t>
      </w:r>
    </w:p>
    <w:p>
      <w:pPr>
        <w:pStyle w:val="TextBody"/>
        <w:bidi w:val="0"/>
        <w:spacing w:before="0" w:after="0"/>
        <w:jc w:val="both"/>
        <w:rPr/>
      </w:pPr>
      <w:r>
        <w:rPr/>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This release contains financial measures presented on a non-GAAP basis. Honeywell's and Honeywell Technologies' non-GAAP financial measures used in this release are as follows:</w:t>
      </w:r>
    </w:p>
    <w:p>
      <w:pPr>
        <w:pStyle w:val="TextBody"/>
        <w:bidi w:val="0"/>
        <w:spacing w:lineRule="auto" w:line="288" w:before="0" w:after="0"/>
        <w:ind w:left="0" w:right="0" w:hanging="360"/>
        <w:jc w:val="left"/>
        <w:rPr/>
      </w:pPr>
      <w:r>
        <w:rPr>
          <w:color w:val="000000"/>
        </w:rPr>
        <w:t>•</w:t>
      </w:r>
      <w:r>
        <w:rPr>
          <w:rFonts w:ascii="Aptos;sans-serif" w:hAnsi="Aptos;sans-serif"/>
          <w:b w:val="false"/>
          <w:color w:val="000000"/>
          <w:sz w:val="20"/>
        </w:rPr>
        <w:t>Segment profit, on an overall Honeywell and Honeywell Technologies basis;</w:t>
      </w:r>
    </w:p>
    <w:p>
      <w:pPr>
        <w:pStyle w:val="TextBody"/>
        <w:bidi w:val="0"/>
        <w:spacing w:lineRule="auto" w:line="288" w:before="0" w:after="0"/>
        <w:ind w:left="0" w:right="0" w:hanging="360"/>
        <w:jc w:val="left"/>
        <w:rPr/>
      </w:pPr>
      <w:r>
        <w:rPr>
          <w:color w:val="000000"/>
        </w:rPr>
        <w:t>•</w:t>
      </w:r>
      <w:r>
        <w:rPr>
          <w:rFonts w:ascii="Aptos;sans-serif" w:hAnsi="Aptos;sans-serif"/>
          <w:b w:val="false"/>
          <w:color w:val="000000"/>
          <w:sz w:val="20"/>
        </w:rPr>
        <w:t>Segment profit margin, on an overall Honeywell and Honeywell Technologies basis;</w:t>
      </w:r>
    </w:p>
    <w:p>
      <w:pPr>
        <w:pStyle w:val="TextBody"/>
        <w:bidi w:val="0"/>
        <w:spacing w:lineRule="auto" w:line="288" w:before="0" w:after="0"/>
        <w:ind w:left="0" w:right="0" w:hanging="360"/>
        <w:jc w:val="left"/>
        <w:rPr/>
      </w:pPr>
      <w:r>
        <w:rPr>
          <w:color w:val="000000"/>
        </w:rPr>
        <w:t>•</w:t>
      </w:r>
      <w:r>
        <w:rPr>
          <w:rFonts w:ascii="Aptos;sans-serif" w:hAnsi="Aptos;sans-serif"/>
          <w:b w:val="false"/>
          <w:color w:val="000000"/>
          <w:sz w:val="20"/>
        </w:rPr>
        <w:t>Organic sales growth;</w:t>
      </w:r>
    </w:p>
    <w:p>
      <w:pPr>
        <w:pStyle w:val="TextBody"/>
        <w:bidi w:val="0"/>
        <w:spacing w:lineRule="auto" w:line="288" w:before="0" w:after="0"/>
        <w:ind w:left="0" w:right="0" w:hanging="360"/>
        <w:jc w:val="left"/>
        <w:rPr/>
      </w:pPr>
      <w:r>
        <w:rPr>
          <w:color w:val="000000"/>
        </w:rPr>
        <w:t>•</w:t>
      </w:r>
      <w:r>
        <w:rPr>
          <w:rFonts w:ascii="Aptos;sans-serif" w:hAnsi="Aptos;sans-serif"/>
          <w:b w:val="false"/>
          <w:color w:val="000000"/>
          <w:sz w:val="20"/>
        </w:rPr>
        <w:t>Free cash flow; and</w:t>
      </w:r>
    </w:p>
    <w:p>
      <w:pPr>
        <w:pStyle w:val="TextBody"/>
        <w:bidi w:val="0"/>
        <w:spacing w:lineRule="auto" w:line="288" w:before="0" w:after="0"/>
        <w:ind w:left="0" w:right="0" w:hanging="360"/>
        <w:jc w:val="left"/>
        <w:rPr/>
      </w:pPr>
      <w:r>
        <w:rPr>
          <w:color w:val="000000"/>
        </w:rPr>
        <w:t>•</w:t>
      </w:r>
      <w:r>
        <w:rPr>
          <w:rFonts w:ascii="Aptos;sans-serif" w:hAnsi="Aptos;sans-serif"/>
          <w:b w:val="false"/>
          <w:color w:val="000000"/>
          <w:sz w:val="20"/>
        </w:rPr>
        <w:t>Adjusted earnings per share.</w:t>
      </w:r>
    </w:p>
    <w:p>
      <w:pPr>
        <w:pStyle w:val="TextBody"/>
        <w:bidi w:val="0"/>
        <w:spacing w:before="0" w:after="0"/>
        <w:jc w:val="left"/>
        <w:rPr/>
      </w:pPr>
      <w:r>
        <w:rPr/>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 xml:space="preserve">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Certain measures presented on a non-GAAP basis represent the impact of adjusting items net of tax. The tax-effect for adjusting items is determined individually and on a case-by-case basis. Refer to the Appendix attached to this release for reconciliations of non-GAAP financial measures to the most directly comparable GAAP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8110"/>
                <wp:effectExtent l="0" t="0" r="0" b="0"/>
                <wp:wrapNone/>
                <wp:docPr id="10" name="Frame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- 7</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Consolidated Statement of Operations (Unaudited)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 except per share amounts)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73"/>
        <w:gridCol w:w="1380"/>
        <w:gridCol w:w="1385"/>
        <w:gridCol w:w="248"/>
        <w:gridCol w:w="778"/>
        <w:gridCol w:w="119"/>
        <w:gridCol w:w="119"/>
        <w:gridCol w:w="119"/>
        <w:gridCol w:w="119"/>
        <w:gridCol w:w="248"/>
        <w:gridCol w:w="778"/>
        <w:gridCol w:w="119"/>
        <w:gridCol w:w="109"/>
        <w:gridCol w:w="109"/>
        <w:gridCol w:w="109"/>
        <w:gridCol w:w="235"/>
        <w:gridCol w:w="750"/>
        <w:gridCol w:w="113"/>
        <w:gridCol w:w="113"/>
        <w:gridCol w:w="113"/>
        <w:gridCol w:w="113"/>
        <w:gridCol w:w="235"/>
        <w:gridCol w:w="750"/>
        <w:gridCol w:w="171"/>
      </w:tblGrid>
      <w:tr>
        <w:trPr/>
        <w:tc>
          <w:tcPr>
            <w:tcW w:w="187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 June 30,</w:t>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5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3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4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Product sales</w:t>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7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6,374 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7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6,177 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12,241 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11,984 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Service sales</w:t>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3,345 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3,145 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6,621 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6,263 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sales</w:t>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9,719</w:t>
            </w: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9,322</w:t>
            </w: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18,862</w:t>
            </w:r>
            <w:r>
              <w:rPr>
                <w:color w:val="000000"/>
              </w:rPr>
              <w:t>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18,247</w:t>
            </w:r>
            <w:r>
              <w:rPr>
                <w:color w:val="000000"/>
              </w:rPr>
              <w:t>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Costs, expenses and other</w:t>
            </w:r>
          </w:p>
        </w:tc>
        <w:tc>
          <w:tcPr>
            <w:tcW w:w="114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Cost of products sold</w:t>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4,205 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3,947 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8,068 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7,670 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Cost of services sold</w:t>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1,861 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1,711 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3,602 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3,451 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Cost of products and services sold</w:t>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6,066</w:t>
            </w: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5,658</w:t>
            </w: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11,670</w:t>
            </w:r>
            <w:r>
              <w:rPr>
                <w:color w:val="000000"/>
              </w:rPr>
              <w:t>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11,121</w:t>
            </w:r>
            <w:r>
              <w:rPr>
                <w:color w:val="000000"/>
              </w:rPr>
              <w:t>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Research and development expenses</w:t>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524 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459 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1,016 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875 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Selling, general and administrative expenses</w:t>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1,344 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1,362 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2,654 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2,672 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Impairment of assets held for sale</w:t>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48 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311 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Loss on debt extinguishment</w:t>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241 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Gain on deconsolidation of subsidiary</w:t>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(6,629)</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(6,629)</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 (income) expense</w:t>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472 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(113)</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465 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(342)</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Interest and other financial charges</w:t>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363 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329 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719 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614 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costs, expenses and other</w:t>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2,190</w:t>
            </w: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7,695</w:t>
            </w: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10,447</w:t>
            </w:r>
            <w:r>
              <w:rPr>
                <w:color w:val="000000"/>
              </w:rPr>
              <w:t>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14,955</w:t>
            </w:r>
            <w:r>
              <w:rPr>
                <w:color w:val="000000"/>
              </w:rPr>
              <w:t>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Income from continuing operations before taxes and equity losses</w:t>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7,529</w:t>
            </w: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1,627</w:t>
            </w: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8,415</w:t>
            </w:r>
            <w:r>
              <w:rPr>
                <w:color w:val="000000"/>
              </w:rPr>
              <w:t>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3,292</w:t>
            </w:r>
            <w:r>
              <w:rPr>
                <w:color w:val="000000"/>
              </w:rPr>
              <w:t>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Tax expense</w:t>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1,578 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244 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1,669 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613 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Equity loss</w:t>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265 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265 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income from continuing operations</w:t>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5,686</w:t>
            </w: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1,383</w:t>
            </w: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6,481</w:t>
            </w:r>
            <w:r>
              <w:rPr>
                <w:color w:val="000000"/>
              </w:rPr>
              <w:t>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2,679</w:t>
            </w:r>
            <w:r>
              <w:rPr>
                <w:color w:val="000000"/>
              </w:rPr>
              <w:t>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Net income from discontinued operations</w:t>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186 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357 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income</w:t>
            </w:r>
          </w:p>
        </w:tc>
        <w:tc>
          <w:tcPr>
            <w:tcW w:w="1026"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5,686</w:t>
            </w:r>
            <w:r>
              <w:rPr>
                <w:color w:val="000000"/>
              </w:rPr>
              <w:t>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1,569</w:t>
            </w:r>
            <w:r>
              <w:rPr>
                <w:color w:val="000000"/>
              </w:rPr>
              <w:t>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6,481</w:t>
            </w:r>
            <w:r>
              <w:rPr>
                <w:color w:val="000000"/>
              </w:rPr>
              <w:t> </w:t>
            </w:r>
          </w:p>
        </w:tc>
        <w:tc>
          <w:tcPr>
            <w:tcW w:w="11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3,036</w:t>
            </w:r>
            <w:r>
              <w:rPr>
                <w:color w:val="000000"/>
              </w:rPr>
              <w:t> </w:t>
            </w:r>
          </w:p>
        </w:tc>
        <w:tc>
          <w:tcPr>
            <w:tcW w:w="17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Net (loss) income attributable to noncontrolling interest</w:t>
            </w:r>
          </w:p>
        </w:tc>
        <w:tc>
          <w:tcPr>
            <w:tcW w:w="1026"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w:t>
            </w:r>
          </w:p>
        </w:tc>
        <w:tc>
          <w:tcPr>
            <w:tcW w:w="11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17 </w:t>
            </w:r>
          </w:p>
        </w:tc>
        <w:tc>
          <w:tcPr>
            <w:tcW w:w="17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income attributable to Honeywell Technologies</w:t>
            </w:r>
          </w:p>
        </w:tc>
        <w:tc>
          <w:tcPr>
            <w:tcW w:w="24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7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5,682</w:t>
            </w:r>
            <w:r>
              <w:rPr>
                <w:color w:val="000000"/>
              </w:rPr>
              <w:t>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7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1,570</w:t>
            </w:r>
            <w:r>
              <w:rPr>
                <w:color w:val="000000"/>
              </w:rPr>
              <w:t>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50"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6,503</w:t>
            </w:r>
            <w:r>
              <w:rPr>
                <w:color w:val="000000"/>
              </w:rPr>
              <w:t> </w:t>
            </w:r>
          </w:p>
        </w:tc>
        <w:tc>
          <w:tcPr>
            <w:tcW w:w="11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50"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3,019</w:t>
            </w:r>
            <w:r>
              <w:rPr>
                <w:color w:val="000000"/>
              </w:rPr>
              <w:t> </w:t>
            </w:r>
          </w:p>
        </w:tc>
        <w:tc>
          <w:tcPr>
            <w:tcW w:w="17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Earnings per share of common stock—basic:</w:t>
            </w:r>
          </w:p>
        </w:tc>
        <w:tc>
          <w:tcPr>
            <w:tcW w:w="11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Earnings per share of common stock from continuing operations—basic</w:t>
            </w:r>
          </w:p>
        </w:tc>
        <w:tc>
          <w:tcPr>
            <w:tcW w:w="24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7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17.92 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7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4.35 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50"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20.50 </w:t>
            </w:r>
          </w:p>
        </w:tc>
        <w:tc>
          <w:tcPr>
            <w:tcW w:w="11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50"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8.31 </w:t>
            </w:r>
          </w:p>
        </w:tc>
        <w:tc>
          <w:tcPr>
            <w:tcW w:w="17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Earnings per share of common stock from discontinued operations—basic</w:t>
            </w:r>
          </w:p>
        </w:tc>
        <w:tc>
          <w:tcPr>
            <w:tcW w:w="1026"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0.57 </w:t>
            </w:r>
          </w:p>
        </w:tc>
        <w:tc>
          <w:tcPr>
            <w:tcW w:w="119"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1.08 </w:t>
            </w:r>
          </w:p>
        </w:tc>
        <w:tc>
          <w:tcPr>
            <w:tcW w:w="171"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earnings per share of common stock—basic</w:t>
            </w:r>
          </w:p>
        </w:tc>
        <w:tc>
          <w:tcPr>
            <w:tcW w:w="24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7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17.92</w:t>
            </w:r>
            <w:r>
              <w:rPr>
                <w:color w:val="000000"/>
              </w:rPr>
              <w:t>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7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4.92</w:t>
            </w:r>
            <w:r>
              <w:rPr>
                <w:color w:val="000000"/>
              </w:rPr>
              <w:t>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50"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20.50</w:t>
            </w:r>
            <w:r>
              <w:rPr>
                <w:color w:val="000000"/>
              </w:rPr>
              <w:t> </w:t>
            </w:r>
          </w:p>
        </w:tc>
        <w:tc>
          <w:tcPr>
            <w:tcW w:w="11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50"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9.39</w:t>
            </w:r>
            <w:r>
              <w:rPr>
                <w:color w:val="000000"/>
              </w:rPr>
              <w:t> </w:t>
            </w:r>
          </w:p>
        </w:tc>
        <w:tc>
          <w:tcPr>
            <w:tcW w:w="17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Earnings per share of common stock—assuming dilution:</w:t>
            </w:r>
          </w:p>
        </w:tc>
        <w:tc>
          <w:tcPr>
            <w:tcW w:w="11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Earnings per share of common stock from continuing operations—assuming dilution</w:t>
            </w:r>
          </w:p>
        </w:tc>
        <w:tc>
          <w:tcPr>
            <w:tcW w:w="24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7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17.83 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7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4.33 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50"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20.39 </w:t>
            </w:r>
          </w:p>
        </w:tc>
        <w:tc>
          <w:tcPr>
            <w:tcW w:w="11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50"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8.26 </w:t>
            </w:r>
          </w:p>
        </w:tc>
        <w:tc>
          <w:tcPr>
            <w:tcW w:w="17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Earnings per share of common stock from discontinued operations—assuming dilution</w:t>
            </w:r>
          </w:p>
        </w:tc>
        <w:tc>
          <w:tcPr>
            <w:tcW w:w="1026"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0.57 </w:t>
            </w:r>
          </w:p>
        </w:tc>
        <w:tc>
          <w:tcPr>
            <w:tcW w:w="119"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1.08 </w:t>
            </w:r>
          </w:p>
        </w:tc>
        <w:tc>
          <w:tcPr>
            <w:tcW w:w="171"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earnings per share of common stock—assuming dilution</w:t>
            </w:r>
          </w:p>
        </w:tc>
        <w:tc>
          <w:tcPr>
            <w:tcW w:w="24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7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17.83</w:t>
            </w:r>
            <w:r>
              <w:rPr>
                <w:color w:val="000000"/>
              </w:rPr>
              <w:t>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78"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4.90</w:t>
            </w:r>
            <w:r>
              <w:rPr>
                <w:color w:val="000000"/>
              </w:rPr>
              <w:t> </w:t>
            </w:r>
          </w:p>
        </w:tc>
        <w:tc>
          <w:tcPr>
            <w:tcW w:w="119"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50"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20.39</w:t>
            </w:r>
            <w:r>
              <w:rPr>
                <w:color w:val="000000"/>
              </w:rPr>
              <w:t> </w:t>
            </w:r>
          </w:p>
        </w:tc>
        <w:tc>
          <w:tcPr>
            <w:tcW w:w="11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50"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9.34</w:t>
            </w:r>
            <w:r>
              <w:rPr>
                <w:color w:val="000000"/>
              </w:rPr>
              <w:t> </w:t>
            </w:r>
          </w:p>
        </w:tc>
        <w:tc>
          <w:tcPr>
            <w:tcW w:w="17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Weighted average number of shares outstanding - basic</w:t>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317.1</w:t>
            </w: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318.8</w:t>
            </w:r>
            <w:r>
              <w:rPr>
                <w:color w:val="000000"/>
              </w:rPr>
              <w:t>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317.2</w:t>
            </w:r>
            <w:r>
              <w:rPr>
                <w:color w:val="000000"/>
              </w:rPr>
              <w:t>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321.4</w:t>
            </w:r>
            <w:r>
              <w:rPr>
                <w:color w:val="000000"/>
              </w:rPr>
              <w:t>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Weighted average number of shares outstanding - assuming dilution</w:t>
            </w:r>
          </w:p>
        </w:tc>
        <w:tc>
          <w:tcPr>
            <w:tcW w:w="102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318.6</w:t>
            </w:r>
            <w:r>
              <w:rPr>
                <w:color w:val="000000"/>
              </w:rPr>
              <w:t> </w:t>
            </w:r>
          </w:p>
        </w:tc>
        <w:tc>
          <w:tcPr>
            <w:tcW w:w="11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320.5</w:t>
            </w:r>
            <w:r>
              <w:rPr>
                <w:color w:val="000000"/>
              </w:rPr>
              <w:t> </w:t>
            </w:r>
          </w:p>
        </w:tc>
        <w:tc>
          <w:tcPr>
            <w:tcW w:w="11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319.0</w:t>
            </w:r>
            <w:r>
              <w:rPr>
                <w:color w:val="000000"/>
              </w:rPr>
              <w:t> </w:t>
            </w:r>
          </w:p>
        </w:tc>
        <w:tc>
          <w:tcPr>
            <w:tcW w:w="11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323.2</w:t>
            </w:r>
            <w:r>
              <w:rPr>
                <w:color w:val="000000"/>
              </w:rPr>
              <w:t> </w:t>
            </w:r>
          </w:p>
        </w:tc>
        <w:tc>
          <w:tcPr>
            <w:tcW w:w="1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8110"/>
                <wp:effectExtent l="0" t="0" r="0" b="0"/>
                <wp:wrapNone/>
                <wp:docPr id="11" name="Frame1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- 8</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Segment Data (Unaudited)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w:t>
      </w:r>
    </w:p>
    <w:p>
      <w:pPr>
        <w:pStyle w:val="TextBody"/>
        <w:bidi w:val="0"/>
        <w:spacing w:lineRule="auto" w:line="288" w:before="0" w:after="0"/>
        <w:jc w:val="center"/>
        <w:rPr>
          <w:color w:val="000000"/>
        </w:rPr>
      </w:pPr>
      <w:r>
        <w:rPr>
          <w:color w:val="000000"/>
        </w:rPr>
        <w:t> </w:t>
      </w:r>
    </w:p>
    <w:tbl>
      <w:tblPr>
        <w:tblW w:w="9060" w:type="dxa"/>
        <w:jc w:val="left"/>
        <w:tblInd w:w="0" w:type="dxa"/>
        <w:tblLayout w:type="fixed"/>
        <w:tblCellMar>
          <w:top w:w="28" w:type="dxa"/>
          <w:left w:w="28" w:type="dxa"/>
          <w:bottom w:w="28" w:type="dxa"/>
          <w:right w:w="28" w:type="dxa"/>
        </w:tblCellMar>
      </w:tblPr>
      <w:tblGrid>
        <w:gridCol w:w="1147"/>
        <w:gridCol w:w="1011"/>
        <w:gridCol w:w="1022"/>
        <w:gridCol w:w="268"/>
        <w:gridCol w:w="839"/>
        <w:gridCol w:w="129"/>
        <w:gridCol w:w="129"/>
        <w:gridCol w:w="129"/>
        <w:gridCol w:w="129"/>
        <w:gridCol w:w="268"/>
        <w:gridCol w:w="839"/>
        <w:gridCol w:w="129"/>
        <w:gridCol w:w="109"/>
        <w:gridCol w:w="109"/>
        <w:gridCol w:w="109"/>
        <w:gridCol w:w="226"/>
        <w:gridCol w:w="826"/>
        <w:gridCol w:w="109"/>
        <w:gridCol w:w="109"/>
        <w:gridCol w:w="109"/>
        <w:gridCol w:w="109"/>
        <w:gridCol w:w="226"/>
        <w:gridCol w:w="82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 June 30,</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sales</w:t>
            </w:r>
          </w:p>
        </w:tc>
        <w:tc>
          <w:tcPr>
            <w:tcW w:w="123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318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Aerospace Technologies</w:t>
            </w:r>
          </w:p>
        </w:tc>
        <w:tc>
          <w:tcPr>
            <w:tcW w:w="26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4,532 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4,307 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8,854 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8,479 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Building Automation</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2,002 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1,826 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3,884 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3,518 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Process Automation and Technology</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1,679 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1,613 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3,192 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3,058 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Industrial Automation</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1,501 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1,574 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2,922 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3,171 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Segment sales</w:t>
            </w:r>
          </w:p>
        </w:tc>
        <w:tc>
          <w:tcPr>
            <w:tcW w:w="11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9,714</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9,320</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18,852</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18,226</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Quantinuum</w:t>
            </w:r>
          </w:p>
        </w:tc>
        <w:tc>
          <w:tcPr>
            <w:tcW w:w="11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Net sales</w:t>
            </w:r>
          </w:p>
        </w:tc>
        <w:tc>
          <w:tcPr>
            <w:tcW w:w="26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9,719</w:t>
            </w:r>
            <w:r>
              <w:rPr>
                <w:color w:val="000000"/>
              </w:rPr>
              <w:t> </w:t>
            </w:r>
          </w:p>
        </w:tc>
        <w:tc>
          <w:tcPr>
            <w:tcW w:w="1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9,322</w:t>
            </w:r>
            <w:r>
              <w:rPr>
                <w:color w:val="000000"/>
              </w:rPr>
              <w:t> </w:t>
            </w:r>
          </w:p>
        </w:tc>
        <w:tc>
          <w:tcPr>
            <w:tcW w:w="1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18,862</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18,247</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Reconciliation of Segment Profit to Income Before Taxes</w:t>
      </w:r>
    </w:p>
    <w:p>
      <w:pPr>
        <w:pStyle w:val="TextBody"/>
        <w:bidi w:val="0"/>
        <w:spacing w:lineRule="auto" w:line="288" w:before="0" w:after="0"/>
        <w:jc w:val="center"/>
        <w:rPr>
          <w:color w:val="000000"/>
        </w:rPr>
      </w:pPr>
      <w:r>
        <w:rPr>
          <w:color w:val="000000"/>
        </w:rPr>
        <w:t> </w:t>
      </w:r>
    </w:p>
    <w:tbl>
      <w:tblPr>
        <w:tblW w:w="9886" w:type="dxa"/>
        <w:jc w:val="left"/>
        <w:tblInd w:w="0" w:type="dxa"/>
        <w:tblLayout w:type="fixed"/>
        <w:tblCellMar>
          <w:top w:w="28" w:type="dxa"/>
          <w:left w:w="28" w:type="dxa"/>
          <w:bottom w:w="28" w:type="dxa"/>
          <w:right w:w="28" w:type="dxa"/>
        </w:tblCellMar>
      </w:tblPr>
      <w:tblGrid>
        <w:gridCol w:w="1460"/>
        <w:gridCol w:w="1283"/>
        <w:gridCol w:w="1292"/>
        <w:gridCol w:w="268"/>
        <w:gridCol w:w="839"/>
        <w:gridCol w:w="129"/>
        <w:gridCol w:w="129"/>
        <w:gridCol w:w="129"/>
        <w:gridCol w:w="129"/>
        <w:gridCol w:w="268"/>
        <w:gridCol w:w="839"/>
        <w:gridCol w:w="129"/>
        <w:gridCol w:w="109"/>
        <w:gridCol w:w="109"/>
        <w:gridCol w:w="109"/>
        <w:gridCol w:w="245"/>
        <w:gridCol w:w="768"/>
        <w:gridCol w:w="118"/>
        <w:gridCol w:w="118"/>
        <w:gridCol w:w="118"/>
        <w:gridCol w:w="118"/>
        <w:gridCol w:w="245"/>
        <w:gridCol w:w="768"/>
        <w:gridCol w:w="167"/>
      </w:tblGrid>
      <w:tr>
        <w:trPr/>
        <w:tc>
          <w:tcPr>
            <w:tcW w:w="146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 June 30,</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Segment profit</w:t>
            </w:r>
          </w:p>
        </w:tc>
        <w:tc>
          <w:tcPr>
            <w:tcW w:w="123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5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40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Aerospace Technologies</w:t>
            </w:r>
          </w:p>
        </w:tc>
        <w:tc>
          <w:tcPr>
            <w:tcW w:w="26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1,126 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1,098 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6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2,270 </w:t>
            </w:r>
          </w:p>
        </w:tc>
        <w:tc>
          <w:tcPr>
            <w:tcW w:w="11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6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2,197 </w:t>
            </w:r>
          </w:p>
        </w:tc>
        <w:tc>
          <w:tcPr>
            <w:tcW w:w="16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Building Automation</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542 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479 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1,038 </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919 </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Process Automation and Technology</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371 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386 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730 </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699 </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Industrial Automation</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258 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256 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499 </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486 </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Corporate and All Other</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(57)</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(91)</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(105)</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(144)</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Segment profit</w:t>
            </w:r>
          </w:p>
        </w:tc>
        <w:tc>
          <w:tcPr>
            <w:tcW w:w="11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2,240</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2,128</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4,432</w:t>
            </w:r>
            <w:r>
              <w:rPr>
                <w:color w:val="000000"/>
              </w:rPr>
              <w:t> </w:t>
            </w:r>
          </w:p>
        </w:tc>
        <w:tc>
          <w:tcPr>
            <w:tcW w:w="11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4,157</w:t>
            </w:r>
            <w:r>
              <w:rPr>
                <w:color w:val="000000"/>
              </w:rPr>
              <w:t> </w:t>
            </w:r>
          </w:p>
        </w:tc>
        <w:tc>
          <w:tcPr>
            <w:tcW w:w="16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Interest and other financial charges</w:t>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(363)</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(329)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(719)</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(614)</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Interest income</w:t>
            </w:r>
            <w:r>
              <w:rPr>
                <w:rFonts w:ascii="Aptos;sans-serif" w:hAnsi="Aptos;sans-serif"/>
                <w:b w:val="false"/>
                <w:color w:val="000000"/>
                <w:sz w:val="10"/>
              </w:rPr>
              <w:t>1</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79 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79 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169 </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170 </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Amortization of acquisition-related intangibles</w:t>
            </w:r>
            <w:r>
              <w:rPr>
                <w:rFonts w:ascii="Aptos;sans-serif" w:hAnsi="Aptos;sans-serif"/>
                <w:b w:val="false"/>
                <w:color w:val="000000"/>
                <w:sz w:val="10"/>
              </w:rPr>
              <w:t>2</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(116)</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(132)</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(269)</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(267)</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Impairment of assets held for sale</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(48)</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(311)</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Stock compensation expense</w:t>
            </w:r>
            <w:r>
              <w:rPr>
                <w:rFonts w:ascii="Aptos;sans-serif" w:hAnsi="Aptos;sans-serif"/>
                <w:b w:val="false"/>
                <w:color w:val="000000"/>
                <w:sz w:val="10"/>
              </w:rPr>
              <w:t>3</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(55)</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(108)</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(114)</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Pension ongoing income</w:t>
            </w:r>
            <w:r>
              <w:rPr>
                <w:rFonts w:ascii="Aptos;sans-serif" w:hAnsi="Aptos;sans-serif"/>
                <w:b w:val="false"/>
                <w:color w:val="000000"/>
                <w:sz w:val="10"/>
              </w:rPr>
              <w:t>4</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168 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85 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332 </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225 </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Other postretirement income</w:t>
            </w:r>
            <w:r>
              <w:rPr>
                <w:rFonts w:ascii="Aptos;sans-serif" w:hAnsi="Aptos;sans-serif"/>
                <w:b w:val="false"/>
                <w:color w:val="000000"/>
                <w:sz w:val="10"/>
              </w:rPr>
              <w:t>4</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4 </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8 </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Repositioning and other gains (charges)</w:t>
            </w:r>
            <w:r>
              <w:rPr>
                <w:rFonts w:ascii="Aptos;sans-serif" w:hAnsi="Aptos;sans-serif"/>
                <w:b w:val="false"/>
                <w:color w:val="000000"/>
                <w:sz w:val="10"/>
              </w:rPr>
              <w:t>5</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(91)</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(159)</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(78)</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Loss on debt extinguishment</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(241)</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Divestiture-related costs</w:t>
            </w:r>
            <w:r>
              <w:rPr>
                <w:rFonts w:ascii="Aptos;sans-serif" w:hAnsi="Aptos;sans-serif"/>
                <w:b w:val="false"/>
                <w:color w:val="000000"/>
                <w:sz w:val="10"/>
              </w:rPr>
              <w:t>6</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(820)</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(56)</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(1,134)</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(67)</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Gain on deconsolidation of subsidiary</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6,629 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6,629 </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Equity loss</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(265)</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(265)</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Other expense</w:t>
            </w:r>
            <w:r>
              <w:rPr>
                <w:rFonts w:ascii="Aptos;sans-serif" w:hAnsi="Aptos;sans-serif"/>
                <w:b w:val="false"/>
                <w:color w:val="000000"/>
                <w:sz w:val="10"/>
              </w:rPr>
              <w:t>7</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(70)</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(33)</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Quantinuum Loss</w:t>
            </w:r>
            <w:r>
              <w:rPr>
                <w:rFonts w:ascii="Aptos;sans-serif" w:hAnsi="Aptos;sans-serif"/>
                <w:b w:val="false"/>
                <w:color w:val="000000"/>
                <w:sz w:val="10"/>
              </w:rPr>
              <w:t>8</w:t>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(68)</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(140)</w:t>
            </w:r>
          </w:p>
        </w:tc>
        <w:tc>
          <w:tcPr>
            <w:tcW w:w="11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(80)</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Income before taxes</w:t>
            </w:r>
          </w:p>
        </w:tc>
        <w:tc>
          <w:tcPr>
            <w:tcW w:w="26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7,264</w:t>
            </w:r>
            <w:r>
              <w:rPr>
                <w:color w:val="000000"/>
              </w:rPr>
              <w:t> </w:t>
            </w:r>
          </w:p>
        </w:tc>
        <w:tc>
          <w:tcPr>
            <w:tcW w:w="1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1,627</w:t>
            </w:r>
            <w:r>
              <w:rPr>
                <w:color w:val="000000"/>
              </w:rPr>
              <w:t> </w:t>
            </w:r>
          </w:p>
        </w:tc>
        <w:tc>
          <w:tcPr>
            <w:tcW w:w="1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6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8,150</w:t>
            </w:r>
            <w:r>
              <w:rPr>
                <w:color w:val="000000"/>
              </w:rPr>
              <w:t> </w:t>
            </w:r>
          </w:p>
        </w:tc>
        <w:tc>
          <w:tcPr>
            <w:tcW w:w="11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6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3,292</w:t>
            </w:r>
            <w:r>
              <w:rPr>
                <w:color w:val="000000"/>
              </w:rPr>
              <w:t> </w:t>
            </w:r>
          </w:p>
        </w:tc>
        <w:tc>
          <w:tcPr>
            <w:tcW w:w="1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
        <w:gridCol w:w="120"/>
        <w:gridCol w:w="109"/>
        <w:gridCol w:w="109"/>
        <w:gridCol w:w="109"/>
        <w:gridCol w:w="109"/>
        <w:gridCol w:w="3023"/>
        <w:gridCol w:w="2686"/>
        <w:gridCol w:w="3804"/>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Amounts included in Other (income) expense.</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Amounts included in Cost of products and services sold.</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Amounts included in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Amounts included in Cost of products and services sold (service cost component), Selling, general and administrative expenses (service cost component), Research and development expenses (service cost component), and Other (income) expense (non-service cost component).</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Amounts included in Cost of products and services sold, Selling, general and administrative expenses, repositioning, asbestos, and environmental gains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Amounts included in Selling, general and administrative expenses, Research and development expenses, and Other (income) expense.</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Aptos;sans-serif" w:hAnsi="Aptos;sans-serif"/>
                <w:b w:val="false"/>
                <w:color w:val="000000"/>
                <w:sz w:val="14"/>
              </w:rPr>
            </w:pPr>
            <w:r>
              <w:rPr>
                <w:rFonts w:ascii="Aptos;sans-serif" w:hAnsi="Aptos;sans-serif"/>
                <w:b w:val="false"/>
                <w:color w:val="000000"/>
                <w:sz w:val="14"/>
              </w:rPr>
              <w:t>Amounts include the other components of Selling, general and administrative expenses and Other (income) expense not included within other categories in this reconciliation. Equity income of affiliated companies from strategically aligned investments is included in segment profit.</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Includes consolidated losses of Quantinuum prior to the deconsolidation of the Company’s investment in Quantinuum, which does not meet the definition of an operating segment. Included in Net sales, Cost of products and services sold, Research and development expenses, Selling, general and administrative expenses, and Other (income) expense.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8110"/>
                <wp:effectExtent l="0" t="0" r="0" b="0"/>
                <wp:wrapNone/>
                <wp:docPr id="12" name="Frame1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- 9</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Consolidated Balance Sheet (Unaudited)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w:t>
      </w:r>
    </w:p>
    <w:p>
      <w:pPr>
        <w:pStyle w:val="TextBody"/>
        <w:bidi w:val="0"/>
        <w:spacing w:lineRule="auto" w:line="288" w:before="0" w:after="0"/>
        <w:jc w:val="center"/>
        <w:rPr>
          <w:color w:val="000000"/>
        </w:rPr>
      </w:pPr>
      <w:r>
        <w:rPr>
          <w:color w:val="000000"/>
        </w:rPr>
        <w:t> </w:t>
      </w:r>
    </w:p>
    <w:tbl>
      <w:tblPr>
        <w:tblW w:w="9535" w:type="dxa"/>
        <w:jc w:val="left"/>
        <w:tblInd w:w="0" w:type="dxa"/>
        <w:tblLayout w:type="fixed"/>
        <w:tblCellMar>
          <w:top w:w="28" w:type="dxa"/>
          <w:left w:w="28" w:type="dxa"/>
          <w:bottom w:w="28" w:type="dxa"/>
          <w:right w:w="28" w:type="dxa"/>
        </w:tblCellMar>
      </w:tblPr>
      <w:tblGrid>
        <w:gridCol w:w="2114"/>
        <w:gridCol w:w="1854"/>
        <w:gridCol w:w="1866"/>
        <w:gridCol w:w="274"/>
        <w:gridCol w:w="1003"/>
        <w:gridCol w:w="132"/>
        <w:gridCol w:w="109"/>
        <w:gridCol w:w="109"/>
        <w:gridCol w:w="109"/>
        <w:gridCol w:w="368"/>
        <w:gridCol w:w="1346"/>
        <w:gridCol w:w="251"/>
      </w:tblGrid>
      <w:tr>
        <w:trPr/>
        <w:tc>
          <w:tcPr>
            <w:tcW w:w="2114"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December 31, 2025</w:t>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ASSETS</w:t>
            </w:r>
          </w:p>
        </w:tc>
        <w:tc>
          <w:tcPr>
            <w:tcW w:w="140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Current assets</w:t>
            </w:r>
          </w:p>
        </w:tc>
        <w:tc>
          <w:tcPr>
            <w:tcW w:w="140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Cash and cash equivalents</w:t>
            </w:r>
          </w:p>
        </w:tc>
        <w:tc>
          <w:tcPr>
            <w:tcW w:w="27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00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8,751 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34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12,487 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Short-term investments</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445 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443 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16"/>
              </w:rPr>
            </w:pPr>
            <w:r>
              <w:rPr>
                <w:rFonts w:ascii="Aptos;sans-serif" w:hAnsi="Aptos;sans-serif"/>
                <w:b w:val="false"/>
                <w:color w:val="000000"/>
                <w:sz w:val="16"/>
              </w:rPr>
              <w:t>Accounts receivable, less allowances of $172 and $202, respectively</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8,337 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7,621 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Inventories</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6,401 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6,162 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Assets held for sale</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2,366 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2,492 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 current assets</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1,779 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1,182 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current assets</w:t>
            </w:r>
          </w:p>
        </w:tc>
        <w:tc>
          <w:tcPr>
            <w:tcW w:w="127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28,079</w:t>
            </w:r>
            <w:r>
              <w:rPr>
                <w:color w:val="000000"/>
              </w:rPr>
              <w:t>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30,387</w:t>
            </w:r>
            <w:r>
              <w:rPr>
                <w:color w:val="000000"/>
              </w:rPr>
              <w:t> </w:t>
            </w:r>
          </w:p>
        </w:tc>
        <w:tc>
          <w:tcPr>
            <w:tcW w:w="25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Equity method investments</w:t>
            </w:r>
          </w:p>
        </w:tc>
        <w:tc>
          <w:tcPr>
            <w:tcW w:w="127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7,459 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206 </w:t>
            </w:r>
          </w:p>
        </w:tc>
        <w:tc>
          <w:tcPr>
            <w:tcW w:w="25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Long-term receivables and other investments</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1,167 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1,198 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Property, plant and equipment—net</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4,594 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4,629 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Goodwill</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19,967 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21,079 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 intangible assets—net</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6,413 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6,736 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Deferred income taxes</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199 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199 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 assets</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9,466 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9,247 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assets</w:t>
            </w:r>
          </w:p>
        </w:tc>
        <w:tc>
          <w:tcPr>
            <w:tcW w:w="27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0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77,344</w:t>
            </w:r>
            <w:r>
              <w:rPr>
                <w:color w:val="000000"/>
              </w:rPr>
              <w:t>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3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73,681</w:t>
            </w:r>
            <w:r>
              <w:rPr>
                <w:color w:val="000000"/>
              </w:rPr>
              <w:t> </w:t>
            </w:r>
          </w:p>
        </w:tc>
        <w:tc>
          <w:tcPr>
            <w:tcW w:w="25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LIABILITIES</w:t>
            </w:r>
          </w:p>
        </w:tc>
        <w:tc>
          <w:tcPr>
            <w:tcW w:w="14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Current liabilities</w:t>
            </w:r>
          </w:p>
        </w:tc>
        <w:tc>
          <w:tcPr>
            <w:tcW w:w="14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Accounts payable</w:t>
            </w:r>
          </w:p>
        </w:tc>
        <w:tc>
          <w:tcPr>
            <w:tcW w:w="27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00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6,390 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34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6,315 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Commercial paper and other short-term borrowings</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2,478 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5,893 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Current maturities of long-term debt</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5,282 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1,546 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Accrued liabilities</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7,769 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8,462 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Liabilities held for sale</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1,275 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1,198 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current liabilities</w:t>
            </w:r>
          </w:p>
        </w:tc>
        <w:tc>
          <w:tcPr>
            <w:tcW w:w="127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23,194</w:t>
            </w:r>
            <w:r>
              <w:rPr>
                <w:color w:val="000000"/>
              </w:rPr>
              <w:t>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23,414</w:t>
            </w:r>
            <w:r>
              <w:rPr>
                <w:color w:val="000000"/>
              </w:rPr>
              <w:t> </w:t>
            </w:r>
          </w:p>
        </w:tc>
        <w:tc>
          <w:tcPr>
            <w:tcW w:w="25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Long-term debt</w:t>
            </w:r>
          </w:p>
        </w:tc>
        <w:tc>
          <w:tcPr>
            <w:tcW w:w="127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26,228 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27,141 </w:t>
            </w:r>
          </w:p>
        </w:tc>
        <w:tc>
          <w:tcPr>
            <w:tcW w:w="25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Deferred income taxes</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2,695 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1,577 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Postretirement benefit obligations other than pensions</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106 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111 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 liabilities</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6,264 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6,408 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Shareowners' equity</w:t>
            </w:r>
          </w:p>
        </w:tc>
        <w:tc>
          <w:tcPr>
            <w:tcW w:w="12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18,857 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15,030 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ptos;sans-serif" w:hAnsi="Aptos;sans-serif"/>
                <w:b/>
                <w:color w:val="000000"/>
                <w:sz w:val="16"/>
              </w:rPr>
            </w:pPr>
            <w:r>
              <w:rPr>
                <w:rFonts w:ascii="Aptos;sans-serif" w:hAnsi="Aptos;sans-serif"/>
                <w:b/>
                <w:color w:val="000000"/>
                <w:sz w:val="16"/>
              </w:rPr>
              <w:t>Total liabilities and shareowners’ equity</w:t>
            </w:r>
          </w:p>
        </w:tc>
        <w:tc>
          <w:tcPr>
            <w:tcW w:w="27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0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77,344</w:t>
            </w:r>
            <w:r>
              <w:rPr>
                <w:color w:val="000000"/>
              </w:rPr>
              <w:t> </w:t>
            </w:r>
          </w:p>
        </w:tc>
        <w:tc>
          <w:tcPr>
            <w:tcW w:w="1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3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73,681</w:t>
            </w:r>
            <w:r>
              <w:rPr>
                <w:color w:val="000000"/>
              </w:rPr>
              <w:t> </w:t>
            </w:r>
          </w:p>
        </w:tc>
        <w:tc>
          <w:tcPr>
            <w:tcW w:w="25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8110"/>
                <wp:effectExtent l="0" t="0" r="0" b="0"/>
                <wp:wrapNone/>
                <wp:docPr id="13" name="Frame1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- 10</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Consolidated Statement of Cash Flows (Unaudited)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w:t>
      </w:r>
    </w:p>
    <w:tbl>
      <w:tblPr>
        <w:tblW w:w="10205" w:type="dxa"/>
        <w:jc w:val="left"/>
        <w:tblInd w:w="0" w:type="dxa"/>
        <w:tblLayout w:type="fixed"/>
        <w:tblCellMar>
          <w:top w:w="28" w:type="dxa"/>
          <w:left w:w="28" w:type="dxa"/>
          <w:bottom w:w="28" w:type="dxa"/>
          <w:right w:w="28" w:type="dxa"/>
        </w:tblCellMar>
      </w:tblPr>
      <w:tblGrid>
        <w:gridCol w:w="1968"/>
        <w:gridCol w:w="1505"/>
        <w:gridCol w:w="1510"/>
        <w:gridCol w:w="237"/>
        <w:gridCol w:w="692"/>
        <w:gridCol w:w="122"/>
        <w:gridCol w:w="122"/>
        <w:gridCol w:w="122"/>
        <w:gridCol w:w="122"/>
        <w:gridCol w:w="237"/>
        <w:gridCol w:w="692"/>
        <w:gridCol w:w="122"/>
        <w:gridCol w:w="109"/>
        <w:gridCol w:w="109"/>
        <w:gridCol w:w="109"/>
        <w:gridCol w:w="227"/>
        <w:gridCol w:w="664"/>
        <w:gridCol w:w="117"/>
        <w:gridCol w:w="117"/>
        <w:gridCol w:w="117"/>
        <w:gridCol w:w="117"/>
        <w:gridCol w:w="227"/>
        <w:gridCol w:w="664"/>
        <w:gridCol w:w="177"/>
      </w:tblGrid>
      <w:tr>
        <w:trPr/>
        <w:tc>
          <w:tcPr>
            <w:tcW w:w="196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 June 30,</w:t>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49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flows from operating activities</w:t>
            </w:r>
          </w:p>
        </w:tc>
        <w:tc>
          <w:tcPr>
            <w:tcW w:w="10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Net income</w:t>
            </w:r>
          </w:p>
        </w:tc>
        <w:tc>
          <w:tcPr>
            <w:tcW w:w="23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69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5,686 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69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1,569 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66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6,481 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66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3,036 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Net income from discontinued operations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186 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357 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color w:val="000000"/>
                <w:sz w:val="16"/>
              </w:rPr>
            </w:pPr>
            <w:r>
              <w:rPr>
                <w:rFonts w:ascii="Aptos;sans-serif" w:hAnsi="Aptos;sans-serif"/>
                <w:b/>
                <w:color w:val="000000"/>
                <w:sz w:val="16"/>
              </w:rPr>
              <w:t>Net income from continuing operations</w:t>
            </w:r>
          </w:p>
        </w:tc>
        <w:tc>
          <w:tcPr>
            <w:tcW w:w="9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5,686</w:t>
            </w:r>
            <w:r>
              <w:rPr>
                <w:color w:val="000000"/>
              </w:rPr>
              <w:t> </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1,383</w:t>
            </w:r>
            <w:r>
              <w:rPr>
                <w:color w:val="000000"/>
              </w:rPr>
              <w:t> </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6,481</w:t>
            </w:r>
            <w:r>
              <w:rPr>
                <w:color w:val="000000"/>
              </w:rPr>
              <w:t> </w:t>
            </w:r>
          </w:p>
        </w:tc>
        <w:tc>
          <w:tcPr>
            <w:tcW w:w="1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2,679</w:t>
            </w:r>
            <w:r>
              <w:rPr>
                <w:color w:val="000000"/>
              </w:rPr>
              <w:t>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16"/>
              </w:rPr>
            </w:pPr>
            <w:r>
              <w:rPr>
                <w:rFonts w:ascii="Aptos;sans-serif" w:hAnsi="Aptos;sans-serif"/>
                <w:b w:val="false"/>
                <w:color w:val="000000"/>
                <w:sz w:val="16"/>
              </w:rPr>
              <w:t>Adjustments to reconcile net income from continuing operations to net cash (used for) provided by operating activities</w:t>
            </w:r>
          </w:p>
        </w:tc>
        <w:tc>
          <w:tcPr>
            <w:tcW w:w="10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Depreciation</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156 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143 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290 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269 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Amortization</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156 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205 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379 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404 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Gain on deconsolidation of subsidiary</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(6,629)</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(6,629)</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Equity loss income of affiliated companies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256 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240 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(23)</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(Gain) loss on sale of non-strategic businesses and assets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29 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Impairment of assets held for sale</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48 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311 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16"/>
              </w:rPr>
            </w:pPr>
            <w:r>
              <w:rPr>
                <w:rFonts w:ascii="Aptos;sans-serif" w:hAnsi="Aptos;sans-serif"/>
                <w:b w:val="false"/>
                <w:color w:val="000000"/>
                <w:sz w:val="16"/>
              </w:rPr>
              <w:t>Loss on debt extinguishment</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241 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Repositioning and other charges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91 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41 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159 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84 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Net payments for repositioning and other charges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(82)</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(91)</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(145)</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(195)</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Pension and other postretirement income</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(169)</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(89)</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(336)</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(233)</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Pension and other postretirement benefit payments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Stock compensation expense</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55 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108 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114 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Deferred income taxes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1,079 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962 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203 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(107)</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252 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(317)</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Changes in assets and liabilities, net of the effects of acquisitions and divestitures:</w:t>
            </w:r>
          </w:p>
        </w:tc>
        <w:tc>
          <w:tcPr>
            <w:tcW w:w="10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Accounts receivable</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(271)</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(429)</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(718)</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(853)</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Inventories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(291)</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(234)</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(438)</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 current assets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(314)</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(183)</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(449)</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(154)</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Accounts payable</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378 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244 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89 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112 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Accrued liabilities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895 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554 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70 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412 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16"/>
              </w:rPr>
            </w:pPr>
            <w:r>
              <w:rPr>
                <w:rFonts w:ascii="Aptos;sans-serif" w:hAnsi="Aptos;sans-serif"/>
                <w:b w:val="false"/>
                <w:color w:val="000000"/>
                <w:sz w:val="16"/>
              </w:rPr>
              <w:t>Income taxes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(223)</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(370)</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(428)</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(420)</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cash provided by operating activities from continuing operations</w:t>
            </w:r>
          </w:p>
        </w:tc>
        <w:tc>
          <w:tcPr>
            <w:tcW w:w="9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1,276</w:t>
            </w:r>
            <w:r>
              <w:rPr>
                <w:color w:val="000000"/>
              </w:rPr>
              <w:t> </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1,064</w:t>
            </w:r>
            <w:r>
              <w:rPr>
                <w:color w:val="000000"/>
              </w:rPr>
              <w:t> </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626</w:t>
            </w:r>
            <w:r>
              <w:rPr>
                <w:color w:val="000000"/>
              </w:rPr>
              <w:t> </w:t>
            </w:r>
          </w:p>
        </w:tc>
        <w:tc>
          <w:tcPr>
            <w:tcW w:w="1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1,442</w:t>
            </w:r>
            <w:r>
              <w:rPr>
                <w:color w:val="000000"/>
              </w:rPr>
              <w:t>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Net cash provided by operating activities from discontinued operations</w:t>
            </w:r>
          </w:p>
        </w:tc>
        <w:tc>
          <w:tcPr>
            <w:tcW w:w="9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255 </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474 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cash provided by operating activities</w:t>
            </w:r>
          </w:p>
        </w:tc>
        <w:tc>
          <w:tcPr>
            <w:tcW w:w="9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1,276</w:t>
            </w:r>
            <w:r>
              <w:rPr>
                <w:color w:val="000000"/>
              </w:rPr>
              <w:t> </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1,319</w:t>
            </w:r>
            <w:r>
              <w:rPr>
                <w:color w:val="000000"/>
              </w:rPr>
              <w:t> </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626</w:t>
            </w:r>
            <w:r>
              <w:rPr>
                <w:color w:val="000000"/>
              </w:rPr>
              <w:t> </w:t>
            </w:r>
          </w:p>
        </w:tc>
        <w:tc>
          <w:tcPr>
            <w:tcW w:w="1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1,916</w:t>
            </w:r>
            <w:r>
              <w:rPr>
                <w:color w:val="000000"/>
              </w:rPr>
              <w:t>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flows from investing activities</w:t>
            </w:r>
          </w:p>
        </w:tc>
        <w:tc>
          <w:tcPr>
            <w:tcW w:w="10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Capital expenditures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(315)</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(226)</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(538)</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(416)</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Increase in investments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(311)</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(330)</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(505)</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(681)</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Decrease in investments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301 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415 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513 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753 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16"/>
              </w:rPr>
            </w:pPr>
            <w:r>
              <w:rPr>
                <w:rFonts w:ascii="Aptos;sans-serif" w:hAnsi="Aptos;sans-serif"/>
                <w:b w:val="false"/>
                <w:color w:val="000000"/>
                <w:sz w:val="16"/>
              </w:rPr>
              <w:t>Receipts (payments) from settlements of derivative contracts</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42 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(290)</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127 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(415)</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Cash paid for acquisitions, net of cash acquired</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(23)</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(2,158)</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(28)</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(2,163)</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Deconsolidation of subsidiary cash</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(623)</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(623)</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Proceeds from sale of business, net of cash transferred</w:t>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1,157 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1,157 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cash used for investing activities from continuing operations</w:t>
            </w:r>
          </w:p>
        </w:tc>
        <w:tc>
          <w:tcPr>
            <w:tcW w:w="9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(929)</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(1,432)</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(1,048)</w:t>
            </w:r>
          </w:p>
        </w:tc>
        <w:tc>
          <w:tcPr>
            <w:tcW w:w="1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(1,765)</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Net cash used for investing activities from discontinued operations</w:t>
            </w:r>
          </w:p>
        </w:tc>
        <w:tc>
          <w:tcPr>
            <w:tcW w:w="9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(77)</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(115)</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cash used for investing activities</w:t>
            </w:r>
          </w:p>
        </w:tc>
        <w:tc>
          <w:tcPr>
            <w:tcW w:w="929"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(929)</w:t>
            </w:r>
          </w:p>
        </w:tc>
        <w:tc>
          <w:tcPr>
            <w:tcW w:w="1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(1,509)</w:t>
            </w:r>
          </w:p>
        </w:tc>
        <w:tc>
          <w:tcPr>
            <w:tcW w:w="1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(1,048)</w:t>
            </w:r>
          </w:p>
        </w:tc>
        <w:tc>
          <w:tcPr>
            <w:tcW w:w="1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(1,880)</w:t>
            </w:r>
          </w:p>
        </w:tc>
        <w:tc>
          <w:tcPr>
            <w:tcW w:w="17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8110"/>
                <wp:effectExtent l="0" t="0" r="0" b="0"/>
                <wp:wrapNone/>
                <wp:docPr id="14" name="Frame1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- 11</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16"/>
        <w:gridCol w:w="1474"/>
        <w:gridCol w:w="1483"/>
        <w:gridCol w:w="226"/>
        <w:gridCol w:w="706"/>
        <w:gridCol w:w="109"/>
        <w:gridCol w:w="109"/>
        <w:gridCol w:w="109"/>
        <w:gridCol w:w="109"/>
        <w:gridCol w:w="226"/>
        <w:gridCol w:w="826"/>
        <w:gridCol w:w="109"/>
        <w:gridCol w:w="109"/>
        <w:gridCol w:w="109"/>
        <w:gridCol w:w="109"/>
        <w:gridCol w:w="226"/>
        <w:gridCol w:w="706"/>
        <w:gridCol w:w="109"/>
        <w:gridCol w:w="109"/>
        <w:gridCol w:w="109"/>
        <w:gridCol w:w="109"/>
        <w:gridCol w:w="226"/>
        <w:gridCol w:w="826"/>
        <w:gridCol w:w="156"/>
      </w:tblGrid>
      <w:tr>
        <w:trPr/>
        <w:tc>
          <w:tcPr>
            <w:tcW w:w="181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flows from financing activities</w:t>
            </w:r>
          </w:p>
        </w:tc>
        <w:tc>
          <w:tcPr>
            <w:tcW w:w="10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Proceeds from issuance of commercial paper and other short-term borrowings</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3,153 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7,008 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7,911 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11,863 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Payments of commercial paper and other short-term borrowings</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(5,306)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(6,577)</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(11,324)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(9,990)</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Proceeds from issuance of common stock</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98 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Proceeds from issuance of long-term debt</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3,989 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4,035 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Payments of long-term debt</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(582)</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(1,265)</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(13,187)</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(1,309)</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Repurchases of common stock</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(1,702)</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(1,000)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(3,604)</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Cash dividends paid</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(795)</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(747)</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(1,576)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(1,479)</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 xml:space="preserve">Pre-separation funding </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15,835 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(35)</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cash provided by (used for) financing activities</w:t>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(3,513)</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759</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(3,246)</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(421)</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Effect of foreign exchange rate changes on cash and cash equivalents</w:t>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(60)</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123 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(68)</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167 </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color w:val="000000"/>
                <w:sz w:val="16"/>
              </w:rPr>
            </w:pPr>
            <w:r>
              <w:rPr>
                <w:rFonts w:ascii="Aptos;sans-serif" w:hAnsi="Aptos;sans-serif"/>
                <w:b/>
                <w:color w:val="000000"/>
                <w:sz w:val="16"/>
              </w:rPr>
              <w:t>Net decrease in cash and cash equivalents</w:t>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(3,226)</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692</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(3,736)</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(218)</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and cash equivalents at beginning of period</w:t>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11,977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9,657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12,487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10,567</w:t>
            </w:r>
            <w:r>
              <w:rPr>
                <w:color w:val="000000"/>
              </w:rPr>
              <w:t> </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and cash equivalents at end of period</w:t>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8,751</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10,349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8,751</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10,349</w:t>
            </w:r>
            <w:r>
              <w:rPr>
                <w:color w:val="000000"/>
              </w:rPr>
              <w:t> </w:t>
            </w:r>
          </w:p>
        </w:tc>
        <w:tc>
          <w:tcPr>
            <w:tcW w:w="1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8110"/>
                <wp:effectExtent l="0" t="0" r="0" b="0"/>
                <wp:wrapNone/>
                <wp:docPr id="15" name="Frame1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- 12</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Appendix</w:t>
      </w:r>
    </w:p>
    <w:p>
      <w:pPr>
        <w:pStyle w:val="TextBody"/>
        <w:bidi w:val="0"/>
        <w:spacing w:before="0" w:after="0"/>
        <w:ind w:left="0" w:right="0" w:firstLine="90"/>
        <w:jc w:val="center"/>
        <w:rPr/>
      </w:pPr>
      <w:r>
        <w:rPr/>
      </w:r>
    </w:p>
    <w:p>
      <w:pPr>
        <w:pStyle w:val="TextBody"/>
        <w:bidi w:val="0"/>
        <w:spacing w:lineRule="auto" w:line="288" w:before="0" w:after="0"/>
        <w:jc w:val="left"/>
        <w:rPr>
          <w:rFonts w:ascii="Aptos;sans-serif" w:hAnsi="Aptos;sans-serif"/>
          <w:b/>
          <w:color w:val="000000"/>
          <w:sz w:val="20"/>
        </w:rPr>
      </w:pPr>
      <w:r>
        <w:rPr>
          <w:rFonts w:ascii="Aptos;sans-serif" w:hAnsi="Aptos;sans-serif"/>
          <w:b/>
          <w:color w:val="000000"/>
          <w:sz w:val="20"/>
        </w:rPr>
        <w:t>Non-GAAP Financial Measures</w:t>
      </w:r>
    </w:p>
    <w:p>
      <w:pPr>
        <w:pStyle w:val="TextBody"/>
        <w:bidi w:val="0"/>
        <w:spacing w:before="0" w:after="0"/>
        <w:ind w:left="0" w:right="0" w:firstLine="90"/>
        <w:jc w:val="left"/>
        <w:rPr/>
      </w:pPr>
      <w:r>
        <w:rPr/>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The following information provides definitions and reconciliations of certain non-GAAP financial measures presented in this press release to which reconciliations are attached to the most directly comparable financial measures calculated and presented in accordance with generally accepted accounting principles (GAAP). The reconciliations include the financial measures on a consolidated Honeywell basis and include adjustments related to the separation of Honeywell Aerospace (the Separation Adjustments). The amounts shown as Separation Adjustments are unaudited and represent our best estimates.</w:t>
      </w:r>
    </w:p>
    <w:p>
      <w:pPr>
        <w:pStyle w:val="TextBody"/>
        <w:bidi w:val="0"/>
        <w:spacing w:before="0" w:after="0"/>
        <w:jc w:val="both"/>
        <w:rPr/>
      </w:pPr>
      <w:r>
        <w:rPr/>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 xml:space="preserve">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Certain measures presented on a non-GAAP basis represent the impact of adjusting items net of tax. The tax-effect for adjusting items is determined individually and on a case-by-case basis. Other companies may calculate these non-GAAP measures differently, limiting the usefulness of these measures for comparative purposes. </w:t>
      </w:r>
    </w:p>
    <w:p>
      <w:pPr>
        <w:pStyle w:val="TextBody"/>
        <w:bidi w:val="0"/>
        <w:spacing w:before="0" w:after="0"/>
        <w:jc w:val="both"/>
        <w:rPr/>
      </w:pPr>
      <w:r>
        <w:rPr/>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the consolidated financial statements. In addition, they are subject to inherent limitations as they reflect the exercise of judgments by management about which expenses and income are excluded or included in determining these non-GAAP financial measures. Investors are urged to review the reconciliation of the non-GAAP financial measures to the comparable GAAP financial measures and not to rely on any single financial measure to evaluate Honeywell's and Honeywell Technologies’ businesses.</w:t>
      </w:r>
    </w:p>
    <w:p>
      <w:pPr>
        <w:pStyle w:val="TextBody"/>
        <w:bidi w:val="0"/>
        <w:spacing w:before="0" w:after="0"/>
        <w:jc w:val="both"/>
        <w:rPr/>
      </w:pPr>
      <w:r>
        <w:rPr/>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As indicated herein, certain forward-looking non-GAAP financial measures are not reconciled because management cannot reliably predict or estimate certain items for the reasons specified herein with respect to each non-GAAP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8110"/>
                <wp:effectExtent l="0" t="0" r="0" b="0"/>
                <wp:wrapNone/>
                <wp:docPr id="16" name="Frame1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- 13</w:t>
      </w:r>
    </w:p>
    <w:p>
      <w:pPr>
        <w:pStyle w:val="TextBody"/>
        <w:bidi w:val="0"/>
        <w:spacing w:before="0" w:after="0"/>
        <w:jc w:val="left"/>
        <w:rPr/>
      </w:pPr>
      <w:r>
        <w:rPr/>
      </w:r>
    </w:p>
    <w:p>
      <w:pPr>
        <w:pStyle w:val="TextBody"/>
        <w:bidi w:val="0"/>
        <w:spacing w:lineRule="auto" w:line="288" w:before="0" w:after="0"/>
        <w:ind w:left="0" w:right="0" w:firstLine="9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ind w:left="0" w:right="0" w:firstLine="90"/>
        <w:jc w:val="center"/>
        <w:rPr>
          <w:rFonts w:ascii="Aptos;sans-serif" w:hAnsi="Aptos;sans-serif"/>
          <w:b w:val="false"/>
          <w:color w:val="000000"/>
          <w:sz w:val="18"/>
        </w:rPr>
      </w:pPr>
      <w:r>
        <w:rPr>
          <w:rFonts w:ascii="Aptos;sans-serif" w:hAnsi="Aptos;sans-serif"/>
          <w:b w:val="false"/>
          <w:color w:val="000000"/>
          <w:sz w:val="18"/>
        </w:rPr>
        <w:t>Reconciliation of Organic Sales Percent Change</w:t>
      </w:r>
    </w:p>
    <w:p>
      <w:pPr>
        <w:pStyle w:val="TextBody"/>
        <w:bidi w:val="0"/>
        <w:spacing w:lineRule="auto" w:line="288" w:before="0" w:after="0"/>
        <w:ind w:left="0" w:right="0" w:firstLine="90"/>
        <w:jc w:val="center"/>
        <w:rPr>
          <w:rFonts w:ascii="Aptos;sans-serif" w:hAnsi="Aptos;sans-serif"/>
          <w:b w:val="false"/>
          <w:color w:val="000000"/>
          <w:sz w:val="18"/>
        </w:rPr>
      </w:pPr>
      <w:r>
        <w:rPr>
          <w:rFonts w:ascii="Aptos;sans-serif" w:hAnsi="Aptos;sans-serif"/>
          <w:b w:val="false"/>
          <w:color w:val="000000"/>
          <w:sz w:val="18"/>
        </w:rPr>
        <w:t>(Unaudited)</w:t>
      </w:r>
    </w:p>
    <w:p>
      <w:pPr>
        <w:pStyle w:val="TextBody"/>
        <w:bidi w:val="0"/>
        <w:spacing w:lineRule="auto" w:line="288" w:before="0" w:after="0"/>
        <w:ind w:left="0" w:right="0" w:firstLine="90"/>
        <w:jc w:val="center"/>
        <w:rPr>
          <w:color w:val="000000"/>
        </w:rPr>
      </w:pPr>
      <w:r>
        <w:rPr>
          <w:color w:val="000000"/>
        </w:rPr>
        <w:t> </w:t>
      </w:r>
    </w:p>
    <w:tbl>
      <w:tblPr>
        <w:tblW w:w="9823" w:type="dxa"/>
        <w:jc w:val="left"/>
        <w:tblInd w:w="0" w:type="dxa"/>
        <w:tblLayout w:type="fixed"/>
        <w:tblCellMar>
          <w:top w:w="28" w:type="dxa"/>
          <w:left w:w="28" w:type="dxa"/>
          <w:bottom w:w="28" w:type="dxa"/>
          <w:right w:w="28" w:type="dxa"/>
        </w:tblCellMar>
      </w:tblPr>
      <w:tblGrid>
        <w:gridCol w:w="2307"/>
        <w:gridCol w:w="2027"/>
        <w:gridCol w:w="2040"/>
        <w:gridCol w:w="1007"/>
        <w:gridCol w:w="1007"/>
        <w:gridCol w:w="1435"/>
      </w:tblGrid>
      <w:tr>
        <w:trPr/>
        <w:tc>
          <w:tcPr>
            <w:tcW w:w="230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June 30, 2026</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Honeywell</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3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w:t>
            </w:r>
          </w:p>
        </w:tc>
        <w:tc>
          <w:tcPr>
            <w:tcW w:w="34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4%</w:t>
            </w:r>
          </w:p>
        </w:tc>
      </w:tr>
      <w:tr>
        <w:trPr/>
        <w:tc>
          <w:tcPr>
            <w:tcW w:w="63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Impact of divestitures to the prior period</w:t>
            </w:r>
          </w:p>
        </w:tc>
        <w:tc>
          <w:tcPr>
            <w:tcW w:w="34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 adjusted for impact of divestitures</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6%</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Foreign currency translation</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w:t>
            </w:r>
          </w:p>
        </w:tc>
      </w:tr>
      <w:tr>
        <w:trPr/>
        <w:tc>
          <w:tcPr>
            <w:tcW w:w="6374"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Acquisitions</w:t>
            </w:r>
          </w:p>
        </w:tc>
        <w:tc>
          <w:tcPr>
            <w:tcW w:w="3449"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w:t>
            </w:r>
          </w:p>
        </w:tc>
      </w:tr>
      <w:tr>
        <w:trPr/>
        <w:tc>
          <w:tcPr>
            <w:tcW w:w="6374"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Other</w:t>
            </w:r>
          </w:p>
        </w:tc>
        <w:tc>
          <w:tcPr>
            <w:tcW w:w="3449"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Organic sales percent change</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4%</w:t>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Less: Separation Adjustments</w:t>
            </w:r>
            <w:r>
              <w:rPr>
                <w:rFonts w:ascii="Aptos;sans-serif" w:hAnsi="Aptos;sans-serif"/>
                <w:b w:val="false"/>
                <w:color w:val="000000"/>
                <w:sz w:val="10"/>
              </w:rPr>
              <w:t>1</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Organic sales percent change (Honeywell Technologies)</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4%</w:t>
            </w:r>
          </w:p>
        </w:tc>
      </w:tr>
      <w:tr>
        <w:trPr/>
        <w:tc>
          <w:tcPr>
            <w:tcW w:w="63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Building Automation</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3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w:t>
            </w:r>
          </w:p>
        </w:tc>
        <w:tc>
          <w:tcPr>
            <w:tcW w:w="34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10%</w:t>
            </w:r>
          </w:p>
        </w:tc>
      </w:tr>
      <w:tr>
        <w:trPr/>
        <w:tc>
          <w:tcPr>
            <w:tcW w:w="63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Impact of divestitures to the prior period</w:t>
            </w:r>
          </w:p>
        </w:tc>
        <w:tc>
          <w:tcPr>
            <w:tcW w:w="34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 adjusted for impact of divestitures</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10%</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Foreign currency translation</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w:t>
            </w:r>
          </w:p>
        </w:tc>
      </w:tr>
      <w:tr>
        <w:trPr/>
        <w:tc>
          <w:tcPr>
            <w:tcW w:w="63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Acquisitions</w:t>
            </w:r>
          </w:p>
        </w:tc>
        <w:tc>
          <w:tcPr>
            <w:tcW w:w="34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4"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Other</w:t>
            </w:r>
          </w:p>
        </w:tc>
        <w:tc>
          <w:tcPr>
            <w:tcW w:w="3449"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Organic sales percent change</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9%</w:t>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Process Automation and Technology</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3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w:t>
            </w:r>
          </w:p>
        </w:tc>
        <w:tc>
          <w:tcPr>
            <w:tcW w:w="34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4%</w:t>
            </w:r>
          </w:p>
        </w:tc>
      </w:tr>
      <w:tr>
        <w:trPr/>
        <w:tc>
          <w:tcPr>
            <w:tcW w:w="63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Impact of divestitures to the prior period</w:t>
            </w:r>
          </w:p>
        </w:tc>
        <w:tc>
          <w:tcPr>
            <w:tcW w:w="34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 adjusted for impact of divestitures</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4%</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Foreign currency translation</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Acquisitions</w:t>
            </w:r>
          </w:p>
        </w:tc>
        <w:tc>
          <w:tcPr>
            <w:tcW w:w="34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5%</w:t>
            </w:r>
          </w:p>
        </w:tc>
      </w:tr>
      <w:tr>
        <w:trPr/>
        <w:tc>
          <w:tcPr>
            <w:tcW w:w="6374"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Other</w:t>
            </w:r>
          </w:p>
        </w:tc>
        <w:tc>
          <w:tcPr>
            <w:tcW w:w="3449"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Organic sales percent change</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(1)%</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Industrial Automation</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3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w:t>
            </w:r>
          </w:p>
        </w:tc>
        <w:tc>
          <w:tcPr>
            <w:tcW w:w="34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(5)%</w:t>
            </w:r>
          </w:p>
        </w:tc>
      </w:tr>
      <w:tr>
        <w:trPr/>
        <w:tc>
          <w:tcPr>
            <w:tcW w:w="63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Impact of divestitures to the prior period</w:t>
            </w:r>
          </w:p>
        </w:tc>
        <w:tc>
          <w:tcPr>
            <w:tcW w:w="34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(9)%</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 adjusted for impact of divestitures</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4%</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Foreign currency translation</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Acquisitions</w:t>
            </w:r>
          </w:p>
        </w:tc>
        <w:tc>
          <w:tcPr>
            <w:tcW w:w="34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4"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Other</w:t>
            </w:r>
          </w:p>
        </w:tc>
        <w:tc>
          <w:tcPr>
            <w:tcW w:w="3449"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Organic sales percent change</w:t>
            </w:r>
          </w:p>
        </w:tc>
        <w:tc>
          <w:tcPr>
            <w:tcW w:w="34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4%</w:t>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8110"/>
                <wp:effectExtent l="0" t="0" r="0" b="0"/>
                <wp:wrapNone/>
                <wp:docPr id="17" name="Frame1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- 14</w:t>
      </w:r>
    </w:p>
    <w:p>
      <w:pPr>
        <w:pStyle w:val="TextBody"/>
        <w:bidi w:val="0"/>
        <w:spacing w:before="0" w:after="0"/>
        <w:jc w:val="left"/>
        <w:rPr/>
      </w:pPr>
      <w:r>
        <w:rPr/>
      </w:r>
    </w:p>
    <w:tbl>
      <w:tblPr>
        <w:tblW w:w="6915" w:type="dxa"/>
        <w:jc w:val="left"/>
        <w:tblInd w:w="0" w:type="dxa"/>
        <w:tblLayout w:type="fixed"/>
        <w:tblCellMar>
          <w:top w:w="28" w:type="dxa"/>
          <w:left w:w="28" w:type="dxa"/>
          <w:bottom w:w="28" w:type="dxa"/>
          <w:right w:w="28" w:type="dxa"/>
        </w:tblCellMar>
      </w:tblPr>
      <w:tblGrid>
        <w:gridCol w:w="2308"/>
        <w:gridCol w:w="2030"/>
        <w:gridCol w:w="2037"/>
        <w:gridCol w:w="158"/>
        <w:gridCol w:w="158"/>
        <w:gridCol w:w="224"/>
      </w:tblGrid>
      <w:tr>
        <w:trPr/>
        <w:tc>
          <w:tcPr>
            <w:tcW w:w="230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Aerospace Technologies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w:t>
            </w:r>
          </w:p>
        </w:tc>
        <w:tc>
          <w:tcPr>
            <w:tcW w:w="54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5%</w:t>
            </w:r>
          </w:p>
        </w:tc>
      </w:tr>
      <w:tr>
        <w:trPr/>
        <w:tc>
          <w:tcPr>
            <w:tcW w:w="637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Impact of divestitures to the prior period</w:t>
            </w:r>
          </w:p>
        </w:tc>
        <w:tc>
          <w:tcPr>
            <w:tcW w:w="54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 adjusted for impact of divestitures</w:t>
            </w:r>
          </w:p>
        </w:tc>
        <w:tc>
          <w:tcPr>
            <w:tcW w:w="5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5%</w:t>
            </w:r>
          </w:p>
        </w:tc>
      </w:tr>
      <w:tr>
        <w:trPr/>
        <w:tc>
          <w:tcPr>
            <w:tcW w:w="637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Foreign currency translation</w:t>
            </w:r>
          </w:p>
        </w:tc>
        <w:tc>
          <w:tcPr>
            <w:tcW w:w="5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Acquisitions</w:t>
            </w:r>
          </w:p>
        </w:tc>
        <w:tc>
          <w:tcPr>
            <w:tcW w:w="54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5"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Other</w:t>
            </w:r>
          </w:p>
        </w:tc>
        <w:tc>
          <w:tcPr>
            <w:tcW w:w="540"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37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Organic sales percent change</w:t>
            </w:r>
          </w:p>
        </w:tc>
        <w:tc>
          <w:tcPr>
            <w:tcW w:w="54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5%</w:t>
            </w:r>
          </w:p>
        </w:tc>
      </w:tr>
    </w:tbl>
    <w:tbl>
      <w:tblPr>
        <w:tblW w:w="10205" w:type="dxa"/>
        <w:jc w:val="left"/>
        <w:tblInd w:w="0" w:type="dxa"/>
        <w:tblLayout w:type="fixed"/>
        <w:tblCellMar>
          <w:top w:w="28" w:type="dxa"/>
          <w:left w:w="28" w:type="dxa"/>
          <w:bottom w:w="28" w:type="dxa"/>
          <w:right w:w="28" w:type="dxa"/>
        </w:tblCellMar>
      </w:tblPr>
      <w:tblGrid>
        <w:gridCol w:w="136"/>
        <w:gridCol w:w="120"/>
        <w:gridCol w:w="109"/>
        <w:gridCol w:w="109"/>
        <w:gridCol w:w="109"/>
        <w:gridCol w:w="109"/>
        <w:gridCol w:w="2784"/>
        <w:gridCol w:w="2784"/>
        <w:gridCol w:w="3945"/>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 xml:space="preserve">Includes the financial results of the Honeywell Aerospace business which will be reflected as discontinued operations in the third quarter. These financial results may differ from Aerospace Technologies financial information due to the perimeter of the transaction, allocation of Honeywell Technologies corporate costs, and treatment of intracompany transactions, among other items, for both current and prior reporting periods. </w:t>
            </w:r>
          </w:p>
        </w:tc>
      </w:tr>
    </w:tbl>
    <w:p>
      <w:pPr>
        <w:pStyle w:val="TextBody"/>
        <w:bidi w:val="0"/>
        <w:spacing w:lineRule="auto" w:line="288" w:before="120" w:after="283"/>
        <w:jc w:val="both"/>
        <w:rPr>
          <w:rFonts w:ascii="Aptos;sans-serif" w:hAnsi="Aptos;sans-serif"/>
          <w:b w:val="false"/>
          <w:color w:val="000000"/>
          <w:sz w:val="18"/>
        </w:rPr>
      </w:pPr>
      <w:r>
        <w:rPr>
          <w:rFonts w:ascii="Aptos;sans-serif" w:hAnsi="Aptos;sans-serif"/>
          <w:b w:val="false"/>
          <w:color w:val="000000"/>
          <w:sz w:val="18"/>
        </w:rPr>
        <w:t>We define organic sales percentage as the year-over-year change in reported sales relative to the comparable period, adjusted for the impact of divestitures to the prior period, and excluding the impact on sales from foreign currency translation, acquisitions for the first 12 months following the transaction date, and certain other items that are unusual or non-recurring in nature. We believe this measure is useful to investors and management in understanding our ongoing operations and in analysis of ongoing operating trends.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 xml:space="preserve">A quantitative reconciliation of reported sales percent change to organic sales percent change has not been provided for the forward-looking measure of organic sales percent change because management cannot reliably predict or estimate, without unreasonable effort, the fluctuations in global currency markets that impact foreign currency translation, nor is it reasonable for management to predict the timing, occurrence and impact of acquisition and divestiture transactions, all of which could significantly impact our reported sales percent 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8110"/>
                <wp:effectExtent l="0" t="0" r="0" b="0"/>
                <wp:wrapNone/>
                <wp:docPr id="18" name="Frame1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- 15</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Reconciliation of Net Sales to Honeywell Technologies Net Sales</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30"/>
        <w:gridCol w:w="379"/>
        <w:gridCol w:w="381"/>
        <w:gridCol w:w="231"/>
        <w:gridCol w:w="722"/>
        <w:gridCol w:w="113"/>
        <w:gridCol w:w="378"/>
        <w:gridCol w:w="1108"/>
        <w:gridCol w:w="198"/>
        <w:gridCol w:w="340"/>
        <w:gridCol w:w="1063"/>
        <w:gridCol w:w="165"/>
        <w:gridCol w:w="109"/>
        <w:gridCol w:w="109"/>
        <w:gridCol w:w="109"/>
        <w:gridCol w:w="231"/>
        <w:gridCol w:w="722"/>
        <w:gridCol w:w="113"/>
        <w:gridCol w:w="378"/>
        <w:gridCol w:w="1108"/>
        <w:gridCol w:w="198"/>
        <w:gridCol w:w="335"/>
        <w:gridCol w:w="1048"/>
        <w:gridCol w:w="237"/>
      </w:tblGrid>
      <w:tr>
        <w:trPr/>
        <w:tc>
          <w:tcPr>
            <w:tcW w:w="43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5"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June 30,</w:t>
            </w:r>
          </w:p>
        </w:tc>
      </w:tr>
      <w:tr>
        <w:trPr/>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w:t>
            </w:r>
          </w:p>
        </w:tc>
        <w:tc>
          <w:tcPr>
            <w:tcW w:w="168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pPr>
            <w:r>
              <w:rPr>
                <w:rFonts w:ascii="Aptos;sans-serif" w:hAnsi="Aptos;sans-serif"/>
                <w:b/>
                <w:color w:val="000000"/>
                <w:sz w:val="16"/>
              </w:rPr>
              <w:t>Less: Separation Adjustments</w:t>
            </w:r>
            <w:r>
              <w:rPr>
                <w:rFonts w:ascii="Aptos;sans-serif" w:hAnsi="Aptos;sans-serif"/>
                <w:b/>
                <w:color w:val="000000"/>
                <w:sz w:val="10"/>
              </w:rPr>
              <w:t>1</w:t>
            </w:r>
          </w:p>
        </w:tc>
        <w:tc>
          <w:tcPr>
            <w:tcW w:w="156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w:t>
            </w:r>
          </w:p>
        </w:tc>
        <w:tc>
          <w:tcPr>
            <w:tcW w:w="168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pPr>
            <w:r>
              <w:rPr>
                <w:rFonts w:ascii="Aptos;sans-serif" w:hAnsi="Aptos;sans-serif"/>
                <w:b/>
                <w:color w:val="000000"/>
                <w:sz w:val="16"/>
              </w:rPr>
              <w:t>Less: Separation Adjustments</w:t>
            </w:r>
            <w:r>
              <w:rPr>
                <w:rFonts w:ascii="Aptos;sans-serif" w:hAnsi="Aptos;sans-serif"/>
                <w:b/>
                <w:color w:val="000000"/>
                <w:sz w:val="10"/>
              </w:rPr>
              <w:t>1</w:t>
            </w:r>
          </w:p>
        </w:tc>
        <w:tc>
          <w:tcPr>
            <w:tcW w:w="16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 Technologies</w:t>
            </w:r>
          </w:p>
        </w:tc>
      </w:tr>
      <w:tr>
        <w:trPr/>
        <w:tc>
          <w:tcPr>
            <w:tcW w:w="119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Honeywell</w:t>
            </w:r>
          </w:p>
        </w:tc>
        <w:tc>
          <w:tcPr>
            <w:tcW w:w="10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 xml:space="preserve">Net sales </w:t>
            </w:r>
          </w:p>
        </w:tc>
        <w:tc>
          <w:tcPr>
            <w:tcW w:w="2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9,719</w:t>
            </w:r>
            <w:r>
              <w:rPr>
                <w:color w:val="000000"/>
              </w:rPr>
              <w:t>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1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4,532 </w:t>
            </w:r>
          </w:p>
        </w:tc>
        <w:tc>
          <w:tcPr>
            <w:tcW w:w="19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6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5,187</w:t>
            </w:r>
            <w:r>
              <w:rPr>
                <w:color w:val="000000"/>
              </w:rPr>
              <w:t>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9,322</w:t>
            </w:r>
            <w:r>
              <w:rPr>
                <w:color w:val="000000"/>
              </w:rPr>
              <w:t>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1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4,304 </w:t>
            </w:r>
          </w:p>
        </w:tc>
        <w:tc>
          <w:tcPr>
            <w:tcW w:w="19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4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5,018</w:t>
            </w:r>
            <w:r>
              <w:rPr>
                <w:color w:val="000000"/>
              </w:rPr>
              <w:t> </w:t>
            </w:r>
          </w:p>
        </w:tc>
        <w:tc>
          <w:tcPr>
            <w:tcW w:w="2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Quantinuum</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23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Segment sales</w:t>
            </w:r>
          </w:p>
        </w:tc>
        <w:tc>
          <w:tcPr>
            <w:tcW w:w="2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9,714</w:t>
            </w:r>
            <w:r>
              <w:rPr>
                <w:color w:val="000000"/>
              </w:rPr>
              <w:t> </w:t>
            </w:r>
          </w:p>
        </w:tc>
        <w:tc>
          <w:tcPr>
            <w:tcW w:w="11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6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5,182</w:t>
            </w:r>
            <w:r>
              <w:rPr>
                <w:color w:val="000000"/>
              </w:rPr>
              <w:t> </w:t>
            </w:r>
          </w:p>
        </w:tc>
        <w:tc>
          <w:tcPr>
            <w:tcW w:w="16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9,320</w:t>
            </w:r>
            <w:r>
              <w:rPr>
                <w:color w:val="000000"/>
              </w:rPr>
              <w:t> </w:t>
            </w:r>
          </w:p>
        </w:tc>
        <w:tc>
          <w:tcPr>
            <w:tcW w:w="11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5,016</w:t>
            </w:r>
            <w:r>
              <w:rPr>
                <w:color w:val="000000"/>
              </w:rPr>
              <w:t> </w:t>
            </w:r>
          </w:p>
        </w:tc>
        <w:tc>
          <w:tcPr>
            <w:tcW w:w="2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6"/>
        <w:gridCol w:w="120"/>
        <w:gridCol w:w="109"/>
        <w:gridCol w:w="109"/>
        <w:gridCol w:w="109"/>
        <w:gridCol w:w="109"/>
        <w:gridCol w:w="2784"/>
        <w:gridCol w:w="2784"/>
        <w:gridCol w:w="3945"/>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 xml:space="preserve">Includes the financial results of the Honeywell Aerospace business which will be reflected as discontinued operations in the third quarter. These financial results may differ from Aerospace Technologies financial information due to the perimeter of the transaction, allocation of Honeywell Technologies corporate costs, and treatment of intracompany transactions, among other items, for both current and prior reporting periods. </w:t>
            </w:r>
          </w:p>
        </w:tc>
      </w:tr>
    </w:tbl>
    <w:p>
      <w:pPr>
        <w:pStyle w:val="TextBody"/>
        <w:bidi w:val="0"/>
        <w:spacing w:before="0" w:after="0"/>
        <w:jc w:val="center"/>
        <w:rPr/>
      </w:pPr>
      <w:r>
        <w:rPr/>
      </w:r>
    </w:p>
    <w:tbl>
      <w:tblPr>
        <w:tblW w:w="8861" w:type="dxa"/>
        <w:jc w:val="center"/>
        <w:tblInd w:w="0" w:type="dxa"/>
        <w:tblLayout w:type="fixed"/>
        <w:tblCellMar>
          <w:top w:w="28" w:type="dxa"/>
          <w:left w:w="28" w:type="dxa"/>
          <w:bottom w:w="28" w:type="dxa"/>
          <w:right w:w="28" w:type="dxa"/>
        </w:tblCellMar>
      </w:tblPr>
      <w:tblGrid>
        <w:gridCol w:w="591"/>
        <w:gridCol w:w="520"/>
        <w:gridCol w:w="523"/>
        <w:gridCol w:w="271"/>
        <w:gridCol w:w="991"/>
        <w:gridCol w:w="130"/>
        <w:gridCol w:w="600"/>
        <w:gridCol w:w="2057"/>
        <w:gridCol w:w="313"/>
        <w:gridCol w:w="464"/>
        <w:gridCol w:w="1698"/>
        <w:gridCol w:w="222"/>
        <w:gridCol w:w="109"/>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Twelve Months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w:t>
            </w:r>
          </w:p>
        </w:tc>
        <w:tc>
          <w:tcPr>
            <w:tcW w:w="297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pPr>
            <w:r>
              <w:rPr>
                <w:rFonts w:ascii="Aptos;sans-serif" w:hAnsi="Aptos;sans-serif"/>
                <w:b/>
                <w:color w:val="000000"/>
                <w:sz w:val="16"/>
              </w:rPr>
              <w:t>Less: Separation Adjustments</w:t>
            </w:r>
            <w:r>
              <w:rPr>
                <w:rFonts w:ascii="Aptos;sans-serif" w:hAnsi="Aptos;sans-serif"/>
                <w:b/>
                <w:color w:val="000000"/>
                <w:sz w:val="10"/>
              </w:rPr>
              <w:t>1</w:t>
            </w:r>
          </w:p>
        </w:tc>
        <w:tc>
          <w:tcPr>
            <w:tcW w:w="238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Honeywell</w:t>
            </w:r>
          </w:p>
        </w:tc>
        <w:tc>
          <w:tcPr>
            <w:tcW w:w="139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 xml:space="preserve">Net sales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99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37,442</w:t>
            </w:r>
            <w:r>
              <w:rPr>
                <w:color w:val="000000"/>
              </w:rPr>
              <w:t> </w:t>
            </w:r>
          </w:p>
        </w:tc>
        <w:tc>
          <w:tcPr>
            <w:tcW w:w="13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205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17,497 </w:t>
            </w:r>
          </w:p>
        </w:tc>
        <w:tc>
          <w:tcPr>
            <w:tcW w:w="3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6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19,945</w:t>
            </w:r>
            <w:r>
              <w:rPr>
                <w:color w:val="000000"/>
              </w:rPr>
              <w:t> </w:t>
            </w:r>
          </w:p>
        </w:tc>
        <w:tc>
          <w:tcPr>
            <w:tcW w:w="2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16"/>
              </w:rPr>
            </w:pPr>
            <w:r>
              <w:rPr>
                <w:rFonts w:ascii="Aptos;sans-serif" w:hAnsi="Aptos;sans-serif"/>
                <w:b w:val="false"/>
                <w:color w:val="000000"/>
                <w:sz w:val="16"/>
              </w:rPr>
              <w:t>Less: Quantinuum</w:t>
            </w:r>
          </w:p>
        </w:tc>
        <w:tc>
          <w:tcPr>
            <w:tcW w:w="12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30 </w:t>
            </w:r>
          </w:p>
        </w:tc>
        <w:tc>
          <w:tcPr>
            <w:tcW w:w="13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30 </w:t>
            </w:r>
          </w:p>
        </w:tc>
        <w:tc>
          <w:tcPr>
            <w:tcW w:w="2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ptos;sans-serif" w:hAnsi="Aptos;sans-serif"/>
                <w:b/>
                <w:color w:val="000000"/>
                <w:sz w:val="16"/>
              </w:rPr>
            </w:pPr>
            <w:r>
              <w:rPr>
                <w:rFonts w:ascii="Aptos;sans-serif" w:hAnsi="Aptos;sans-serif"/>
                <w:b/>
                <w:color w:val="000000"/>
                <w:sz w:val="16"/>
              </w:rPr>
              <w:t>Segment sales</w:t>
            </w:r>
          </w:p>
        </w:tc>
        <w:tc>
          <w:tcPr>
            <w:tcW w:w="2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9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37,412</w:t>
            </w:r>
            <w:r>
              <w:rPr>
                <w:color w:val="000000"/>
              </w:rPr>
              <w:t> </w:t>
            </w:r>
          </w:p>
        </w:tc>
        <w:tc>
          <w:tcPr>
            <w:tcW w:w="13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6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19,915</w:t>
            </w:r>
            <w:r>
              <w:rPr>
                <w:color w:val="000000"/>
              </w:rPr>
              <w:t> </w:t>
            </w:r>
          </w:p>
        </w:tc>
        <w:tc>
          <w:tcPr>
            <w:tcW w:w="2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6"/>
        <w:gridCol w:w="120"/>
        <w:gridCol w:w="109"/>
        <w:gridCol w:w="109"/>
        <w:gridCol w:w="109"/>
        <w:gridCol w:w="109"/>
        <w:gridCol w:w="2784"/>
        <w:gridCol w:w="2784"/>
        <w:gridCol w:w="3945"/>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 xml:space="preserve">Includes the financial results of the Honeywell Aerospace business which will be reflected as discontinued operations in the third quarter. These financial results may differ from Aerospace Technologies financial information due to the perimeter of the transaction, allocation of Honeywell Technologies corporate costs, and treatment of intracompany transactions, among other items, for both current and prior reporting periods. </w:t>
            </w:r>
          </w:p>
        </w:tc>
      </w:tr>
    </w:tbl>
    <w:p>
      <w:pPr>
        <w:pStyle w:val="TextBody"/>
        <w:bidi w:val="0"/>
        <w:spacing w:before="0" w:after="0"/>
        <w:jc w:val="both"/>
        <w:rPr/>
      </w:pPr>
      <w:r>
        <w:rPr/>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Honeywell Technologies Segment sales represent reported net sales from continuing operations, adjusted for the separation impacts, less sales attributable to the Aerospace Technologies business, due to the spin-off on June 29, 2026. We believe this measure is useful to investors and management in understanding our ongoing operations and in analysis of ongoing operating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8110"/>
                <wp:effectExtent l="0" t="0" r="0" b="0"/>
                <wp:wrapNone/>
                <wp:docPr id="19" name="Frame1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- 16</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Reconciliation of Operating Income to Segment Profit, Calculation of Operating Income and Segment Profit Margins</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047"/>
        <w:gridCol w:w="368"/>
        <w:gridCol w:w="365"/>
        <w:gridCol w:w="226"/>
        <w:gridCol w:w="706"/>
        <w:gridCol w:w="271"/>
        <w:gridCol w:w="308"/>
        <w:gridCol w:w="963"/>
        <w:gridCol w:w="149"/>
        <w:gridCol w:w="308"/>
        <w:gridCol w:w="720"/>
        <w:gridCol w:w="372"/>
        <w:gridCol w:w="109"/>
        <w:gridCol w:w="109"/>
        <w:gridCol w:w="109"/>
        <w:gridCol w:w="226"/>
        <w:gridCol w:w="706"/>
        <w:gridCol w:w="271"/>
        <w:gridCol w:w="308"/>
        <w:gridCol w:w="963"/>
        <w:gridCol w:w="149"/>
        <w:gridCol w:w="305"/>
        <w:gridCol w:w="711"/>
        <w:gridCol w:w="436"/>
      </w:tblGrid>
      <w:tr>
        <w:trPr/>
        <w:tc>
          <w:tcPr>
            <w:tcW w:w="104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5"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June 30,</w:t>
            </w:r>
          </w:p>
        </w:tc>
      </w:tr>
      <w:tr>
        <w:trPr/>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w:t>
            </w:r>
          </w:p>
        </w:tc>
        <w:tc>
          <w:tcPr>
            <w:tcW w:w="14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pPr>
            <w:r>
              <w:rPr>
                <w:rFonts w:ascii="Aptos;sans-serif" w:hAnsi="Aptos;sans-serif"/>
                <w:b/>
                <w:color w:val="000000"/>
                <w:sz w:val="16"/>
              </w:rPr>
              <w:t>Less: Separation Adjustments</w:t>
            </w:r>
            <w:r>
              <w:rPr>
                <w:rFonts w:ascii="Aptos;sans-serif" w:hAnsi="Aptos;sans-serif"/>
                <w:b/>
                <w:color w:val="000000"/>
                <w:sz w:val="10"/>
              </w:rPr>
              <w:t>1</w:t>
            </w:r>
          </w:p>
        </w:tc>
        <w:tc>
          <w:tcPr>
            <w:tcW w:w="140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w:t>
            </w:r>
          </w:p>
        </w:tc>
        <w:tc>
          <w:tcPr>
            <w:tcW w:w="14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pPr>
            <w:r>
              <w:rPr>
                <w:rFonts w:ascii="Aptos;sans-serif" w:hAnsi="Aptos;sans-serif"/>
                <w:b/>
                <w:color w:val="000000"/>
                <w:sz w:val="16"/>
              </w:rPr>
              <w:t>Less: Separation Adjustments</w:t>
            </w:r>
            <w:r>
              <w:rPr>
                <w:rFonts w:ascii="Aptos;sans-serif" w:hAnsi="Aptos;sans-serif"/>
                <w:b/>
                <w:color w:val="000000"/>
                <w:sz w:val="10"/>
              </w:rPr>
              <w:t>1</w:t>
            </w:r>
          </w:p>
        </w:tc>
        <w:tc>
          <w:tcPr>
            <w:tcW w:w="145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 Technologies</w:t>
            </w:r>
          </w:p>
        </w:tc>
      </w:tr>
      <w:tr>
        <w:trPr/>
        <w:tc>
          <w:tcPr>
            <w:tcW w:w="178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Operating income</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1,737</w:t>
            </w:r>
            <w:r>
              <w:rPr>
                <w:color w:val="000000"/>
              </w:rPr>
              <w:t> </w:t>
            </w:r>
          </w:p>
        </w:tc>
        <w:tc>
          <w:tcPr>
            <w:tcW w:w="2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96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1,075</w:t>
            </w:r>
            <w:r>
              <w:rPr>
                <w:color w:val="000000"/>
              </w:rPr>
              <w:t> </w:t>
            </w:r>
          </w:p>
        </w:tc>
        <w:tc>
          <w:tcPr>
            <w:tcW w:w="14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662</w:t>
            </w:r>
            <w:r>
              <w:rPr>
                <w:color w:val="000000"/>
              </w:rPr>
              <w:t> </w:t>
            </w:r>
          </w:p>
        </w:tc>
        <w:tc>
          <w:tcPr>
            <w:tcW w:w="37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1,843</w:t>
            </w:r>
            <w:r>
              <w:rPr>
                <w:color w:val="000000"/>
              </w:rPr>
              <w:t> </w:t>
            </w:r>
          </w:p>
        </w:tc>
        <w:tc>
          <w:tcPr>
            <w:tcW w:w="2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96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1,177</w:t>
            </w:r>
            <w:r>
              <w:rPr>
                <w:color w:val="000000"/>
              </w:rPr>
              <w:t> </w:t>
            </w:r>
          </w:p>
        </w:tc>
        <w:tc>
          <w:tcPr>
            <w:tcW w:w="14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666</w:t>
            </w:r>
            <w:r>
              <w:rPr>
                <w:color w:val="000000"/>
              </w:rPr>
              <w:t> </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Stock compensation expense</w:t>
            </w:r>
            <w:r>
              <w:rPr>
                <w:rFonts w:ascii="Aptos;sans-serif" w:hAnsi="Aptos;sans-serif"/>
                <w:b w:val="false"/>
                <w:color w:val="000000"/>
                <w:sz w:val="10"/>
              </w:rPr>
              <w:t>2</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36 </w:t>
            </w:r>
          </w:p>
        </w:tc>
        <w:tc>
          <w:tcPr>
            <w:tcW w:w="3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55 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45 </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Repositioning, Other</w:t>
            </w:r>
            <w:r>
              <w:rPr>
                <w:rFonts w:ascii="Aptos;sans-serif" w:hAnsi="Aptos;sans-serif"/>
                <w:b w:val="false"/>
                <w:color w:val="000000"/>
                <w:sz w:val="10"/>
              </w:rPr>
              <w:t>3,4</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100 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74 </w:t>
            </w:r>
          </w:p>
        </w:tc>
        <w:tc>
          <w:tcPr>
            <w:tcW w:w="3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42 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28 </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Pension and other postretirement service costs</w:t>
            </w:r>
            <w:r>
              <w:rPr>
                <w:rFonts w:ascii="Aptos;sans-serif" w:hAnsi="Aptos;sans-serif"/>
                <w:b w:val="false"/>
                <w:color w:val="000000"/>
                <w:sz w:val="10"/>
              </w:rPr>
              <w:t>5</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10 </w:t>
            </w:r>
          </w:p>
        </w:tc>
        <w:tc>
          <w:tcPr>
            <w:tcW w:w="3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10 </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Amortization of acquisition-related intangibles</w:t>
            </w:r>
            <w:r>
              <w:rPr>
                <w:rFonts w:ascii="Aptos;sans-serif" w:hAnsi="Aptos;sans-serif"/>
                <w:b w:val="false"/>
                <w:color w:val="000000"/>
                <w:sz w:val="10"/>
              </w:rPr>
              <w:t>6</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116 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92 </w:t>
            </w:r>
          </w:p>
        </w:tc>
        <w:tc>
          <w:tcPr>
            <w:tcW w:w="3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132 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113 </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Acquisition-related costs</w:t>
            </w:r>
            <w:r>
              <w:rPr>
                <w:rFonts w:ascii="Aptos;sans-serif" w:hAnsi="Aptos;sans-serif"/>
                <w:b w:val="false"/>
                <w:color w:val="000000"/>
                <w:sz w:val="10"/>
              </w:rPr>
              <w:t>7</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3 </w:t>
            </w:r>
          </w:p>
        </w:tc>
        <w:tc>
          <w:tcPr>
            <w:tcW w:w="3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Divestiture-related costs</w:t>
            </w:r>
            <w:r>
              <w:rPr>
                <w:rFonts w:ascii="Aptos;sans-serif" w:hAnsi="Aptos;sans-serif"/>
                <w:b w:val="false"/>
                <w:color w:val="000000"/>
                <w:sz w:val="10"/>
              </w:rPr>
              <w:t>8</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112 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112 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ERP implementation costs</w:t>
            </w:r>
            <w:r>
              <w:rPr>
                <w:rFonts w:ascii="Aptos;sans-serif" w:hAnsi="Aptos;sans-serif"/>
                <w:b w:val="false"/>
                <w:color w:val="000000"/>
                <w:sz w:val="10"/>
              </w:rPr>
              <w:t>2</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5 </w:t>
            </w:r>
          </w:p>
        </w:tc>
        <w:tc>
          <w:tcPr>
            <w:tcW w:w="3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Impairment of assets held for sale</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48 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48 </w:t>
            </w:r>
          </w:p>
        </w:tc>
        <w:tc>
          <w:tcPr>
            <w:tcW w:w="3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Loss on Quantinuum</w:t>
            </w:r>
            <w:r>
              <w:rPr>
                <w:rFonts w:ascii="Aptos;sans-serif" w:hAnsi="Aptos;sans-serif"/>
                <w:b w:val="false"/>
                <w:color w:val="000000"/>
                <w:sz w:val="10"/>
              </w:rPr>
              <w:t>8</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55 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55 </w:t>
            </w:r>
          </w:p>
        </w:tc>
        <w:tc>
          <w:tcPr>
            <w:tcW w:w="3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49 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49 </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Segment profit</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2,240</w:t>
            </w:r>
            <w:r>
              <w:rPr>
                <w:color w:val="000000"/>
              </w:rPr>
              <w:t> </w:t>
            </w:r>
          </w:p>
        </w:tc>
        <w:tc>
          <w:tcPr>
            <w:tcW w:w="2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985</w:t>
            </w:r>
            <w:r>
              <w:rPr>
                <w:color w:val="000000"/>
              </w:rPr>
              <w:t> </w:t>
            </w:r>
          </w:p>
        </w:tc>
        <w:tc>
          <w:tcPr>
            <w:tcW w:w="37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2,128</w:t>
            </w:r>
            <w:r>
              <w:rPr>
                <w:color w:val="000000"/>
              </w:rPr>
              <w:t> </w:t>
            </w:r>
          </w:p>
        </w:tc>
        <w:tc>
          <w:tcPr>
            <w:tcW w:w="2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904</w:t>
            </w:r>
            <w:r>
              <w:rPr>
                <w:color w:val="000000"/>
              </w:rPr>
              <w:t> </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Operating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1,737 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20" w:type="dxa"/>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662 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1,843 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666 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 Segment sales</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9,714 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5,182 </w:t>
            </w:r>
          </w:p>
        </w:tc>
        <w:tc>
          <w:tcPr>
            <w:tcW w:w="3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9,320 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5,016 </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Operating income margin %</w:t>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17.9</w:t>
            </w:r>
            <w:r>
              <w:rPr>
                <w:color w:val="000000"/>
              </w:rPr>
              <w:t> </w:t>
            </w:r>
          </w:p>
        </w:tc>
        <w:tc>
          <w:tcPr>
            <w:tcW w:w="2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1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12.8</w:t>
            </w:r>
            <w:r>
              <w:rPr>
                <w:color w:val="000000"/>
              </w:rPr>
              <w:t> </w:t>
            </w:r>
          </w:p>
        </w:tc>
        <w:tc>
          <w:tcPr>
            <w:tcW w:w="37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19.8</w:t>
            </w:r>
            <w:r>
              <w:rPr>
                <w:color w:val="000000"/>
              </w:rPr>
              <w:t> </w:t>
            </w:r>
          </w:p>
        </w:tc>
        <w:tc>
          <w:tcPr>
            <w:tcW w:w="2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1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13.3</w:t>
            </w:r>
            <w:r>
              <w:rPr>
                <w:color w:val="000000"/>
              </w:rPr>
              <w:t> </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r>
      <w:tr>
        <w:trPr/>
        <w:tc>
          <w:tcPr>
            <w:tcW w:w="178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profit</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2,240 </w:t>
            </w:r>
          </w:p>
        </w:tc>
        <w:tc>
          <w:tcPr>
            <w:tcW w:w="2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2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985 </w:t>
            </w:r>
          </w:p>
        </w:tc>
        <w:tc>
          <w:tcPr>
            <w:tcW w:w="37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2,128 </w:t>
            </w:r>
          </w:p>
        </w:tc>
        <w:tc>
          <w:tcPr>
            <w:tcW w:w="2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904 </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 Segment sales</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9,714 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5,182 </w:t>
            </w:r>
          </w:p>
        </w:tc>
        <w:tc>
          <w:tcPr>
            <w:tcW w:w="3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9,320 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5,016 </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Segment profit margin %</w:t>
            </w:r>
          </w:p>
        </w:tc>
        <w:tc>
          <w:tcPr>
            <w:tcW w:w="932" w:type="dxa"/>
            <w:gridSpan w:val="2"/>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23.1</w:t>
            </w:r>
            <w:r>
              <w:rPr>
                <w:color w:val="000000"/>
              </w:rPr>
              <w:t> </w:t>
            </w:r>
          </w:p>
        </w:tc>
        <w:tc>
          <w:tcPr>
            <w:tcW w:w="271" w:type="dxa"/>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1420"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19.0</w:t>
            </w:r>
            <w:r>
              <w:rPr>
                <w:color w:val="000000"/>
              </w:rPr>
              <w:t> </w:t>
            </w:r>
          </w:p>
        </w:tc>
        <w:tc>
          <w:tcPr>
            <w:tcW w:w="372" w:type="dxa"/>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22.8</w:t>
            </w:r>
            <w:r>
              <w:rPr>
                <w:color w:val="000000"/>
              </w:rPr>
              <w:t> </w:t>
            </w:r>
          </w:p>
        </w:tc>
        <w:tc>
          <w:tcPr>
            <w:tcW w:w="271" w:type="dxa"/>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1420"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18.0</w:t>
            </w:r>
            <w:r>
              <w:rPr>
                <w:color w:val="000000"/>
              </w:rPr>
              <w:t> </w:t>
            </w:r>
          </w:p>
        </w:tc>
        <w:tc>
          <w:tcPr>
            <w:tcW w:w="436" w:type="dxa"/>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
        <w:gridCol w:w="120"/>
        <w:gridCol w:w="109"/>
        <w:gridCol w:w="109"/>
        <w:gridCol w:w="109"/>
        <w:gridCol w:w="109"/>
        <w:gridCol w:w="2978"/>
        <w:gridCol w:w="2704"/>
        <w:gridCol w:w="3831"/>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 xml:space="preserve">Includes the financial results of the Honeywell Aerospace business which will be reflected as discontinued operations in the third quarter. These financial results may differ from Aerospace Technologies financial information due to the perimeter of the transaction, allocation of Honeywell Technologies corporate costs, and treatment of intracompany transactions, among other items, for both current and prior reporting periods. </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Includes repositioning, asbestos, environmental expenses, equity income adjustment, and other charges.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Cost of products and services sold and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Cost of products and services sold, Research and development expenses, and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Cost of products and services sold.</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Cost of products and services sold. Includes acquisition-related fair value adjustments to inventory.</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Research and development expenses and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Includes consolidated losses of Quantinuum prior to the deconsolidation of the Company’s investment in Quantinuum, which does not meet the definition of an operating segment. Included in Net sales, Cost of products and services sold, Research and development expenses, and Selling, general and administrative expenses.</w:t>
            </w:r>
          </w:p>
        </w:tc>
      </w:tr>
      <w:tr>
        <w:trPr/>
        <w:tc>
          <w:tcPr>
            <w:tcW w:w="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8110"/>
                <wp:effectExtent l="0" t="0" r="0" b="0"/>
                <wp:wrapNone/>
                <wp:docPr id="20" name="Frame1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- 17</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9"/>
        <w:gridCol w:w="1214"/>
        <w:gridCol w:w="1216"/>
        <w:gridCol w:w="226"/>
        <w:gridCol w:w="706"/>
        <w:gridCol w:w="271"/>
        <w:gridCol w:w="628"/>
        <w:gridCol w:w="1841"/>
        <w:gridCol w:w="329"/>
        <w:gridCol w:w="419"/>
        <w:gridCol w:w="1312"/>
        <w:gridCol w:w="594"/>
      </w:tblGrid>
      <w:tr>
        <w:trPr/>
        <w:tc>
          <w:tcPr>
            <w:tcW w:w="144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9"/>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Twelve Months Ended </w:t>
              <w:br/>
              <w:t>December 31,</w:t>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w:t>
            </w:r>
          </w:p>
        </w:tc>
        <w:tc>
          <w:tcPr>
            <w:tcW w:w="279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pPr>
            <w:r>
              <w:rPr>
                <w:rFonts w:ascii="Aptos;sans-serif" w:hAnsi="Aptos;sans-serif"/>
                <w:b/>
                <w:color w:val="000000"/>
                <w:sz w:val="16"/>
              </w:rPr>
              <w:t>Less: Separation Adjustments</w:t>
            </w:r>
            <w:r>
              <w:rPr>
                <w:rFonts w:ascii="Aptos;sans-serif" w:hAnsi="Aptos;sans-serif"/>
                <w:b/>
                <w:color w:val="000000"/>
                <w:sz w:val="10"/>
              </w:rPr>
              <w:t>1</w:t>
            </w:r>
          </w:p>
        </w:tc>
        <w:tc>
          <w:tcPr>
            <w:tcW w:w="232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 Technologies</w:t>
            </w:r>
          </w:p>
        </w:tc>
      </w:tr>
      <w:tr>
        <w:trPr/>
        <w:tc>
          <w:tcPr>
            <w:tcW w:w="38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Operating income</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5,573</w:t>
            </w:r>
            <w:r>
              <w:rPr>
                <w:color w:val="000000"/>
              </w:rPr>
              <w:t> </w:t>
            </w:r>
          </w:p>
        </w:tc>
        <w:tc>
          <w:tcPr>
            <w:tcW w:w="2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84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4,402 </w:t>
            </w:r>
          </w:p>
        </w:tc>
        <w:tc>
          <w:tcPr>
            <w:tcW w:w="3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31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1,171</w:t>
            </w:r>
            <w:r>
              <w:rPr>
                <w:color w:val="000000"/>
              </w:rPr>
              <w:t> </w:t>
            </w:r>
          </w:p>
        </w:tc>
        <w:tc>
          <w:tcPr>
            <w:tcW w:w="59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Stock compensation expense</w:t>
            </w:r>
            <w:r>
              <w:rPr>
                <w:rFonts w:ascii="Aptos;sans-serif" w:hAnsi="Aptos;sans-serif"/>
                <w:b w:val="false"/>
                <w:color w:val="000000"/>
                <w:sz w:val="10"/>
              </w:rPr>
              <w:t>2</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196 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43 </w:t>
            </w:r>
          </w:p>
        </w:tc>
        <w:tc>
          <w:tcPr>
            <w:tcW w:w="3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153 </w:t>
            </w:r>
          </w:p>
        </w:tc>
        <w:tc>
          <w:tcPr>
            <w:tcW w:w="5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Repositioning, Other</w:t>
            </w:r>
            <w:r>
              <w:rPr>
                <w:rFonts w:ascii="Aptos;sans-serif" w:hAnsi="Aptos;sans-serif"/>
                <w:b w:val="false"/>
                <w:color w:val="000000"/>
                <w:sz w:val="10"/>
              </w:rPr>
              <w:t>3,4</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675 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285 </w:t>
            </w:r>
          </w:p>
        </w:tc>
        <w:tc>
          <w:tcPr>
            <w:tcW w:w="3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390 </w:t>
            </w:r>
          </w:p>
        </w:tc>
        <w:tc>
          <w:tcPr>
            <w:tcW w:w="5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Pension and other postretirement service costs</w:t>
            </w:r>
            <w:r>
              <w:rPr>
                <w:rFonts w:ascii="Aptos;sans-serif" w:hAnsi="Aptos;sans-serif"/>
                <w:b w:val="false"/>
                <w:color w:val="000000"/>
                <w:sz w:val="10"/>
              </w:rPr>
              <w:t>5</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73 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16 </w:t>
            </w:r>
          </w:p>
        </w:tc>
        <w:tc>
          <w:tcPr>
            <w:tcW w:w="3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57 </w:t>
            </w:r>
          </w:p>
        </w:tc>
        <w:tc>
          <w:tcPr>
            <w:tcW w:w="5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Amortization of acquisition-related intangibles</w:t>
            </w:r>
            <w:r>
              <w:rPr>
                <w:rFonts w:ascii="Aptos;sans-serif" w:hAnsi="Aptos;sans-serif"/>
                <w:b w:val="false"/>
                <w:color w:val="000000"/>
                <w:sz w:val="10"/>
              </w:rPr>
              <w:t>6</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570 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61 </w:t>
            </w:r>
          </w:p>
        </w:tc>
        <w:tc>
          <w:tcPr>
            <w:tcW w:w="3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509 </w:t>
            </w:r>
          </w:p>
        </w:tc>
        <w:tc>
          <w:tcPr>
            <w:tcW w:w="5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Acquisition-related costs</w:t>
            </w:r>
            <w:r>
              <w:rPr>
                <w:rFonts w:ascii="Aptos;sans-serif" w:hAnsi="Aptos;sans-serif"/>
                <w:b w:val="false"/>
                <w:color w:val="000000"/>
                <w:sz w:val="10"/>
              </w:rPr>
              <w:t>7</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5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Indefinite-lived intangible asset impairment</w:t>
            </w:r>
            <w:r>
              <w:rPr>
                <w:rFonts w:ascii="Aptos;sans-serif" w:hAnsi="Aptos;sans-serif"/>
                <w:b w:val="false"/>
                <w:color w:val="000000"/>
                <w:sz w:val="10"/>
              </w:rPr>
              <w:t>2</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44 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44 </w:t>
            </w:r>
          </w:p>
        </w:tc>
        <w:tc>
          <w:tcPr>
            <w:tcW w:w="5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Impairment of goodwill</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724 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724 </w:t>
            </w:r>
          </w:p>
        </w:tc>
        <w:tc>
          <w:tcPr>
            <w:tcW w:w="5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Impairment of assets held for sale</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270 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270 </w:t>
            </w:r>
          </w:p>
        </w:tc>
        <w:tc>
          <w:tcPr>
            <w:tcW w:w="5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Loss on Quantinuum</w:t>
            </w:r>
            <w:r>
              <w:rPr>
                <w:rFonts w:ascii="Aptos;sans-serif" w:hAnsi="Aptos;sans-serif"/>
                <w:b w:val="false"/>
                <w:color w:val="000000"/>
                <w:sz w:val="10"/>
              </w:rPr>
              <w:t>8</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187 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187 </w:t>
            </w:r>
          </w:p>
        </w:tc>
        <w:tc>
          <w:tcPr>
            <w:tcW w:w="5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Segment profit</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8,314</w:t>
            </w:r>
            <w:r>
              <w:rPr>
                <w:color w:val="000000"/>
              </w:rPr>
              <w:t> </w:t>
            </w:r>
          </w:p>
        </w:tc>
        <w:tc>
          <w:tcPr>
            <w:tcW w:w="2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31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3,507</w:t>
            </w:r>
            <w:r>
              <w:rPr>
                <w:color w:val="000000"/>
              </w:rPr>
              <w:t> </w:t>
            </w:r>
          </w:p>
        </w:tc>
        <w:tc>
          <w:tcPr>
            <w:tcW w:w="59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Operating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5,573 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312" w:type="dxa"/>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1,171 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 Segment sales</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37,412 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19,915 </w:t>
            </w:r>
          </w:p>
        </w:tc>
        <w:tc>
          <w:tcPr>
            <w:tcW w:w="5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Operating income margin %</w:t>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14.9</w:t>
            </w:r>
            <w:r>
              <w:rPr>
                <w:color w:val="000000"/>
              </w:rPr>
              <w:t> </w:t>
            </w:r>
          </w:p>
        </w:tc>
        <w:tc>
          <w:tcPr>
            <w:tcW w:w="2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279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5.9</w:t>
            </w:r>
            <w:r>
              <w:rPr>
                <w:color w:val="000000"/>
              </w:rPr>
              <w:t> </w:t>
            </w:r>
          </w:p>
        </w:tc>
        <w:tc>
          <w:tcPr>
            <w:tcW w:w="59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r>
      <w:tr>
        <w:trPr/>
        <w:tc>
          <w:tcPr>
            <w:tcW w:w="38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profit</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8,314 </w:t>
            </w:r>
          </w:p>
        </w:tc>
        <w:tc>
          <w:tcPr>
            <w:tcW w:w="2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31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3,507 </w:t>
            </w:r>
          </w:p>
        </w:tc>
        <w:tc>
          <w:tcPr>
            <w:tcW w:w="59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 Segment sales</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37,412 </w:t>
            </w:r>
          </w:p>
        </w:tc>
        <w:tc>
          <w:tcPr>
            <w:tcW w:w="2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19,915 </w:t>
            </w:r>
          </w:p>
        </w:tc>
        <w:tc>
          <w:tcPr>
            <w:tcW w:w="5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op w:val="single" w:sz="4" w:space="0" w:color="DC202E"/>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Segment profit margin %</w:t>
            </w:r>
          </w:p>
        </w:tc>
        <w:tc>
          <w:tcPr>
            <w:tcW w:w="932"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22.2</w:t>
            </w:r>
            <w:r>
              <w:rPr>
                <w:color w:val="000000"/>
              </w:rPr>
              <w:t> </w:t>
            </w:r>
          </w:p>
        </w:tc>
        <w:tc>
          <w:tcPr>
            <w:tcW w:w="2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279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17.6</w:t>
            </w:r>
            <w:r>
              <w:rPr>
                <w:color w:val="000000"/>
              </w:rPr>
              <w:t> </w:t>
            </w:r>
          </w:p>
        </w:tc>
        <w:tc>
          <w:tcPr>
            <w:tcW w:w="59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
        <w:gridCol w:w="120"/>
        <w:gridCol w:w="109"/>
        <w:gridCol w:w="109"/>
        <w:gridCol w:w="109"/>
        <w:gridCol w:w="109"/>
        <w:gridCol w:w="2978"/>
        <w:gridCol w:w="2704"/>
        <w:gridCol w:w="3831"/>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 xml:space="preserve">Includes the financial results of the Honeywell Aerospace business which will be reflected as discontinued operations in the third quarter. These financial results may differ from Aerospace Technologies financial information due to the perimeter of the transaction, allocation of Honeywell Technologies corporate costs, and treatment of intracompany transactions, among other items, for both current and prior reporting periods. </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Includes repositioning, asbestos, environmental expenses, equity income adjustment, and other charges.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Cost of products and services sold and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Cost of products and services sold, Research and development expenses, and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Cost of products and services sold.</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Cost of products and services sold. Includes acquisition-related fair value adjustments to inventory.</w:t>
            </w:r>
          </w:p>
        </w:tc>
      </w:tr>
      <w:tr>
        <w:trPr/>
        <w:tc>
          <w:tcPr>
            <w:tcW w:w="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3" w:type="dxa"/>
            <w:gridSpan w:val="3"/>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Includes consolidated losses of Quantinuum prior to the deconsolidation of the Company’s investment in Quantinuum, which does not meet the definition of an operating segment. Included in Net sales, Cost of products and services sold, Research and development expenses, and Selling, general and administrative expenses.</w:t>
            </w:r>
          </w:p>
        </w:tc>
      </w:tr>
      <w:tr>
        <w:trPr/>
        <w:tc>
          <w:tcPr>
            <w:tcW w:w="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 xml:space="preserve">We define operating income as segment sales less total cost of products and services sold, research and development expenses, selling, general and administrative expenses, impairment of goodwill, and impairment of assets held for sale. We define segment profit, on an overall Honeywell and Honeywell Technologies basis, as operating income, excluding stock compensation expense, pension and other postretirement service costs, amortization of acquisition-related intangibles, certain acquisition- and divestiture-related costs and impairments, repositioning and other charges and the results of Quantinuum. We define segment profit margin, on an overall Honeywell and Honeywell Technologies basis, as segment profit divided by net sales. We believe these measures are useful to investors and management in understanding our ongoing operations and in analysis of ongoing operating trends. </w:t>
      </w:r>
    </w:p>
    <w:p>
      <w:pPr>
        <w:pStyle w:val="TextBody"/>
        <w:bidi w:val="0"/>
        <w:spacing w:before="0" w:after="0"/>
        <w:jc w:val="both"/>
        <w:rPr/>
      </w:pPr>
      <w:r>
        <w:rPr/>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A quantitative reconciliation of operating income to segment profit, on an overall company basis, has not been provided for all forward-looking measures of segment profit and segment profit margin included herein. Management cannot reliably predict or estimate, without unreasonable effort, the impact and timing on future operating results arising from items excluded from segment profit. The information that is unavailable to provide a quantitative reconciliation could have a significant impact on our reported financial results. To the extent quantitative information becomes available without unreasonable effort in the future, and closer to the period to which the forward-looking measures pertain, a reconciliation of operating income to segment profit will be included within future filings.</w:t>
      </w:r>
    </w:p>
    <w:p>
      <w:pPr>
        <w:pStyle w:val="TextBody"/>
        <w:bidi w:val="0"/>
        <w:spacing w:before="0" w:after="0"/>
        <w:jc w:val="both"/>
        <w:rPr/>
      </w:pPr>
      <w:r>
        <w:rPr/>
      </w:r>
    </w:p>
    <w:p>
      <w:pPr>
        <w:pStyle w:val="TextBody"/>
        <w:bidi w:val="0"/>
        <w:spacing w:lineRule="auto" w:line="288"/>
        <w:jc w:val="both"/>
        <w:rPr>
          <w:rFonts w:ascii="Aptos;sans-serif" w:hAnsi="Aptos;sans-serif"/>
          <w:b w:val="false"/>
          <w:color w:val="000000"/>
          <w:sz w:val="18"/>
        </w:rPr>
      </w:pPr>
      <w:r>
        <w:rPr>
          <w:rFonts w:ascii="Aptos;sans-serif" w:hAnsi="Aptos;sans-serif"/>
          <w:b w:val="false"/>
          <w:color w:val="000000"/>
          <w:sz w:val="18"/>
        </w:rPr>
        <w:t xml:space="preserve">Acquisition amortization and acquisition- and divestiture-related costs are significantly impacted by the timing, size, and number of acquisitions or divestitures we complete and are not on a predictable cycle and we make no comment as to when or whether any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8110"/>
                <wp:effectExtent l="0" t="0" r="0" b="0"/>
                <wp:wrapNone/>
                <wp:docPr id="21" name="Frame2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- 18</w:t>
      </w:r>
    </w:p>
    <w:p>
      <w:pPr>
        <w:pStyle w:val="TextBody"/>
        <w:bidi w:val="0"/>
        <w:spacing w:before="0" w:after="0"/>
        <w:jc w:val="left"/>
        <w:rPr/>
      </w:pPr>
      <w:r>
        <w:rPr/>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future acquisitions or divestitures may occur. We believe excluding these costs provides investors with a more meaningful comparison of operating performance over time and with both acquisitive and other peer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8110"/>
                <wp:effectExtent l="0" t="0" r="0" b="0"/>
                <wp:wrapNone/>
                <wp:docPr id="22" name="Frame2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- 19</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Reconciliation of Earnings per Share to Adjusted Earnings per Share</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(Unaudited)</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057"/>
        <w:gridCol w:w="464"/>
        <w:gridCol w:w="467"/>
        <w:gridCol w:w="231"/>
        <w:gridCol w:w="722"/>
        <w:gridCol w:w="113"/>
        <w:gridCol w:w="365"/>
        <w:gridCol w:w="885"/>
        <w:gridCol w:w="190"/>
        <w:gridCol w:w="306"/>
        <w:gridCol w:w="958"/>
        <w:gridCol w:w="149"/>
        <w:gridCol w:w="109"/>
        <w:gridCol w:w="109"/>
        <w:gridCol w:w="109"/>
        <w:gridCol w:w="261"/>
        <w:gridCol w:w="678"/>
        <w:gridCol w:w="127"/>
        <w:gridCol w:w="365"/>
        <w:gridCol w:w="885"/>
        <w:gridCol w:w="190"/>
        <w:gridCol w:w="341"/>
        <w:gridCol w:w="884"/>
        <w:gridCol w:w="240"/>
      </w:tblGrid>
      <w:tr>
        <w:trPr/>
        <w:tc>
          <w:tcPr>
            <w:tcW w:w="10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17"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June 30,</w:t>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9"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w:t>
            </w:r>
          </w:p>
        </w:tc>
        <w:tc>
          <w:tcPr>
            <w:tcW w:w="14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pPr>
            <w:r>
              <w:rPr>
                <w:rFonts w:ascii="Aptos;sans-serif" w:hAnsi="Aptos;sans-serif"/>
                <w:b/>
                <w:color w:val="000000"/>
                <w:sz w:val="16"/>
              </w:rPr>
              <w:t>Less: Separation Adjustments</w:t>
            </w:r>
            <w:r>
              <w:rPr>
                <w:rFonts w:ascii="Aptos;sans-serif" w:hAnsi="Aptos;sans-serif"/>
                <w:b/>
                <w:color w:val="000000"/>
                <w:sz w:val="10"/>
              </w:rPr>
              <w:t>1</w:t>
            </w:r>
          </w:p>
        </w:tc>
        <w:tc>
          <w:tcPr>
            <w:tcW w:w="141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Honeywell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w:t>
            </w:r>
          </w:p>
        </w:tc>
        <w:tc>
          <w:tcPr>
            <w:tcW w:w="14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pPr>
            <w:r>
              <w:rPr>
                <w:rFonts w:ascii="Aptos;sans-serif" w:hAnsi="Aptos;sans-serif"/>
                <w:b/>
                <w:color w:val="000000"/>
                <w:sz w:val="16"/>
              </w:rPr>
              <w:t>Less: Separation Adjustments</w:t>
            </w:r>
            <w:r>
              <w:rPr>
                <w:rFonts w:ascii="Aptos;sans-serif" w:hAnsi="Aptos;sans-serif"/>
                <w:b/>
                <w:color w:val="000000"/>
                <w:sz w:val="10"/>
              </w:rPr>
              <w:t>1</w:t>
            </w:r>
          </w:p>
        </w:tc>
        <w:tc>
          <w:tcPr>
            <w:tcW w:w="14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Honeywell Technologies</w:t>
            </w:r>
          </w:p>
        </w:tc>
      </w:tr>
      <w:tr>
        <w:trPr/>
        <w:tc>
          <w:tcPr>
            <w:tcW w:w="198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16"/>
              </w:rPr>
              <w:t>Earnings per share of common stock from continuing operations - diluted</w:t>
            </w:r>
            <w:r>
              <w:rPr>
                <w:rFonts w:ascii="Aptos;sans-serif" w:hAnsi="Aptos;sans-serif"/>
                <w:b/>
                <w:color w:val="000000"/>
                <w:sz w:val="10"/>
              </w:rPr>
              <w:t>2</w:t>
            </w:r>
          </w:p>
        </w:tc>
        <w:tc>
          <w:tcPr>
            <w:tcW w:w="2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17.83</w:t>
            </w:r>
            <w:r>
              <w:rPr>
                <w:color w:val="000000"/>
              </w:rPr>
              <w:t>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1.18 </w:t>
            </w:r>
          </w:p>
        </w:tc>
        <w:tc>
          <w:tcPr>
            <w:tcW w:w="19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9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16.65</w:t>
            </w:r>
            <w:r>
              <w:rPr>
                <w:color w:val="000000"/>
              </w:rPr>
              <w:t> </w:t>
            </w:r>
          </w:p>
        </w:tc>
        <w:tc>
          <w:tcPr>
            <w:tcW w:w="14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67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4.33</w:t>
            </w:r>
            <w:r>
              <w:rPr>
                <w:color w:val="000000"/>
              </w:rPr>
              <w:t> </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3.12 </w:t>
            </w:r>
          </w:p>
        </w:tc>
        <w:tc>
          <w:tcPr>
            <w:tcW w:w="19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8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1.21</w:t>
            </w:r>
            <w:r>
              <w:rPr>
                <w:color w:val="000000"/>
              </w:rPr>
              <w:t> </w:t>
            </w:r>
          </w:p>
        </w:tc>
        <w:tc>
          <w:tcPr>
            <w:tcW w:w="2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Pension income</w:t>
            </w:r>
            <w:r>
              <w:rPr>
                <w:rFonts w:ascii="Aptos;sans-serif" w:hAnsi="Aptos;sans-serif"/>
                <w:b w:val="false"/>
                <w:color w:val="000000"/>
                <w:sz w:val="10"/>
              </w:rPr>
              <w:t>3</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(0.40)</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(0.19)</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(0.21)</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(0.21)</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(0.18)</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(0.03)</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Amortization of acquisition-related intangibles</w:t>
            </w:r>
            <w:r>
              <w:rPr>
                <w:rFonts w:ascii="Aptos;sans-serif" w:hAnsi="Aptos;sans-serif"/>
                <w:b w:val="false"/>
                <w:color w:val="000000"/>
                <w:sz w:val="10"/>
              </w:rPr>
              <w:t>4</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0.28 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0.06 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0.22 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0.31 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0.04 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0.27 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Acquisition-related costs</w:t>
            </w:r>
            <w:r>
              <w:rPr>
                <w:rFonts w:ascii="Aptos;sans-serif" w:hAnsi="Aptos;sans-serif"/>
                <w:b w:val="false"/>
                <w:color w:val="000000"/>
                <w:sz w:val="10"/>
              </w:rPr>
              <w:t>5</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0.02 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0.02 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Divestiture-related costs</w:t>
            </w:r>
            <w:r>
              <w:rPr>
                <w:rFonts w:ascii="Aptos;sans-serif" w:hAnsi="Aptos;sans-serif"/>
                <w:b w:val="false"/>
                <w:color w:val="000000"/>
                <w:sz w:val="10"/>
              </w:rPr>
              <w:t>6</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1.69 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1.43 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0.26 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0.14 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(0.03)</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0.17 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Debt restructuring costs</w:t>
            </w:r>
            <w:r>
              <w:rPr>
                <w:rFonts w:ascii="Aptos;sans-serif" w:hAnsi="Aptos;sans-serif"/>
                <w:b w:val="false"/>
                <w:color w:val="000000"/>
                <w:sz w:val="10"/>
              </w:rPr>
              <w:t>7</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0.10 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0.09 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0.01 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ERP implementation costs</w:t>
            </w:r>
            <w:r>
              <w:rPr>
                <w:rFonts w:ascii="Aptos;sans-serif" w:hAnsi="Aptos;sans-serif"/>
                <w:b w:val="false"/>
                <w:color w:val="000000"/>
                <w:sz w:val="10"/>
              </w:rPr>
              <w:t>8</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0.01 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0.01 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Impairment of assets held for sale</w:t>
            </w:r>
            <w:r>
              <w:rPr>
                <w:rFonts w:ascii="Aptos;sans-serif" w:hAnsi="Aptos;sans-serif"/>
                <w:b w:val="false"/>
                <w:color w:val="000000"/>
                <w:sz w:val="10"/>
              </w:rPr>
              <w:t>9</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0.11 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0.11 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Loss on sale of business</w:t>
            </w:r>
            <w:r>
              <w:rPr>
                <w:rFonts w:ascii="Aptos;sans-serif" w:hAnsi="Aptos;sans-serif"/>
                <w:b w:val="false"/>
                <w:color w:val="000000"/>
                <w:sz w:val="10"/>
              </w:rPr>
              <w:t>10</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0.09 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0.09 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Impact of Russia-Ukraine conflict</w:t>
            </w:r>
            <w:r>
              <w:rPr>
                <w:rFonts w:ascii="Aptos;sans-serif" w:hAnsi="Aptos;sans-serif"/>
                <w:b w:val="false"/>
                <w:color w:val="000000"/>
                <w:sz w:val="10"/>
              </w:rPr>
              <w:t>11</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0.02 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0.02 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Gain on deconsolidation of Quantinuum</w:t>
            </w:r>
            <w:r>
              <w:rPr>
                <w:rFonts w:ascii="Aptos;sans-serif" w:hAnsi="Aptos;sans-serif"/>
                <w:b w:val="false"/>
                <w:color w:val="000000"/>
                <w:sz w:val="10"/>
              </w:rPr>
              <w:t>12</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(15.87)</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(15.87)</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Equity loss of Quantinuum</w:t>
            </w:r>
            <w:r>
              <w:rPr>
                <w:rFonts w:ascii="Aptos;sans-serif" w:hAnsi="Aptos;sans-serif"/>
                <w:b w:val="false"/>
                <w:color w:val="000000"/>
                <w:sz w:val="10"/>
              </w:rPr>
              <w:t>13</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0.65 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0.65 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Loss on Quantinuum</w:t>
            </w:r>
            <w:r>
              <w:rPr>
                <w:rFonts w:ascii="Aptos;sans-serif" w:hAnsi="Aptos;sans-serif"/>
                <w:b w:val="false"/>
                <w:color w:val="000000"/>
                <w:sz w:val="10"/>
              </w:rPr>
              <w:t>14</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0.08 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0.08 </w:t>
            </w:r>
          </w:p>
        </w:tc>
        <w:tc>
          <w:tcPr>
            <w:tcW w:w="14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0.06 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0.06 </w:t>
            </w:r>
          </w:p>
        </w:tc>
        <w:tc>
          <w:tcPr>
            <w:tcW w:w="24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Adjusted earnings per share of common stock from continuing operations - diluted</w:t>
            </w:r>
          </w:p>
        </w:tc>
        <w:tc>
          <w:tcPr>
            <w:tcW w:w="2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4.52</w:t>
            </w:r>
            <w:r>
              <w:rPr>
                <w:color w:val="000000"/>
              </w:rPr>
              <w:t> </w:t>
            </w:r>
          </w:p>
        </w:tc>
        <w:tc>
          <w:tcPr>
            <w:tcW w:w="11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9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1.95</w:t>
            </w:r>
            <w:r>
              <w:rPr>
                <w:color w:val="000000"/>
              </w:rPr>
              <w:t> </w:t>
            </w:r>
          </w:p>
        </w:tc>
        <w:tc>
          <w:tcPr>
            <w:tcW w:w="14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67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4.72</w:t>
            </w:r>
            <w:r>
              <w:rPr>
                <w:color w:val="000000"/>
              </w:rPr>
              <w:t> </w:t>
            </w:r>
          </w:p>
        </w:tc>
        <w:tc>
          <w:tcPr>
            <w:tcW w:w="1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8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1.77</w:t>
            </w:r>
            <w:r>
              <w:rPr>
                <w:color w:val="000000"/>
              </w:rPr>
              <w:t> </w:t>
            </w:r>
          </w:p>
        </w:tc>
        <w:tc>
          <w:tcPr>
            <w:tcW w:w="24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3"/>
        <w:gridCol w:w="163"/>
        <w:gridCol w:w="109"/>
        <w:gridCol w:w="109"/>
        <w:gridCol w:w="109"/>
        <w:gridCol w:w="109"/>
        <w:gridCol w:w="2966"/>
        <w:gridCol w:w="2672"/>
        <w:gridCol w:w="3785"/>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 xml:space="preserve">Includes the financial results of the Honeywell Aerospace business which will be reflected as discontinued operations in the third quarter. These financial results may differ from Aerospace Technologies financial information due to the perimeter of the transaction, allocation of Honeywell Technologies corporate costs, and treatment of intracompany transactions, among other items, for both current and prior reporting periods. </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June 30, 2026 and 2025, adjusted earnings per share utilizes weighted average shares of 318.6 million and 320.5 million, respectively. Per share amounts have been adjusted to reflect the reverse stock split, which took effect June 29, 2026.</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June 30, 2026 and 2025, pension income was $129 million and $65 million, net of tax expense of $39 million and $20 million, respectively. For the three months ended June 30, 2026 and 2025, pension income for Honeywell Technologies was $68 million and $8 million, net of tax expense of $21 million and $3 million, respectively.</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June 30, 2026 and 2025, acquisition-related intangibles amortization includes $89 million and $100 million, net of tax benefit of $27 million and $32 million, respectively. For the three months ended June 30, 2026 and 2025, acquisition-related intangibles amortization for Honeywell Technologies includes $71 million and $86 million, net of tax benefit of $21 million and $27 million, respectively.</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 xml:space="preserve">For the three months ended June 30, 2026, the adjustment for acquisition-related costs, which is principally comprised of third-party transaction and integration costs was $6 million, net of tax benefit of $2 million. </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June 30, 2026 and 2025, the adjustment for divestiture-related costs, which is principally comprised of third-party transaction, separation and simplification costs, was $537 million and $44 million, net of tax benefit of $296 million and $14 million, respectively. For the three months ended June 30, 2026 and 2025, the adjustment for divestiture-related costs for Honeywell Technologies, was $82 million and $54 million, net of tax benefit of $213 million and tax expense of $14 million, respectively.</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three months ended June 30, 2026, the adjustment for debt restructuring costs was $31 million, net of tax benefit of $10 million. For the three months ended June 30, 2026, the adjustment for debt restructuring costs for Honeywell Technologies was $2 million, without tax benefit.</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three months ended June 30, 2026, the adjustment for ERP implementation costs was $4 million, net of tax benefit of $1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three months ended June 30, 2026, the impairment charge of assets held for sale was $36 million, net of tax benefit of $12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three months ended June 30, 2025, the loss on sale of personal protection equipment business was $28 million, net of tax benefit of $2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three months ended June 30, 2026, the adjustment for Russian-related charges was a $6 million expense, net of tax benefit of $2 million, due to the settlement of a contractual dispute associated with the Company’s suspension and wind down activities in Russia.</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three months ended June 30, 2026, the adjustment is $5,057 million, net of tax expense of $1,572.</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three months ended June 30, 2026, the adjustment for equity losses on Quantinuum is $207 million, net of tax benefit of $58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Includes consolidated losses of Quantinuum prior to the deconsolidation of the Company’s investment in Quantinuum, which does not meet the definition of an operating segment. For the three months ended June 30, 2026 and 2025, the net income adjustment for Quantinuum was $52 million and $40 million, net of tax benefit of $16 million and $11 million, respectively. The net adjustment also reflects an adjustment to NCI of $25 million and $20 million, respectively, for the three months ended June 30, 2026 and 2025.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8110"/>
                <wp:effectExtent l="0" t="0" r="0" b="0"/>
                <wp:wrapNone/>
                <wp:docPr id="23" name="Frame2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- 20</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6"/>
        <w:gridCol w:w="963"/>
        <w:gridCol w:w="968"/>
        <w:gridCol w:w="236"/>
        <w:gridCol w:w="726"/>
        <w:gridCol w:w="110"/>
        <w:gridCol w:w="406"/>
        <w:gridCol w:w="1190"/>
        <w:gridCol w:w="213"/>
        <w:gridCol w:w="404"/>
        <w:gridCol w:w="1048"/>
        <w:gridCol w:w="195"/>
        <w:gridCol w:w="110"/>
        <w:gridCol w:w="110"/>
        <w:gridCol w:w="110"/>
        <w:gridCol w:w="110"/>
        <w:gridCol w:w="109"/>
        <w:gridCol w:w="493"/>
        <w:gridCol w:w="493"/>
        <w:gridCol w:w="715"/>
      </w:tblGrid>
      <w:tr>
        <w:trPr/>
        <w:tc>
          <w:tcPr>
            <w:tcW w:w="149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Twelve Months Ended December 31,</w:t>
            </w:r>
          </w:p>
        </w:tc>
        <w:tc>
          <w:tcPr>
            <w:tcW w:w="1810" w:type="dxa"/>
            <w:gridSpan w:val="4"/>
            <w:tcBorders/>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8"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2026(E)</w:t>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w:t>
            </w:r>
          </w:p>
        </w:tc>
        <w:tc>
          <w:tcPr>
            <w:tcW w:w="180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pPr>
            <w:r>
              <w:rPr>
                <w:rFonts w:ascii="Aptos;sans-serif" w:hAnsi="Aptos;sans-serif"/>
                <w:b/>
                <w:color w:val="000000"/>
                <w:sz w:val="16"/>
              </w:rPr>
              <w:t>Less: Separation Adjustments</w:t>
            </w:r>
            <w:r>
              <w:rPr>
                <w:rFonts w:ascii="Aptos;sans-serif" w:hAnsi="Aptos;sans-serif"/>
                <w:b/>
                <w:color w:val="000000"/>
                <w:sz w:val="10"/>
              </w:rPr>
              <w:t>1</w:t>
            </w:r>
          </w:p>
        </w:tc>
        <w:tc>
          <w:tcPr>
            <w:tcW w:w="164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 Technologies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 Technologies</w:t>
            </w:r>
          </w:p>
        </w:tc>
      </w:tr>
      <w:tr>
        <w:trPr/>
        <w:tc>
          <w:tcPr>
            <w:tcW w:w="342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16"/>
              </w:rPr>
              <w:t>Earnings per share of common stock from continuing operations - diluted</w:t>
            </w:r>
            <w:r>
              <w:rPr>
                <w:rFonts w:ascii="Aptos;sans-serif" w:hAnsi="Aptos;sans-serif"/>
                <w:b/>
                <w:color w:val="000000"/>
                <w:sz w:val="10"/>
              </w:rPr>
              <w:t>2</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13.88</w:t>
            </w:r>
            <w:r>
              <w:rPr>
                <w:color w:val="000000"/>
              </w:rPr>
              <w:t> </w:t>
            </w:r>
          </w:p>
        </w:tc>
        <w:tc>
          <w:tcPr>
            <w:tcW w:w="11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19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10.64 </w:t>
            </w:r>
          </w:p>
        </w:tc>
        <w:tc>
          <w:tcPr>
            <w:tcW w:w="2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3.24</w:t>
            </w:r>
            <w:r>
              <w:rPr>
                <w:color w:val="000000"/>
              </w:rPr>
              <w:t> </w:t>
            </w:r>
          </w:p>
        </w:tc>
        <w:tc>
          <w:tcPr>
            <w:tcW w:w="19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$21.05 - $21.35</w:t>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Pension income</w:t>
            </w:r>
            <w:r>
              <w:rPr>
                <w:rFonts w:ascii="Aptos;sans-serif" w:hAnsi="Aptos;sans-serif"/>
                <w:b w:val="false"/>
                <w:color w:val="000000"/>
                <w:sz w:val="10"/>
              </w:rPr>
              <w:t>3</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(0.91)</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(0.78)</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(0.13)</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No Forecast</w:t>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Amortization of acquisition-related intangibles</w:t>
            </w:r>
            <w:r>
              <w:rPr>
                <w:rFonts w:ascii="Aptos;sans-serif" w:hAnsi="Aptos;sans-serif"/>
                <w:b w:val="false"/>
                <w:color w:val="000000"/>
                <w:sz w:val="10"/>
              </w:rPr>
              <w:t>4</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1.34 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0.14 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1.20 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1.10 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Acquisition-related costs</w:t>
            </w:r>
            <w:r>
              <w:rPr>
                <w:rFonts w:ascii="Aptos;sans-serif" w:hAnsi="Aptos;sans-serif"/>
                <w:b w:val="false"/>
                <w:color w:val="000000"/>
                <w:sz w:val="10"/>
              </w:rPr>
              <w:t>5</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0.11 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0.11 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0.06 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Divestiture-related costs</w:t>
            </w:r>
            <w:r>
              <w:rPr>
                <w:rFonts w:ascii="Aptos;sans-serif" w:hAnsi="Aptos;sans-serif"/>
                <w:b w:val="false"/>
                <w:color w:val="000000"/>
                <w:sz w:val="10"/>
              </w:rPr>
              <w:t>6</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1.43 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0.62 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0.81 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No Forecast</w:t>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Debt restructuring costs</w:t>
            </w:r>
            <w:r>
              <w:rPr>
                <w:rFonts w:ascii="Aptos;sans-serif" w:hAnsi="Aptos;sans-serif"/>
                <w:b w:val="false"/>
                <w:color w:val="000000"/>
                <w:sz w:val="10"/>
              </w:rPr>
              <w:t>7</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0.72 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ERP implementation costs</w:t>
            </w:r>
            <w:r>
              <w:rPr>
                <w:rFonts w:ascii="Aptos;sans-serif" w:hAnsi="Aptos;sans-serif"/>
                <w:b w:val="false"/>
                <w:color w:val="000000"/>
                <w:sz w:val="10"/>
              </w:rPr>
              <w:t>8</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0.06 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Impairment of assets held for sale</w:t>
            </w:r>
            <w:r>
              <w:rPr>
                <w:rFonts w:ascii="Aptos;sans-serif" w:hAnsi="Aptos;sans-serif"/>
                <w:b w:val="false"/>
                <w:color w:val="000000"/>
                <w:sz w:val="10"/>
              </w:rPr>
              <w:t>9</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0.65 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0.65 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0.74 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Indefinite-lived intangible asset impairment</w:t>
            </w:r>
            <w:r>
              <w:rPr>
                <w:rFonts w:ascii="Aptos;sans-serif" w:hAnsi="Aptos;sans-serif"/>
                <w:b w:val="false"/>
                <w:color w:val="000000"/>
                <w:sz w:val="10"/>
              </w:rPr>
              <w:t>10</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0.14 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0.14 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Impairment of goodwill</w:t>
            </w:r>
            <w:r>
              <w:rPr>
                <w:rFonts w:ascii="Aptos;sans-serif" w:hAnsi="Aptos;sans-serif"/>
                <w:b w:val="false"/>
                <w:color w:val="000000"/>
                <w:sz w:val="10"/>
              </w:rPr>
              <w:t>11</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2.25 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2.25 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(Gain) loss on sale of business</w:t>
            </w:r>
            <w:r>
              <w:rPr>
                <w:rFonts w:ascii="Aptos;sans-serif" w:hAnsi="Aptos;sans-serif"/>
                <w:b w:val="false"/>
                <w:color w:val="000000"/>
                <w:sz w:val="10"/>
              </w:rPr>
              <w:t>12</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0.09 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0.09 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(0.02)</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Gain related to Resideo indemnification and reimbursement agreement termination</w:t>
            </w:r>
            <w:r>
              <w:rPr>
                <w:rFonts w:ascii="Aptos;sans-serif" w:hAnsi="Aptos;sans-serif"/>
                <w:b w:val="false"/>
                <w:color w:val="000000"/>
                <w:sz w:val="10"/>
              </w:rPr>
              <w:t>13</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(2.50)</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(2.50)</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Adjustment to estimated future environmental liabilities</w:t>
            </w:r>
            <w:r>
              <w:rPr>
                <w:rFonts w:ascii="Aptos;sans-serif" w:hAnsi="Aptos;sans-serif"/>
                <w:b w:val="false"/>
                <w:color w:val="000000"/>
                <w:sz w:val="10"/>
              </w:rPr>
              <w:t>14</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0.50 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0.43 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0.07 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Loss on settlement of divestiture of asbestos liabilities</w:t>
            </w:r>
            <w:r>
              <w:rPr>
                <w:rFonts w:ascii="Aptos;sans-serif" w:hAnsi="Aptos;sans-serif"/>
                <w:b w:val="false"/>
                <w:color w:val="000000"/>
                <w:sz w:val="10"/>
              </w:rPr>
              <w:t>15</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0.35 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0.35 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Flexjet-related litigation matters</w:t>
            </w:r>
            <w:r>
              <w:rPr>
                <w:rFonts w:ascii="Aptos;sans-serif" w:hAnsi="Aptos;sans-serif"/>
                <w:b w:val="false"/>
                <w:color w:val="000000"/>
                <w:sz w:val="10"/>
              </w:rPr>
              <w:t>16</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0.95 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0.95 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Impact of Russia-Ukraine conflict</w:t>
            </w:r>
            <w:r>
              <w:rPr>
                <w:rFonts w:ascii="Aptos;sans-serif" w:hAnsi="Aptos;sans-serif"/>
                <w:b w:val="false"/>
                <w:color w:val="000000"/>
                <w:sz w:val="10"/>
              </w:rPr>
              <w:t>17</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0.02 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Gain on deconsolidation of Quantinuum</w:t>
            </w:r>
            <w:r>
              <w:rPr>
                <w:rFonts w:ascii="Aptos;sans-serif" w:hAnsi="Aptos;sans-serif"/>
                <w:b w:val="false"/>
                <w:color w:val="000000"/>
                <w:sz w:val="10"/>
              </w:rPr>
              <w:t>18</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(15.85)</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Equity loss of Quantinuum</w:t>
            </w:r>
            <w:r>
              <w:rPr>
                <w:rFonts w:ascii="Aptos;sans-serif" w:hAnsi="Aptos;sans-serif"/>
                <w:b w:val="false"/>
                <w:color w:val="000000"/>
                <w:sz w:val="10"/>
              </w:rPr>
              <w:t>19</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No Forecast</w:t>
            </w:r>
          </w:p>
        </w:tc>
      </w:tr>
      <w:tr>
        <w:trPr/>
        <w:tc>
          <w:tcPr>
            <w:tcW w:w="34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Loss on Quantinuum</w:t>
            </w:r>
            <w:r>
              <w:rPr>
                <w:rFonts w:ascii="Aptos;sans-serif" w:hAnsi="Aptos;sans-serif"/>
                <w:b w:val="false"/>
                <w:color w:val="000000"/>
                <w:sz w:val="10"/>
              </w:rPr>
              <w:t>20</w:t>
            </w:r>
          </w:p>
        </w:tc>
        <w:tc>
          <w:tcPr>
            <w:tcW w:w="96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0.18 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0.18 </w:t>
            </w:r>
          </w:p>
        </w:tc>
        <w:tc>
          <w:tcPr>
            <w:tcW w:w="19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0.17 </w:t>
            </w:r>
          </w:p>
        </w:tc>
        <w:tc>
          <w:tcPr>
            <w:tcW w:w="7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Adjusted earnings per share of common stock from continuing operations - diluted</w:t>
            </w:r>
          </w:p>
        </w:tc>
        <w:tc>
          <w:tcPr>
            <w:tcW w:w="2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18.46</w:t>
            </w:r>
            <w:r>
              <w:rPr>
                <w:color w:val="000000"/>
              </w:rPr>
              <w:t> </w:t>
            </w:r>
          </w:p>
        </w:tc>
        <w:tc>
          <w:tcPr>
            <w:tcW w:w="11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6.46</w:t>
            </w:r>
            <w:r>
              <w:rPr>
                <w:color w:val="000000"/>
              </w:rPr>
              <w:t> </w:t>
            </w:r>
          </w:p>
        </w:tc>
        <w:tc>
          <w:tcPr>
            <w:tcW w:w="19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$8.05 - 8.35</w:t>
            </w:r>
          </w:p>
        </w:tc>
      </w:tr>
    </w:tbl>
    <w:tbl>
      <w:tblPr>
        <w:tblW w:w="10205" w:type="dxa"/>
        <w:jc w:val="left"/>
        <w:tblInd w:w="0" w:type="dxa"/>
        <w:tblLayout w:type="fixed"/>
        <w:tblCellMar>
          <w:top w:w="28" w:type="dxa"/>
          <w:left w:w="28" w:type="dxa"/>
          <w:bottom w:w="28" w:type="dxa"/>
          <w:right w:w="28" w:type="dxa"/>
        </w:tblCellMar>
      </w:tblPr>
      <w:tblGrid>
        <w:gridCol w:w="183"/>
        <w:gridCol w:w="163"/>
        <w:gridCol w:w="109"/>
        <w:gridCol w:w="109"/>
        <w:gridCol w:w="109"/>
        <w:gridCol w:w="109"/>
        <w:gridCol w:w="2968"/>
        <w:gridCol w:w="2671"/>
        <w:gridCol w:w="3784"/>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 xml:space="preserve">Includes the financial results of the Honeywell Aerospace business which will be reflected as discontinued operations in the third quarter. These financial results may differ from Aerospace Technologies financial information due to the perimeter of the transaction, allocation of Honeywell Technologies corporate costs, and treatment of intracompany transactions, among other items, for both current and prior reporting periods. </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adjusted earnings per share utilizes weighted average shares of 321.4 million. For the twelve months ended December 31, 2026, expected earnings per share utilizes weighted average shares of approximately 319 million. Per share amounts have been adjusted to reflect the reverse stock split, which took effect June 29, 2026.</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Aptos;sans-serif" w:hAnsi="Aptos;sans-serif"/>
                <w:b w:val="false"/>
                <w:color w:val="000000"/>
                <w:sz w:val="14"/>
              </w:rPr>
              <w:t>For the twelve months ended December 31, 2025, pension income was $291 million, net of tax expense of $89 million. For the twelve months ended December 31, 2025, pension income for Honeywell Technologies was $40 million, net of tax expense of $25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acquisition-related intangibles amortization includes $432 million, net of tax benefit of $138 million. For the twelve months ended December 31, 2025, acquisition-related intangibles amortization for Honeywell Technologies includes $386 million, net of tax benefit of $123 million. For the twelve months ended December 31, 2026, the expected adjustment for acquisition-related intangibles amortization includes approximately $315 million, net of tax benefit of approximately $70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the adjustment for acquisition-related costs, which is principally comprised of third-party transaction and integration costs and acquisition-related fair value adjustments to inventory, was $35 million, net of tax benefit of $10 million. For the twelve months ended December 31, 2026, the expected adjustment for acquisition-related costs, which is principally comprised of third-party transaction and integration costs, is approximately $20 million, net of tax benefit of approximately $5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the adjustment for divestiture-related costs, which is principally comprised of third-party transaction costs, was $460 million, net of tax benefit of $61 million. For the twelve months ended December 31, 2025, the adjustment for divestiture-related costs for Honeywell Technologies was $262 million, net of tax expense of $31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 xml:space="preserve">For the twelve months ended December 31, 2026, the expected adjustment for debt restructuring costs is $257 million, net of tax benefit of $80 million. For the twelve months ended December 31, 2026, the expected adjustment for debt restructuring costs excluding spin-off impact is $228 million, net of tax benefit of $70 million. </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 xml:space="preserve">For the twelve months ended December 31, 2026, the expected adjustment for ERP implementation costs is approximately $20 million, net of tax benefit of approximately $5 million. </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the impairment charge of assets held for sale was $209 million, net of tax benefit of $61 million. For the twelve months ended December 31, 2026, the expected impairment charge of assets held for sale is $236 million, net of tax benefit of $75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the impairment charge of indefinite-lived intangible assets associated with the Industrial Automation reportable segment was $44 million, without tax benefit.</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shd w:fill="FFFFFF" w:val="clear"/>
              </w:rPr>
            </w:pPr>
            <w:r>
              <w:rPr>
                <w:rFonts w:ascii="Aptos;sans-serif" w:hAnsi="Aptos;sans-serif"/>
                <w:b w:val="false"/>
                <w:color w:val="000000"/>
                <w:sz w:val="14"/>
                <w:shd w:fill="FFFFFF" w:val="clear"/>
              </w:rPr>
              <w:t>For the twelve months ended December 31, 2025, the impairment charge of goodwill associated with the Industrial Automation reportable segment was $724 million, without tax benefit.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8110"/>
                <wp:effectExtent l="0" t="0" r="0" b="0"/>
                <wp:wrapNone/>
                <wp:docPr id="24" name="Frame2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- 21</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4"/>
        <w:gridCol w:w="162"/>
        <w:gridCol w:w="109"/>
        <w:gridCol w:w="109"/>
        <w:gridCol w:w="109"/>
        <w:gridCol w:w="109"/>
        <w:gridCol w:w="2942"/>
        <w:gridCol w:w="2673"/>
        <w:gridCol w:w="3808"/>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the adjustment for loss on sale of the personal protective equipment business was $28 million, net of tax benefit of $2 million. For the twelve months ended December 31, 2026, the expected gain on sale of personal protection equipment business is $5 million, net of tax expense of $1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the gain related to the Resideo indemnification and reimbursement agreement termination was $802 million, without tax expense.</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 the twelve months ended December 31, 2025, the Company enhanced its process for estimating environmental liabilities at sites undergoing active remediation, which led to earlier recognition of the estimated probable liabilities and an increase to estimated environmental liabilities. For the twelve months ended December 31, 2025, the adjustment to increase environmental liabilities was $161 million, net of tax benefit of $50 million. For the twelve months ended December 31, 2025, the adjustment to increase environmental liabilities for Honeywell Technologies was $22 million, net of tax benefit of $7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the adjustment for loss on settlement of divestiture of asbestos liabilities was $112 million, net of tax benefit of $36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the adjustment for the Flexjet-related litigation matters was $302 million, net of tax benefit of $71 million. Management considers the nature and significance of these litigation matters to be unusual and not indicative of the Company's ongoing performance.</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2026, the expected adjustment for Russian-related charges was a $6 million expense, net of tax benefit of $2 million, due to the settlement of a contractual dispute associated with the Company’s suspension and wind down activities in Russia.</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2026, the expected adjustment is $5,057 million, net of tax expense of $1,572.</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 xml:space="preserve">The equity losses of Quantinuum are based on our proportionate share of Quantinuum's earnings or losses, which are outside of the Company's control. We therefore do not include an estimate for these amounts. </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Includes consolidated losses of Quantinuum prior to the deconsolidation of the Company’s investment in Quantinuum, which does not meet the definition of an operating segment. For the twelve months ended December 31, 2025, the net income adjustment for Quantinuum was $135 million, net of tax benefit of $43 million. The net adjustment also reflects an adjustment to NCI of $78 million for the twelve months ended December 31, 2025.</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We define adjusted earnings per share as diluted earnings per share from continuing operations adjusted to exclude various charges as listed above. We believe adjusted earnings per share is a measure that is useful to investors and management in understanding our ongoing operations and in analysis of ongoing operating trends. For forward-looking information, management cannot reliably predict or estimate, without unreasonable effort, pension income or the divestiture-related costs. The pension income is dependent on macroeconomic factors, such as interest rates and the return generated on invested pension plan assets. The divestiture-related costs are subject to detailed development and execution of separation restructuring and simplification plans for the recently completed separation of Honeywell Technologies and Honeywell Aerospace. The equity losses of Quantinuum are based on our proportionate share of Quantinuum's earnings or losses, which are outside of the Company's control. We therefore do not include an estimate for these amounts. Based on economic and industry conditions, future developments, and other relevant factors, these assumptions are subject to change.</w:t>
      </w:r>
    </w:p>
    <w:p>
      <w:pPr>
        <w:pStyle w:val="TextBody"/>
        <w:bidi w:val="0"/>
        <w:spacing w:before="0" w:after="0"/>
        <w:jc w:val="both"/>
        <w:rPr/>
      </w:pPr>
      <w:r>
        <w:rPr/>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Acquisition amortization and acquisition- and divestiture-related costs are significantly impacted by the timing, size, and number of acquisitions or divestitures we complete and are not on a predictable cycle and we make no comment as to when or whether any future acquisitions or divestitures may occur. We believe excluding these costs provides investors with a more meaningful comparison of operating performance over time and with both acquisitive and other peer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8110"/>
                <wp:effectExtent l="0" t="0" r="0" b="0"/>
                <wp:wrapNone/>
                <wp:docPr id="25" name="Frame2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Q2’26 Results - 22</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Reconciliation of Cash Provided by Operating Activities to Free Cash Flow</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w:t>
      </w:r>
    </w:p>
    <w:p>
      <w:pPr>
        <w:pStyle w:val="TextBody"/>
        <w:bidi w:val="0"/>
        <w:spacing w:lineRule="auto" w:line="288" w:before="0" w:after="0"/>
        <w:jc w:val="center"/>
        <w:rPr>
          <w:color w:val="000000"/>
        </w:rPr>
      </w:pPr>
      <w:r>
        <w:rPr>
          <w:color w:val="000000"/>
        </w:rPr>
        <w:t> </w:t>
      </w:r>
    </w:p>
    <w:tbl>
      <w:tblPr>
        <w:tblW w:w="11710" w:type="dxa"/>
        <w:jc w:val="left"/>
        <w:tblInd w:w="0" w:type="dxa"/>
        <w:tblLayout w:type="fixed"/>
        <w:tblCellMar>
          <w:top w:w="28" w:type="dxa"/>
          <w:left w:w="28" w:type="dxa"/>
          <w:bottom w:w="28" w:type="dxa"/>
          <w:right w:w="28" w:type="dxa"/>
        </w:tblCellMar>
      </w:tblPr>
      <w:tblGrid>
        <w:gridCol w:w="953"/>
        <w:gridCol w:w="363"/>
        <w:gridCol w:w="365"/>
        <w:gridCol w:w="231"/>
        <w:gridCol w:w="722"/>
        <w:gridCol w:w="113"/>
        <w:gridCol w:w="358"/>
        <w:gridCol w:w="834"/>
        <w:gridCol w:w="174"/>
        <w:gridCol w:w="358"/>
        <w:gridCol w:w="834"/>
        <w:gridCol w:w="174"/>
        <w:gridCol w:w="109"/>
        <w:gridCol w:w="109"/>
        <w:gridCol w:w="109"/>
        <w:gridCol w:w="231"/>
        <w:gridCol w:w="722"/>
        <w:gridCol w:w="113"/>
        <w:gridCol w:w="358"/>
        <w:gridCol w:w="834"/>
        <w:gridCol w:w="174"/>
        <w:gridCol w:w="358"/>
        <w:gridCol w:w="834"/>
        <w:gridCol w:w="174"/>
        <w:gridCol w:w="109"/>
        <w:gridCol w:w="109"/>
        <w:gridCol w:w="109"/>
        <w:gridCol w:w="109"/>
        <w:gridCol w:w="109"/>
        <w:gridCol w:w="457"/>
        <w:gridCol w:w="457"/>
        <w:gridCol w:w="647"/>
      </w:tblGrid>
      <w:tr>
        <w:trPr/>
        <w:tc>
          <w:tcPr>
            <w:tcW w:w="9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Twelve Months Ended December 31, 2026(E)</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w:t>
            </w:r>
          </w:p>
        </w:tc>
        <w:tc>
          <w:tcPr>
            <w:tcW w:w="13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pPr>
            <w:r>
              <w:rPr>
                <w:rFonts w:ascii="Aptos;sans-serif" w:hAnsi="Aptos;sans-serif"/>
                <w:b/>
                <w:color w:val="000000"/>
                <w:sz w:val="16"/>
              </w:rPr>
              <w:t>Less: Separation Adjustments</w:t>
            </w:r>
            <w:r>
              <w:rPr>
                <w:rFonts w:ascii="Aptos;sans-serif" w:hAnsi="Aptos;sans-serif"/>
                <w:b/>
                <w:color w:val="000000"/>
                <w:sz w:val="10"/>
              </w:rPr>
              <w:t>1</w:t>
            </w:r>
          </w:p>
        </w:tc>
        <w:tc>
          <w:tcPr>
            <w:tcW w:w="13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Honeywell</w:t>
            </w:r>
          </w:p>
        </w:tc>
        <w:tc>
          <w:tcPr>
            <w:tcW w:w="13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pPr>
            <w:r>
              <w:rPr>
                <w:rFonts w:ascii="Aptos;sans-serif" w:hAnsi="Aptos;sans-serif"/>
                <w:b/>
                <w:color w:val="000000"/>
                <w:sz w:val="16"/>
              </w:rPr>
              <w:t>Less: Separation Adjustments</w:t>
            </w:r>
            <w:r>
              <w:rPr>
                <w:rFonts w:ascii="Aptos;sans-serif" w:hAnsi="Aptos;sans-serif"/>
                <w:b/>
                <w:color w:val="000000"/>
                <w:sz w:val="10"/>
              </w:rPr>
              <w:t>1</w:t>
            </w:r>
          </w:p>
        </w:tc>
        <w:tc>
          <w:tcPr>
            <w:tcW w:w="13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Honeywell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Honeywell Technologies</w:t>
            </w:r>
          </w:p>
        </w:tc>
      </w:tr>
      <w:tr>
        <w:trPr/>
        <w:tc>
          <w:tcPr>
            <w:tcW w:w="168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provided by operating activities from continuing operations</w:t>
            </w:r>
          </w:p>
        </w:tc>
        <w:tc>
          <w:tcPr>
            <w:tcW w:w="2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1,276</w:t>
            </w:r>
            <w:r>
              <w:rPr>
                <w:color w:val="000000"/>
              </w:rPr>
              <w:t>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3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713</w:t>
            </w:r>
            <w:r>
              <w:rPr>
                <w:color w:val="000000"/>
              </w:rPr>
              <w:t> </w:t>
            </w:r>
          </w:p>
        </w:tc>
        <w:tc>
          <w:tcPr>
            <w:tcW w:w="1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3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563</w:t>
            </w:r>
            <w:r>
              <w:rPr>
                <w:color w:val="000000"/>
              </w:rPr>
              <w:t> </w:t>
            </w:r>
          </w:p>
        </w:tc>
        <w:tc>
          <w:tcPr>
            <w:tcW w:w="1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1,064</w:t>
            </w:r>
            <w:r>
              <w:rPr>
                <w:color w:val="000000"/>
              </w:rPr>
              <w:t> </w:t>
            </w:r>
          </w:p>
        </w:tc>
        <w:tc>
          <w:tcPr>
            <w:tcW w:w="11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3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877</w:t>
            </w:r>
            <w:r>
              <w:rPr>
                <w:color w:val="000000"/>
              </w:rPr>
              <w:t> </w:t>
            </w:r>
          </w:p>
        </w:tc>
        <w:tc>
          <w:tcPr>
            <w:tcW w:w="1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3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187</w:t>
            </w:r>
            <w:r>
              <w:rPr>
                <w:color w:val="000000"/>
              </w:rPr>
              <w:t> </w:t>
            </w:r>
          </w:p>
        </w:tc>
        <w:tc>
          <w:tcPr>
            <w:tcW w:w="1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right"/>
              <w:rPr>
                <w:rFonts w:ascii="Aptos;sans-serif" w:hAnsi="Aptos;sans-serif"/>
                <w:b/>
                <w:color w:val="000000"/>
                <w:sz w:val="16"/>
              </w:rPr>
            </w:pPr>
            <w:r>
              <w:rPr>
                <w:rFonts w:ascii="Aptos;sans-serif" w:hAnsi="Aptos;sans-serif"/>
                <w:b/>
                <w:color w:val="000000"/>
                <w:sz w:val="16"/>
              </w:rPr>
              <w:t>$1.9 - $2.2</w:t>
            </w:r>
          </w:p>
        </w:tc>
      </w:tr>
      <w:tr>
        <w:trPr/>
        <w:tc>
          <w:tcPr>
            <w:tcW w:w="168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Capital expenditures</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(315)</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(128)</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(187)</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(226)</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(118)</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(108)</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rFonts w:ascii="Aptos;sans-serif" w:hAnsi="Aptos;sans-serif"/>
                <w:b w:val="false"/>
                <w:color w:val="000000"/>
                <w:sz w:val="16"/>
              </w:rPr>
            </w:pPr>
            <w:r>
              <w:rPr>
                <w:rFonts w:ascii="Aptos;sans-serif" w:hAnsi="Aptos;sans-serif"/>
                <w:b w:val="false"/>
                <w:color w:val="000000"/>
                <w:sz w:val="16"/>
              </w:rPr>
              <w:t>~(0.6)</w:t>
            </w:r>
          </w:p>
        </w:tc>
      </w:tr>
      <w:tr>
        <w:trPr/>
        <w:tc>
          <w:tcPr>
            <w:tcW w:w="168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Spin-off and separation-related cost payments</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260 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211 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49 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rFonts w:ascii="Aptos;sans-serif" w:hAnsi="Aptos;sans-serif"/>
                <w:b w:val="false"/>
                <w:color w:val="000000"/>
                <w:sz w:val="16"/>
              </w:rPr>
            </w:pPr>
            <w:r>
              <w:rPr>
                <w:rFonts w:ascii="Aptos;sans-serif" w:hAnsi="Aptos;sans-serif"/>
                <w:b w:val="false"/>
                <w:color w:val="000000"/>
                <w:sz w:val="16"/>
              </w:rPr>
              <w:t>~0.4</w:t>
            </w:r>
          </w:p>
        </w:tc>
      </w:tr>
      <w:tr>
        <w:trPr/>
        <w:tc>
          <w:tcPr>
            <w:tcW w:w="168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Quantinuum</w:t>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33 </w:t>
            </w:r>
          </w:p>
        </w:tc>
        <w:tc>
          <w:tcPr>
            <w:tcW w:w="11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33 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rFonts w:ascii="Aptos;sans-serif" w:hAnsi="Aptos;sans-serif"/>
                <w:b w:val="false"/>
                <w:color w:val="000000"/>
                <w:sz w:val="16"/>
              </w:rPr>
            </w:pPr>
            <w:r>
              <w:rPr>
                <w:rFonts w:ascii="Aptos;sans-serif" w:hAnsi="Aptos;sans-serif"/>
                <w:b w:val="false"/>
                <w:color w:val="000000"/>
                <w:sz w:val="16"/>
              </w:rPr>
              <w:t>~0.1</w:t>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Free cash flow</w:t>
            </w:r>
          </w:p>
        </w:tc>
        <w:tc>
          <w:tcPr>
            <w:tcW w:w="2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1,252</w:t>
            </w:r>
            <w:r>
              <w:rPr>
                <w:color w:val="000000"/>
              </w:rPr>
              <w:t> </w:t>
            </w:r>
          </w:p>
        </w:tc>
        <w:tc>
          <w:tcPr>
            <w:tcW w:w="11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3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456</w:t>
            </w:r>
            <w:r>
              <w:rPr>
                <w:color w:val="000000"/>
              </w:rPr>
              <w:t> </w:t>
            </w:r>
          </w:p>
        </w:tc>
        <w:tc>
          <w:tcPr>
            <w:tcW w:w="17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878</w:t>
            </w:r>
            <w:r>
              <w:rPr>
                <w:color w:val="000000"/>
              </w:rPr>
              <w:t> </w:t>
            </w:r>
          </w:p>
        </w:tc>
        <w:tc>
          <w:tcPr>
            <w:tcW w:w="11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3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114</w:t>
            </w:r>
            <w:r>
              <w:rPr>
                <w:color w:val="000000"/>
              </w:rPr>
              <w:t> </w:t>
            </w:r>
          </w:p>
        </w:tc>
        <w:tc>
          <w:tcPr>
            <w:tcW w:w="17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~1.8 - $2.1</w:t>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
        <w:gridCol w:w="120"/>
        <w:gridCol w:w="109"/>
        <w:gridCol w:w="109"/>
        <w:gridCol w:w="109"/>
        <w:gridCol w:w="109"/>
        <w:gridCol w:w="2784"/>
        <w:gridCol w:w="2784"/>
        <w:gridCol w:w="3945"/>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 xml:space="preserve">Includes the financial results of the Honeywell Aerospace business which will be reflected as discontinued operations in the third quarter. These financial results may differ from Aerospace Technologies financial information due to the perimeter of the transaction, allocation of Honeywell Technologies corporate costs, and treatment of intracompany transactions, among other items, for both current and prior reporting periods. </w:t>
            </w:r>
          </w:p>
        </w:tc>
      </w:tr>
    </w:tbl>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We define free cash flow as cash provided by operating activities from continuing operations less cash for capital expenditures and excluding spin-off and separation-related cost payments, the Resideo indemnification and reimbursement agreement termination payment, the cash payment for settlement of divestiture of asbestos liabilities, the cash payment for settlement of Flexjet-related litigation matters, and cash flows attributable to Quantinuum.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We believe that free cash flow is a non-GAAP measure that is useful to investors and management as a measure of cash generated by operations that will be used to repay scheduled debt maturities and can be used to invest in future growth through new business development activities or acquisitions, pay dividends, repurchase stock, or repay debt obligations prior to their maturities. This measure can also be used to evaluate our ability to generate cash flow from operations and the impact that this cash flow has on our liquidity.</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ptos">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9138</Words>
  <Characters>52038</Characters>
  <CharactersWithSpaces>60333</CharactersWithSpaces>
  <Paragraphs>1947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