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4177.xml.htm"/>
      <w:bookmarkStart w:id="1" w:name="kswkform4_17845841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Hammoud Billal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 Building Automation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78"/>
        <w:gridCol w:w="447"/>
        <w:gridCol w:w="835"/>
        <w:gridCol w:w="1224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3,848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465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239.58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3,383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210.6251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settlement of restricted share units granted under the 2016 Stock Incentive Plan of Honeywell International Inc. and its Affiliates that vested upon the successful completion of the spin-off of Honeywell Aerospace Inc. from Honeywell International Inc. ("Honeywell Technologies") on June 29, 2026 and were adjusted to reflect the spin-off and further adjusted to reflect the reverse stock split of Honeywell Technologies.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the reinvestment of dividend equivalents into 32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Instrument converts to common stock of Honeywell Technologies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Billal Hammoud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103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685</Words>
  <Characters>3759</Characters>
  <CharactersWithSpaces>4350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