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5"/>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March 31, 2022</w:t>
      </w:r>
    </w:p>
    <w:p>
      <w:pPr>
        <w:jc w:val="center"/>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Charlotte, NC</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8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1.300% Senior Notes due 2023</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23A</w:t>
            </w:r>
          </w:p>
        </w:tc>
        <w:tc>
          <w:tcPr>
            <w:tcW w:w="4140" w:type="dxa"/>
            <w:vAlign w:val="bottom"/>
            <w:gridSpan w:val="2"/>
          </w:tcPr>
          <w:p>
            <w:pPr>
              <w:jc w:val="center"/>
              <w:ind w:left="98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40" w:type="dxa"/>
            <w:vAlign w:val="bottom"/>
            <w:gridSpan w:val="2"/>
          </w:tcPr>
          <w:p>
            <w:pPr>
              <w:jc w:val="center"/>
              <w:ind w:left="98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8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8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 The common stock is also listed on the London Stock Exchange</w:t>
      </w:r>
    </w:p>
    <w:p>
      <w:pPr>
        <w:spacing w:after="0" w:line="69"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80" w:type="dxa"/>
            <w:vAlign w:val="bottom"/>
          </w:tcPr>
          <w:p>
            <w:pPr>
              <w:ind w:left="420"/>
              <w:spacing w:after="0"/>
              <w:rPr>
                <w:sz w:val="20"/>
                <w:szCs w:val="20"/>
                <w:color w:val="auto"/>
              </w:rPr>
            </w:pPr>
            <w:r>
              <w:rPr>
                <w:rFonts w:ascii="Arial" w:cs="Arial" w:eastAsia="Arial" w:hAnsi="Arial"/>
                <w:sz w:val="14"/>
                <w:szCs w:val="14"/>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19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highlight w:val="black"/>
        </w:rPr>
        <w:t>☐</w:t>
      </w:r>
    </w:p>
    <w:p>
      <w:pPr>
        <w:spacing w:after="0" w:line="18" w:lineRule="exact"/>
        <w:rPr>
          <w:sz w:val="24"/>
          <w:szCs w:val="24"/>
          <w:color w:val="auto"/>
        </w:rPr>
      </w:pPr>
    </w:p>
    <w:p>
      <w:pPr>
        <w:ind w:right="3160"/>
        <w:spacing w:after="0" w:line="24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There were 680,732,930 shares of Common Stock outstanding at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24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Financial Information</w:t>
            </w:r>
          </w:p>
        </w:tc>
        <w:tc>
          <w:tcPr>
            <w:tcW w:w="124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Financial Statements and Supplementary Data (unaudited):</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Operations (unaudited) – Three Months Ended March 31, 2022 and 2021</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Comprehensive Income (unaudited) – Three Months Ended March 31, 2022 and 2021</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Balance Sheet (unaudited) – March 31, 2022 and December 31, 2021</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Cash Flows (unaudited) – Three Months Ended March 31, 2022 and 2021</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Shareowners' Equity (unaudited) – Three Months Ended March 31, 2022 and 2021</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 – Basis of Presentation</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2 – Summary of Significant Accounting Policies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3 – Acquisitions and Divestitures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4 – Revenue Recognition and Contracts with Customers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5 – Repositioning and Other Charges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10</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6 – Income Taxes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12</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7 – Inventories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12</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8 – Long-term Debt and Credit Agreements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9 – Leases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14</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10 – Derivative Instruments and Hedging Transactions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11 – Fair Value Measurements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17</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12 – Earnings Per Share</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19</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13 – Accumulated Other Comprehensive Income (Loss)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20</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14 – Commitments and Contingencies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20</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15 – Pension Benefits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25</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16 – Other (Income) Expense</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25</w:t>
            </w:r>
          </w:p>
        </w:tc>
      </w:tr>
      <w:tr>
        <w:trPr>
          <w:trHeight w:val="210"/>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17 – Segment Financial Data</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25</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3</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Quantitative and Qualitative Disclosures About Market Risks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41</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4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Controls and Procedures</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42</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24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Other Information</w:t>
            </w:r>
          </w:p>
        </w:tc>
        <w:tc>
          <w:tcPr>
            <w:tcW w:w="124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Legal Proceedings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43</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Risk Factors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43</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44</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Mine Safety Disclosures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44</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6</w:t>
            </w: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Exhibits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45</w:t>
            </w:r>
          </w:p>
        </w:tc>
      </w:tr>
      <w:tr>
        <w:trPr>
          <w:trHeight w:val="209"/>
        </w:trPr>
        <w:tc>
          <w:tcPr>
            <w:tcW w:w="760" w:type="dxa"/>
            <w:vAlign w:val="bottom"/>
            <w:tcBorders>
              <w:bottom w:val="single" w:sz="8" w:color="BCBDC0"/>
            </w:tcBorders>
          </w:tcPr>
          <w:p>
            <w:pPr>
              <w:spacing w:after="0"/>
              <w:rPr>
                <w:sz w:val="18"/>
                <w:szCs w:val="18"/>
                <w:color w:val="auto"/>
              </w:rPr>
            </w:pPr>
          </w:p>
        </w:tc>
        <w:tc>
          <w:tcPr>
            <w:tcW w:w="924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Signatures</w:t>
            </w:r>
          </w:p>
        </w:tc>
        <w:tc>
          <w:tcPr>
            <w:tcW w:w="124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46</w:t>
            </w:r>
          </w:p>
        </w:tc>
      </w:tr>
      <w:tr>
        <w:trPr>
          <w:trHeight w:val="2903"/>
        </w:trPr>
        <w:tc>
          <w:tcPr>
            <w:tcW w:w="76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and the Russia-Ukraine conflict, that can affect our performance in both the near- and long-term. These forward-looking statements should be considered in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statements and related notes as of March 31, 2022, should be read in conjunction with the financial statements for the year ended December 31, 2021, contained in the Company's 2021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6350</wp:posOffset>
            </wp:positionV>
            <wp:extent cx="1122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r>
      <w:tr>
        <w:trPr>
          <w:trHeight w:val="147"/>
        </w:trPr>
        <w:tc>
          <w:tcPr>
            <w:tcW w:w="9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88"/>
              <w:spacing w:after="0" w:line="147" w:lineRule="exact"/>
              <w:rPr>
                <w:sz w:val="20"/>
                <w:szCs w:val="20"/>
                <w:color w:val="auto"/>
              </w:rPr>
            </w:pPr>
            <w:r>
              <w:rPr>
                <w:rFonts w:ascii="Arial" w:cs="Arial" w:eastAsia="Arial" w:hAnsi="Arial"/>
                <w:sz w:val="14"/>
                <w:szCs w:val="14"/>
                <w:b w:val="1"/>
                <w:bCs w:val="1"/>
                <w:color w:val="auto"/>
              </w:rPr>
              <w:t>(Dollars in millions,</w:t>
            </w:r>
          </w:p>
        </w:tc>
      </w:tr>
      <w:tr>
        <w:trPr>
          <w:trHeight w:val="144"/>
        </w:trPr>
        <w:tc>
          <w:tcPr>
            <w:tcW w:w="9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8"/>
              <w:spacing w:after="0" w:line="145" w:lineRule="exact"/>
              <w:rPr>
                <w:sz w:val="20"/>
                <w:szCs w:val="20"/>
                <w:color w:val="auto"/>
              </w:rPr>
            </w:pPr>
            <w:r>
              <w:rPr>
                <w:rFonts w:ascii="Arial" w:cs="Arial" w:eastAsia="Arial" w:hAnsi="Arial"/>
                <w:sz w:val="14"/>
                <w:szCs w:val="14"/>
                <w:b w:val="1"/>
                <w:bCs w:val="1"/>
                <w:color w:val="auto"/>
              </w:rPr>
              <w:t>except per share</w:t>
            </w:r>
          </w:p>
        </w:tc>
      </w:tr>
      <w:tr>
        <w:trPr>
          <w:trHeight w:val="189"/>
        </w:trPr>
        <w:tc>
          <w:tcPr>
            <w:tcW w:w="9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center"/>
              <w:ind w:left="328"/>
              <w:spacing w:after="0"/>
              <w:rPr>
                <w:sz w:val="20"/>
                <w:szCs w:val="20"/>
                <w:color w:val="auto"/>
              </w:rPr>
            </w:pPr>
            <w:r>
              <w:rPr>
                <w:rFonts w:ascii="Arial" w:cs="Arial" w:eastAsia="Arial" w:hAnsi="Arial"/>
                <w:sz w:val="14"/>
                <w:szCs w:val="14"/>
                <w:b w:val="1"/>
                <w:bCs w:val="1"/>
                <w:color w:val="auto"/>
              </w:rPr>
              <w:t>amounts)</w:t>
            </w:r>
          </w:p>
        </w:tc>
        <w:tc>
          <w:tcPr>
            <w:tcW w:w="560" w:type="dxa"/>
            <w:vAlign w:val="bottom"/>
            <w:tcBorders>
              <w:bottom w:val="single" w:sz="8" w:color="D7282F"/>
            </w:tcBorders>
          </w:tcPr>
          <w:p>
            <w:pPr>
              <w:spacing w:after="0"/>
              <w:rPr>
                <w:sz w:val="16"/>
                <w:szCs w:val="16"/>
                <w:color w:val="auto"/>
              </w:rPr>
            </w:pPr>
          </w:p>
        </w:tc>
      </w:tr>
      <w:tr>
        <w:trPr>
          <w:trHeight w:val="192"/>
        </w:trPr>
        <w:tc>
          <w:tcPr>
            <w:tcW w:w="9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6,132</w:t>
            </w:r>
          </w:p>
        </w:tc>
        <w:tc>
          <w:tcPr>
            <w:tcW w:w="3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6,409</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2,244</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2,045</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8,376</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8,454</w:t>
            </w:r>
          </w:p>
        </w:tc>
      </w:tr>
      <w:tr>
        <w:trPr>
          <w:trHeight w:val="193"/>
        </w:trPr>
        <w:tc>
          <w:tcPr>
            <w:tcW w:w="9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spacing w:after="0"/>
              <w:rPr>
                <w:sz w:val="16"/>
                <w:szCs w:val="16"/>
                <w:color w:val="auto"/>
              </w:rPr>
            </w:pPr>
          </w:p>
        </w:tc>
      </w:tr>
      <w:tr>
        <w:trPr>
          <w:trHeight w:val="196"/>
        </w:trPr>
        <w:tc>
          <w:tcPr>
            <w:tcW w:w="9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4,373</w:t>
            </w:r>
          </w:p>
        </w:tc>
        <w:tc>
          <w:tcPr>
            <w:tcW w:w="32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4,551</w:t>
            </w:r>
          </w:p>
        </w:tc>
      </w:tr>
      <w:tr>
        <w:trPr>
          <w:trHeight w:val="196"/>
        </w:trPr>
        <w:tc>
          <w:tcPr>
            <w:tcW w:w="9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1,301</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1,158</w:t>
            </w:r>
          </w:p>
        </w:tc>
      </w:tr>
      <w:tr>
        <w:trPr>
          <w:trHeight w:val="199"/>
        </w:trPr>
        <w:tc>
          <w:tcPr>
            <w:tcW w:w="9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5,674</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5,709</w:t>
            </w:r>
          </w:p>
        </w:tc>
      </w:tr>
      <w:tr>
        <w:trPr>
          <w:trHeight w:val="193"/>
        </w:trPr>
        <w:tc>
          <w:tcPr>
            <w:tcW w:w="9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1,431</w:t>
            </w: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1,236</w:t>
            </w:r>
          </w:p>
        </w:tc>
      </w:tr>
      <w:tr>
        <w:trPr>
          <w:trHeight w:val="196"/>
        </w:trPr>
        <w:tc>
          <w:tcPr>
            <w:tcW w:w="9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(319)</w:t>
            </w:r>
          </w:p>
        </w:tc>
        <w:tc>
          <w:tcPr>
            <w:tcW w:w="32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9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85</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w:t>
            </w:r>
          </w:p>
        </w:tc>
      </w:tr>
      <w:tr>
        <w:trPr>
          <w:trHeight w:val="199"/>
        </w:trPr>
        <w:tc>
          <w:tcPr>
            <w:tcW w:w="9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6,871</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6,593</w:t>
            </w:r>
          </w:p>
        </w:tc>
      </w:tr>
      <w:tr>
        <w:trPr>
          <w:trHeight w:val="193"/>
        </w:trPr>
        <w:tc>
          <w:tcPr>
            <w:tcW w:w="9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Income before taxes</w:t>
            </w:r>
          </w:p>
        </w:tc>
        <w:tc>
          <w:tcPr>
            <w:tcW w:w="16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1,505</w:t>
            </w: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1,861</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371</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413</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1,134</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1,448</w:t>
            </w:r>
          </w:p>
        </w:tc>
      </w:tr>
      <w:tr>
        <w:trPr>
          <w:trHeight w:val="193"/>
        </w:trPr>
        <w:tc>
          <w:tcPr>
            <w:tcW w:w="94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Less: Net income attributable to the noncontrolling interest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1,134</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1,427</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basic</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1.66</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2.05</w:t>
            </w:r>
          </w:p>
        </w:tc>
      </w:tr>
      <w:tr>
        <w:trPr>
          <w:trHeight w:val="196"/>
        </w:trPr>
        <w:tc>
          <w:tcPr>
            <w:tcW w:w="94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1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1.64</w:t>
            </w:r>
          </w:p>
        </w:tc>
        <w:tc>
          <w:tcPr>
            <w:tcW w:w="32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6350</wp:posOffset>
            </wp:positionV>
            <wp:extent cx="1122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r>
      <w:tr>
        <w:trPr>
          <w:trHeight w:val="196"/>
        </w:trPr>
        <w:tc>
          <w:tcPr>
            <w:tcW w:w="9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(Dollars in millions)</w:t>
            </w:r>
          </w:p>
        </w:tc>
      </w:tr>
      <w:tr>
        <w:trPr>
          <w:trHeight w:val="193"/>
        </w:trPr>
        <w:tc>
          <w:tcPr>
            <w:tcW w:w="9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1,134</w:t>
            </w:r>
          </w:p>
        </w:tc>
        <w:tc>
          <w:tcPr>
            <w:tcW w:w="2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1,448</w:t>
            </w:r>
          </w:p>
        </w:tc>
      </w:tr>
      <w:tr>
        <w:trPr>
          <w:trHeight w:val="196"/>
        </w:trPr>
        <w:tc>
          <w:tcPr>
            <w:tcW w:w="94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9"/>
        </w:trPr>
        <w:tc>
          <w:tcPr>
            <w:tcW w:w="9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Foreign exchange translation adjustment</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214</w:t>
            </w:r>
          </w:p>
        </w:tc>
      </w:tr>
      <w:tr>
        <w:trPr>
          <w:trHeight w:val="193"/>
        </w:trPr>
        <w:tc>
          <w:tcPr>
            <w:tcW w:w="9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Prior service (credit) cost recognized</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9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193"/>
        </w:trPr>
        <w:tc>
          <w:tcPr>
            <w:tcW w:w="9480" w:type="dxa"/>
            <w:vAlign w:val="bottom"/>
            <w:tcBorders>
              <w:bottom w:val="single" w:sz="8" w:color="BCBDC0"/>
            </w:tcBorders>
          </w:tcPr>
          <w:p>
            <w:pPr>
              <w:ind w:left="320"/>
              <w:spacing w:after="0"/>
              <w:rPr>
                <w:sz w:val="20"/>
                <w:szCs w:val="20"/>
                <w:color w:val="auto"/>
              </w:rPr>
            </w:pPr>
            <w:r>
              <w:rPr>
                <w:rFonts w:ascii="Arial" w:cs="Arial" w:eastAsia="Arial" w:hAnsi="Arial"/>
                <w:sz w:val="14"/>
                <w:szCs w:val="14"/>
                <w:color w:val="auto"/>
              </w:rPr>
              <w:t>Changes in fair value of available for sale investments</w:t>
            </w:r>
          </w:p>
        </w:tc>
        <w:tc>
          <w:tcPr>
            <w:tcW w:w="14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9480" w:type="dxa"/>
            <w:vAlign w:val="bottom"/>
            <w:tcBorders>
              <w:bottom w:val="single" w:sz="8" w:color="BCBDC0"/>
            </w:tcBorders>
          </w:tcPr>
          <w:p>
            <w:pPr>
              <w:ind w:left="520"/>
              <w:spacing w:after="0"/>
              <w:rPr>
                <w:sz w:val="20"/>
                <w:szCs w:val="20"/>
                <w:color w:val="auto"/>
              </w:rPr>
            </w:pPr>
            <w:r>
              <w:rPr>
                <w:rFonts w:ascii="Arial" w:cs="Arial" w:eastAsia="Arial" w:hAnsi="Arial"/>
                <w:sz w:val="14"/>
                <w:szCs w:val="14"/>
                <w:color w:val="auto"/>
              </w:rPr>
              <w:t>Cash flow hedges recognized in other comprehensive income (loss)</w:t>
            </w:r>
          </w:p>
        </w:tc>
        <w:tc>
          <w:tcPr>
            <w:tcW w:w="1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9480" w:type="dxa"/>
            <w:vAlign w:val="bottom"/>
            <w:tcBorders>
              <w:bottom w:val="single" w:sz="8" w:color="D7282F"/>
            </w:tcBorders>
          </w:tcPr>
          <w:p>
            <w:pPr>
              <w:ind w:left="52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9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Changes in fair value of cash flow hedges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3"/>
        </w:trPr>
        <w:tc>
          <w:tcPr>
            <w:tcW w:w="9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108</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194</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1,642</w:t>
            </w:r>
          </w:p>
        </w:tc>
      </w:tr>
      <w:tr>
        <w:trPr>
          <w:trHeight w:val="193"/>
        </w:trPr>
        <w:tc>
          <w:tcPr>
            <w:tcW w:w="9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280" w:type="dxa"/>
            <w:vAlign w:val="bottom"/>
            <w:tcBorders>
              <w:bottom w:val="single" w:sz="8" w:color="D7282F"/>
            </w:tcBorders>
            <w:gridSpan w:val="3"/>
          </w:tcPr>
          <w:p>
            <w:pPr>
              <w:jc w:val="right"/>
              <w:ind w:right="988"/>
              <w:spacing w:after="0"/>
              <w:rPr>
                <w:sz w:val="20"/>
                <w:szCs w:val="20"/>
                <w:color w:val="auto"/>
              </w:rPr>
            </w:pPr>
            <w:r>
              <w:rPr>
                <w:rFonts w:ascii="Arial" w:cs="Arial" w:eastAsia="Arial" w:hAnsi="Arial"/>
                <w:sz w:val="14"/>
                <w:szCs w:val="14"/>
                <w:b w:val="1"/>
                <w:bCs w:val="1"/>
                <w:color w:val="auto"/>
              </w:rPr>
              <w:t>(Dollars in millions)</w:t>
            </w:r>
          </w:p>
        </w:tc>
      </w:tr>
      <w:tr>
        <w:trPr>
          <w:trHeight w:val="22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BCBDC0"/>
            </w:tcBorders>
          </w:tcPr>
          <w:p>
            <w:pPr>
              <w:spacing w:after="0"/>
              <w:rPr>
                <w:sz w:val="19"/>
                <w:szCs w:val="19"/>
                <w:color w:val="auto"/>
              </w:rPr>
            </w:pPr>
          </w:p>
        </w:tc>
        <w:tc>
          <w:tcPr>
            <w:tcW w:w="154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480" w:type="dxa"/>
            <w:vAlign w:val="bottom"/>
            <w:tcBorders>
              <w:bottom w:val="single" w:sz="8" w:color="BCBDC0"/>
            </w:tcBorders>
          </w:tcPr>
          <w:p>
            <w:pPr>
              <w:spacing w:after="0"/>
              <w:rPr>
                <w:sz w:val="19"/>
                <w:szCs w:val="19"/>
                <w:color w:val="auto"/>
              </w:rPr>
            </w:pPr>
          </w:p>
        </w:tc>
      </w:tr>
      <w:tr>
        <w:trPr>
          <w:trHeight w:val="220"/>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Borders>
              <w:bottom w:val="single" w:sz="8" w:color="BCBDC0"/>
            </w:tcBorders>
          </w:tcPr>
          <w:p>
            <w:pPr>
              <w:spacing w:after="0"/>
              <w:rPr>
                <w:sz w:val="19"/>
                <w:szCs w:val="19"/>
                <w:color w:val="auto"/>
              </w:rPr>
            </w:pPr>
          </w:p>
        </w:tc>
        <w:tc>
          <w:tcPr>
            <w:tcW w:w="154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480" w:type="dxa"/>
            <w:vAlign w:val="bottom"/>
            <w:tcBorders>
              <w:bottom w:val="single" w:sz="8" w:color="BCBDC0"/>
            </w:tcBorders>
          </w:tcPr>
          <w:p>
            <w:pPr>
              <w:spacing w:after="0"/>
              <w:rPr>
                <w:sz w:val="19"/>
                <w:szCs w:val="19"/>
                <w:color w:val="auto"/>
              </w:rPr>
            </w:pP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9,281</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10,959</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493</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receivable, less allowances of $326 and $177, respectively</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7,119</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6,830</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5,472</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5,138</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1,916</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1,881</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24,281</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25,372</w:t>
            </w: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80" w:type="dxa"/>
            <w:vAlign w:val="bottom"/>
            <w:tcBorders>
              <w:bottom w:val="single" w:sz="8" w:color="BCBDC0"/>
            </w:tcBorders>
          </w:tcPr>
          <w:p>
            <w:pPr>
              <w:spacing w:after="0"/>
              <w:rPr>
                <w:sz w:val="16"/>
                <w:szCs w:val="16"/>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1,035</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1,222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Property, plant and equipment - net</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5,470</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5,562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17,863</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17,756</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intangible assets - net</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3,534</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3,613</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Insurance recoveries for asbestos related liabilities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314</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494</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489</w:t>
            </w:r>
          </w:p>
        </w:tc>
      </w:tr>
      <w:tr>
        <w:trPr>
          <w:trHeight w:val="196"/>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10,361</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10,134</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63,352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Borders>
              <w:bottom w:val="single" w:sz="8" w:color="BCBDC0"/>
            </w:tcBorders>
          </w:tcPr>
          <w:p>
            <w:pPr>
              <w:spacing w:after="0"/>
              <w:rPr>
                <w:sz w:val="16"/>
                <w:szCs w:val="16"/>
                <w:color w:val="auto"/>
              </w:rPr>
            </w:pPr>
          </w:p>
        </w:tc>
        <w:tc>
          <w:tcPr>
            <w:tcW w:w="154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spacing w:after="0"/>
              <w:rPr>
                <w:sz w:val="16"/>
                <w:szCs w:val="16"/>
                <w:color w:val="auto"/>
              </w:rPr>
            </w:pP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6,285</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6,484</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Commercial paper and other short-term borrowings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3,526</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3,207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1,803</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Accrued liabilities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7,009</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7,679</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20,027</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19,508</w:t>
            </w: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tcBorders>
              <w:bottom w:val="single" w:sz="8" w:color="BCBDC0"/>
            </w:tcBorders>
          </w:tcPr>
          <w:p>
            <w:pPr>
              <w:spacing w:after="0"/>
              <w:rPr>
                <w:sz w:val="16"/>
                <w:szCs w:val="16"/>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12,636</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14,254</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2,387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2,364</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220</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1,807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1,800</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7,217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7,087</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Capital - common stock issued</w:t>
            </w:r>
          </w:p>
        </w:tc>
        <w:tc>
          <w:tcPr>
            <w:tcW w:w="180" w:type="dxa"/>
            <w:vAlign w:val="bottom"/>
            <w:tcBorders>
              <w:bottom w:val="single" w:sz="8" w:color="BCBDC0"/>
            </w:tcBorders>
          </w:tcPr>
          <w:p>
            <w:pPr>
              <w:spacing w:after="0"/>
              <w:rPr>
                <w:sz w:val="16"/>
                <w:szCs w:val="16"/>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780" w:type="dxa"/>
            <w:vAlign w:val="bottom"/>
            <w:tcBorders>
              <w:bottom w:val="single" w:sz="8" w:color="BCBDC0"/>
            </w:tcBorders>
          </w:tcPr>
          <w:p>
            <w:pPr>
              <w:ind w:left="560"/>
              <w:spacing w:after="0"/>
              <w:rPr>
                <w:sz w:val="20"/>
                <w:szCs w:val="20"/>
                <w:color w:val="auto"/>
              </w:rPr>
            </w:pPr>
            <w:r>
              <w:rPr>
                <w:rFonts w:ascii="Arial" w:cs="Arial" w:eastAsia="Arial" w:hAnsi="Arial"/>
                <w:sz w:val="14"/>
                <w:szCs w:val="14"/>
                <w:color w:val="auto"/>
              </w:rPr>
              <w:t>- additional paid-in capital</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8,326</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8,141</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(31,420)</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(30,462)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BCBDC0"/>
            </w:tcBorders>
          </w:tcPr>
          <w:p>
            <w:pPr>
              <w:spacing w:after="0"/>
              <w:rPr>
                <w:sz w:val="17"/>
                <w:szCs w:val="17"/>
                <w:color w:val="auto"/>
              </w:rPr>
            </w:pPr>
          </w:p>
        </w:tc>
        <w:tc>
          <w:tcPr>
            <w:tcW w:w="15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(2,787)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43,288</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42,827</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Honeywell shareowners’ equity</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18,365</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18,569</w:t>
            </w:r>
          </w:p>
        </w:tc>
      </w:tr>
      <w:tr>
        <w:trPr>
          <w:trHeight w:val="193"/>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D7282F"/>
            </w:tcBorders>
          </w:tcPr>
          <w:p>
            <w:pPr>
              <w:spacing w:after="0"/>
              <w:rPr>
                <w:sz w:val="16"/>
                <w:szCs w:val="16"/>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686</w:t>
            </w:r>
          </w:p>
        </w:tc>
        <w:tc>
          <w:tcPr>
            <w:tcW w:w="260" w:type="dxa"/>
            <w:vAlign w:val="bottom"/>
            <w:tcBorders>
              <w:bottom w:val="single" w:sz="8" w:color="D7282F"/>
            </w:tcBorders>
          </w:tcPr>
          <w:p>
            <w:pPr>
              <w:spacing w:after="0"/>
              <w:rPr>
                <w:sz w:val="16"/>
                <w:szCs w:val="16"/>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673</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shareowners’ equity</w:t>
            </w:r>
          </w:p>
        </w:tc>
        <w:tc>
          <w:tcPr>
            <w:tcW w:w="18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19,051</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19,242</w:t>
            </w:r>
          </w:p>
        </w:tc>
      </w:tr>
      <w:tr>
        <w:trPr>
          <w:trHeight w:val="196"/>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63,352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42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6"/>
        </w:trPr>
        <w:tc>
          <w:tcPr>
            <w:tcW w:w="84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3"/>
          </w:tcPr>
          <w:p>
            <w:pPr>
              <w:jc w:val="right"/>
              <w:ind w:right="66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1,134</w:t>
            </w:r>
          </w:p>
        </w:tc>
        <w:tc>
          <w:tcPr>
            <w:tcW w:w="42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1,448</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Less: Net income attributable to the noncontrolling interest</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1,134</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1,427</w:t>
            </w:r>
          </w:p>
        </w:tc>
      </w:tr>
      <w:tr>
        <w:trPr>
          <w:trHeight w:val="193"/>
        </w:trPr>
        <w:tc>
          <w:tcPr>
            <w:tcW w:w="842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220" w:type="dxa"/>
            <w:vAlign w:val="bottom"/>
            <w:tcBorders>
              <w:bottom w:val="single" w:sz="8" w:color="BCBDC0"/>
            </w:tcBorders>
          </w:tcPr>
          <w:p>
            <w:pPr>
              <w:spacing w:after="0"/>
              <w:rPr>
                <w:sz w:val="16"/>
                <w:szCs w:val="16"/>
                <w:color w:val="auto"/>
              </w:rPr>
            </w:pPr>
          </w:p>
        </w:tc>
        <w:tc>
          <w:tcPr>
            <w:tcW w:w="118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spacing w:after="0"/>
              <w:rPr>
                <w:sz w:val="16"/>
                <w:szCs w:val="16"/>
                <w:color w:val="auto"/>
              </w:rPr>
            </w:pP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Depreciation</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163</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Gain on sale of non-strategic businesses and assets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Repositioning and other charges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387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Net payments for repositioning and other charges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(195)</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income</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(261)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(293)</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benefit payments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Stock compensation expense</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(96)</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receivable</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(285)</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143</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(331)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(199)</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8420" w:type="dxa"/>
            <w:vAlign w:val="bottom"/>
            <w:tcBorders>
              <w:bottom w:val="single" w:sz="8" w:color="D7282F"/>
            </w:tcBorders>
          </w:tcPr>
          <w:p>
            <w:pPr>
              <w:ind w:left="680"/>
              <w:spacing w:after="0"/>
              <w:rPr>
                <w:sz w:val="20"/>
                <w:szCs w:val="20"/>
                <w:color w:val="auto"/>
              </w:rPr>
            </w:pPr>
            <w:r>
              <w:rPr>
                <w:rFonts w:ascii="Arial" w:cs="Arial" w:eastAsia="Arial" w:hAnsi="Arial"/>
                <w:sz w:val="14"/>
                <w:szCs w:val="14"/>
                <w:color w:val="auto"/>
              </w:rPr>
              <w:t>Accrued liabilities</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(602)</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(359)</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978</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Expenditures for property, plant and equipment</w:t>
            </w:r>
          </w:p>
        </w:tc>
        <w:tc>
          <w:tcPr>
            <w:tcW w:w="220" w:type="dxa"/>
            <w:vAlign w:val="bottom"/>
            <w:tcBorders>
              <w:bottom w:val="single" w:sz="8" w:color="BCBDC0"/>
            </w:tcBorders>
          </w:tcPr>
          <w:p>
            <w:pPr>
              <w:spacing w:after="0"/>
              <w:rPr>
                <w:sz w:val="16"/>
                <w:szCs w:val="16"/>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(183)</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disposals of property, plant and equipment</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Increase in investments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(223)</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Decrease in investments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304</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612</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from Garrett Motion Inc.</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(payments) from settlements of derivative contracts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paid for acquisitions, net of cash acquired</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(176)</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(1,303)</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Proceeds from sales of businesses, net of fees paid</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190</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used for investing activities</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(1,304)</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220" w:type="dxa"/>
            <w:vAlign w:val="bottom"/>
            <w:tcBorders>
              <w:bottom w:val="single" w:sz="8" w:color="BCBDC0"/>
            </w:tcBorders>
          </w:tcPr>
          <w:p>
            <w:pPr>
              <w:spacing w:after="0"/>
              <w:rPr>
                <w:sz w:val="16"/>
                <w:szCs w:val="16"/>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1,228</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1,268</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commercial paper and other short-term borrowings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(1,228)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(1,266)</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67</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long-term debt</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(817)</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Repurchases of common stock</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(1,018)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(822)</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dividends paid</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(668)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(640)</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used for financing activities</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(1,719)</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(2,217)</w:t>
            </w:r>
          </w:p>
        </w:tc>
      </w:tr>
      <w:tr>
        <w:trPr>
          <w:trHeight w:val="193"/>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20" w:type="dxa"/>
            <w:vAlign w:val="bottom"/>
            <w:tcBorders>
              <w:bottom w:val="single" w:sz="8" w:color="BCBDC0"/>
            </w:tcBorders>
          </w:tcPr>
          <w:p>
            <w:pPr>
              <w:spacing w:after="0"/>
              <w:rPr>
                <w:sz w:val="16"/>
                <w:szCs w:val="16"/>
                <w:color w:val="auto"/>
              </w:rPr>
            </w:pPr>
          </w:p>
        </w:tc>
        <w:tc>
          <w:tcPr>
            <w:tcW w:w="11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tcBorders>
              <w:bottom w:val="single" w:sz="8" w:color="BCBDC0"/>
            </w:tcBorders>
          </w:tcPr>
          <w:p>
            <w:pPr>
              <w:spacing w:after="0"/>
              <w:rPr>
                <w:sz w:val="17"/>
                <w:szCs w:val="17"/>
                <w:color w:val="auto"/>
              </w:rPr>
            </w:pPr>
          </w:p>
        </w:tc>
        <w:tc>
          <w:tcPr>
            <w:tcW w:w="11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(1,678)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(2,557)</w:t>
            </w:r>
          </w:p>
        </w:tc>
      </w:tr>
      <w:tr>
        <w:trPr>
          <w:trHeight w:val="196"/>
        </w:trPr>
        <w:tc>
          <w:tcPr>
            <w:tcW w:w="8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10,959</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14,275</w:t>
            </w:r>
          </w:p>
        </w:tc>
      </w:tr>
      <w:tr>
        <w:trPr>
          <w:trHeight w:val="196"/>
        </w:trPr>
        <w:tc>
          <w:tcPr>
            <w:tcW w:w="8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9,281</w:t>
            </w: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11,718</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D7282F"/>
            </w:tcBorders>
          </w:tcPr>
          <w:p>
            <w:pPr>
              <w:spacing w:after="0"/>
              <w:rPr>
                <w:sz w:val="17"/>
                <w:szCs w:val="17"/>
                <w:color w:val="auto"/>
              </w:rPr>
            </w:pPr>
          </w:p>
        </w:tc>
      </w:tr>
      <w:tr>
        <w:trPr>
          <w:trHeight w:val="196"/>
        </w:trPr>
        <w:tc>
          <w:tcPr>
            <w:tcW w:w="7480" w:type="dxa"/>
            <w:vAlign w:val="bottom"/>
          </w:tcPr>
          <w:p>
            <w:pPr>
              <w:spacing w:after="0"/>
              <w:rPr>
                <w:sz w:val="17"/>
                <w:szCs w:val="17"/>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D7282F"/>
            </w:tcBorders>
          </w:tcPr>
          <w:p>
            <w:pPr>
              <w:spacing w:after="0"/>
              <w:rPr>
                <w:sz w:val="17"/>
                <w:szCs w:val="17"/>
                <w:color w:val="auto"/>
              </w:rPr>
            </w:pPr>
          </w:p>
        </w:tc>
      </w:tr>
      <w:tr>
        <w:trPr>
          <w:trHeight w:val="196"/>
        </w:trPr>
        <w:tc>
          <w:tcPr>
            <w:tcW w:w="7480" w:type="dxa"/>
            <w:vAlign w:val="bottom"/>
          </w:tcPr>
          <w:p>
            <w:pPr>
              <w:spacing w:after="0"/>
              <w:rPr>
                <w:sz w:val="17"/>
                <w:szCs w:val="17"/>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209"/>
        </w:trPr>
        <w:tc>
          <w:tcPr>
            <w:tcW w:w="7480" w:type="dxa"/>
            <w:vAlign w:val="bottom"/>
            <w:tcBorders>
              <w:bottom w:val="single" w:sz="8" w:color="D7282F"/>
            </w:tcBorders>
          </w:tcPr>
          <w:p>
            <w:pPr>
              <w:spacing w:after="0"/>
              <w:rPr>
                <w:sz w:val="18"/>
                <w:szCs w:val="18"/>
                <w:color w:val="auto"/>
              </w:rPr>
            </w:pPr>
          </w:p>
        </w:tc>
        <w:tc>
          <w:tcPr>
            <w:tcW w:w="3760" w:type="dxa"/>
            <w:vAlign w:val="bottom"/>
            <w:tcBorders>
              <w:bottom w:val="single" w:sz="8" w:color="D7282F"/>
            </w:tcBorders>
            <w:gridSpan w:val="4"/>
          </w:tcPr>
          <w:p>
            <w:pPr>
              <w:jc w:val="right"/>
              <w:ind w:right="468"/>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8,141</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7,292</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116</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8,326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7,505</w:t>
            </w:r>
          </w:p>
        </w:tc>
      </w:tr>
      <w:tr>
        <w:trPr>
          <w:trHeight w:val="199"/>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(272.8)</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(30,462)</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(260.8)</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(27,229)</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(5.5)</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(1,018)</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(4.0)</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(822)</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1.4</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(276.9)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(31,420)</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(263.0)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(27,975)</w:t>
            </w:r>
          </w:p>
        </w:tc>
      </w:tr>
      <w:tr>
        <w:trPr>
          <w:trHeight w:val="199"/>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42,827</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39,905</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1,134</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1,427</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(673)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43,288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40,682</w:t>
            </w:r>
          </w:p>
        </w:tc>
      </w:tr>
      <w:tr>
        <w:trPr>
          <w:trHeight w:val="199"/>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(2,895)</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(3,377)</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126</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213</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(17)</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(6)</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(2,787)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(3,184)</w:t>
            </w:r>
          </w:p>
        </w:tc>
      </w:tr>
      <w:tr>
        <w:trPr>
          <w:trHeight w:val="199"/>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673</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686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266</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680.7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19,051</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694.6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18,252</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0.980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consisting only of normal recurring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has been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months ended March 31, 2022, and March 31, 2021, were April 2, 2022, and April 3,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accounting policies of the Company are set forth in Note 1 to the Company's Consolidated Financial Statements contained in the Company’s 2021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have been reclassified to conform to the current year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expand the scope of this guidance to include derivatives. The guidance was effective upon issuance and may be applied prospectively to contract modifications made and hedging relationships entered into on or before December 31, 2022. The Company will apply the guidance to impacted transactions during the transition period. The adoption of this standard does not have a material impact on the Company’s Consolidated Financial Statements.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 Inc., a leading provider of technologies for first responders, for total consideration of $184 million. The business is included within the Honeywell Building Technologies segment. The assets and liabilities acquired with US Digital Designs, Inc. are included in the Consolidated Balance Sheet as of March 31, 2022, including $47 million of intangible assets and $133 million allocated to goodwill, which is deductible for tax purposes. The purchase accounting is subject to final adjustment, primarily for the valuation of intangible assets, amounts allocated to goodwill, and tax balances.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2022, there were no significant divestitures that closed individually or in the aggregate.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2022, the Company had no material adjustments for acquisitions or divestitures completed during 2021. See Note 2 Acquisitions and Divestitures of Notes to Consolidated Financial Statements in the Company's 2021 Annual Report on Form 10-K for discussion of acquisitions and divestitures during 2021.</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generates revenue from a comprehensive offering of products and services, including software and technologies, that are sold to a variety of customers in multiple end markets. See the following table and related discussions by operating segment for details.</w:t>
      </w:r>
    </w:p>
    <w:p>
      <w:pPr>
        <w:spacing w:after="0" w:line="7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6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5"/>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Original Equipment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478</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431</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Aftermarket</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1,168</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910</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Defense and Space</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1,291</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2,749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2,632</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879</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784</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Building Solutions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574</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1,358</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UOP</w:t>
            </w: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480</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527</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Process Solutions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1,152</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1,096</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Advanced Materials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821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723</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2,453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2,346</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Retail</w:t>
            </w: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511</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743</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Productivity Solutions and Services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391</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346</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Warehouse and Workflow Solutions</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599</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831</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Advanced Sensing Technologies</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198</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1,744</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2,118</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8,376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8,454</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OEM and other customers in a variety of end markets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Safety products include PPE, apparel, gear, and footwear;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segment, refer to Note 17 Segment Financial Data.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 from performance obligations to customers that are satisfied at a point in time and over time. The disaggregation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revenue based off timing of recognition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Pr>
          <w:p>
            <w:pPr>
              <w:spacing w:after="0"/>
              <w:rPr>
                <w:sz w:val="17"/>
                <w:szCs w:val="17"/>
                <w:color w:val="auto"/>
              </w:rPr>
            </w:pPr>
          </w:p>
        </w:tc>
        <w:tc>
          <w:tcPr>
            <w:tcW w:w="22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900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93"/>
        </w:trPr>
        <w:tc>
          <w:tcPr>
            <w:tcW w:w="90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320" w:type="dxa"/>
            <w:vAlign w:val="bottom"/>
            <w:tcBorders>
              <w:bottom w:val="single" w:sz="8" w:color="BCBDC0"/>
            </w:tcBorders>
          </w:tcPr>
          <w:p>
            <w:pPr>
              <w:jc w:val="right"/>
              <w:ind w:right="148"/>
              <w:spacing w:after="0"/>
              <w:rPr>
                <w:sz w:val="20"/>
                <w:szCs w:val="20"/>
                <w:color w:val="auto"/>
              </w:rPr>
            </w:pPr>
            <w:r>
              <w:rPr>
                <w:rFonts w:ascii="Arial" w:cs="Arial" w:eastAsia="Arial" w:hAnsi="Arial"/>
                <w:sz w:val="14"/>
                <w:szCs w:val="14"/>
                <w:color w:val="auto"/>
              </w:rPr>
              <w:t>59 %</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r>
      <w:tr>
        <w:trPr>
          <w:trHeight w:val="199"/>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product sales</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73</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76</w:t>
            </w:r>
          </w:p>
        </w:tc>
      </w:tr>
      <w:tr>
        <w:trPr>
          <w:trHeight w:val="193"/>
        </w:trPr>
        <w:tc>
          <w:tcPr>
            <w:tcW w:w="90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320" w:type="dxa"/>
            <w:vAlign w:val="bottom"/>
            <w:tcBorders>
              <w:bottom w:val="single" w:sz="8" w:color="BCBDC0"/>
            </w:tcBorders>
          </w:tcPr>
          <w:p>
            <w:pPr>
              <w:jc w:val="right"/>
              <w:ind w:right="308"/>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r>
      <w:tr>
        <w:trPr>
          <w:trHeight w:val="196"/>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r>
      <w:tr>
        <w:trPr>
          <w:trHeight w:val="199"/>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service sales</w:t>
            </w:r>
          </w:p>
        </w:tc>
        <w:tc>
          <w:tcPr>
            <w:tcW w:w="13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r>
      <w:tr>
        <w:trPr>
          <w:trHeight w:val="196"/>
        </w:trPr>
        <w:tc>
          <w:tcPr>
            <w:tcW w:w="90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3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assets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2,060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1,618</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 - March 31</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2,170</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1,789</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171</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liabilities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(4,290)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(4,033)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 - March 31</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(4,323)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(3,994)</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liabilities - decrease (increase)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change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6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three months ended March 31, 2022 and 2021, the Company recognized revenue of $927 and $1,120 million that was previously included in the beginning balance of contract liabilities.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Contract assets include $2,143 million and $2,035 million of unbilled balances under long-term contracts as of March 31, 2022 and December 31, 2021,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20" w:type="dxa"/>
            <w:vAlign w:val="bottom"/>
          </w:tcPr>
          <w:p>
            <w:pPr>
              <w:jc w:val="center"/>
              <w:ind w:left="2344"/>
              <w:spacing w:after="0"/>
              <w:rPr>
                <w:sz w:val="20"/>
                <w:szCs w:val="20"/>
                <w:color w:val="auto"/>
              </w:rPr>
            </w:pPr>
            <w:r>
              <w:rPr>
                <w:rFonts w:ascii="Arial" w:cs="Arial" w:eastAsia="Arial" w:hAnsi="Arial"/>
                <w:sz w:val="16"/>
                <w:szCs w:val="16"/>
                <w:b w:val="1"/>
                <w:bCs w:val="1"/>
                <w:color w:val="auto"/>
              </w:rPr>
              <w:t>HONEYWELL INTERNATIONAL INC.</w:t>
            </w: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8820" w:type="dxa"/>
            <w:vAlign w:val="bottom"/>
          </w:tcPr>
          <w:p>
            <w:pPr>
              <w:jc w:val="center"/>
              <w:ind w:left="2344"/>
              <w:spacing w:after="0"/>
              <w:rPr>
                <w:sz w:val="20"/>
                <w:szCs w:val="20"/>
                <w:color w:val="auto"/>
              </w:rPr>
            </w:pPr>
            <w:r>
              <w:rPr>
                <w:rFonts w:ascii="Arial" w:cs="Arial" w:eastAsia="Arial" w:hAnsi="Arial"/>
                <w:sz w:val="16"/>
                <w:szCs w:val="16"/>
                <w:b w:val="1"/>
                <w:bCs w:val="1"/>
                <w:color w:val="auto"/>
              </w:rPr>
              <w:t>NOTES TO CONSOLIDATED FINANCIAL STATEMENTS</w:t>
            </w: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820" w:type="dxa"/>
            <w:vAlign w:val="bottom"/>
          </w:tcPr>
          <w:p>
            <w:pPr>
              <w:jc w:val="center"/>
              <w:ind w:left="2364"/>
              <w:spacing w:after="0"/>
              <w:rPr>
                <w:sz w:val="20"/>
                <w:szCs w:val="20"/>
                <w:color w:val="auto"/>
              </w:rPr>
            </w:pPr>
            <w:r>
              <w:rPr>
                <w:rFonts w:ascii="Arial" w:cs="Arial" w:eastAsia="Arial" w:hAnsi="Arial"/>
                <w:sz w:val="16"/>
                <w:szCs w:val="16"/>
                <w:b w:val="1"/>
                <w:bCs w:val="1"/>
                <w:color w:val="auto"/>
              </w:rPr>
              <w:t>(Unaudited)</w:t>
            </w: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8820" w:type="dxa"/>
            <w:vAlign w:val="bottom"/>
          </w:tcPr>
          <w:p>
            <w:pPr>
              <w:jc w:val="center"/>
              <w:ind w:left="236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613"/>
        </w:trPr>
        <w:tc>
          <w:tcPr>
            <w:tcW w:w="882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segment:</w:t>
            </w: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9"/>
        </w:trPr>
        <w:tc>
          <w:tcPr>
            <w:tcW w:w="8820" w:type="dxa"/>
            <w:vAlign w:val="bottom"/>
            <w:tcBorders>
              <w:bottom w:val="single" w:sz="8" w:color="D7282F"/>
            </w:tcBorders>
          </w:tcPr>
          <w:p>
            <w:pPr>
              <w:spacing w:after="0"/>
              <w:rPr>
                <w:sz w:val="24"/>
                <w:szCs w:val="24"/>
                <w:color w:val="auto"/>
              </w:rPr>
            </w:pPr>
          </w:p>
        </w:tc>
        <w:tc>
          <w:tcPr>
            <w:tcW w:w="242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March 31, 2022</w:t>
            </w:r>
          </w:p>
        </w:tc>
      </w:tr>
      <w:tr>
        <w:trPr>
          <w:trHeight w:val="196"/>
        </w:trPr>
        <w:tc>
          <w:tcPr>
            <w:tcW w:w="8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Aerospace</w:t>
            </w:r>
          </w:p>
        </w:tc>
        <w:tc>
          <w:tcPr>
            <w:tcW w:w="1520" w:type="dxa"/>
            <w:vAlign w:val="bottom"/>
            <w:tcBorders>
              <w:bottom w:val="single" w:sz="8" w:color="939598"/>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10,211</w:t>
            </w:r>
          </w:p>
        </w:tc>
      </w:tr>
      <w:tr>
        <w:trPr>
          <w:trHeight w:val="196"/>
        </w:trPr>
        <w:tc>
          <w:tcPr>
            <w:tcW w:w="8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152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7,177</w:t>
            </w:r>
          </w:p>
        </w:tc>
      </w:tr>
      <w:tr>
        <w:trPr>
          <w:trHeight w:val="196"/>
        </w:trPr>
        <w:tc>
          <w:tcPr>
            <w:tcW w:w="8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152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7,245</w:t>
            </w:r>
          </w:p>
        </w:tc>
      </w:tr>
      <w:tr>
        <w:trPr>
          <w:trHeight w:val="196"/>
        </w:trPr>
        <w:tc>
          <w:tcPr>
            <w:tcW w:w="8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1520" w:type="dxa"/>
            <w:vAlign w:val="bottom"/>
            <w:tcBorders>
              <w:bottom w:val="single" w:sz="8" w:color="939598"/>
            </w:tcBorders>
          </w:tcPr>
          <w:p>
            <w:pPr>
              <w:spacing w:after="0"/>
              <w:rPr>
                <w:sz w:val="17"/>
                <w:szCs w:val="17"/>
                <w:color w:val="auto"/>
              </w:rPr>
            </w:pP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3,861</w:t>
            </w:r>
          </w:p>
        </w:tc>
      </w:tr>
      <w:tr>
        <w:trPr>
          <w:trHeight w:val="196"/>
        </w:trPr>
        <w:tc>
          <w:tcPr>
            <w:tcW w:w="8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15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8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Performance Obligations</w:t>
            </w:r>
          </w:p>
        </w:tc>
        <w:tc>
          <w:tcPr>
            <w:tcW w:w="15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28,495</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(1) The remaining performance obligations within Corporate and All Other relate to the Quantinuum business.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Performance obligations recognized as of March 31, 2022,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59% and 41%, respectively.</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repositioning and other charges follows:</w:t>
      </w:r>
    </w:p>
    <w:p>
      <w:pPr>
        <w:spacing w:after="0" w:line="160"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D7282F"/>
              <w:bottom w:val="single" w:sz="8" w:color="D7282F"/>
            </w:tcBorders>
          </w:tcPr>
          <w:p>
            <w:pPr>
              <w:spacing w:after="0"/>
              <w:rPr>
                <w:sz w:val="17"/>
                <w:szCs w:val="17"/>
                <w:color w:val="auto"/>
              </w:rPr>
            </w:pP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Severance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Asset impairments</w:t>
            </w:r>
          </w:p>
        </w:tc>
        <w:tc>
          <w:tcPr>
            <w:tcW w:w="68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Exit costs</w:t>
            </w:r>
          </w:p>
        </w:tc>
        <w:tc>
          <w:tcPr>
            <w:tcW w:w="68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120</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 related litigation charges, net of insurance and reimbursements</w:t>
            </w:r>
          </w:p>
        </w:tc>
        <w:tc>
          <w:tcPr>
            <w:tcW w:w="680" w:type="dxa"/>
            <w:vAlign w:val="bottom"/>
            <w:tcBorders>
              <w:bottom w:val="single" w:sz="8" w:color="BCBDC0"/>
            </w:tcBorders>
          </w:tcPr>
          <w:p>
            <w:pPr>
              <w:spacing w:after="0"/>
              <w:rPr>
                <w:sz w:val="16"/>
                <w:szCs w:val="16"/>
                <w:color w:val="auto"/>
              </w:rPr>
            </w:pPr>
          </w:p>
        </w:tc>
        <w:tc>
          <w:tcPr>
            <w:tcW w:w="4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8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w:t>
      </w:r>
    </w:p>
    <w:p>
      <w:pPr>
        <w:spacing w:after="0" w:line="160"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199</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9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pretax impact of total net repositioning and other charges by segment. These amounts are excluded from segment profit as described in Note 17 Segment Financial Data:</w:t>
      </w:r>
    </w:p>
    <w:p>
      <w:pPr>
        <w:spacing w:after="0" w:line="187"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2"/>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159</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w:t>
            </w:r>
          </w:p>
        </w:tc>
      </w:tr>
      <w:tr>
        <w:trPr>
          <w:trHeight w:val="199"/>
        </w:trPr>
        <w:tc>
          <w:tcPr>
            <w:tcW w:w="9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three months ended March 31, 2022, the Company recognized gross repositioning charges totaling $147 million, primarily related to closing and relocating the production of certain respiratory manufacturing from a U.S.-based facility to a non-U.S. facility.</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repositioning charges include asset impairments of $123 million primarily related to the write-down of certain manufacturing equipment, and exit costs of $17 million primarily for current period costs incurred for previously approved repositioning projects, closure obligations associated with site transitions, and lease obligations for equipment. These charges also include severance costs of $7 million related to workforce reductions of 1,196 manufacturing and administrative positions across all of the Company's segments.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Further, during the three months ended March 31, 2022, Selling, general and administrative expenses on the Consolidated Statement of Operations and within Other charges on the table above included $183 million of reserves against outstanding accounts receivable, contract assets, and impairments of other assets due to the suspension of substantially all of the Company's sales, distribution and service activities in Russia and Belarus, sanctions, and deteriorating trade relations in Russia due to the Russia-Ukraine conflict. Based on available information to date, the Company’s estimate of potential future impairments on the Company's businesses in Russia would not be material with respect to the Company's consolidated financial position.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2021, the Company recognized gross repositioning charges totaling $119 million including severance costs of $28 million related to workforce reductions of 1,021 manufacturing and administrative positions mainly in the Company's Aerospace and Safety and Productivity Solutions segments. The workforce reductions were primarily related to site transitions, mainly in Aerospace, to more cost-effective locations and to the Company's productivity and ongoing functional transformation initiatives. The repositioning charge included asset impairments of $42 million primarily related to the write-down of certain manufacturing and other equipment due to their planned disposition. The repositioning charge included exit costs of $49 million primarily for closure obligations associated with site transitions, lease exit obligations for certain equipment in Corporate and current period exit costs incurred for previously approved repositioning projects.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4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Exit</w:t>
            </w:r>
          </w:p>
        </w:tc>
        <w:tc>
          <w:tcPr>
            <w:tcW w:w="260" w:type="dxa"/>
            <w:vAlign w:val="bottom"/>
          </w:tcPr>
          <w:p>
            <w:pPr>
              <w:spacing w:after="0"/>
              <w:rPr>
                <w:sz w:val="14"/>
                <w:szCs w:val="14"/>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D7282F"/>
            </w:tcBorders>
          </w:tcPr>
          <w:p>
            <w:pPr>
              <w:spacing w:after="0"/>
              <w:rPr>
                <w:sz w:val="16"/>
                <w:szCs w:val="16"/>
                <w:color w:val="auto"/>
              </w:rPr>
            </w:pPr>
          </w:p>
        </w:tc>
        <w:tc>
          <w:tcPr>
            <w:tcW w:w="258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116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Costs</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Charges</w:t>
            </w:r>
          </w:p>
        </w:tc>
        <w:tc>
          <w:tcPr>
            <w:tcW w:w="258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cash</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noncash</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5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2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three months ended March 31, 2022 and 2021, were $11 million and $10 million,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was higher than the U.S. federal statutory rate of 21% and increased during 2022 compared to 2021 primarily due to the accrual of reserves against outstanding accounts receivable, contract assets, and impairments of other assets due to the suspension of substantially all of the Company's sales, distribution, and service activities in Russia and Belarus with no corresponding tax benefit, lower tax benefits for employee share-based compensation, and incremental tax reserves and state taxes, partially offset by the favorable resolution of certain foreign tax matters.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March 31, 2022</w:t>
            </w:r>
          </w:p>
        </w:tc>
        <w:tc>
          <w:tcPr>
            <w:tcW w:w="17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Raw materials</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1,556</w:t>
            </w:r>
          </w:p>
        </w:tc>
        <w:tc>
          <w:tcPr>
            <w:tcW w:w="82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1,352</w:t>
            </w:r>
          </w:p>
        </w:tc>
      </w:tr>
      <w:tr>
        <w:trPr>
          <w:trHeight w:val="196"/>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Work in process</w:t>
            </w:r>
          </w:p>
        </w:tc>
        <w:tc>
          <w:tcPr>
            <w:tcW w:w="120" w:type="dxa"/>
            <w:vAlign w:val="bottom"/>
            <w:tcBorders>
              <w:bottom w:val="single" w:sz="8" w:color="BCBDC0"/>
            </w:tcBorders>
          </w:tcPr>
          <w:p>
            <w:pPr>
              <w:spacing w:after="0"/>
              <w:rPr>
                <w:sz w:val="17"/>
                <w:szCs w:val="17"/>
                <w:color w:val="auto"/>
              </w:rPr>
            </w:pPr>
          </w:p>
        </w:tc>
        <w:tc>
          <w:tcPr>
            <w:tcW w:w="14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861</w:t>
            </w:r>
          </w:p>
        </w:tc>
      </w:tr>
      <w:tr>
        <w:trPr>
          <w:trHeight w:val="196"/>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2,958</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2,925</w:t>
            </w:r>
          </w:p>
        </w:tc>
      </w:tr>
      <w:tr>
        <w:trPr>
          <w:trHeight w:val="199"/>
        </w:trPr>
        <w:tc>
          <w:tcPr>
            <w:tcW w:w="7980" w:type="dxa"/>
            <w:vAlign w:val="bottom"/>
            <w:tcBorders>
              <w:bottom w:val="single" w:sz="8" w:color="DC202E"/>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5,472</w:t>
            </w:r>
          </w:p>
        </w:tc>
        <w:tc>
          <w:tcPr>
            <w:tcW w:w="820" w:type="dxa"/>
            <w:vAlign w:val="bottom"/>
            <w:tcBorders>
              <w:bottom w:val="single" w:sz="8" w:color="DC202E"/>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5,138</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March 31, 2022</w:t>
            </w:r>
          </w:p>
        </w:tc>
        <w:tc>
          <w:tcPr>
            <w:tcW w:w="16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0.483% notes due 2022</w:t>
            </w:r>
          </w:p>
        </w:tc>
        <w:tc>
          <w:tcPr>
            <w:tcW w:w="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500</w:t>
            </w:r>
          </w:p>
        </w:tc>
        <w:tc>
          <w:tcPr>
            <w:tcW w:w="680" w:type="dxa"/>
            <w:vAlign w:val="bottom"/>
            <w:tcBorders>
              <w:bottom w:val="single" w:sz="8" w:color="BCBDC0"/>
            </w:tcBorders>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2.15% notes due 2022</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Floating rate notes due 2022</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1.30% Euro notes due 2023</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1,381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3.35% notes due 2023</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0.00% Euro notes due 2024</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552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2.30% notes due 2024</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1.35% notes due 2025</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2.50% notes due 2026</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1.10% notes due 2027</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2.25% Euro notes due 2028</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829</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849</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2.70% notes due 2029</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1.95% notes due 2030</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1.75% notes due 2031</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0.75% Euro notes due 2032</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552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2036</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441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2037</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462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5.375% notes due 2041</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417</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3.812% notes due 2047</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445</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2.80% notes due 2050</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6.625% debentures due 2028</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201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9.065% debentures due 2033</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(including capitalized leases), 7.8% weighted average interest rate maturing at various dates through 2026</w:t>
            </w: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197</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332</w:t>
            </w:r>
          </w:p>
        </w:tc>
      </w:tr>
      <w:tr>
        <w:trPr>
          <w:trHeight w:val="196"/>
        </w:trPr>
        <w:tc>
          <w:tcPr>
            <w:tcW w:w="7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50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(207)</w:t>
            </w:r>
          </w:p>
        </w:tc>
        <w:tc>
          <w:tcPr>
            <w:tcW w:w="68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7600" w:type="dxa"/>
            <w:vAlign w:val="bottom"/>
            <w:tcBorders>
              <w:bottom w:val="single" w:sz="8" w:color="BCBDC0"/>
            </w:tcBorders>
          </w:tcPr>
          <w:p>
            <w:pPr>
              <w:spacing w:after="0"/>
              <w:rPr>
                <w:sz w:val="17"/>
                <w:szCs w:val="17"/>
                <w:color w:val="auto"/>
              </w:rPr>
            </w:pPr>
          </w:p>
        </w:tc>
        <w:tc>
          <w:tcPr>
            <w:tcW w:w="50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b w:val="1"/>
                <w:bCs w:val="1"/>
                <w:color w:val="auto"/>
              </w:rPr>
              <w:t>15,843</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b w:val="1"/>
                <w:bCs w:val="1"/>
                <w:color w:val="auto"/>
              </w:rPr>
              <w:t>16,057</w:t>
            </w:r>
          </w:p>
        </w:tc>
      </w:tr>
      <w:tr>
        <w:trPr>
          <w:trHeight w:val="193"/>
        </w:trPr>
        <w:tc>
          <w:tcPr>
            <w:tcW w:w="7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Less-current portion</w:t>
            </w:r>
          </w:p>
        </w:tc>
        <w:tc>
          <w:tcPr>
            <w:tcW w:w="50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(3,207)</w:t>
            </w:r>
          </w:p>
        </w:tc>
        <w:tc>
          <w:tcPr>
            <w:tcW w:w="6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(1,803)</w:t>
            </w:r>
          </w:p>
        </w:tc>
      </w:tr>
      <w:tr>
        <w:trPr>
          <w:trHeight w:val="199"/>
        </w:trPr>
        <w:tc>
          <w:tcPr>
            <w:tcW w:w="760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12,636</w:t>
            </w:r>
          </w:p>
        </w:tc>
        <w:tc>
          <w:tcPr>
            <w:tcW w:w="6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14,254</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16, 2021, the Company issued $1.0 billion 1.10% Senior Notes due 2027 and $1.5 billion 1.75% Senior Notes due 2031 (collectively, the Notes). The Company may redeem the Notes at any time, and from time to time, in whole or in part, at the Company's option at the applicable make-whole redemption price. The Notes are senior unsecured and unsubordinated obligations of the Company and rank equally with each other and with all of the Company's existing and future senior unsecured debt and senior to all of the Company's subordinated debt. The offering provided gross proceeds of $2.5 billion, offset by $18.0 million in discount and closing costs related to the offering. The Company used the proceeds of the offering to redeem at par $2 billion of the $2.5 billion in outstanding principal amount of the Company's callable 0.483% Senior Notes due 2022 and to redeem in full and at par $500 million callable Floating rate Senior Notes due 2022 that the Company issued in August 2020.</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24, 2022,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March 31, 2021. Commitments under the 5-Year Credit Agreement can be increased pursuant to the terms of the 5-Year Credit Agreement to an aggregate amount not to exceed $4.5 billion. The 364-Day Credit Agreement replaced the $1.5 billion 364-day credit agreement dated as of March 31, 2021, which was terminated in accordance with its terms effective March 24, 2022. Amounts borrowed under the 364-Day Credit Agreement are required to be repaid no later than March 23, 2023, unless (i) Honeywell elects to convert all then outstanding amounts into a term loan, upon which such amounts shall be repaid in full on March 23, 2024, or (ii) the 364-Day Credit Agreement is terminated earlier pursuant to its terms. The 5-Year Credit Agreement and the 364-Day Credit Agreement are maintained for general corporate purposes.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there were no outstanding borrowings under the 5-Year Credit Agreement or the 364-Day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2021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7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5"/>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Net right-of-use assets obtained in exchange for lease obligations:</w:t>
            </w:r>
          </w:p>
        </w:tc>
        <w:tc>
          <w:tcPr>
            <w:tcW w:w="7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9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Operating leases</w:t>
            </w:r>
          </w:p>
        </w:tc>
        <w:tc>
          <w:tcPr>
            <w:tcW w:w="7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Finance leases</w:t>
            </w:r>
          </w:p>
        </w:tc>
        <w:tc>
          <w:tcPr>
            <w:tcW w:w="7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March 31, 2022</w:t>
            </w:r>
          </w:p>
        </w:tc>
        <w:tc>
          <w:tcPr>
            <w:tcW w:w="17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BCBDC0"/>
            </w:tcBorders>
          </w:tcPr>
          <w:p>
            <w:pPr>
              <w:spacing w:after="0"/>
              <w:rPr>
                <w:sz w:val="17"/>
                <w:szCs w:val="17"/>
                <w:color w:val="auto"/>
              </w:rPr>
            </w:pPr>
          </w:p>
        </w:tc>
        <w:tc>
          <w:tcPr>
            <w:tcW w:w="140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r>
      <w:tr>
        <w:trPr>
          <w:trHeight w:val="193"/>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962</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947</w:t>
            </w:r>
          </w:p>
        </w:tc>
      </w:tr>
      <w:tr>
        <w:trPr>
          <w:trHeight w:val="196"/>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Accrued liabilities</w:t>
            </w:r>
          </w:p>
        </w:tc>
        <w:tc>
          <w:tcPr>
            <w:tcW w:w="120" w:type="dxa"/>
            <w:vAlign w:val="bottom"/>
            <w:tcBorders>
              <w:bottom w:val="single" w:sz="8" w:color="B1B3B3"/>
            </w:tcBorders>
          </w:tcPr>
          <w:p>
            <w:pPr>
              <w:spacing w:after="0"/>
              <w:rPr>
                <w:sz w:val="17"/>
                <w:szCs w:val="17"/>
                <w:color w:val="auto"/>
              </w:rPr>
            </w:pPr>
          </w:p>
        </w:tc>
        <w:tc>
          <w:tcPr>
            <w:tcW w:w="14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206</w:t>
            </w: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843</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847</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1,049</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1,032</w:t>
            </w:r>
          </w:p>
        </w:tc>
      </w:tr>
      <w:tr>
        <w:trPr>
          <w:trHeight w:val="196"/>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120" w:type="dxa"/>
            <w:vAlign w:val="bottom"/>
            <w:tcBorders>
              <w:bottom w:val="single" w:sz="8" w:color="BCBDC0"/>
            </w:tcBorders>
          </w:tcPr>
          <w:p>
            <w:pPr>
              <w:spacing w:after="0"/>
              <w:rPr>
                <w:sz w:val="17"/>
                <w:szCs w:val="17"/>
                <w:color w:val="auto"/>
              </w:rPr>
            </w:pPr>
          </w:p>
        </w:tc>
        <w:tc>
          <w:tcPr>
            <w:tcW w:w="140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r>
      <w:tr>
        <w:trPr>
          <w:trHeight w:val="193"/>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Property, plant and equipment</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344</w:t>
            </w:r>
          </w:p>
        </w:tc>
        <w:tc>
          <w:tcPr>
            <w:tcW w:w="82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Accumulated depreciation</w:t>
            </w: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(172)</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Property, plant and equipment - net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w:t>
            </w:r>
          </w:p>
        </w:tc>
      </w:tr>
      <w:tr>
        <w:trPr>
          <w:trHeight w:val="193"/>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tcBorders>
              <w:bottom w:val="single" w:sz="8" w:color="BCBDC0"/>
            </w:tcBorders>
          </w:tcPr>
          <w:p>
            <w:pPr>
              <w:spacing w:after="0"/>
              <w:rPr>
                <w:sz w:val="16"/>
                <w:szCs w:val="16"/>
                <w:color w:val="auto"/>
              </w:rPr>
            </w:pPr>
          </w:p>
        </w:tc>
        <w:tc>
          <w:tcPr>
            <w:tcW w:w="14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66</w:t>
            </w:r>
          </w:p>
        </w:tc>
        <w:tc>
          <w:tcPr>
            <w:tcW w:w="82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113</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financing lease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156</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credit, market, foreign currency, and interest rate risk management policies are described in Note 11 Derivative Instruments and Hedging Transactions of Notes to Consolidated Financial Statements in the Company's 2021 Annual Report on Form 10-K. During March 2022, the Company entered into certain commodity contracts. The Company's risk management policy related to commodity contracts is described in the below section. All derivative assets are presented in Other current assets or Other assets. All derivative liabilities are presented in Accrued liabilities or Other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COMMODITY CONTRACTS RISK MANAGEMENT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operations subject us to risk related to the price volatility of certain commodities. To mitigate the commodity price risk associated with the Company's operations, the Company may enter into commodity derivative instruments. In March 2022, the Company entered into various contracts to mitigate commodity price volatility. The Company elected to apply hedge accounting to these contracts.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March 31, 2022, and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Notional</w:t>
            </w:r>
          </w:p>
        </w:tc>
        <w:tc>
          <w:tcPr>
            <w:tcW w:w="82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Fair Value Asset</w:t>
            </w:r>
          </w:p>
        </w:tc>
        <w:tc>
          <w:tcPr>
            <w:tcW w:w="38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Fair Value (Liability)</w:t>
            </w:r>
          </w:p>
        </w:tc>
        <w:tc>
          <w:tcPr>
            <w:tcW w:w="400" w:type="dxa"/>
            <w:vAlign w:val="bottom"/>
            <w:tcBorders>
              <w:bottom w:val="single" w:sz="8" w:color="D7282F"/>
            </w:tcBorders>
          </w:tcPr>
          <w:p>
            <w:pPr>
              <w:spacing w:after="0"/>
              <w:rPr>
                <w:sz w:val="17"/>
                <w:szCs w:val="17"/>
                <w:color w:val="auto"/>
              </w:rPr>
            </w:pPr>
          </w:p>
        </w:tc>
      </w:tr>
      <w:tr>
        <w:trPr>
          <w:trHeight w:val="174"/>
        </w:trPr>
        <w:tc>
          <w:tcPr>
            <w:tcW w:w="408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8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w w:val="96"/>
              </w:rPr>
              <w:t>2022</w:t>
            </w: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6"/>
              </w:rPr>
              <w:t>2022</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D7282F"/>
            </w:tcBorders>
          </w:tcPr>
          <w:p>
            <w:pPr>
              <w:spacing w:after="0"/>
              <w:rPr>
                <w:sz w:val="16"/>
                <w:szCs w:val="16"/>
                <w:color w:val="auto"/>
              </w:rPr>
            </w:pPr>
          </w:p>
        </w:tc>
      </w:tr>
      <w:tr>
        <w:trPr>
          <w:trHeight w:val="222"/>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20" w:type="dxa"/>
            <w:vAlign w:val="bottom"/>
            <w:tcBorders>
              <w:bottom w:val="single" w:sz="8" w:color="BCBDC0"/>
            </w:tcBorders>
          </w:tcPr>
          <w:p>
            <w:pPr>
              <w:spacing w:after="0"/>
              <w:rPr>
                <w:sz w:val="19"/>
                <w:szCs w:val="19"/>
                <w:color w:val="auto"/>
              </w:rPr>
            </w:pPr>
          </w:p>
        </w:tc>
        <w:tc>
          <w:tcPr>
            <w:tcW w:w="720" w:type="dxa"/>
            <w:vAlign w:val="bottom"/>
            <w:tcBorders>
              <w:bottom w:val="single" w:sz="8" w:color="BCBDC0"/>
            </w:tcBorders>
          </w:tcPr>
          <w:p>
            <w:pPr>
              <w:spacing w:after="0"/>
              <w:rPr>
                <w:sz w:val="19"/>
                <w:szCs w:val="19"/>
                <w:color w:val="auto"/>
              </w:rPr>
            </w:pPr>
          </w:p>
        </w:tc>
        <w:tc>
          <w:tcPr>
            <w:tcW w:w="380" w:type="dxa"/>
            <w:vAlign w:val="bottom"/>
            <w:tcBorders>
              <w:bottom w:val="single" w:sz="8" w:color="BCBDC0"/>
            </w:tcBorders>
          </w:tcPr>
          <w:p>
            <w:pPr>
              <w:spacing w:after="0"/>
              <w:rPr>
                <w:sz w:val="19"/>
                <w:szCs w:val="19"/>
                <w:color w:val="auto"/>
              </w:rPr>
            </w:pPr>
          </w:p>
        </w:tc>
        <w:tc>
          <w:tcPr>
            <w:tcW w:w="82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340" w:type="dxa"/>
            <w:vAlign w:val="bottom"/>
            <w:tcBorders>
              <w:bottom w:val="single" w:sz="8" w:color="BCBDC0"/>
            </w:tcBorders>
          </w:tcPr>
          <w:p>
            <w:pPr>
              <w:spacing w:after="0"/>
              <w:rPr>
                <w:sz w:val="19"/>
                <w:szCs w:val="19"/>
                <w:color w:val="auto"/>
              </w:rPr>
            </w:pPr>
          </w:p>
        </w:tc>
        <w:tc>
          <w:tcPr>
            <w:tcW w:w="700" w:type="dxa"/>
            <w:vAlign w:val="bottom"/>
            <w:tcBorders>
              <w:bottom w:val="single" w:sz="8" w:color="BCBDC0"/>
            </w:tcBorders>
          </w:tcPr>
          <w:p>
            <w:pPr>
              <w:spacing w:after="0"/>
              <w:rPr>
                <w:sz w:val="19"/>
                <w:szCs w:val="19"/>
                <w:color w:val="auto"/>
              </w:rPr>
            </w:pPr>
          </w:p>
        </w:tc>
        <w:tc>
          <w:tcPr>
            <w:tcW w:w="800" w:type="dxa"/>
            <w:vAlign w:val="bottom"/>
            <w:tcBorders>
              <w:bottom w:val="single" w:sz="8" w:color="BCBDC0"/>
            </w:tcBorders>
          </w:tcPr>
          <w:p>
            <w:pPr>
              <w:spacing w:after="0"/>
              <w:rPr>
                <w:sz w:val="19"/>
                <w:szCs w:val="19"/>
                <w:color w:val="auto"/>
              </w:rPr>
            </w:pPr>
          </w:p>
        </w:tc>
        <w:tc>
          <w:tcPr>
            <w:tcW w:w="380" w:type="dxa"/>
            <w:vAlign w:val="bottom"/>
            <w:tcBorders>
              <w:bottom w:val="single" w:sz="8" w:color="BCBDC0"/>
            </w:tcBorders>
          </w:tcPr>
          <w:p>
            <w:pPr>
              <w:spacing w:after="0"/>
              <w:rPr>
                <w:sz w:val="19"/>
                <w:szCs w:val="19"/>
                <w:color w:val="auto"/>
              </w:rPr>
            </w:pPr>
          </w:p>
        </w:tc>
        <w:tc>
          <w:tcPr>
            <w:tcW w:w="240" w:type="dxa"/>
            <w:vAlign w:val="bottom"/>
            <w:tcBorders>
              <w:bottom w:val="single" w:sz="8" w:color="BCBDC0"/>
            </w:tcBorders>
          </w:tcPr>
          <w:p>
            <w:pPr>
              <w:spacing w:after="0"/>
              <w:rPr>
                <w:sz w:val="19"/>
                <w:szCs w:val="19"/>
                <w:color w:val="auto"/>
              </w:rPr>
            </w:pPr>
          </w:p>
        </w:tc>
        <w:tc>
          <w:tcPr>
            <w:tcW w:w="340" w:type="dxa"/>
            <w:vAlign w:val="bottom"/>
            <w:tcBorders>
              <w:bottom w:val="single" w:sz="8" w:color="BCBDC0"/>
            </w:tcBorders>
          </w:tcPr>
          <w:p>
            <w:pPr>
              <w:spacing w:after="0"/>
              <w:rPr>
                <w:sz w:val="19"/>
                <w:szCs w:val="19"/>
                <w:color w:val="auto"/>
              </w:rPr>
            </w:pPr>
          </w:p>
        </w:tc>
        <w:tc>
          <w:tcPr>
            <w:tcW w:w="720" w:type="dxa"/>
            <w:vAlign w:val="bottom"/>
            <w:tcBorders>
              <w:bottom w:val="single" w:sz="8" w:color="BCBDC0"/>
            </w:tcBorders>
          </w:tcPr>
          <w:p>
            <w:pPr>
              <w:spacing w:after="0"/>
              <w:rPr>
                <w:sz w:val="19"/>
                <w:szCs w:val="19"/>
                <w:color w:val="auto"/>
              </w:rPr>
            </w:pPr>
          </w:p>
        </w:tc>
        <w:tc>
          <w:tcPr>
            <w:tcW w:w="780" w:type="dxa"/>
            <w:vAlign w:val="bottom"/>
            <w:tcBorders>
              <w:bottom w:val="single" w:sz="8" w:color="BCBDC0"/>
            </w:tcBorders>
          </w:tcPr>
          <w:p>
            <w:pPr>
              <w:spacing w:after="0"/>
              <w:rPr>
                <w:sz w:val="19"/>
                <w:szCs w:val="19"/>
                <w:color w:val="auto"/>
              </w:rPr>
            </w:pPr>
          </w:p>
        </w:tc>
        <w:tc>
          <w:tcPr>
            <w:tcW w:w="400" w:type="dxa"/>
            <w:vAlign w:val="bottom"/>
            <w:tcBorders>
              <w:bottom w:val="single" w:sz="8" w:color="BCBDC0"/>
            </w:tcBorders>
          </w:tcPr>
          <w:p>
            <w:pPr>
              <w:spacing w:after="0"/>
              <w:rPr>
                <w:sz w:val="19"/>
                <w:szCs w:val="19"/>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3,150</w:t>
            </w:r>
          </w:p>
        </w:tc>
        <w:tc>
          <w:tcPr>
            <w:tcW w:w="3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3,150</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BCBDC0"/>
            </w:tcBorders>
          </w:tcPr>
          <w:p>
            <w:pPr>
              <w:jc w:val="right"/>
              <w:ind w:right="4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(80)</w:t>
            </w:r>
          </w:p>
        </w:tc>
        <w:tc>
          <w:tcPr>
            <w:tcW w:w="780" w:type="dxa"/>
            <w:vAlign w:val="bottom"/>
            <w:tcBorders>
              <w:bottom w:val="single" w:sz="8" w:color="BCBDC0"/>
            </w:tcBorders>
          </w:tcPr>
          <w:p>
            <w:pPr>
              <w:jc w:val="right"/>
              <w:ind w:right="4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r>
      <w:tr>
        <w:trPr>
          <w:trHeight w:val="199"/>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0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3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3,876</w:t>
            </w:r>
          </w:p>
        </w:tc>
        <w:tc>
          <w:tcPr>
            <w:tcW w:w="38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647</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13</w:t>
            </w:r>
          </w:p>
        </w:tc>
        <w:tc>
          <w:tcPr>
            <w:tcW w:w="80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r>
      <w:tr>
        <w:trPr>
          <w:trHeight w:val="196"/>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Commodity contracts</w:t>
            </w:r>
          </w:p>
        </w:tc>
        <w:tc>
          <w:tcPr>
            <w:tcW w:w="3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12</w:t>
            </w:r>
          </w:p>
        </w:tc>
        <w:tc>
          <w:tcPr>
            <w:tcW w:w="38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w:t>
            </w: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r>
      <w:tr>
        <w:trPr>
          <w:trHeight w:val="199"/>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0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3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284</w:t>
            </w:r>
          </w:p>
        </w:tc>
        <w:tc>
          <w:tcPr>
            <w:tcW w:w="38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746</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93</w:t>
            </w:r>
          </w:p>
        </w:tc>
        <w:tc>
          <w:tcPr>
            <w:tcW w:w="80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r>
      <w:tr>
        <w:trPr>
          <w:trHeight w:val="196"/>
        </w:trPr>
        <w:tc>
          <w:tcPr>
            <w:tcW w:w="40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3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1,200</w:t>
            </w:r>
          </w:p>
        </w:tc>
        <w:tc>
          <w:tcPr>
            <w:tcW w:w="38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1,200</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70</w:t>
            </w:r>
          </w:p>
        </w:tc>
        <w:tc>
          <w:tcPr>
            <w:tcW w:w="80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r>
      <w:tr>
        <w:trPr>
          <w:trHeight w:val="199"/>
        </w:trPr>
        <w:tc>
          <w:tcPr>
            <w:tcW w:w="4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8,522</w:t>
            </w:r>
          </w:p>
        </w:tc>
        <w:tc>
          <w:tcPr>
            <w:tcW w:w="38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5,743</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179</w:t>
            </w:r>
          </w:p>
        </w:tc>
        <w:tc>
          <w:tcPr>
            <w:tcW w:w="80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(82)</w:t>
            </w:r>
          </w:p>
        </w:tc>
        <w:tc>
          <w:tcPr>
            <w:tcW w:w="7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w:t>
            </w:r>
          </w:p>
        </w:tc>
      </w:tr>
      <w:tr>
        <w:trPr>
          <w:trHeight w:val="196"/>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0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r>
      <w:tr>
        <w:trPr>
          <w:trHeight w:val="193"/>
        </w:trPr>
        <w:tc>
          <w:tcPr>
            <w:tcW w:w="40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3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8,944</w:t>
            </w:r>
          </w:p>
        </w:tc>
        <w:tc>
          <w:tcPr>
            <w:tcW w:w="38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11,278</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286</w:t>
            </w:r>
          </w:p>
        </w:tc>
        <w:tc>
          <w:tcPr>
            <w:tcW w:w="80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(286)</w:t>
            </w:r>
          </w:p>
        </w:tc>
        <w:tc>
          <w:tcPr>
            <w:tcW w:w="7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(282)</w:t>
            </w:r>
          </w:p>
        </w:tc>
      </w:tr>
      <w:tr>
        <w:trPr>
          <w:trHeight w:val="199"/>
        </w:trPr>
        <w:tc>
          <w:tcPr>
            <w:tcW w:w="4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Derivatives at Fair Value</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17,466</w:t>
            </w:r>
          </w:p>
        </w:tc>
        <w:tc>
          <w:tcPr>
            <w:tcW w:w="3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17,021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465</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473</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(368)</w:t>
            </w: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(282)</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$2,593 million and $4,074 million as of March 31, 2022, and December 31,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on the Consolidated Balance Sheet related to cumulative basis adjustments for fair value hedges: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Cumulative Amount of Fair</w:t>
            </w:r>
          </w:p>
        </w:tc>
        <w:tc>
          <w:tcPr>
            <w:tcW w:w="0" w:type="dxa"/>
            <w:vAlign w:val="bottom"/>
          </w:tcPr>
          <w:p>
            <w:pPr>
              <w:spacing w:after="0"/>
              <w:rPr>
                <w:sz w:val="1"/>
                <w:szCs w:val="1"/>
                <w:color w:val="auto"/>
              </w:rPr>
            </w:pPr>
          </w:p>
        </w:tc>
      </w:tr>
      <w:tr>
        <w:trPr>
          <w:trHeight w:val="144"/>
        </w:trPr>
        <w:tc>
          <w:tcPr>
            <w:tcW w:w="6500" w:type="dxa"/>
            <w:vAlign w:val="bottom"/>
          </w:tcPr>
          <w:p>
            <w:pPr>
              <w:spacing w:after="0"/>
              <w:rPr>
                <w:sz w:val="12"/>
                <w:szCs w:val="12"/>
                <w:color w:val="auto"/>
              </w:rPr>
            </w:pPr>
          </w:p>
        </w:tc>
        <w:tc>
          <w:tcPr>
            <w:tcW w:w="2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Carrying Amount of the Hedged</w:t>
            </w:r>
          </w:p>
        </w:tc>
        <w:tc>
          <w:tcPr>
            <w:tcW w:w="226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rPr>
              <w:t>Value Hedging Adjustment</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2000" w:type="dxa"/>
            <w:vAlign w:val="bottom"/>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rPr>
              <w:t>Included in the Carrying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9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Item</w:t>
            </w:r>
          </w:p>
        </w:tc>
        <w:tc>
          <w:tcPr>
            <w:tcW w:w="8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Borders>
              <w:bottom w:val="single" w:sz="8" w:color="D7282F"/>
            </w:tcBorders>
            <w:gridSpan w:val="4"/>
          </w:tcPr>
          <w:p>
            <w:pPr>
              <w:jc w:val="center"/>
              <w:spacing w:after="0"/>
              <w:rPr>
                <w:sz w:val="20"/>
                <w:szCs w:val="20"/>
                <w:color w:val="auto"/>
              </w:rPr>
            </w:pPr>
            <w:r>
              <w:rPr>
                <w:rFonts w:ascii="Arial" w:cs="Arial" w:eastAsia="Arial" w:hAnsi="Arial"/>
                <w:sz w:val="14"/>
                <w:szCs w:val="14"/>
                <w:b w:val="1"/>
                <w:bCs w:val="1"/>
                <w:color w:val="auto"/>
              </w:rPr>
              <w:t>Amount of the Hedged Item</w:t>
            </w:r>
          </w:p>
        </w:tc>
        <w:tc>
          <w:tcPr>
            <w:tcW w:w="0" w:type="dxa"/>
            <w:vAlign w:val="bottom"/>
          </w:tcPr>
          <w:p>
            <w:pPr>
              <w:spacing w:after="0"/>
              <w:rPr>
                <w:sz w:val="1"/>
                <w:szCs w:val="1"/>
                <w:color w:val="auto"/>
              </w:rPr>
            </w:pPr>
          </w:p>
        </w:tc>
      </w:tr>
      <w:tr>
        <w:trPr>
          <w:trHeight w:val="173"/>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2022</w:t>
            </w:r>
          </w:p>
        </w:tc>
        <w:tc>
          <w:tcPr>
            <w:tcW w:w="9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3,073</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3,210</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(77)</w:t>
            </w:r>
          </w:p>
        </w:tc>
        <w:tc>
          <w:tcPr>
            <w:tcW w:w="920" w:type="dxa"/>
            <w:vAlign w:val="bottom"/>
            <w:tcBorders>
              <w:bottom w:val="single" w:sz="8" w:color="D7282F"/>
            </w:tcBorders>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660" w:type="dxa"/>
            <w:vAlign w:val="bottom"/>
            <w:tcBorders>
              <w:bottom w:val="single" w:sz="8" w:color="D7282F"/>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 2022</w:t>
            </w:r>
          </w:p>
        </w:tc>
        <w:tc>
          <w:tcPr>
            <w:tcW w:w="2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tcPr>
          <w:p>
            <w:pPr>
              <w:jc w:val="center"/>
              <w:ind w:right="68"/>
              <w:spacing w:after="0" w:line="147" w:lineRule="exact"/>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Cost of</w:t>
            </w:r>
          </w:p>
        </w:tc>
        <w:tc>
          <w:tcPr>
            <w:tcW w:w="38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9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60" w:type="dxa"/>
            <w:vAlign w:val="bottom"/>
            <w:gridSpan w:val="2"/>
          </w:tcPr>
          <w:p>
            <w:pPr>
              <w:jc w:val="center"/>
              <w:ind w:right="68"/>
              <w:spacing w:after="0" w:line="145" w:lineRule="exact"/>
              <w:rPr>
                <w:sz w:val="20"/>
                <w:szCs w:val="20"/>
                <w:color w:val="auto"/>
              </w:rPr>
            </w:pPr>
            <w:r>
              <w:rPr>
                <w:rFonts w:ascii="Arial" w:cs="Arial" w:eastAsia="Arial" w:hAnsi="Arial"/>
                <w:sz w:val="14"/>
                <w:szCs w:val="14"/>
                <w:b w:val="1"/>
                <w:bCs w:val="1"/>
                <w:color w:val="auto"/>
              </w:rPr>
              <w:t>administrative</w:t>
            </w:r>
          </w:p>
        </w:tc>
        <w:tc>
          <w:tcPr>
            <w:tcW w:w="1220" w:type="dxa"/>
            <w:vAlign w:val="bottom"/>
            <w:gridSpan w:val="2"/>
          </w:tcPr>
          <w:p>
            <w:pPr>
              <w:jc w:val="center"/>
              <w:ind w:right="148"/>
              <w:spacing w:after="0" w:line="145"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360" w:type="dxa"/>
            <w:vAlign w:val="bottom"/>
            <w:tcBorders>
              <w:bottom w:val="single" w:sz="8" w:color="D7282F"/>
            </w:tcBorders>
            <w:gridSpan w:val="2"/>
          </w:tcPr>
          <w:p>
            <w:pPr>
              <w:jc w:val="center"/>
              <w:ind w:right="68"/>
              <w:spacing w:after="0"/>
              <w:rPr>
                <w:sz w:val="20"/>
                <w:szCs w:val="20"/>
                <w:color w:val="auto"/>
              </w:rPr>
            </w:pPr>
            <w:r>
              <w:rPr>
                <w:rFonts w:ascii="Arial" w:cs="Arial" w:eastAsia="Arial" w:hAnsi="Arial"/>
                <w:sz w:val="14"/>
                <w:szCs w:val="14"/>
                <w:b w:val="1"/>
                <w:bCs w:val="1"/>
                <w:color w:val="auto"/>
              </w:rPr>
              <w:t>expenses</w:t>
            </w:r>
          </w:p>
        </w:tc>
        <w:tc>
          <w:tcPr>
            <w:tcW w:w="1220" w:type="dxa"/>
            <w:vAlign w:val="bottom"/>
            <w:tcBorders>
              <w:bottom w:val="single" w:sz="8" w:color="D7282F"/>
            </w:tcBorders>
            <w:gridSpan w:val="2"/>
          </w:tcPr>
          <w:p>
            <w:pPr>
              <w:jc w:val="center"/>
              <w:ind w:right="14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8,376</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4,373</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1,301</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1,431</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(319)</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vMerge w:val="continue"/>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137</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vMerge w:val="continue"/>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5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2660" w:type="dxa"/>
            <w:vAlign w:val="bottom"/>
            <w:tcBorders>
              <w:bottom w:val="single" w:sz="8" w:color="D7282F"/>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tcPr>
          <w:p>
            <w:pPr>
              <w:jc w:val="center"/>
              <w:ind w:right="68"/>
              <w:spacing w:after="0" w:line="147" w:lineRule="exact"/>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Cost of</w:t>
            </w:r>
          </w:p>
        </w:tc>
        <w:tc>
          <w:tcPr>
            <w:tcW w:w="38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960" w:type="dxa"/>
            <w:vAlign w:val="bottom"/>
          </w:tcPr>
          <w:p>
            <w:pPr>
              <w:jc w:val="center"/>
              <w:ind w:right="468"/>
              <w:spacing w:after="0" w:line="145"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6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administrative</w:t>
            </w:r>
          </w:p>
        </w:tc>
        <w:tc>
          <w:tcPr>
            <w:tcW w:w="12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360" w:type="dxa"/>
            <w:vAlign w:val="bottom"/>
            <w:tcBorders>
              <w:bottom w:val="single" w:sz="8" w:color="D7282F"/>
            </w:tcBorders>
            <w:gridSpan w:val="2"/>
          </w:tcPr>
          <w:p>
            <w:pPr>
              <w:jc w:val="center"/>
              <w:ind w:right="68"/>
              <w:spacing w:after="0"/>
              <w:rPr>
                <w:sz w:val="20"/>
                <w:szCs w:val="20"/>
                <w:color w:val="auto"/>
              </w:rPr>
            </w:pPr>
            <w:r>
              <w:rPr>
                <w:rFonts w:ascii="Arial" w:cs="Arial" w:eastAsia="Arial" w:hAnsi="Arial"/>
                <w:sz w:val="14"/>
                <w:szCs w:val="14"/>
                <w:b w:val="1"/>
                <w:bCs w:val="1"/>
                <w:color w:val="auto"/>
              </w:rPr>
              <w:t>expenses</w:t>
            </w:r>
          </w:p>
        </w:tc>
        <w:tc>
          <w:tcPr>
            <w:tcW w:w="1220" w:type="dxa"/>
            <w:vAlign w:val="bottom"/>
            <w:tcBorders>
              <w:bottom w:val="single" w:sz="8" w:color="D7282F"/>
            </w:tcBorders>
            <w:gridSpan w:val="2"/>
          </w:tcPr>
          <w:p>
            <w:pPr>
              <w:jc w:val="center"/>
              <w:ind w:right="14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8,454</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4,551</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1,158</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1,236</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(442)</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0"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vMerge w:val="continue"/>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vMerge w:val="continue"/>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60</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235"/>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83</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Cross currency swap</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50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60" w:type="dxa"/>
            <w:vAlign w:val="bottom"/>
            <w:tcBorders>
              <w:bottom w:val="single" w:sz="8" w:color="D7282F"/>
            </w:tcBorders>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0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223"/>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520" w:type="dxa"/>
            <w:vAlign w:val="bottom"/>
            <w:tcBorders>
              <w:bottom w:val="single" w:sz="8" w:color="BCBDC0"/>
            </w:tcBorders>
          </w:tcPr>
          <w:p>
            <w:pPr>
              <w:spacing w:after="0"/>
              <w:rPr>
                <w:sz w:val="19"/>
                <w:szCs w:val="19"/>
                <w:color w:val="auto"/>
              </w:rPr>
            </w:pPr>
          </w:p>
        </w:tc>
        <w:tc>
          <w:tcPr>
            <w:tcW w:w="440" w:type="dxa"/>
            <w:vAlign w:val="bottom"/>
            <w:tcBorders>
              <w:bottom w:val="single" w:sz="8" w:color="BCBDC0"/>
            </w:tcBorders>
          </w:tcPr>
          <w:p>
            <w:pPr>
              <w:spacing w:after="0"/>
              <w:rPr>
                <w:sz w:val="19"/>
                <w:szCs w:val="19"/>
                <w:color w:val="auto"/>
              </w:rPr>
            </w:pPr>
          </w:p>
        </w:tc>
        <w:tc>
          <w:tcPr>
            <w:tcW w:w="480" w:type="dxa"/>
            <w:vAlign w:val="bottom"/>
            <w:tcBorders>
              <w:bottom w:val="single" w:sz="8" w:color="BCBDC0"/>
            </w:tcBorders>
          </w:tcPr>
          <w:p>
            <w:pPr>
              <w:spacing w:after="0"/>
              <w:rPr>
                <w:sz w:val="19"/>
                <w:szCs w:val="19"/>
                <w:color w:val="auto"/>
              </w:rPr>
            </w:pPr>
          </w:p>
        </w:tc>
        <w:tc>
          <w:tcPr>
            <w:tcW w:w="680" w:type="dxa"/>
            <w:vAlign w:val="bottom"/>
            <w:tcBorders>
              <w:bottom w:val="single" w:sz="8" w:color="BCBDC0"/>
            </w:tcBorders>
          </w:tcPr>
          <w:p>
            <w:pPr>
              <w:spacing w:after="0"/>
              <w:rPr>
                <w:sz w:val="19"/>
                <w:szCs w:val="19"/>
                <w:color w:val="auto"/>
              </w:rPr>
            </w:pPr>
          </w:p>
        </w:tc>
        <w:tc>
          <w:tcPr>
            <w:tcW w:w="200" w:type="dxa"/>
            <w:vAlign w:val="bottom"/>
            <w:tcBorders>
              <w:bottom w:val="single" w:sz="8" w:color="BCBDC0"/>
            </w:tcBorders>
          </w:tcPr>
          <w:p>
            <w:pPr>
              <w:spacing w:after="0"/>
              <w:rPr>
                <w:sz w:val="19"/>
                <w:szCs w:val="19"/>
                <w:color w:val="auto"/>
              </w:rPr>
            </w:pPr>
          </w:p>
        </w:tc>
        <w:tc>
          <w:tcPr>
            <w:tcW w:w="68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520" w:type="dxa"/>
            <w:vAlign w:val="bottom"/>
            <w:tcBorders>
              <w:bottom w:val="single" w:sz="8" w:color="BCBDC0"/>
            </w:tcBorders>
          </w:tcPr>
          <w:p>
            <w:pPr>
              <w:spacing w:after="0"/>
              <w:rPr>
                <w:sz w:val="19"/>
                <w:szCs w:val="19"/>
                <w:color w:val="auto"/>
              </w:rPr>
            </w:pPr>
          </w:p>
        </w:tc>
        <w:tc>
          <w:tcPr>
            <w:tcW w:w="580" w:type="dxa"/>
            <w:vAlign w:val="bottom"/>
            <w:tcBorders>
              <w:bottom w:val="single" w:sz="8" w:color="BCBDC0"/>
            </w:tcBorders>
          </w:tcPr>
          <w:p>
            <w:pPr>
              <w:spacing w:after="0"/>
              <w:rPr>
                <w:sz w:val="19"/>
                <w:szCs w:val="19"/>
                <w:color w:val="auto"/>
              </w:rPr>
            </w:pPr>
          </w:p>
        </w:tc>
        <w:tc>
          <w:tcPr>
            <w:tcW w:w="360" w:type="dxa"/>
            <w:vAlign w:val="bottom"/>
            <w:tcBorders>
              <w:bottom w:val="single" w:sz="8" w:color="BCBDC0"/>
            </w:tcBorders>
          </w:tcPr>
          <w:p>
            <w:pPr>
              <w:spacing w:after="0"/>
              <w:rPr>
                <w:sz w:val="19"/>
                <w:szCs w:val="19"/>
                <w:color w:val="auto"/>
              </w:rPr>
            </w:pPr>
          </w:p>
        </w:tc>
        <w:tc>
          <w:tcPr>
            <w:tcW w:w="740" w:type="dxa"/>
            <w:vAlign w:val="bottom"/>
            <w:tcBorders>
              <w:bottom w:val="single" w:sz="8" w:color="BCBDC0"/>
            </w:tcBorders>
          </w:tcPr>
          <w:p>
            <w:pPr>
              <w:spacing w:after="0"/>
              <w:rPr>
                <w:sz w:val="19"/>
                <w:szCs w:val="19"/>
                <w:color w:val="auto"/>
              </w:rPr>
            </w:pPr>
          </w:p>
        </w:tc>
        <w:tc>
          <w:tcPr>
            <w:tcW w:w="140" w:type="dxa"/>
            <w:vAlign w:val="bottom"/>
            <w:tcBorders>
              <w:bottom w:val="single" w:sz="8" w:color="BCBDC0"/>
            </w:tcBorders>
          </w:tcPr>
          <w:p>
            <w:pPr>
              <w:spacing w:after="0"/>
              <w:rPr>
                <w:sz w:val="19"/>
                <w:szCs w:val="19"/>
                <w:color w:val="auto"/>
              </w:rPr>
            </w:pPr>
          </w:p>
        </w:tc>
        <w:tc>
          <w:tcPr>
            <w:tcW w:w="660" w:type="dxa"/>
            <w:vAlign w:val="bottom"/>
            <w:tcBorders>
              <w:bottom w:val="single" w:sz="8" w:color="BCBDC0"/>
            </w:tcBorders>
          </w:tcPr>
          <w:p>
            <w:pPr>
              <w:spacing w:after="0"/>
              <w:rPr>
                <w:sz w:val="19"/>
                <w:szCs w:val="19"/>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392</w:t>
            </w:r>
          </w:p>
        </w:tc>
        <w:tc>
          <w:tcPr>
            <w:tcW w:w="2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392</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374</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374</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Available for sale investments</w:t>
            </w:r>
          </w:p>
        </w:tc>
        <w:tc>
          <w:tcPr>
            <w:tcW w:w="5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91</w:t>
            </w:r>
          </w:p>
        </w:tc>
        <w:tc>
          <w:tcPr>
            <w:tcW w:w="4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580</w:t>
            </w:r>
          </w:p>
        </w:tc>
        <w:tc>
          <w:tcPr>
            <w:tcW w:w="2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671</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176</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566</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742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5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5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70</w:t>
            </w:r>
          </w:p>
        </w:tc>
        <w:tc>
          <w:tcPr>
            <w:tcW w:w="2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Investments in equity securities</w:t>
            </w:r>
          </w:p>
        </w:tc>
        <w:tc>
          <w:tcPr>
            <w:tcW w:w="5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4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51</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112</w:t>
            </w:r>
          </w:p>
        </w:tc>
        <w:tc>
          <w:tcPr>
            <w:tcW w:w="480" w:type="dxa"/>
            <w:vAlign w:val="bottom"/>
            <w:tcBorders>
              <w:bottom w:val="single" w:sz="8" w:color="D7282F"/>
            </w:tcBorders>
          </w:tcPr>
          <w:p>
            <w:pPr>
              <w:ind w:left="28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1,075</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1,187</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1,062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1,272</w:t>
            </w:r>
          </w:p>
        </w:tc>
      </w:tr>
      <w:tr>
        <w:trPr>
          <w:trHeight w:val="196"/>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5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286</w:t>
            </w:r>
          </w:p>
        </w:tc>
        <w:tc>
          <w:tcPr>
            <w:tcW w:w="2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286</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5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80</w:t>
            </w:r>
          </w:p>
        </w:tc>
        <w:tc>
          <w:tcPr>
            <w:tcW w:w="2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80</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Commodity contracts</w:t>
            </w:r>
          </w:p>
        </w:tc>
        <w:tc>
          <w:tcPr>
            <w:tcW w:w="5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ind w:left="28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368</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368</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282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282</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as well as investments in equity securities, which includes holdings of Garrett Motion Inc. (Garrett) Series A Preferred Stock. These investments are valued using published prices based off observable market data. As such, these investments are classified within level 2.</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which includes holdings of Garrett common stock. These investments are valued utilizing published prices based on quoted market pricing, which are classified within level 1.</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short-term borrowings approximates fair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the Company does not consider any assets or liabilities measured at fair value as level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7020" w:type="dxa"/>
            <w:vAlign w:val="bottom"/>
          </w:tcPr>
          <w:p>
            <w:pPr>
              <w:spacing w:after="0"/>
              <w:rPr>
                <w:sz w:val="12"/>
                <w:szCs w:val="12"/>
                <w:color w:val="auto"/>
              </w:rPr>
            </w:pPr>
          </w:p>
        </w:tc>
        <w:tc>
          <w:tcPr>
            <w:tcW w:w="1080" w:type="dxa"/>
            <w:vAlign w:val="bottom"/>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8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right"/>
              <w:ind w:right="228"/>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66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0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D7282F"/>
            </w:tcBorders>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100" w:type="dxa"/>
            <w:vAlign w:val="bottom"/>
            <w:tcBorders>
              <w:bottom w:val="single" w:sz="8" w:color="D7282F"/>
            </w:tcBorders>
            <w:gridSpan w:val="2"/>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Short-term investment</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receivables</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152</w:t>
            </w: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141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170</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investment</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209</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366</w:t>
            </w:r>
          </w:p>
        </w:tc>
      </w:tr>
      <w:tr>
        <w:trPr>
          <w:trHeight w:val="199"/>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Long-term debt and related current maturities</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15,843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19,303</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16,057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17,022</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values of these receivables are considered level 2.</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30, 2021, the Company received shares of Garrett Series B Preferred Stock in full and final satisfaction of the Garrett Indemnity and Tax Matters Agreement. The fair value of the short-term and long-term investments are based on the present value of the mandatory redemptions as reflected within Garrett's Second and Amended and Restated Series B Preferred Stock (Series B Preferred Stock) Certificate of Designation. The present value reflects amortized cost determined by the present value of the mandatory redemptions discounted at 7.25%, which is the rate reflected in the Second Amended and Restated Series B Preferred Stock Certificate of Designation. The discount rate accretes to interest income over the mandatory redemption period. The investment is designated as held to maturity and was initially recognized at fair value. The fair value of Garrett's Series B Preferred Stock was determined using observable market data and is considered level 2. Fair Value of the Series B Preferred Stock is not impacted by early redemptions until receipt of payment.</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18, 2022, Garrett early redeemed $197 million of the Series B Preferred Stock, pursuant to the terms and conditions of the Second Amended and Restated Series B Preferred Stock Certificate of Designation. Immediately following the early redemption, the fair value of the Series B Preferred Stock was $207 million.</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195"/>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1,134</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1,427</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684.7</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696.2</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 basic</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1.66</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2.05</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195"/>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1,134</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1,427</w:t>
            </w:r>
          </w:p>
        </w:tc>
      </w:tr>
      <w:tr>
        <w:trPr>
          <w:trHeight w:val="199"/>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684.7</w:t>
            </w:r>
          </w:p>
        </w:tc>
        <w:tc>
          <w:tcPr>
            <w:tcW w:w="16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696.2</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 - stock plans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6.6</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8.3</w:t>
            </w:r>
          </w:p>
        </w:tc>
      </w:tr>
      <w:tr>
        <w:trPr>
          <w:trHeight w:val="199"/>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691.3</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704.5</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1.64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2.03</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diluted earnings per share calculations exclude the effect of stock options when the options’ exercise price exceed the average market price of the common shares during the period. For the three months ended March 31, 2022 and 2021, the weighted average number of stock options excluded from the computations were 3 million and 1 million, respectively.</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2022 and 2021, the total shares outstanding were 680.7 million and 694.6 million, respectively, and as of March 31, 2022 and 2021, total shares issued were 957.6 million.</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98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2"/>
                <w:szCs w:val="12"/>
                <w:color w:val="auto"/>
              </w:rPr>
            </w:pP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Hedges</w:t>
            </w:r>
          </w:p>
        </w:tc>
        <w:tc>
          <w:tcPr>
            <w:tcW w:w="3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(2,478)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126</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(2,352)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(2,787)</w:t>
            </w:r>
          </w:p>
        </w:tc>
        <w:tc>
          <w:tcPr>
            <w:tcW w:w="0" w:type="dxa"/>
            <w:vAlign w:val="bottom"/>
          </w:tcPr>
          <w:p>
            <w:pPr>
              <w:spacing w:after="0"/>
              <w:rPr>
                <w:sz w:val="1"/>
                <w:szCs w:val="1"/>
                <w:color w:val="auto"/>
              </w:rPr>
            </w:pPr>
          </w:p>
        </w:tc>
      </w:tr>
      <w:tr>
        <w:trPr>
          <w:trHeight w:val="363"/>
        </w:trPr>
        <w:tc>
          <w:tcPr>
            <w:tcW w:w="5080" w:type="dxa"/>
            <w:vAlign w:val="bottom"/>
          </w:tcPr>
          <w:p>
            <w:pPr>
              <w:spacing w:after="0"/>
              <w:rPr>
                <w:sz w:val="24"/>
                <w:szCs w:val="2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24"/>
                <w:szCs w:val="24"/>
                <w:color w:val="auto"/>
              </w:rPr>
            </w:pPr>
          </w:p>
        </w:tc>
        <w:tc>
          <w:tcPr>
            <w:tcW w:w="980" w:type="dxa"/>
            <w:vAlign w:val="bottom"/>
          </w:tcPr>
          <w:p>
            <w:pPr>
              <w:jc w:val="center"/>
              <w:ind w:right="30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tcPr>
          <w:p>
            <w:pPr>
              <w:jc w:val="center"/>
              <w:ind w:left="188"/>
              <w:spacing w:after="0" w:line="13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1"/>
                <w:szCs w:val="11"/>
                <w:color w:val="auto"/>
              </w:rPr>
            </w:pPr>
          </w:p>
        </w:tc>
        <w:tc>
          <w:tcPr>
            <w:tcW w:w="98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1"/>
                <w:szCs w:val="11"/>
                <w:color w:val="auto"/>
              </w:rPr>
            </w:pPr>
          </w:p>
        </w:tc>
        <w:tc>
          <w:tcPr>
            <w:tcW w:w="120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Hedges</w:t>
            </w:r>
          </w:p>
        </w:tc>
        <w:tc>
          <w:tcPr>
            <w:tcW w:w="3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(2,780)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(601)</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9"/>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(3,377)</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216</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213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(2,567)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(623)</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(3,184)</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2021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92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r>
        <w:trPr>
          <w:trHeight w:val="193"/>
        </w:trPr>
        <w:tc>
          <w:tcPr>
            <w:tcW w:w="78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20" w:type="dxa"/>
            <w:vAlign w:val="bottom"/>
            <w:tcBorders>
              <w:bottom w:val="single" w:sz="8" w:color="BCBDC0"/>
            </w:tcBorders>
          </w:tcPr>
          <w:p>
            <w:pPr>
              <w:spacing w:after="0"/>
              <w:rPr>
                <w:sz w:val="16"/>
                <w:szCs w:val="16"/>
                <w:color w:val="auto"/>
              </w:rPr>
            </w:pPr>
          </w:p>
        </w:tc>
        <w:tc>
          <w:tcPr>
            <w:tcW w:w="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2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29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4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45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4580" w:type="dxa"/>
            <w:vAlign w:val="bottom"/>
            <w:tcBorders>
              <w:bottom w:val="single" w:sz="8" w:color="BCBDC0"/>
            </w:tcBorders>
          </w:tcPr>
          <w:p>
            <w:pPr>
              <w:jc w:val="right"/>
              <w:ind w:right="10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203</w:t>
            </w:r>
          </w:p>
        </w:tc>
        <w:tc>
          <w:tcPr>
            <w:tcW w:w="800" w:type="dxa"/>
            <w:vAlign w:val="bottom"/>
            <w:tcBorders>
              <w:bottom w:val="single" w:sz="8" w:color="BCBDC0"/>
            </w:tcBorders>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225</w:t>
            </w:r>
          </w:p>
        </w:tc>
      </w:tr>
      <w:tr>
        <w:trPr>
          <w:trHeight w:val="196"/>
        </w:trPr>
        <w:tc>
          <w:tcPr>
            <w:tcW w:w="4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5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432</w:t>
            </w:r>
          </w:p>
        </w:tc>
        <w:tc>
          <w:tcPr>
            <w:tcW w:w="8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199"/>
        </w:trPr>
        <w:tc>
          <w:tcPr>
            <w:tcW w:w="458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635</w:t>
            </w:r>
          </w:p>
        </w:tc>
        <w:tc>
          <w:tcPr>
            <w:tcW w:w="80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$35 million in the three months ended March 31, 2022, respectively,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three months ended March 31, 2022, was $35 million. As of March 31, 2022, Other current assets and Other assets included $140 million and $457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D7282F"/>
            </w:tcBorders>
          </w:tcPr>
          <w:p>
            <w:pPr>
              <w:spacing w:after="0"/>
              <w:rPr>
                <w:sz w:val="17"/>
                <w:szCs w:val="17"/>
                <w:color w:val="auto"/>
              </w:rPr>
            </w:pPr>
          </w:p>
        </w:tc>
        <w:tc>
          <w:tcPr>
            <w:tcW w:w="3760" w:type="dxa"/>
            <w:vAlign w:val="bottom"/>
            <w:tcBorders>
              <w:bottom w:val="single" w:sz="8" w:color="D7282F"/>
            </w:tcBorders>
            <w:gridSpan w:val="2"/>
          </w:tcPr>
          <w:p>
            <w:pPr>
              <w:ind w:left="292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1,372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r>
        <w:trPr>
          <w:trHeight w:val="193"/>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Accrual for update to estimated liability</w:t>
            </w:r>
          </w:p>
        </w:tc>
        <w:tc>
          <w:tcPr>
            <w:tcW w:w="3120" w:type="dxa"/>
            <w:vAlign w:val="bottom"/>
            <w:tcBorders>
              <w:bottom w:val="single" w:sz="8" w:color="98989A"/>
            </w:tcBorders>
          </w:tcPr>
          <w:p>
            <w:pPr>
              <w:spacing w:after="0"/>
              <w:rPr>
                <w:sz w:val="16"/>
                <w:szCs w:val="16"/>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12</w:t>
            </w:r>
          </w:p>
        </w:tc>
        <w:tc>
          <w:tcPr>
            <w:tcW w:w="420" w:type="dxa"/>
            <w:vAlign w:val="bottom"/>
            <w:tcBorders>
              <w:bottom w:val="single" w:sz="8" w:color="98989A"/>
            </w:tcBorders>
          </w:tcPr>
          <w:p>
            <w:pPr>
              <w:spacing w:after="0"/>
              <w:rPr>
                <w:sz w:val="16"/>
                <w:szCs w:val="16"/>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98989A"/>
            </w:tcBorders>
          </w:tcPr>
          <w:p>
            <w:pPr>
              <w:spacing w:after="0"/>
              <w:rPr>
                <w:sz w:val="16"/>
                <w:szCs w:val="16"/>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Change in estimated cost of future claims</w:t>
            </w:r>
          </w:p>
        </w:tc>
        <w:tc>
          <w:tcPr>
            <w:tcW w:w="3120" w:type="dxa"/>
            <w:vAlign w:val="bottom"/>
            <w:tcBorders>
              <w:bottom w:val="single" w:sz="8" w:color="98989A"/>
            </w:tcBorders>
          </w:tcPr>
          <w:p>
            <w:pPr>
              <w:spacing w:after="0"/>
              <w:rPr>
                <w:sz w:val="17"/>
                <w:szCs w:val="17"/>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8</w:t>
            </w:r>
          </w:p>
        </w:tc>
        <w:tc>
          <w:tcPr>
            <w:tcW w:w="420" w:type="dxa"/>
            <w:vAlign w:val="bottom"/>
            <w:tcBorders>
              <w:bottom w:val="single" w:sz="8" w:color="98989A"/>
            </w:tcBorders>
          </w:tcPr>
          <w:p>
            <w:pPr>
              <w:spacing w:after="0"/>
              <w:rPr>
                <w:sz w:val="17"/>
                <w:szCs w:val="17"/>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8989A"/>
            </w:tcBorders>
          </w:tcPr>
          <w:p>
            <w:pPr>
              <w:spacing w:after="0"/>
              <w:rPr>
                <w:sz w:val="17"/>
                <w:szCs w:val="17"/>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558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Asbestos-related liability payments</w:t>
            </w:r>
          </w:p>
        </w:tc>
        <w:tc>
          <w:tcPr>
            <w:tcW w:w="3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(41)</w:t>
            </w:r>
          </w:p>
        </w:tc>
        <w:tc>
          <w:tcPr>
            <w:tcW w:w="4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2022</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1,351</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2,035</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2"/>
          </w:tcPr>
          <w:p>
            <w:pPr>
              <w:ind w:left="270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80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Insurance receipts for asbestos-related liabilities</w:t>
            </w:r>
          </w:p>
        </w:tc>
        <w:tc>
          <w:tcPr>
            <w:tcW w:w="29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2022</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141</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March 31, 2022</w:t>
            </w:r>
          </w:p>
        </w:tc>
        <w:tc>
          <w:tcPr>
            <w:tcW w:w="166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6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current assets</w:t>
            </w:r>
          </w:p>
        </w:tc>
        <w:tc>
          <w:tcPr>
            <w:tcW w:w="24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41</w:t>
            </w:r>
          </w:p>
        </w:tc>
        <w:tc>
          <w:tcPr>
            <w:tcW w:w="74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4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314</w:t>
            </w:r>
          </w:p>
        </w:tc>
        <w:tc>
          <w:tcPr>
            <w:tcW w:w="7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322</w:t>
            </w:r>
          </w:p>
        </w:tc>
      </w:tr>
      <w:tr>
        <w:trPr>
          <w:trHeight w:val="199"/>
        </w:trPr>
        <w:tc>
          <w:tcPr>
            <w:tcW w:w="564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355</w:t>
            </w:r>
          </w:p>
        </w:tc>
        <w:tc>
          <w:tcPr>
            <w:tcW w:w="7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6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24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228</w:t>
            </w:r>
          </w:p>
        </w:tc>
        <w:tc>
          <w:tcPr>
            <w:tcW w:w="74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261</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4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1,807</w:t>
            </w:r>
          </w:p>
        </w:tc>
        <w:tc>
          <w:tcPr>
            <w:tcW w:w="7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1,800</w:t>
            </w:r>
          </w:p>
        </w:tc>
      </w:tr>
      <w:tr>
        <w:trPr>
          <w:trHeight w:val="199"/>
        </w:trPr>
        <w:tc>
          <w:tcPr>
            <w:tcW w:w="564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2,035</w:t>
            </w:r>
          </w:p>
        </w:tc>
        <w:tc>
          <w:tcPr>
            <w:tcW w:w="7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accordance with the TA, the Trust is eligible to receive cash dividends from Harbison-Walker International Inc. (HWI), the reorganized and renamed entity that emerged from the NARCO bankruptcy. HWI cash dividends are required to be used to pay asbestos-related claims which qualify for payment under the TDP (Annual Contribution Claims) until those funds are exhausted, at which point the Company’s funding obligation, subject to an annual cap of $145 million, is triggered. The Trust received dividend payments from HWI in 2021.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which include adequate medical evidence of the claimant’s asbestos-related condition and credible evidence of exposure to a specific NARCO asbestos-containing product. The TDP allows Honeywell to audit claim support documents against these criteria. Once operational in 2014, the Trust began to receive, process and pay claims. The Company identified several issues with the way the Trust was adhering to the TDP in audits subsequent to the Trust becoming operational. The Company consistently raised with the Trust concern that the Trust adopted an improper practice of paying claimants who have not demonstrated the requisite exposure. The Trust refused to alter its practices for payment of claims, and in September 2021, Honeywell filed suit against the Trust in the United States Bankruptcy Court for the Western District of Pennsylvania (Bankruptcy Court) alleging that the Trust has breached its duties in managing the Trust, including breaches of certain provisions of the TA and TDP. Honeywell's lawsuit seeks appropriate relief preventing the Trust from continuing these practices. The Trust also filed suit against Honeywell, alleging Honeywell has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At this time, the Company cannot predict the outcome of these matters, or the potential impact on the asbestos-related liabilities.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Due to the bankruptcy filing in 2002, claimants were not permitted to file additional claims until the Trust became operative in 2014. As a consequence, there was a large backlog of claims filed with the Trust upon it becoming operative in 2014 through December 31, 2017, the date by which these claims had to be filed or else be barred by the expiration of the statute of limitations.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Beginning in 2020, with three years of sufficiently reliable claims data, the Company updated its estimate of the NARCO asbestos-related liability. The estimate for the resolution of asserted Annual Contribution Claims and Pre-Established Unliquidated Claims uses average payment values for the relevant historical period. The estimate for unasserted claims is based on historic and anticipated claims filing experience and payment rates, disease classifications and type of claim, and average payment values by the Trust for the relevant historical period. The Company utilizes an asbestos liability valuation specialist to support the preparation of the NARCO asbestos-related liability estimates during the fourth quarter each year. The Company's estimates, which involve significant management judgment, and consider multiple scenarios, include all years of epidemiological disease projection through 2059.</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asbestos-related liability excludes the annual operating expenses of the Trust which are expensed as they are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The Company's judgments related to the Company's insurance carriers and insurance coverages are reasonable and consistent with Honeywell's historical dealings and Honeywell's knowledge of any pertinent solvency issues surrounding insurers.</w:t>
      </w:r>
    </w:p>
    <w:p>
      <w:pPr>
        <w:spacing w:after="0" w:line="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8"/>
              </w:rPr>
              <w:t>Years Ended</w:t>
            </w:r>
          </w:p>
        </w:tc>
        <w:tc>
          <w:tcPr>
            <w:tcW w:w="1060" w:type="dxa"/>
            <w:vAlign w:val="bottom"/>
          </w:tcPr>
          <w:p>
            <w:pPr>
              <w:spacing w:after="0"/>
              <w:rPr>
                <w:sz w:val="14"/>
                <w:szCs w:val="14"/>
                <w:color w:val="auto"/>
              </w:rPr>
            </w:pPr>
          </w:p>
        </w:tc>
      </w:tr>
      <w:tr>
        <w:trPr>
          <w:trHeight w:val="189"/>
        </w:trPr>
        <w:tc>
          <w:tcPr>
            <w:tcW w:w="568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95"/>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176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280" w:type="dxa"/>
            <w:vAlign w:val="bottom"/>
            <w:tcBorders>
              <w:top w:val="single" w:sz="8" w:color="D7282F"/>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D7282F"/>
              <w:bottom w:val="single" w:sz="8" w:color="D7282F"/>
            </w:tcBorders>
          </w:tcPr>
          <w:p>
            <w:pPr>
              <w:spacing w:after="0"/>
              <w:rPr>
                <w:sz w:val="16"/>
                <w:szCs w:val="16"/>
                <w:color w:val="auto"/>
              </w:rPr>
            </w:pPr>
          </w:p>
        </w:tc>
        <w:tc>
          <w:tcPr>
            <w:tcW w:w="220" w:type="dxa"/>
            <w:vAlign w:val="bottom"/>
            <w:tcBorders>
              <w:top w:val="single" w:sz="8" w:color="D7282F"/>
              <w:bottom w:val="single" w:sz="8" w:color="D7282F"/>
            </w:tcBorders>
          </w:tcPr>
          <w:p>
            <w:pPr>
              <w:spacing w:after="0"/>
              <w:rPr>
                <w:sz w:val="16"/>
                <w:szCs w:val="16"/>
                <w:color w:val="auto"/>
              </w:rPr>
            </w:pPr>
          </w:p>
        </w:tc>
        <w:tc>
          <w:tcPr>
            <w:tcW w:w="940" w:type="dxa"/>
            <w:vAlign w:val="bottom"/>
            <w:tcBorders>
              <w:top w:val="single" w:sz="8" w:color="D7282F"/>
              <w:bottom w:val="single" w:sz="8" w:color="D7282F"/>
            </w:tcBorders>
          </w:tcPr>
          <w:p>
            <w:pPr>
              <w:spacing w:after="0"/>
              <w:rPr>
                <w:sz w:val="16"/>
                <w:szCs w:val="16"/>
                <w:color w:val="auto"/>
              </w:rPr>
            </w:pPr>
          </w:p>
        </w:tc>
        <w:tc>
          <w:tcPr>
            <w:tcW w:w="1060" w:type="dxa"/>
            <w:vAlign w:val="bottom"/>
            <w:tcBorders>
              <w:top w:val="single" w:sz="8" w:color="D7282F"/>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w w:val="96"/>
              </w:rPr>
              <w:t>2020</w:t>
            </w:r>
          </w:p>
        </w:tc>
      </w:tr>
      <w:tr>
        <w:trPr>
          <w:trHeight w:val="193"/>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unresolved at the beginning of period</w:t>
            </w:r>
          </w:p>
        </w:tc>
        <w:tc>
          <w:tcPr>
            <w:tcW w:w="1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6,401</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1220" w:type="dxa"/>
            <w:vAlign w:val="bottom"/>
            <w:tcBorders>
              <w:bottom w:val="single" w:sz="8" w:color="BCBDC0"/>
            </w:tcBorders>
            <w:gridSpan w:val="3"/>
          </w:tcPr>
          <w:p>
            <w:pPr>
              <w:jc w:val="right"/>
              <w:ind w:right="708"/>
              <w:spacing w:after="0"/>
              <w:rPr>
                <w:sz w:val="20"/>
                <w:szCs w:val="20"/>
                <w:color w:val="auto"/>
              </w:rPr>
            </w:pPr>
            <w:r>
              <w:rPr>
                <w:rFonts w:ascii="Arial" w:cs="Arial" w:eastAsia="Arial" w:hAnsi="Arial"/>
                <w:sz w:val="14"/>
                <w:szCs w:val="14"/>
                <w:color w:val="auto"/>
              </w:rPr>
              <w:t>6,242</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6,480</w:t>
            </w:r>
          </w:p>
        </w:tc>
      </w:tr>
      <w:tr>
        <w:trPr>
          <w:trHeight w:val="196"/>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filed</w:t>
            </w:r>
          </w:p>
        </w:tc>
        <w:tc>
          <w:tcPr>
            <w:tcW w:w="1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525</w:t>
            </w: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gridSpan w:val="3"/>
          </w:tcPr>
          <w:p>
            <w:pPr>
              <w:jc w:val="right"/>
              <w:ind w:right="708"/>
              <w:spacing w:after="0"/>
              <w:rPr>
                <w:sz w:val="20"/>
                <w:szCs w:val="20"/>
                <w:color w:val="auto"/>
              </w:rPr>
            </w:pPr>
            <w:r>
              <w:rPr>
                <w:rFonts w:ascii="Arial" w:cs="Arial" w:eastAsia="Arial" w:hAnsi="Arial"/>
                <w:sz w:val="14"/>
                <w:szCs w:val="14"/>
                <w:color w:val="auto"/>
              </w:rPr>
              <w:t>2,611</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2,233</w:t>
            </w:r>
          </w:p>
        </w:tc>
      </w:tr>
      <w:tr>
        <w:trPr>
          <w:trHeight w:val="196"/>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Claims resolved</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(430)</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3"/>
          </w:tcPr>
          <w:p>
            <w:pPr>
              <w:jc w:val="right"/>
              <w:ind w:right="668"/>
              <w:spacing w:after="0"/>
              <w:rPr>
                <w:sz w:val="20"/>
                <w:szCs w:val="20"/>
                <w:color w:val="auto"/>
              </w:rPr>
            </w:pPr>
            <w:r>
              <w:rPr>
                <w:rFonts w:ascii="Arial" w:cs="Arial" w:eastAsia="Arial" w:hAnsi="Arial"/>
                <w:sz w:val="14"/>
                <w:szCs w:val="14"/>
                <w:color w:val="auto"/>
              </w:rPr>
              <w:t>(2,452)</w:t>
            </w:r>
          </w:p>
        </w:tc>
        <w:tc>
          <w:tcPr>
            <w:tcW w:w="1060" w:type="dxa"/>
            <w:vAlign w:val="bottom"/>
            <w:tcBorders>
              <w:bottom w:val="single" w:sz="8" w:color="D7282F"/>
            </w:tcBorders>
          </w:tcPr>
          <w:p>
            <w:pPr>
              <w:jc w:val="center"/>
              <w:ind w:left="488"/>
              <w:spacing w:after="0"/>
              <w:rPr>
                <w:sz w:val="20"/>
                <w:szCs w:val="20"/>
                <w:color w:val="auto"/>
              </w:rPr>
            </w:pPr>
            <w:r>
              <w:rPr>
                <w:rFonts w:ascii="Arial" w:cs="Arial" w:eastAsia="Arial" w:hAnsi="Arial"/>
                <w:sz w:val="14"/>
                <w:szCs w:val="14"/>
                <w:color w:val="auto"/>
              </w:rPr>
              <w:t>(2,471)</w:t>
            </w:r>
          </w:p>
        </w:tc>
      </w:tr>
      <w:tr>
        <w:trPr>
          <w:trHeight w:val="199"/>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6,496</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3"/>
          </w:tcPr>
          <w:p>
            <w:pPr>
              <w:jc w:val="right"/>
              <w:ind w:right="708"/>
              <w:spacing w:after="0"/>
              <w:rPr>
                <w:sz w:val="20"/>
                <w:szCs w:val="20"/>
                <w:color w:val="auto"/>
              </w:rPr>
            </w:pPr>
            <w:r>
              <w:rPr>
                <w:rFonts w:ascii="Arial" w:cs="Arial" w:eastAsia="Arial" w:hAnsi="Arial"/>
                <w:sz w:val="14"/>
                <w:szCs w:val="14"/>
                <w:b w:val="1"/>
                <w:bCs w:val="1"/>
                <w:color w:val="auto"/>
              </w:rPr>
              <w:t>6,401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b w:val="1"/>
                <w:bCs w:val="1"/>
                <w:color w:val="auto"/>
              </w:rPr>
              <w:t>6,242</w:t>
            </w:r>
          </w:p>
        </w:tc>
      </w:tr>
      <w:tr>
        <w:trPr>
          <w:trHeight w:val="411"/>
        </w:trPr>
        <w:tc>
          <w:tcPr>
            <w:tcW w:w="5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bottom w:val="single" w:sz="8" w:color="D7282F"/>
            </w:tcBorders>
            <w:gridSpan w:val="2"/>
          </w:tcPr>
          <w:p>
            <w:pPr>
              <w:jc w:val="right"/>
              <w:ind w:right="46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93"/>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28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3,837</w:t>
            </w:r>
          </w:p>
        </w:tc>
        <w:tc>
          <w:tcPr>
            <w:tcW w:w="122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3,760</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3,422</w:t>
            </w:r>
          </w:p>
        </w:tc>
      </w:tr>
      <w:tr>
        <w:trPr>
          <w:trHeight w:val="196"/>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2,659</w:t>
            </w:r>
          </w:p>
        </w:tc>
        <w:tc>
          <w:tcPr>
            <w:tcW w:w="12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color w:val="auto"/>
              </w:rPr>
              <w:t>2,641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color w:val="auto"/>
              </w:rPr>
              <w:t>2,820</w:t>
            </w:r>
          </w:p>
        </w:tc>
      </w:tr>
      <w:tr>
        <w:trPr>
          <w:trHeight w:val="199"/>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6,496</w:t>
            </w:r>
          </w:p>
        </w:tc>
        <w:tc>
          <w:tcPr>
            <w:tcW w:w="12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6,401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b w:val="1"/>
                <w:bCs w:val="1"/>
                <w:color w:val="auto"/>
              </w:rPr>
              <w:t>6,242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760" w:type="dxa"/>
            <w:vAlign w:val="bottom"/>
            <w:tcBorders>
              <w:bottom w:val="single" w:sz="8" w:color="D7282F"/>
            </w:tcBorders>
            <w:gridSpan w:val="5"/>
          </w:tcPr>
          <w:p>
            <w:pPr>
              <w:jc w:val="center"/>
              <w:ind w:right="368"/>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4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6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center"/>
              <w:ind w:left="428"/>
              <w:spacing w:after="0"/>
              <w:rPr>
                <w:sz w:val="20"/>
                <w:szCs w:val="20"/>
                <w:color w:val="auto"/>
              </w:rPr>
            </w:pPr>
            <w:r>
              <w:rPr>
                <w:rFonts w:ascii="Arial" w:cs="Arial" w:eastAsia="Arial" w:hAnsi="Arial"/>
                <w:sz w:val="14"/>
                <w:szCs w:val="14"/>
                <w:b w:val="1"/>
                <w:bCs w:val="1"/>
                <w:color w:val="auto"/>
              </w:rPr>
              <w:t>(in whole dollars)</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3"/>
        </w:trPr>
        <w:tc>
          <w:tcPr>
            <w:tcW w:w="6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Malignant claims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56,000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61,500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50,200</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55,300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56,000</w:t>
            </w:r>
          </w:p>
        </w:tc>
      </w:tr>
      <w:tr>
        <w:trPr>
          <w:trHeight w:val="196"/>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3,900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predict whether resolution values for Bendix-related asbestos claims will increase, decrease or stabilize in the future.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includes payment by Honeywell of $10 million to settle the claims in dispute. On January 18, 2022, the Court approved the motion for preliminary approval of the Settlement Agreement. The hearing for final court approval of the Settlement Agreement is May 3, 2022. Honeywell continues to believe the claims lack merit and denies wrongdoing as well as any liability for the claims made against Honeywell in the action.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(including the matter described below). The Company recognizes liabilities for any contingency that is probable of occurrence and reasonably estimable. The Company continually assesses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Such matters include:</w:t>
      </w:r>
    </w:p>
    <w:p>
      <w:pPr>
        <w:spacing w:after="0" w:line="113" w:lineRule="exact"/>
        <w:rPr>
          <w:sz w:val="20"/>
          <w:szCs w:val="20"/>
          <w:color w:val="auto"/>
        </w:rPr>
      </w:pPr>
    </w:p>
    <w:p>
      <w:pPr>
        <w:jc w:val="both"/>
        <w:ind w:left="200" w:hanging="192"/>
        <w:spacing w:after="0" w:line="262" w:lineRule="auto"/>
        <w:tabs>
          <w:tab w:leader="none" w:pos="197" w:val="left"/>
        </w:tabs>
        <w:numPr>
          <w:ilvl w:val="0"/>
          <w:numId w:val="4"/>
        </w:numPr>
        <w:rPr>
          <w:rFonts w:ascii="Arial" w:cs="Arial" w:eastAsia="Arial" w:hAnsi="Arial"/>
          <w:sz w:val="16"/>
          <w:szCs w:val="16"/>
          <w:color w:val="D7282F"/>
        </w:rPr>
      </w:pPr>
      <w:r>
        <w:rPr>
          <w:rFonts w:ascii="Arial" w:cs="Arial" w:eastAsia="Arial" w:hAnsi="Arial"/>
          <w:sz w:val="16"/>
          <w:szCs w:val="16"/>
          <w:b w:val="1"/>
          <w:bCs w:val="1"/>
          <w:i w:val="1"/>
          <w:iCs w:val="1"/>
          <w:color w:val="auto"/>
        </w:rPr>
        <w:t xml:space="preserve">Petrobras and Unaoil </w:t>
      </w:r>
      <w:r>
        <w:rPr>
          <w:rFonts w:ascii="Arial" w:cs="Arial" w:eastAsia="Arial" w:hAnsi="Arial"/>
          <w:sz w:val="16"/>
          <w:szCs w:val="16"/>
          <w:color w:val="auto"/>
        </w:rPr>
        <w:t>– The Company continues to cooperate with investigations by the U.S. Department of Justice (DOJ),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(SEC), and the Brazilian authorities relating to the Company's use of third parties who previously worked for the Company's UOP business in Brazil in relation to Petróleo Brasileiro S.A. (Petrobras) in connection with a project awarded in 2010. The investigations focus on compliance with the U.S. Foreign Corrupt Practices Act and similar Brazilian laws (the UOP Matters), and involve, among other things, document production and interviews with former and current management and employees. The DOJ and the SEC are also examining a matter involving a foreign subsidiary’s prior contract with Unaoil S.A.M. in Algeria executed in 2011. The Company continues to be engaged in discussions with the authorities with respect to a potential comprehensive resolution of these matters.</w:t>
      </w:r>
    </w:p>
    <w:p>
      <w:pPr>
        <w:spacing w:after="0" w:line="65" w:lineRule="exact"/>
        <w:rPr>
          <w:rFonts w:ascii="Arial" w:cs="Arial" w:eastAsia="Arial" w:hAnsi="Arial"/>
          <w:sz w:val="16"/>
          <w:szCs w:val="16"/>
          <w:color w:val="D7282F"/>
        </w:rPr>
      </w:pPr>
    </w:p>
    <w:p>
      <w:pPr>
        <w:jc w:val="both"/>
        <w:ind w:left="200"/>
        <w:spacing w:after="0" w:line="259" w:lineRule="auto"/>
        <w:rPr>
          <w:rFonts w:ascii="Arial" w:cs="Arial" w:eastAsia="Arial" w:hAnsi="Arial"/>
          <w:sz w:val="16"/>
          <w:szCs w:val="16"/>
          <w:color w:val="D7282F"/>
        </w:rPr>
      </w:pPr>
      <w:r>
        <w:rPr>
          <w:rFonts w:ascii="Arial" w:cs="Arial" w:eastAsia="Arial" w:hAnsi="Arial"/>
          <w:sz w:val="16"/>
          <w:szCs w:val="16"/>
          <w:color w:val="auto"/>
        </w:rPr>
        <w:t>As the discussions are both ongoing and at different stages with regards to each respective authority, there can be no assurance as to whether the Company will reach a resolution with such authorities or as to the potential timing, terms, or collateral consequences of any such resolution. As a result, the Company cannot predict the ultimate outcome of these UOP Matters or the potential impact on the Company. Based on available information to date, the Company estimates that a potential comprehensive resolution of these UOP Matters would result in a probable loss of at least $160 million. During 2021, the Company recorded a charge in this amount in the Company's Consolidated Statement of Operations, and accrued a corresponding liability on the Consolidated Balance Sheet. Amounts payable to authorities pursuant to any potential final comprehensive resolution could differ from the amount recorded in the Company's consolidated financial statements. Based on available information to date, the Company does not expect that any such difference would be material with respect to the Company's consolidated financial position.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losses (or a range of possible losses) in excess of current accruals for such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costs for the Company's significant defined benefit plans include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center"/>
              <w:ind w:right="268"/>
              <w:spacing w:after="0"/>
              <w:rPr>
                <w:sz w:val="20"/>
                <w:szCs w:val="20"/>
                <w:color w:val="auto"/>
              </w:rPr>
            </w:pPr>
            <w:r>
              <w:rPr>
                <w:rFonts w:ascii="Arial" w:cs="Arial" w:eastAsia="Arial" w:hAnsi="Arial"/>
                <w:sz w:val="14"/>
                <w:szCs w:val="14"/>
                <w:b w:val="1"/>
                <w:bCs w:val="1"/>
                <w:color w:val="auto"/>
              </w:rPr>
              <w:t>U.S. Plans</w:t>
            </w:r>
          </w:p>
        </w:tc>
      </w:tr>
      <w:tr>
        <w:trPr>
          <w:trHeight w:val="174"/>
        </w:trPr>
        <w:tc>
          <w:tcPr>
            <w:tcW w:w="9240" w:type="dxa"/>
            <w:vAlign w:val="bottom"/>
          </w:tcPr>
          <w:p>
            <w:pPr>
              <w:spacing w:after="0"/>
              <w:rPr>
                <w:sz w:val="15"/>
                <w:szCs w:val="15"/>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235"/>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(320)</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(305)</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(214)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w:t>
            </w:r>
          </w:p>
        </w:tc>
      </w:tr>
      <w:tr>
        <w:trPr>
          <w:trHeight w:val="480"/>
        </w:trPr>
        <w:tc>
          <w:tcPr>
            <w:tcW w:w="9240" w:type="dxa"/>
            <w:vAlign w:val="bottom"/>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1660" w:type="dxa"/>
            <w:vAlign w:val="bottom"/>
            <w:tcBorders>
              <w:bottom w:val="single" w:sz="8" w:color="D7282F"/>
            </w:tcBorders>
            <w:gridSpan w:val="3"/>
          </w:tcPr>
          <w:p>
            <w:pPr>
              <w:jc w:val="center"/>
              <w:ind w:right="268"/>
              <w:spacing w:after="0"/>
              <w:rPr>
                <w:sz w:val="20"/>
                <w:szCs w:val="20"/>
                <w:color w:val="auto"/>
              </w:rPr>
            </w:pPr>
            <w:r>
              <w:rPr>
                <w:rFonts w:ascii="Arial" w:cs="Arial" w:eastAsia="Arial" w:hAnsi="Arial"/>
                <w:sz w:val="14"/>
                <w:szCs w:val="14"/>
                <w:b w:val="1"/>
                <w:bCs w:val="1"/>
                <w:color w:val="auto"/>
              </w:rPr>
              <w:t>Non-U.S. Plans</w:t>
            </w:r>
          </w:p>
        </w:tc>
      </w:tr>
      <w:tr>
        <w:trPr>
          <w:trHeight w:val="170"/>
        </w:trPr>
        <w:tc>
          <w:tcPr>
            <w:tcW w:w="924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23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34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28</w:t>
            </w:r>
          </w:p>
        </w:tc>
        <w:tc>
          <w:tcPr>
            <w:tcW w:w="1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(75)</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83"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2"/>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Pension ongoing income – non-service</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(285)</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(310)</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postretirement income – non-service</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(Gain) loss on sale of non-strategic businesses and assets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2"/>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1,461</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1,515</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1,288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1,117</w:t>
            </w:r>
          </w:p>
        </w:tc>
      </w:tr>
      <w:tr>
        <w:trPr>
          <w:trHeight w:val="199"/>
        </w:trPr>
        <w:tc>
          <w:tcPr>
            <w:tcW w:w="924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2,749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2,632</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1,082</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1,009</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349</w:t>
            </w:r>
          </w:p>
        </w:tc>
      </w:tr>
      <w:tr>
        <w:trPr>
          <w:trHeight w:val="199"/>
        </w:trPr>
        <w:tc>
          <w:tcPr>
            <w:tcW w:w="924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1,429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1,358</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1,956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1,869</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477</w:t>
            </w:r>
          </w:p>
        </w:tc>
      </w:tr>
      <w:tr>
        <w:trPr>
          <w:trHeight w:val="199"/>
        </w:trPr>
        <w:tc>
          <w:tcPr>
            <w:tcW w:w="924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2,453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2,346</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1,633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2,016</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102</w:t>
            </w:r>
          </w:p>
        </w:tc>
      </w:tr>
      <w:tr>
        <w:trPr>
          <w:trHeight w:val="199"/>
        </w:trPr>
        <w:tc>
          <w:tcPr>
            <w:tcW w:w="924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2,118</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Corporate and All Other</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24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9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8,376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8,454</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Segment profit</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Aerospace</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753</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762</w:t>
            </w: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305</w:t>
            </w: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510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434</w:t>
            </w:r>
          </w:p>
        </w:tc>
      </w:tr>
      <w:tr>
        <w:trPr>
          <w:trHeight w:val="196"/>
        </w:trPr>
        <w:tc>
          <w:tcPr>
            <w:tcW w:w="9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253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303</w:t>
            </w:r>
          </w:p>
        </w:tc>
      </w:tr>
      <w:tr>
        <w:trPr>
          <w:trHeight w:val="196"/>
        </w:trPr>
        <w:tc>
          <w:tcPr>
            <w:tcW w:w="9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r>
        <w:trPr>
          <w:trHeight w:val="199"/>
        </w:trPr>
        <w:tc>
          <w:tcPr>
            <w:tcW w:w="924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Total segment profit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1,766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1,775</w:t>
            </w:r>
          </w:p>
        </w:tc>
      </w:tr>
      <w:tr>
        <w:trPr>
          <w:trHeight w:val="193"/>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(85)</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r>
      <w:tr>
        <w:trPr>
          <w:trHeight w:val="200"/>
        </w:trPr>
        <w:tc>
          <w:tcPr>
            <w:tcW w:w="9240" w:type="dxa"/>
            <w:vAlign w:val="bottom"/>
            <w:tcBorders>
              <w:bottom w:val="single" w:sz="8" w:color="BCBDC0"/>
            </w:tcBorders>
          </w:tcPr>
          <w:p>
            <w:pPr>
              <w:ind w:left="2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(a)</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924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(b)</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251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276</w:t>
            </w:r>
          </w:p>
        </w:tc>
      </w:tr>
      <w:tr>
        <w:trPr>
          <w:trHeight w:val="196"/>
        </w:trPr>
        <w:tc>
          <w:tcPr>
            <w:tcW w:w="924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(b)</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24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(c)</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(387)</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924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(d)</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101</w:t>
            </w:r>
          </w:p>
        </w:tc>
      </w:tr>
      <w:tr>
        <w:trPr>
          <w:trHeight w:val="195"/>
        </w:trPr>
        <w:tc>
          <w:tcPr>
            <w:tcW w:w="9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1,505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w:t>
            </w:r>
          </w:p>
        </w:tc>
      </w:tr>
    </w:tbl>
    <w:p>
      <w:pPr>
        <w:spacing w:after="0" w:line="18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and Selling, general and administrative expenses (service cost component) and Other (income) expense (non-service cost component).</w:t>
      </w:r>
    </w:p>
    <w:p>
      <w:pPr>
        <w:spacing w:after="0" w:line="91" w:lineRule="exact"/>
        <w:rPr>
          <w:rFonts w:ascii="Arial" w:cs="Arial" w:eastAsia="Arial" w:hAnsi="Arial"/>
          <w:sz w:val="12"/>
          <w:szCs w:val="12"/>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 Discussion and Analysis is intended to help the reader understand the results of operations and financial condition of Honeywell International Inc. and its consolidated subsidiaries (Honeywell or the Company) for the three months ended March 31, 2022. The financial information as of March 31, 2022, should be read in conjunction with the Consolidated Financial Statements for the year ended December 31, 2021, contained in our 2021 Annual Report on Form 10-K. See Note 3 Acquisitions and Divestitures of Notes to Consolidated Financial Statements for a discussion of acquisition and divestiture activity during the three months ended March 31, 2022.</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monitor several macroeconomic and geopolitical trends, that have impacted our business, including changing conditions from the COVID-19 pandemic, the on-going Russia-Ukraine conflict, inflationary cost pressures, supply chain disruptions, and labor shortages.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COVID-19 pandemic continues to impact our business operations, and our customers' and suppliers' ability to operate at normal levels. Disruptions in normal operating levels continue to create supply chain disruptions and inflationary cost pressures within our end-markets. We anticipate supply chain constraints, and the inflationary environment will continue during 2022. As such, we implemented short-term and long-term strategies to reduce the impact of current and future effects.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first quarter of 2022, governments around the world removed many restrictions on businesses and the general public. We continue to operate our manufacturing sites at normal production levels. As of March 31, 2022, we have returned over 90% of our non-manufacturing employees to the workplace. For our remaining non-manufacturing employees, we continue to utilize our procedures for a phased return of our employees to the workplace.</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continue to actively monitor regional COVID-19 outbreaks, and the related government restrictions and lockdown activities in the areas we operate. To date, the impacts of these actions have not been material.</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See the section titled Review of Business Segments for additional information on the impacts of COVID-19, inflationary cost pressures, supply chain disruptions, and labor shortages, to our businesses.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RUSSIA-UKRAINE CONFLICT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response to the Russian invasion of Ukraine, on March 9, 2022, we suspended substantially all of our sales, distribution, and service activities in Russia and Belarus (the Suspension), any future actions are unknown as we continue to evaluate the situation. During March 2022, we created a Ukraine Relief Fund, allowing employees to make donations to support organizations that are providing direct assistance to Ukrainians and those that are assisting them in the midst of this humanitarian crisis. Through March 31, 2022, employee contributions to this fund, along with the Company match, exceeded $1 million. To further support employees in the impacted region, we accelerated payroll payments to those affected by the conflict and the Suspension of our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Due to the Suspension, sanctions, and deteriorating trade relations, during March 2022, we recorded $183 million of reserves against outstanding accounts receivable, contract assets, and impairments of other assets. The respective impacts to revenues, net income, net assets, cash flow from operations, or our global workforce are not material. For the year ended December 31, 2021, revenues from sales in Russia represented approximately 1% of our global revenues, while assets in Russia represented less than 1% of our total assets. Based on available information to date, the Company’s estimate of potential future impairments on our businesses in Russia would not be material with respect to the Company's consolidated financial position. As the conflict continues to evolve, existing conditions may worsen, or other impacts that are unknown at this time, may arise that could have a material adverse effect on our consolidated financial position.</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Russia-Ukraine conflict caused certain commodity prices to spike, adding to the inflationary pressures in the global economy. We considered the impacts of the conflict on oil and gas prices in our short-term and long-term strategies discussed in the above.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See Item 1A. Risk Factors for additional information on potential risks to our business.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27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80645</wp:posOffset>
            </wp:positionV>
            <wp:extent cx="4714875" cy="257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914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037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28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51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29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80645</wp:posOffset>
            </wp:positionV>
            <wp:extent cx="2571750"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Borders>
              <w:bottom w:val="single" w:sz="8" w:color="D7282F"/>
            </w:tcBorders>
          </w:tcPr>
          <w:p>
            <w:pPr>
              <w:spacing w:after="0"/>
              <w:rPr>
                <w:sz w:val="17"/>
                <w:szCs w:val="17"/>
                <w:color w:val="auto"/>
              </w:rPr>
            </w:pPr>
          </w:p>
        </w:tc>
        <w:tc>
          <w:tcPr>
            <w:tcW w:w="5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Q1 2022 Versus Q1 2021</w:t>
            </w:r>
          </w:p>
        </w:tc>
      </w:tr>
      <w:tr>
        <w:trPr>
          <w:trHeight w:val="193"/>
        </w:trPr>
        <w:tc>
          <w:tcPr>
            <w:tcW w:w="5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Volume</w:t>
            </w:r>
          </w:p>
        </w:tc>
        <w:tc>
          <w:tcPr>
            <w:tcW w:w="5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5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Price</w:t>
            </w:r>
          </w:p>
        </w:tc>
        <w:tc>
          <w:tcPr>
            <w:tcW w:w="5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7 %</w:t>
            </w:r>
          </w:p>
        </w:tc>
      </w:tr>
      <w:tr>
        <w:trPr>
          <w:trHeight w:val="196"/>
        </w:trPr>
        <w:tc>
          <w:tcPr>
            <w:tcW w:w="5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5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600" w:type="dxa"/>
            <w:vAlign w:val="bottom"/>
            <w:tcBorders>
              <w:bottom w:val="single" w:sz="8" w:color="D7282F"/>
            </w:tcBorders>
          </w:tcPr>
          <w:p>
            <w:pPr>
              <w:spacing w:after="0"/>
              <w:rPr>
                <w:sz w:val="17"/>
                <w:szCs w:val="17"/>
                <w:color w:val="auto"/>
              </w:rPr>
            </w:pPr>
          </w:p>
        </w:tc>
        <w:tc>
          <w:tcPr>
            <w:tcW w:w="5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decreased due to the following:</w:t>
      </w:r>
    </w:p>
    <w:p>
      <w:pPr>
        <w:spacing w:after="0" w:line="97"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6"/>
          <w:szCs w:val="16"/>
          <w:color w:val="D7282F"/>
        </w:rPr>
      </w:pPr>
      <w:r>
        <w:rPr>
          <w:rFonts w:ascii="Arial" w:cs="Arial" w:eastAsia="Arial" w:hAnsi="Arial"/>
          <w:sz w:val="16"/>
          <w:szCs w:val="16"/>
          <w:color w:val="auto"/>
        </w:rPr>
        <w:t>Lower sales volumes in our Safety and Productivity Solutions segment, and</w:t>
      </w:r>
    </w:p>
    <w:p>
      <w:pPr>
        <w:spacing w:after="0" w:line="86" w:lineRule="exact"/>
        <w:rPr>
          <w:rFonts w:ascii="Arial" w:cs="Arial" w:eastAsia="Arial" w:hAnsi="Arial"/>
          <w:sz w:val="16"/>
          <w:szCs w:val="16"/>
          <w:color w:val="D7282F"/>
        </w:rPr>
      </w:pPr>
    </w:p>
    <w:p>
      <w:pPr>
        <w:ind w:left="200" w:hanging="192"/>
        <w:spacing w:after="0" w:line="304" w:lineRule="auto"/>
        <w:tabs>
          <w:tab w:leader="none" w:pos="197" w:val="left"/>
        </w:tabs>
        <w:numPr>
          <w:ilvl w:val="0"/>
          <w:numId w:val="6"/>
        </w:numPr>
        <w:rPr>
          <w:rFonts w:ascii="Arial" w:cs="Arial" w:eastAsia="Arial" w:hAnsi="Arial"/>
          <w:sz w:val="16"/>
          <w:szCs w:val="16"/>
          <w:color w:val="D7282F"/>
        </w:rPr>
      </w:pPr>
      <w:r>
        <w:rPr>
          <w:rFonts w:ascii="Arial" w:cs="Arial" w:eastAsia="Arial" w:hAnsi="Arial"/>
          <w:sz w:val="16"/>
          <w:szCs w:val="16"/>
          <w:color w:val="auto"/>
        </w:rPr>
        <w:t>The unfavorable impact of foreign currency translation, driven by the strengthening of the U.S. Dollar against the currencies of the majority of our international markets, primarily the Euro, Turkish Lira, Australian Dollar, and British Pound,</w:t>
      </w:r>
    </w:p>
    <w:p>
      <w:pPr>
        <w:spacing w:after="0" w:line="33" w:lineRule="exact"/>
        <w:rPr>
          <w:rFonts w:ascii="Arial" w:cs="Arial" w:eastAsia="Arial" w:hAnsi="Arial"/>
          <w:sz w:val="16"/>
          <w:szCs w:val="16"/>
          <w:color w:val="D7282F"/>
        </w:rPr>
      </w:pPr>
    </w:p>
    <w:p>
      <w:pPr>
        <w:ind w:left="200" w:hanging="192"/>
        <w:spacing w:after="0"/>
        <w:tabs>
          <w:tab w:leader="none" w:pos="200" w:val="left"/>
        </w:tabs>
        <w:numPr>
          <w:ilvl w:val="0"/>
          <w:numId w:val="6"/>
        </w:numPr>
        <w:rPr>
          <w:rFonts w:ascii="Arial" w:cs="Arial" w:eastAsia="Arial" w:hAnsi="Arial"/>
          <w:sz w:val="16"/>
          <w:szCs w:val="16"/>
          <w:color w:val="DC202E"/>
        </w:rPr>
      </w:pPr>
      <w:r>
        <w:rPr>
          <w:rFonts w:ascii="Arial" w:cs="Arial" w:eastAsia="Arial" w:hAnsi="Arial"/>
          <w:sz w:val="16"/>
          <w:szCs w:val="16"/>
          <w:color w:val="auto"/>
        </w:rPr>
        <w:t>Partially offset by favorable pricing to offset higher direct and indirect material costs and higher labor costs.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80645</wp:posOffset>
            </wp:positionV>
            <wp:extent cx="2571750"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decreased due to the following:</w:t>
      </w:r>
    </w:p>
    <w:p>
      <w:pPr>
        <w:spacing w:after="0" w:line="111"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6"/>
          <w:szCs w:val="16"/>
          <w:b w:val="1"/>
          <w:bCs w:val="1"/>
          <w:color w:val="DC202E"/>
        </w:rPr>
      </w:pPr>
      <w:r>
        <w:rPr>
          <w:rFonts w:ascii="Arial" w:cs="Arial" w:eastAsia="Arial" w:hAnsi="Arial"/>
          <w:sz w:val="16"/>
          <w:szCs w:val="16"/>
          <w:color w:val="auto"/>
        </w:rPr>
        <w:t>Lower sales volumes in our Safety and Productivity Solutions business which resulted in lower direct and indirect material costs, and lower labor costs,</w:t>
      </w:r>
    </w:p>
    <w:p>
      <w:pPr>
        <w:spacing w:after="0" w:line="113" w:lineRule="exact"/>
        <w:rPr>
          <w:rFonts w:ascii="Arial" w:cs="Arial" w:eastAsia="Arial" w:hAnsi="Arial"/>
          <w:sz w:val="16"/>
          <w:szCs w:val="16"/>
          <w:b w:val="1"/>
          <w:bCs w:val="1"/>
          <w:color w:val="DC202E"/>
        </w:rPr>
      </w:pPr>
    </w:p>
    <w:p>
      <w:pPr>
        <w:ind w:left="200" w:hanging="192"/>
        <w:spacing w:after="0"/>
        <w:tabs>
          <w:tab w:leader="none" w:pos="200" w:val="left"/>
        </w:tabs>
        <w:numPr>
          <w:ilvl w:val="0"/>
          <w:numId w:val="7"/>
        </w:numPr>
        <w:rPr>
          <w:rFonts w:ascii="Arial" w:cs="Arial" w:eastAsia="Arial" w:hAnsi="Arial"/>
          <w:sz w:val="16"/>
          <w:szCs w:val="16"/>
          <w:b w:val="1"/>
          <w:bCs w:val="1"/>
          <w:color w:val="DC202E"/>
        </w:rPr>
      </w:pPr>
      <w:r>
        <w:rPr>
          <w:rFonts w:ascii="Arial" w:cs="Arial" w:eastAsia="Arial" w:hAnsi="Arial"/>
          <w:sz w:val="16"/>
          <w:szCs w:val="16"/>
          <w:color w:val="auto"/>
        </w:rPr>
        <w:t>Partially offset by higher direct and indirect material costs and higher labor costs in our other businesses, and higher repositioning and other charges.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80645</wp:posOffset>
            </wp:positionV>
            <wp:extent cx="2571750" cy="2366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net sales decreased due to the following:</w:t>
      </w:r>
    </w:p>
    <w:p>
      <w:pPr>
        <w:spacing w:after="0" w:line="97"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6"/>
          <w:szCs w:val="16"/>
          <w:b w:val="1"/>
          <w:bCs w:val="1"/>
          <w:color w:val="DC202E"/>
        </w:rPr>
      </w:pPr>
      <w:r>
        <w:rPr>
          <w:rFonts w:ascii="Arial" w:cs="Arial" w:eastAsia="Arial" w:hAnsi="Arial"/>
          <w:sz w:val="16"/>
          <w:szCs w:val="16"/>
          <w:color w:val="auto"/>
        </w:rPr>
        <w:t>Higher repositioning and other charges,</w:t>
      </w:r>
    </w:p>
    <w:p>
      <w:pPr>
        <w:spacing w:after="0" w:line="86" w:lineRule="exact"/>
        <w:rPr>
          <w:rFonts w:ascii="Arial" w:cs="Arial" w:eastAsia="Arial" w:hAnsi="Arial"/>
          <w:sz w:val="16"/>
          <w:szCs w:val="16"/>
          <w:b w:val="1"/>
          <w:bCs w:val="1"/>
          <w:color w:val="DC202E"/>
        </w:rPr>
      </w:pPr>
    </w:p>
    <w:p>
      <w:pPr>
        <w:ind w:left="200" w:hanging="192"/>
        <w:spacing w:after="0"/>
        <w:tabs>
          <w:tab w:leader="none" w:pos="200" w:val="left"/>
        </w:tabs>
        <w:numPr>
          <w:ilvl w:val="0"/>
          <w:numId w:val="8"/>
        </w:numPr>
        <w:rPr>
          <w:rFonts w:ascii="Arial" w:cs="Arial" w:eastAsia="Arial" w:hAnsi="Arial"/>
          <w:sz w:val="16"/>
          <w:szCs w:val="16"/>
          <w:b w:val="1"/>
          <w:bCs w:val="1"/>
          <w:color w:val="DC202E"/>
        </w:rPr>
      </w:pPr>
      <w:r>
        <w:rPr>
          <w:rFonts w:ascii="Arial" w:cs="Arial" w:eastAsia="Arial" w:hAnsi="Arial"/>
          <w:sz w:val="16"/>
          <w:szCs w:val="16"/>
          <w:color w:val="auto"/>
        </w:rPr>
        <w:t>Partially offset by favorable pricing.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80645</wp:posOffset>
            </wp:positionV>
            <wp:extent cx="2571750" cy="2366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11" w:lineRule="exact"/>
        <w:rPr>
          <w:sz w:val="20"/>
          <w:szCs w:val="20"/>
          <w:color w:val="auto"/>
        </w:rPr>
      </w:pPr>
    </w:p>
    <w:p>
      <w:pPr>
        <w:ind w:left="200" w:hanging="192"/>
        <w:spacing w:after="0" w:line="286" w:lineRule="auto"/>
        <w:tabs>
          <w:tab w:leader="none" w:pos="197" w:val="left"/>
        </w:tabs>
        <w:numPr>
          <w:ilvl w:val="0"/>
          <w:numId w:val="9"/>
        </w:numPr>
        <w:rPr>
          <w:rFonts w:ascii="Arial" w:cs="Arial" w:eastAsia="Arial" w:hAnsi="Arial"/>
          <w:sz w:val="16"/>
          <w:szCs w:val="16"/>
          <w:color w:val="D7282F"/>
        </w:rPr>
      </w:pPr>
      <w:r>
        <w:rPr>
          <w:rFonts w:ascii="Arial" w:cs="Arial" w:eastAsia="Arial" w:hAnsi="Arial"/>
          <w:sz w:val="16"/>
          <w:szCs w:val="16"/>
          <w:color w:val="auto"/>
        </w:rPr>
        <w:t>Accrual of reserves against outstanding accounts receivable, contract assets, and impairments of other assets due to the suspension of substantially all of our sales, distribution, and service activities in Russia and Belarus.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6350</wp:posOffset>
            </wp:positionV>
            <wp:extent cx="1268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8" w:lineRule="exact"/>
        <w:rPr>
          <w:sz w:val="20"/>
          <w:szCs w:val="20"/>
          <w:color w:val="auto"/>
        </w:rPr>
      </w:pPr>
    </w:p>
    <w:p>
      <w:pPr>
        <w:ind w:left="9580"/>
        <w:spacing w:after="0"/>
        <w:tabs>
          <w:tab w:leader="none" w:pos="105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460" w:val="left"/>
          <w:tab w:leader="none" w:pos="9860" w:val="left"/>
          <w:tab w:leader="none" w:pos="1046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97"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6"/>
          <w:szCs w:val="16"/>
          <w:color w:val="D7282F"/>
        </w:rPr>
      </w:pPr>
      <w:r>
        <w:rPr>
          <w:rFonts w:ascii="Arial" w:cs="Arial" w:eastAsia="Arial" w:hAnsi="Arial"/>
          <w:sz w:val="16"/>
          <w:szCs w:val="16"/>
          <w:color w:val="auto"/>
        </w:rPr>
        <w:t>Prior year gain on sale of the retail footwear business,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0"/>
        </w:numPr>
        <w:rPr>
          <w:rFonts w:ascii="Arial" w:cs="Arial" w:eastAsia="Arial" w:hAnsi="Arial"/>
          <w:sz w:val="16"/>
          <w:szCs w:val="16"/>
          <w:color w:val="D7282F"/>
        </w:rPr>
      </w:pPr>
      <w:r>
        <w:rPr>
          <w:rFonts w:ascii="Arial" w:cs="Arial" w:eastAsia="Arial" w:hAnsi="Arial"/>
          <w:sz w:val="16"/>
          <w:szCs w:val="16"/>
          <w:color w:val="auto"/>
        </w:rPr>
        <w:t>Lower pension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80645</wp:posOffset>
            </wp:positionV>
            <wp:extent cx="2571750"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with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increased, and was higher than the U.S. federal statutory rate of 21%, due to the following:</w:t>
      </w:r>
    </w:p>
    <w:p>
      <w:pPr>
        <w:spacing w:after="0" w:line="111" w:lineRule="exact"/>
        <w:rPr>
          <w:sz w:val="20"/>
          <w:szCs w:val="20"/>
          <w:color w:val="auto"/>
        </w:rPr>
      </w:pPr>
    </w:p>
    <w:p>
      <w:pPr>
        <w:ind w:left="200" w:hanging="192"/>
        <w:spacing w:after="0" w:line="286" w:lineRule="auto"/>
        <w:tabs>
          <w:tab w:leader="none" w:pos="197"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Accrual of reserves against outstanding accounts receivable, contract assets, and impairments of other assets due to the suspension of substantially all of our sales, distribution, and service activities in Russia and Belarus with no corresponding tax benefit,</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Lower tax benefits for employee share-based compensation,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Incremental tax reserves and state taxes,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Partially offset by the favorable resolution of certain foreign tax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of changes in the effective tax rate, see Note 6 Income Taxes of Notes to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89535</wp:posOffset>
            </wp:positionV>
            <wp:extent cx="2571750" cy="2366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to Q1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driven by the following:</w:t>
      </w:r>
    </w:p>
    <w:p>
      <w:pPr>
        <w:spacing w:after="0" w:line="97" w:lineRule="exact"/>
        <w:rPr>
          <w:sz w:val="20"/>
          <w:szCs w:val="20"/>
          <w:color w:val="auto"/>
        </w:rPr>
      </w:pPr>
    </w:p>
    <w:p>
      <w:pPr>
        <w:ind w:left="200" w:hanging="192"/>
        <w:spacing w:after="0" w:line="286" w:lineRule="auto"/>
        <w:tabs>
          <w:tab w:leader="none" w:pos="197" w:val="left"/>
        </w:tabs>
        <w:numPr>
          <w:ilvl w:val="0"/>
          <w:numId w:val="12"/>
        </w:numPr>
        <w:rPr>
          <w:rFonts w:ascii="Arial" w:cs="Arial" w:eastAsia="Arial" w:hAnsi="Arial"/>
          <w:sz w:val="16"/>
          <w:szCs w:val="16"/>
          <w:color w:val="D7282F"/>
        </w:rPr>
      </w:pPr>
      <w:r>
        <w:rPr>
          <w:rFonts w:ascii="Arial" w:cs="Arial" w:eastAsia="Arial" w:hAnsi="Arial"/>
          <w:sz w:val="16"/>
          <w:szCs w:val="16"/>
          <w:color w:val="auto"/>
        </w:rPr>
        <w:t>Higher repositioning and other charges, including the accrual of reserves against outstanding accounts receivable, contract assets, and impairments of other assets due to the suspension of substantially all of our sales, distribution, and service activities in Russia and Belarus, and</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2"/>
        </w:numPr>
        <w:rPr>
          <w:rFonts w:ascii="Arial" w:cs="Arial" w:eastAsia="Arial" w:hAnsi="Arial"/>
          <w:sz w:val="16"/>
          <w:szCs w:val="16"/>
          <w:color w:val="D7282F"/>
        </w:rPr>
      </w:pPr>
      <w:r>
        <w:rPr>
          <w:rFonts w:ascii="Arial" w:cs="Arial" w:eastAsia="Arial" w:hAnsi="Arial"/>
          <w:sz w:val="16"/>
          <w:szCs w:val="16"/>
          <w:color w:val="auto"/>
        </w:rPr>
        <w:t>Prior year gain on sale of the retail footwear business,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2"/>
        </w:numPr>
        <w:rPr>
          <w:rFonts w:ascii="Arial" w:cs="Arial" w:eastAsia="Arial" w:hAnsi="Arial"/>
          <w:sz w:val="16"/>
          <w:szCs w:val="16"/>
          <w:color w:val="D7282F"/>
        </w:rPr>
      </w:pPr>
      <w:r>
        <w:rPr>
          <w:rFonts w:ascii="Arial" w:cs="Arial" w:eastAsia="Arial" w:hAnsi="Arial"/>
          <w:sz w:val="16"/>
          <w:szCs w:val="16"/>
          <w:color w:val="auto"/>
        </w:rPr>
        <w:t>Partially offset by lower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segments: Aerospace, Honeywell Building Technologies, Performance Materials and Technologies, and Safety and Productivity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57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gridSpan w:val="2"/>
          </w:tcPr>
          <w:p>
            <w:pPr>
              <w:jc w:val="right"/>
              <w:ind w:right="140"/>
              <w:spacing w:after="0"/>
              <w:rPr>
                <w:sz w:val="20"/>
                <w:szCs w:val="20"/>
                <w:color w:val="auto"/>
              </w:rPr>
            </w:pPr>
            <w:r>
              <w:rPr>
                <w:rFonts w:ascii="Arial" w:cs="Arial" w:eastAsia="Arial" w:hAnsi="Arial"/>
                <w:sz w:val="14"/>
                <w:szCs w:val="14"/>
                <w:color w:val="auto"/>
              </w:rPr>
              <w:t>2,749</w:t>
            </w:r>
          </w:p>
        </w:tc>
        <w:tc>
          <w:tcPr>
            <w:tcW w:w="24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2,632</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gridSpan w:val="2"/>
          </w:tcPr>
          <w:p>
            <w:pPr>
              <w:jc w:val="right"/>
              <w:ind w:right="140"/>
              <w:spacing w:after="0"/>
              <w:rPr>
                <w:sz w:val="20"/>
                <w:szCs w:val="20"/>
                <w:color w:val="auto"/>
              </w:rPr>
            </w:pPr>
            <w:r>
              <w:rPr>
                <w:rFonts w:ascii="Arial" w:cs="Arial" w:eastAsia="Arial" w:hAnsi="Arial"/>
                <w:sz w:val="14"/>
                <w:szCs w:val="14"/>
                <w:color w:val="auto"/>
              </w:rPr>
              <w:t>1,759</w:t>
            </w:r>
          </w:p>
        </w:tc>
        <w:tc>
          <w:tcPr>
            <w:tcW w:w="2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1,656</w:t>
            </w:r>
          </w:p>
        </w:tc>
        <w:tc>
          <w:tcPr>
            <w:tcW w:w="10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214</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753</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762</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426"/>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80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147"/>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3"/>
          </w:tcPr>
          <w:p>
            <w:pPr>
              <w:jc w:val="center"/>
              <w:ind w:right="108"/>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w w:val="97"/>
              </w:rPr>
              <w:t>Net</w:t>
            </w: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w w:val="98"/>
              </w:rPr>
              <w:t>Profit</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34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8"/>
        <w:spacing w:after="0" w:line="251" w:lineRule="auto"/>
        <w:tabs>
          <w:tab w:leader="none" w:pos="136"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to Q1 2021</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Sales increased primarily due to favorable pricing and higher demand from our aftermarket products and services, as flight hours increase from pandemic lows, and commercial OEMs, partially offset by supply chain constraints.</w:t>
      </w:r>
    </w:p>
    <w:p>
      <w:pPr>
        <w:spacing w:after="0" w:line="50" w:lineRule="exact"/>
        <w:rPr>
          <w:sz w:val="20"/>
          <w:szCs w:val="20"/>
          <w:color w:val="auto"/>
        </w:rPr>
      </w:pPr>
    </w:p>
    <w:p>
      <w:pPr>
        <w:ind w:left="200" w:hanging="192"/>
        <w:spacing w:after="0" w:line="299" w:lineRule="auto"/>
        <w:tabs>
          <w:tab w:leader="none" w:pos="197"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Commercial Aviation Original Equipment sales increased 11% (increased 11% organic) due to higher demand from air transport, partially offset by lower sales volumes in regional and business aviation.</w:t>
      </w:r>
    </w:p>
    <w:p>
      <w:pPr>
        <w:ind w:left="200" w:right="20" w:hanging="192"/>
        <w:spacing w:after="0" w:line="299" w:lineRule="auto"/>
        <w:tabs>
          <w:tab w:leader="none" w:pos="197"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Commercial Aviation Aftermarket sales increased 28% (increased 28% organic) due to favorable pricing and higher demand in air transport and regional and business aviation.</w:t>
      </w: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Defense and Space sales decreased 15% (decreased 14% organic) due to lower sales volumes in domestic and international defense.</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 of products and services sold increased due to higher sales volumes of lower margin products, and higher direct and indirect material costs and higher labor costs.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due to higher sales volumes of lower margin products, partially offset by favorable pricing.</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1,429</w:t>
            </w:r>
          </w:p>
        </w:tc>
        <w:tc>
          <w:tcPr>
            <w:tcW w:w="26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1,358</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839</w:t>
            </w:r>
          </w:p>
        </w:tc>
        <w:tc>
          <w:tcPr>
            <w:tcW w:w="26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789</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264</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336</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305</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20" w:type="dxa"/>
            <w:vAlign w:val="bottom"/>
          </w:tcPr>
          <w:p>
            <w:pPr>
              <w:spacing w:after="0"/>
              <w:rPr>
                <w:sz w:val="17"/>
                <w:szCs w:val="17"/>
                <w:color w:val="auto"/>
              </w:rPr>
            </w:pPr>
          </w:p>
        </w:tc>
        <w:tc>
          <w:tcPr>
            <w:tcW w:w="1860" w:type="dxa"/>
            <w:vAlign w:val="bottom"/>
            <w:tcBorders>
              <w:bottom w:val="single" w:sz="8" w:color="D7282F"/>
            </w:tcBorders>
            <w:gridSpan w:val="2"/>
          </w:tcPr>
          <w:p>
            <w:pPr>
              <w:jc w:val="center"/>
              <w:ind w:left="268"/>
              <w:spacing w:after="0"/>
              <w:rPr>
                <w:sz w:val="20"/>
                <w:szCs w:val="20"/>
                <w:color w:val="auto"/>
              </w:rPr>
            </w:pPr>
            <w:r>
              <w:rPr>
                <w:rFonts w:ascii="Arial" w:cs="Arial" w:eastAsia="Arial" w:hAnsi="Arial"/>
                <w:sz w:val="14"/>
                <w:szCs w:val="14"/>
                <w:b w:val="1"/>
                <w:bCs w:val="1"/>
                <w:color w:val="auto"/>
              </w:rPr>
              <w:t>2022 vs. 2021</w:t>
            </w:r>
          </w:p>
        </w:tc>
        <w:tc>
          <w:tcPr>
            <w:tcW w:w="3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020" w:type="dxa"/>
            <w:vAlign w:val="bottom"/>
          </w:tcPr>
          <w:p>
            <w:pPr>
              <w:spacing w:after="0"/>
              <w:rPr>
                <w:sz w:val="12"/>
                <w:szCs w:val="12"/>
                <w:color w:val="auto"/>
              </w:rPr>
            </w:pPr>
          </w:p>
        </w:tc>
        <w:tc>
          <w:tcPr>
            <w:tcW w:w="1860" w:type="dxa"/>
            <w:vAlign w:val="bottom"/>
            <w:gridSpan w:val="2"/>
          </w:tcPr>
          <w:p>
            <w:pPr>
              <w:jc w:val="center"/>
              <w:ind w:left="288"/>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20" w:type="dxa"/>
            <w:vAlign w:val="bottom"/>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center"/>
              <w:ind w:right="328"/>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60" w:type="dxa"/>
            <w:vAlign w:val="bottom"/>
          </w:tcPr>
          <w:p>
            <w:pPr>
              <w:jc w:val="center"/>
              <w:ind w:left="268"/>
              <w:spacing w:after="0" w:line="147" w:lineRule="exact"/>
              <w:rPr>
                <w:sz w:val="20"/>
                <w:szCs w:val="20"/>
                <w:color w:val="auto"/>
              </w:rPr>
            </w:pPr>
            <w:r>
              <w:rPr>
                <w:rFonts w:ascii="Arial" w:cs="Arial" w:eastAsia="Arial" w:hAnsi="Arial"/>
                <w:sz w:val="14"/>
                <w:szCs w:val="14"/>
                <w:b w:val="1"/>
                <w:bCs w:val="1"/>
                <w:color w:val="auto"/>
                <w:w w:val="97"/>
              </w:rPr>
              <w:t>Net</w:t>
            </w:r>
          </w:p>
        </w:tc>
        <w:tc>
          <w:tcPr>
            <w:tcW w:w="1460" w:type="dxa"/>
            <w:vAlign w:val="bottom"/>
            <w:gridSpan w:val="2"/>
          </w:tcPr>
          <w:p>
            <w:pPr>
              <w:jc w:val="right"/>
              <w:ind w:right="18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2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center"/>
              <w:ind w:left="268"/>
              <w:spacing w:after="0"/>
              <w:rPr>
                <w:sz w:val="20"/>
                <w:szCs w:val="20"/>
                <w:color w:val="auto"/>
              </w:rPr>
            </w:pPr>
            <w:r>
              <w:rPr>
                <w:rFonts w:ascii="Arial" w:cs="Arial" w:eastAsia="Arial" w:hAnsi="Arial"/>
                <w:sz w:val="14"/>
                <w:szCs w:val="14"/>
                <w:b w:val="1"/>
                <w:bCs w:val="1"/>
                <w:color w:val="auto"/>
              </w:rPr>
              <w:t>Sales</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760" w:type="dxa"/>
            <w:vAlign w:val="bottom"/>
            <w:tcBorders>
              <w:bottom w:val="single" w:sz="8" w:color="BCBDC0"/>
            </w:tcBorders>
          </w:tcPr>
          <w:p>
            <w:pPr>
              <w:spacing w:after="0"/>
              <w:rPr>
                <w:sz w:val="16"/>
                <w:szCs w:val="16"/>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8 %</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60" w:type="dxa"/>
            <w:vAlign w:val="bottom"/>
            <w:tcBorders>
              <w:bottom w:val="single" w:sz="8" w:color="BCBDC0"/>
            </w:tcBorders>
          </w:tcPr>
          <w:p>
            <w:pPr>
              <w:spacing w:after="0"/>
              <w:rPr>
                <w:sz w:val="17"/>
                <w:szCs w:val="17"/>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w w:val="98"/>
              </w:rPr>
              <w:t>— %</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5 %</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to Q1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partially offset by the unfavorable impact of foreign currency translation.</w:t>
      </w:r>
    </w:p>
    <w:p>
      <w:pPr>
        <w:spacing w:after="0" w:line="97" w:lineRule="exact"/>
        <w:rPr>
          <w:sz w:val="20"/>
          <w:szCs w:val="20"/>
          <w:color w:val="auto"/>
        </w:rPr>
      </w:pPr>
    </w:p>
    <w:p>
      <w:pPr>
        <w:ind w:left="200" w:right="20" w:hanging="192"/>
        <w:spacing w:after="0" w:line="304" w:lineRule="auto"/>
        <w:tabs>
          <w:tab w:leader="none" w:pos="197"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Sales in Products increased 12% (increased 14% organic) due to favorable pricing and higher demand for certain product offerings, partially offset by the unfavorable impact of foreign currency translation.</w:t>
      </w:r>
    </w:p>
    <w:p>
      <w:pPr>
        <w:spacing w:after="0" w:line="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Sales in Building Solutions decreased 4% (decreased 1% organic) due to lower sales volumes and the unfavorable impact of foreign currency translation, partially offset by favorable pricing.</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primarily due to higher direct and indirect material costs and higher labor costs, and lower productivity, partially offset by the favorable impact of foreign currency translation and higher volumes of higher margin products.</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Segment profit increased due to favorable pricing and higher demand for certain product offerings, partially offset by higher direct and indirect material costs and higher labor costs, and the unfavorable impact of foreign currency translation.</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2,453</w:t>
            </w:r>
          </w:p>
        </w:tc>
        <w:tc>
          <w:tcPr>
            <w:tcW w:w="26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2,346</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1,601</w:t>
            </w:r>
          </w:p>
        </w:tc>
        <w:tc>
          <w:tcPr>
            <w:tcW w:w="26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1,591</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321</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510</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434</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20" w:type="dxa"/>
            <w:vAlign w:val="bottom"/>
          </w:tcPr>
          <w:p>
            <w:pPr>
              <w:spacing w:after="0"/>
              <w:rPr>
                <w:sz w:val="17"/>
                <w:szCs w:val="17"/>
                <w:color w:val="auto"/>
              </w:rPr>
            </w:pPr>
          </w:p>
        </w:tc>
        <w:tc>
          <w:tcPr>
            <w:tcW w:w="1860" w:type="dxa"/>
            <w:vAlign w:val="bottom"/>
            <w:tcBorders>
              <w:bottom w:val="single" w:sz="8" w:color="D7282F"/>
            </w:tcBorders>
            <w:gridSpan w:val="2"/>
          </w:tcPr>
          <w:p>
            <w:pPr>
              <w:jc w:val="center"/>
              <w:ind w:left="268"/>
              <w:spacing w:after="0"/>
              <w:rPr>
                <w:sz w:val="20"/>
                <w:szCs w:val="20"/>
                <w:color w:val="auto"/>
              </w:rPr>
            </w:pPr>
            <w:r>
              <w:rPr>
                <w:rFonts w:ascii="Arial" w:cs="Arial" w:eastAsia="Arial" w:hAnsi="Arial"/>
                <w:sz w:val="14"/>
                <w:szCs w:val="14"/>
                <w:b w:val="1"/>
                <w:bCs w:val="1"/>
                <w:color w:val="auto"/>
              </w:rPr>
              <w:t>2022 vs. 2021</w:t>
            </w:r>
          </w:p>
        </w:tc>
        <w:tc>
          <w:tcPr>
            <w:tcW w:w="3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020" w:type="dxa"/>
            <w:vAlign w:val="bottom"/>
          </w:tcPr>
          <w:p>
            <w:pPr>
              <w:spacing w:after="0"/>
              <w:rPr>
                <w:sz w:val="12"/>
                <w:szCs w:val="12"/>
                <w:color w:val="auto"/>
              </w:rPr>
            </w:pPr>
          </w:p>
        </w:tc>
        <w:tc>
          <w:tcPr>
            <w:tcW w:w="1860" w:type="dxa"/>
            <w:vAlign w:val="bottom"/>
            <w:gridSpan w:val="2"/>
          </w:tcPr>
          <w:p>
            <w:pPr>
              <w:jc w:val="center"/>
              <w:ind w:left="288"/>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20" w:type="dxa"/>
            <w:vAlign w:val="bottom"/>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center"/>
              <w:ind w:right="328"/>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60" w:type="dxa"/>
            <w:vAlign w:val="bottom"/>
          </w:tcPr>
          <w:p>
            <w:pPr>
              <w:jc w:val="center"/>
              <w:ind w:left="268"/>
              <w:spacing w:after="0" w:line="147" w:lineRule="exact"/>
              <w:rPr>
                <w:sz w:val="20"/>
                <w:szCs w:val="20"/>
                <w:color w:val="auto"/>
              </w:rPr>
            </w:pPr>
            <w:r>
              <w:rPr>
                <w:rFonts w:ascii="Arial" w:cs="Arial" w:eastAsia="Arial" w:hAnsi="Arial"/>
                <w:sz w:val="14"/>
                <w:szCs w:val="14"/>
                <w:b w:val="1"/>
                <w:bCs w:val="1"/>
                <w:color w:val="auto"/>
                <w:w w:val="97"/>
              </w:rPr>
              <w:t>Net</w:t>
            </w:r>
          </w:p>
        </w:tc>
        <w:tc>
          <w:tcPr>
            <w:tcW w:w="1460" w:type="dxa"/>
            <w:vAlign w:val="bottom"/>
            <w:gridSpan w:val="2"/>
          </w:tcPr>
          <w:p>
            <w:pPr>
              <w:jc w:val="right"/>
              <w:ind w:right="18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2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center"/>
              <w:ind w:left="268"/>
              <w:spacing w:after="0"/>
              <w:rPr>
                <w:sz w:val="20"/>
                <w:szCs w:val="20"/>
                <w:color w:val="auto"/>
              </w:rPr>
            </w:pPr>
            <w:r>
              <w:rPr>
                <w:rFonts w:ascii="Arial" w:cs="Arial" w:eastAsia="Arial" w:hAnsi="Arial"/>
                <w:sz w:val="14"/>
                <w:szCs w:val="14"/>
                <w:b w:val="1"/>
                <w:bCs w:val="1"/>
                <w:color w:val="auto"/>
              </w:rPr>
              <w:t>Sales</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760" w:type="dxa"/>
            <w:vAlign w:val="bottom"/>
            <w:tcBorders>
              <w:bottom w:val="single" w:sz="8" w:color="BCBDC0"/>
            </w:tcBorders>
          </w:tcPr>
          <w:p>
            <w:pPr>
              <w:spacing w:after="0"/>
              <w:rPr>
                <w:sz w:val="16"/>
                <w:szCs w:val="16"/>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6 %</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60" w:type="dxa"/>
            <w:vAlign w:val="bottom"/>
            <w:tcBorders>
              <w:bottom w:val="single" w:sz="8" w:color="BCBDC0"/>
            </w:tcBorders>
          </w:tcPr>
          <w:p>
            <w:pPr>
              <w:spacing w:after="0"/>
              <w:rPr>
                <w:sz w:val="17"/>
                <w:szCs w:val="17"/>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rPr>
              <w:t>1 %</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5 %</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to Q1 2021</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increased due to favorable pricing and the acquisition of Sparta Systems, partially offset by lower sales volumes and the unfavorable impact of foreign currency translation.</w:t>
      </w:r>
    </w:p>
    <w:p>
      <w:pPr>
        <w:spacing w:after="0" w:line="7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UOP sales decreased 9% (decreased 9% organic) due to lower demand for new oil and gas projects.</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Process Solutions sales increased 5% (increased 7% organic) due to favorable pricing, higher demand for certain products and services, and the acquisition of Sparta Systems, partially offset by the unfavorable impact of foreign currency translation and the impact of the Russia-Ukraine conflict.</w:t>
      </w:r>
    </w:p>
    <w:p>
      <w:pPr>
        <w:spacing w:after="0" w:line="20"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Advanced Materials sales increased 14% (increased 16% organic) due to favorable pricing, partially offset by lower demand for fluorine products and the unfavorable impact of foreign currency translation.</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partially offset by lower sales volumes and the favorable impact of foreign currency translation.</w:t>
      </w:r>
    </w:p>
    <w:p>
      <w:pPr>
        <w:spacing w:after="0" w:line="3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Segment profit increased due to favorable pricing and higher sales of higher margin products, partially offset by higher direct and indirect material costs and higher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1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gridSpan w:val="2"/>
          </w:tcPr>
          <w:p>
            <w:pPr>
              <w:jc w:val="right"/>
              <w:ind w:right="140"/>
              <w:spacing w:after="0"/>
              <w:rPr>
                <w:sz w:val="20"/>
                <w:szCs w:val="20"/>
                <w:color w:val="auto"/>
              </w:rPr>
            </w:pPr>
            <w:r>
              <w:rPr>
                <w:rFonts w:ascii="Arial" w:cs="Arial" w:eastAsia="Arial" w:hAnsi="Arial"/>
                <w:sz w:val="14"/>
                <w:szCs w:val="14"/>
                <w:color w:val="auto"/>
              </w:rPr>
              <w:t>1,744</w:t>
            </w:r>
          </w:p>
        </w:tc>
        <w:tc>
          <w:tcPr>
            <w:tcW w:w="24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2,118</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gridSpan w:val="2"/>
          </w:tcPr>
          <w:p>
            <w:pPr>
              <w:jc w:val="right"/>
              <w:ind w:right="140"/>
              <w:spacing w:after="0"/>
              <w:rPr>
                <w:sz w:val="20"/>
                <w:szCs w:val="20"/>
                <w:color w:val="auto"/>
              </w:rPr>
            </w:pPr>
            <w:r>
              <w:rPr>
                <w:rFonts w:ascii="Arial" w:cs="Arial" w:eastAsia="Arial" w:hAnsi="Arial"/>
                <w:sz w:val="14"/>
                <w:szCs w:val="14"/>
                <w:color w:val="auto"/>
              </w:rPr>
              <w:t>1,218</w:t>
            </w:r>
          </w:p>
        </w:tc>
        <w:tc>
          <w:tcPr>
            <w:tcW w:w="2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1,550</w:t>
            </w:r>
          </w:p>
        </w:tc>
        <w:tc>
          <w:tcPr>
            <w:tcW w:w="10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273</w:t>
            </w: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265</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2"/>
          </w:tcPr>
          <w:p>
            <w:pPr>
              <w:jc w:val="right"/>
              <w:ind w:right="140"/>
              <w:spacing w:after="0"/>
              <w:rPr>
                <w:sz w:val="20"/>
                <w:szCs w:val="20"/>
                <w:color w:val="auto"/>
              </w:rPr>
            </w:pPr>
            <w:r>
              <w:rPr>
                <w:rFonts w:ascii="Arial" w:cs="Arial" w:eastAsia="Arial" w:hAnsi="Arial"/>
                <w:sz w:val="14"/>
                <w:szCs w:val="14"/>
                <w:b w:val="1"/>
                <w:bCs w:val="1"/>
                <w:color w:val="auto"/>
              </w:rPr>
              <w:t>253</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303</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426"/>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800" w:type="dxa"/>
            <w:vAlign w:val="bottom"/>
            <w:tcBorders>
              <w:bottom w:val="single" w:sz="8" w:color="D7282F"/>
            </w:tcBorders>
            <w:gridSpan w:val="2"/>
          </w:tcPr>
          <w:p>
            <w:pPr>
              <w:jc w:val="center"/>
              <w:ind w:right="368"/>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3"/>
          </w:tcPr>
          <w:p>
            <w:pPr>
              <w:jc w:val="center"/>
              <w:ind w:right="108"/>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88"/>
              <w:spacing w:after="0" w:line="142" w:lineRule="exact"/>
              <w:rPr>
                <w:sz w:val="20"/>
                <w:szCs w:val="20"/>
                <w:color w:val="auto"/>
              </w:rPr>
            </w:pPr>
            <w:r>
              <w:rPr>
                <w:rFonts w:ascii="Arial" w:cs="Arial" w:eastAsia="Arial" w:hAnsi="Arial"/>
                <w:sz w:val="14"/>
                <w:szCs w:val="14"/>
                <w:b w:val="1"/>
                <w:bCs w:val="1"/>
                <w:color w:val="auto"/>
                <w:w w:val="97"/>
              </w:rPr>
              <w:t>Net</w:t>
            </w:r>
          </w:p>
        </w:tc>
        <w:tc>
          <w:tcPr>
            <w:tcW w:w="100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812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w w:val="98"/>
              </w:rPr>
              <w:t>Profit</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34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2022 compared to Q1 2021</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decreased due to lower sales volumes, the sale of the retail footwear business, and the unfavorable impact of foreign currency translation, partially offset by favorable pricing.</w:t>
      </w:r>
    </w:p>
    <w:p>
      <w:pPr>
        <w:spacing w:after="0" w:line="64" w:lineRule="exact"/>
        <w:rPr>
          <w:sz w:val="20"/>
          <w:szCs w:val="20"/>
          <w:color w:val="auto"/>
        </w:rPr>
      </w:pPr>
    </w:p>
    <w:p>
      <w:pPr>
        <w:ind w:left="200" w:hanging="192"/>
        <w:spacing w:after="0" w:line="304" w:lineRule="auto"/>
        <w:tabs>
          <w:tab w:leader="none" w:pos="197"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Sales in Safety and Retail decreased 31% (decreased 26% organic) due to lower demand of personal protective equipment and the sale of the retail footwear business, partially offset by favorable pricing.</w:t>
      </w:r>
    </w:p>
    <w:p>
      <w:pPr>
        <w:spacing w:after="0" w:line="6"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Sales in Productivity Solutions and Services increased 13% (increased 16% organic) due to favorable pricing and higher demand, partially offset by the unfavorable impact of foreign currency translation.</w:t>
      </w:r>
    </w:p>
    <w:p>
      <w:pPr>
        <w:spacing w:after="0" w:line="20"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Sales in Warehouse and Workflow Solutions decreased 28% (decreased 28% organic) due to lower sales volumes as a result of supply chain constraints and timing of projects.</w:t>
      </w:r>
    </w:p>
    <w:p>
      <w:pPr>
        <w:spacing w:after="0" w:line="20" w:lineRule="exact"/>
        <w:rPr>
          <w:rFonts w:ascii="Arial" w:cs="Arial" w:eastAsia="Arial" w:hAnsi="Arial"/>
          <w:sz w:val="16"/>
          <w:szCs w:val="16"/>
          <w:color w:val="D7282F"/>
        </w:rPr>
      </w:pPr>
    </w:p>
    <w:p>
      <w:pPr>
        <w:ind w:left="200" w:right="420" w:hanging="192"/>
        <w:spacing w:after="0" w:line="286" w:lineRule="auto"/>
        <w:tabs>
          <w:tab w:leader="none" w:pos="197"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Sales in Advanced Sensing Technologies increased 23% (increased 24% organic) due to higher demand and favorable pricing, partially offset by the unfavorable impact of foreign currency translation.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products and services sold decreased due to lower sales volumes, the divestiture of the retail footwear business, and the favorable impact of foreign currency translation, partially offset by higher direct and indirect material costs and higher labor costs, and lower productivity.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primarily due to lower productivity and lower sales volume, partially offset by favorable pricing.</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considered a separate reportable business segment as segment reporting criteria is not met for the activities reported with Corporate and All Other. The Company continues to monitor the activities in Corporate and All Other to determine the need for further reportable business segment disaggregation.</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three months ended March 31, 2022 and 2021. Cash spending related to our repositioning actions was $69 million in the three months ended March 31, 2022, and was funded through operating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March 31, 2022, and December 31, 2021, we held $9.8 billion and $11.5 billion, respectively, of cash and cash equivalents, including our short-term investments.</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Consolidated total borrowings were $19.4 billion and $19.6 billion as of March 31,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392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March 31, 2022</w:t>
            </w:r>
          </w:p>
        </w:tc>
        <w:tc>
          <w:tcPr>
            <w:tcW w:w="156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paper and other short-term borrowings</w:t>
            </w:r>
          </w:p>
        </w:tc>
        <w:tc>
          <w:tcPr>
            <w:tcW w:w="29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3,526</w:t>
            </w:r>
          </w:p>
        </w:tc>
        <w:tc>
          <w:tcPr>
            <w:tcW w:w="66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Variable rate notes</w:t>
            </w:r>
          </w:p>
        </w:tc>
        <w:tc>
          <w:tcPr>
            <w:tcW w:w="294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622</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622</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Fixed rate notes</w:t>
            </w:r>
          </w:p>
        </w:tc>
        <w:tc>
          <w:tcPr>
            <w:tcW w:w="294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15,231</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15,314</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197</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332</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9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(207)</w:t>
            </w:r>
          </w:p>
        </w:tc>
        <w:tc>
          <w:tcPr>
            <w:tcW w:w="6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borrowings</w:t>
            </w:r>
          </w:p>
        </w:tc>
        <w:tc>
          <w:tcPr>
            <w:tcW w:w="29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19,369</w:t>
            </w:r>
          </w:p>
        </w:tc>
        <w:tc>
          <w:tcPr>
            <w:tcW w:w="6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19,599</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27" w:lineRule="exact"/>
        <w:rPr>
          <w:sz w:val="20"/>
          <w:szCs w:val="20"/>
          <w:color w:val="auto"/>
        </w:rPr>
      </w:pPr>
    </w:p>
    <w:p>
      <w:pPr>
        <w:jc w:val="both"/>
        <w:ind w:left="200" w:hanging="192"/>
        <w:spacing w:after="0" w:line="260" w:lineRule="auto"/>
        <w:tabs>
          <w:tab w:leader="none" w:pos="197"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March 24, 2022. Amounts borrowed under the 364-Day Credit Agreement are required to be repaid no later than March 23, 2023, unless (i) we elect to convert all then outstanding amounts into a term loan, upon which such amounts shall be repaid in full on March 23, 2024, or (ii) the 364-Day Credit Agreement is terminated earlier pursuant to its terms. The 364-Day Credit Agreement replaced the previously reported $1.5 billion 364-day credit agreement dated as of March 31, 2021, which was terminated in accordance with its terms effective March 24, 2022. As of March 31, 2022, there were no outstanding borrowings under our 364-Day Credit Agreement.</w:t>
      </w:r>
    </w:p>
    <w:p>
      <w:pPr>
        <w:spacing w:after="0" w:line="42"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A $4.0 billion Five Year Credit Agreement (the 5-Year Credit Agreement) with a syndicate of banks, dated March 24, 2022.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March 31, 2021. As of March 31, 2022, there were no outstanding borrowings under our 5-Year Credit Agreement.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2022, S&amp;P Global Inc. (S&amp;P), Fitch Ratings Inc. (Fitch), and Moody’s Investor Service (Moody's) have ratings on our debt set forth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rPr>
              <w:t>Stable</w:t>
            </w:r>
          </w:p>
        </w:tc>
      </w:tr>
      <w:tr>
        <w:trPr>
          <w:trHeight w:val="196"/>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660" w:type="dxa"/>
            <w:vAlign w:val="bottom"/>
            <w:tcBorders>
              <w:bottom w:val="single" w:sz="8" w:color="D7282F"/>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2021</w:t>
            </w:r>
          </w:p>
        </w:tc>
        <w:tc>
          <w:tcPr>
            <w:tcW w:w="92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Variance</w:t>
            </w:r>
          </w:p>
        </w:tc>
      </w:tr>
      <w:tr>
        <w:trPr>
          <w:trHeight w:val="193"/>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10,959</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14,275</w:t>
            </w:r>
          </w:p>
        </w:tc>
        <w:tc>
          <w:tcPr>
            <w:tcW w:w="3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(3,316)</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spacing w:after="0"/>
              <w:rPr>
                <w:sz w:val="17"/>
                <w:szCs w:val="17"/>
                <w:color w:val="auto"/>
              </w:rPr>
            </w:pP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1,134</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1,427</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(293)</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Noncash adjustments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537</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239</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298</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Changes in working capital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(815)</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42</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(857)</w:t>
            </w:r>
          </w:p>
        </w:tc>
      </w:tr>
      <w:tr>
        <w:trPr>
          <w:trHeight w:val="196"/>
        </w:trPr>
        <w:tc>
          <w:tcPr>
            <w:tcW w:w="8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Other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(820)</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(730)</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978</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(942)</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(1,304)</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1,294</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(1,719)</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(2,217)</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498</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(1,678)</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(2,557)</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879</w:t>
            </w:r>
          </w:p>
        </w:tc>
      </w:tr>
      <w:tr>
        <w:trPr>
          <w:trHeight w:val="199"/>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9,281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11,718</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(2,437)</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Cash provided by operating activities decreased due to an unfavorable impact to working capital and a decrease in net income, partially offset by an increase in noncash adjustments, primarily driven by an increase in repositioning and other charges.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used for investing activities decreased by $1,294 million primarily due to a $1,127 million decrease in cash paid for acquisitions, $205 million net increase in investments, and $197 million cash receipts from Garrett Motion Inc. (Garrett), partially offset by $190 million in proceeds from the 2021 sale of the retail footwear business.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Cash used for financing activities decreased by $498 million primarily due to $777 million decrease of proceeds from the issuance of long-term debt, partially offset by $196 million increase in repurchases of common stock and $44 million decrease in proceeds from the issuance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three months ended March 31, 2022, the Company repurchased common stock of $1,018 million. Refer to the section titled Liquidity and Capital Resources of our 2021 Form 10-K for a discussion of our expected capital expenditures, share repurchases, and dividends for 2022.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is not material to our overall liquidity.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have been no material changes to our Critical Accounting Estimates presented in our 2021 Annual Report on Form 10-K. For a discussion of the Company’s Critical Accounting Estimates, see the section titled Critical Accounting Estimates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7"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2021 Annual Report on Form 10-K. As of March 31, 2022, there has been no material change in this information.</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b w:val="1"/>
          <w:bCs w:val="1"/>
          <w:color w:val="auto"/>
        </w:rPr>
        <w:t>Note 14 Commitments and Contingencies of Notes to Consolidated Financial Statements</w:t>
      </w:r>
      <w:r>
        <w:rPr>
          <w:rFonts w:ascii="Arial" w:cs="Arial" w:eastAsia="Arial" w:hAnsi="Arial"/>
          <w:sz w:val="16"/>
          <w:szCs w:val="16"/>
          <w:color w:val="auto"/>
        </w:rPr>
        <w:t xml:space="preserve"> for a discussion of environmental, asbestos and other litigation matters.</w:t>
      </w:r>
    </w:p>
    <w:p>
      <w:pPr>
        <w:spacing w:after="0" w:line="6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2021 Annual Report on Form 10-K under the section titled Risk Factors. For further discussion of our Risk Factors, refer to the section titled Risk Factors in our 2021 Annual Report on Form 10-K.</w:t>
      </w:r>
    </w:p>
    <w:p>
      <w:pPr>
        <w:spacing w:after="0" w:line="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C202E"/>
        </w:rPr>
        <w:t>A significant percentage of our sales and operations is in non-U.S. jurisdictions and is subject to the economic, political, regulatory, foreign exchange, and other risks of international operations.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including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U.S. continues to implement certain trade actions, including imposing tariffs on certain goods imported from China and other countries, which has resulted in retaliatory tariffs by China and other countries. Additional tariffs, export controls and sanctions laws imposed by the U.S. on a broader range of imports, or further retaliatory trade measures taken by China or other countries in response, could increase the cost of our products.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Based on available information to date, the Company's estimate of potential future impairments on our businesses in Russia would not be material with respect to the Company's consolidated financial position. As the conflict continues to evolve, existing conditions may worsen, or other impacts, including impacts that are unknown at this time, may arise that could have a material adverse effect on our consolidated financial position, including escalation of the conflict in other regions of Europe, where there is a material portion of our business, and increased tensions between Russia and the U.S. and other NATO members. These impacts may result in increased costs and additional suspensions or exit from certain operations and may adversely affect our ability to meet contractual and financial obligations, results of operations, and financial condition.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the extent the current conflict between Russia and Ukraine escalates, it may also negatively impact other risks disclosed in our 2021 Form 10-K and further impact our financial results. Such risks include, but are not limited to, adverse effects on macroeconomic conditions, including inflation and consumer spending; cybersecurity incidents and other disruptions to our information technology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terrorist activities targeting U.S. government contractors and/or critical infrastructure; our exposure to foreign currency fluctuations; and constraints, volatility, or disruption in the capital markets.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315"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0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February 12, 2021, the Board of Directors authorized the repurchase of up to a total of $10 billion of Honeywell common stock, which included amounts remaining under, and replaced, the previously approved share repurchase program.</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quarter ended March 31, 2022, Honeywell purchased 5,510,850 shares of its common stock, par value $1 per share. As of March 31, 2022, $6.1 billion remained available for additional share repurchases. The following table summarizes Honeywell’s purchase of its common stock for the quarter ended March 31, 2022: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Borders>
              <w:top w:val="single" w:sz="8" w:color="D7282F"/>
            </w:tcBorders>
          </w:tcPr>
          <w:p>
            <w:pPr>
              <w:spacing w:after="0"/>
              <w:rPr>
                <w:sz w:val="12"/>
                <w:szCs w:val="12"/>
                <w:color w:val="auto"/>
              </w:rPr>
            </w:pPr>
          </w:p>
        </w:tc>
        <w:tc>
          <w:tcPr>
            <w:tcW w:w="2360" w:type="dxa"/>
            <w:vAlign w:val="bottom"/>
            <w:tcBorders>
              <w:top w:val="single" w:sz="8" w:color="D7282F"/>
            </w:tcBorders>
          </w:tcPr>
          <w:p>
            <w:pPr>
              <w:spacing w:after="0"/>
              <w:rPr>
                <w:sz w:val="12"/>
                <w:szCs w:val="12"/>
                <w:color w:val="auto"/>
              </w:rPr>
            </w:pPr>
          </w:p>
        </w:tc>
        <w:tc>
          <w:tcPr>
            <w:tcW w:w="400" w:type="dxa"/>
            <w:vAlign w:val="bottom"/>
            <w:tcBorders>
              <w:top w:val="single" w:sz="8" w:color="D7282F"/>
            </w:tcBorders>
          </w:tcPr>
          <w:p>
            <w:pPr>
              <w:spacing w:after="0"/>
              <w:rPr>
                <w:sz w:val="12"/>
                <w:szCs w:val="12"/>
                <w:color w:val="auto"/>
              </w:rPr>
            </w:pPr>
          </w:p>
        </w:tc>
        <w:tc>
          <w:tcPr>
            <w:tcW w:w="740" w:type="dxa"/>
            <w:vAlign w:val="bottom"/>
            <w:tcBorders>
              <w:top w:val="single" w:sz="8" w:color="D7282F"/>
            </w:tcBorders>
          </w:tcPr>
          <w:p>
            <w:pPr>
              <w:spacing w:after="0"/>
              <w:rPr>
                <w:sz w:val="12"/>
                <w:szCs w:val="12"/>
                <w:color w:val="auto"/>
              </w:rPr>
            </w:pPr>
          </w:p>
        </w:tc>
        <w:tc>
          <w:tcPr>
            <w:tcW w:w="1500" w:type="dxa"/>
            <w:vAlign w:val="bottom"/>
            <w:tcBorders>
              <w:top w:val="single" w:sz="8" w:color="D7282F"/>
            </w:tcBorders>
          </w:tcPr>
          <w:p>
            <w:pPr>
              <w:jc w:val="center"/>
              <w:ind w:right="28"/>
              <w:spacing w:after="0" w:line="144" w:lineRule="exact"/>
              <w:rPr>
                <w:sz w:val="20"/>
                <w:szCs w:val="20"/>
                <w:color w:val="auto"/>
              </w:rPr>
            </w:pPr>
            <w:r>
              <w:rPr>
                <w:rFonts w:ascii="Arial" w:cs="Arial" w:eastAsia="Arial" w:hAnsi="Arial"/>
                <w:sz w:val="14"/>
                <w:szCs w:val="14"/>
                <w:b w:val="1"/>
                <w:bCs w:val="1"/>
                <w:color w:val="auto"/>
              </w:rPr>
              <w:t>Total Number</w:t>
            </w:r>
          </w:p>
        </w:tc>
        <w:tc>
          <w:tcPr>
            <w:tcW w:w="1780" w:type="dxa"/>
            <w:vAlign w:val="bottom"/>
            <w:tcBorders>
              <w:top w:val="single" w:sz="8" w:color="D7282F"/>
            </w:tcBorders>
            <w:gridSpan w:val="2"/>
          </w:tcPr>
          <w:p>
            <w:pPr>
              <w:ind w:left="220"/>
              <w:spacing w:after="0" w:line="144"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of Shares</w:t>
            </w:r>
          </w:p>
        </w:tc>
        <w:tc>
          <w:tcPr>
            <w:tcW w:w="17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36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Purchased as</w:t>
            </w:r>
          </w:p>
        </w:tc>
        <w:tc>
          <w:tcPr>
            <w:tcW w:w="420" w:type="dxa"/>
            <w:vAlign w:val="bottom"/>
          </w:tcPr>
          <w:p>
            <w:pPr>
              <w:spacing w:after="0"/>
              <w:rPr>
                <w:sz w:val="12"/>
                <w:szCs w:val="12"/>
                <w:color w:val="auto"/>
              </w:rPr>
            </w:pPr>
          </w:p>
        </w:tc>
        <w:tc>
          <w:tcPr>
            <w:tcW w:w="13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5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Part of Publicly</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3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Announced</w:t>
            </w:r>
          </w:p>
        </w:tc>
        <w:tc>
          <w:tcPr>
            <w:tcW w:w="420" w:type="dxa"/>
            <w:vAlign w:val="bottom"/>
          </w:tcPr>
          <w:p>
            <w:pPr>
              <w:spacing w:after="0"/>
              <w:rPr>
                <w:sz w:val="12"/>
                <w:szCs w:val="12"/>
                <w:color w:val="auto"/>
              </w:rPr>
            </w:pPr>
          </w:p>
        </w:tc>
        <w:tc>
          <w:tcPr>
            <w:tcW w:w="13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39"/>
        </w:trPr>
        <w:tc>
          <w:tcPr>
            <w:tcW w:w="446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Period</w:t>
            </w:r>
          </w:p>
        </w:tc>
        <w:tc>
          <w:tcPr>
            <w:tcW w:w="2360" w:type="dxa"/>
            <w:vAlign w:val="bottom"/>
          </w:tcPr>
          <w:p>
            <w:pPr>
              <w:jc w:val="center"/>
              <w:ind w:left="1088"/>
              <w:spacing w:after="0" w:line="13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Price Paid</w:t>
            </w:r>
          </w:p>
        </w:tc>
        <w:tc>
          <w:tcPr>
            <w:tcW w:w="15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Plans</w:t>
            </w:r>
          </w:p>
        </w:tc>
        <w:tc>
          <w:tcPr>
            <w:tcW w:w="420" w:type="dxa"/>
            <w:vAlign w:val="bottom"/>
          </w:tcPr>
          <w:p>
            <w:pPr>
              <w:spacing w:after="0"/>
              <w:rPr>
                <w:sz w:val="12"/>
                <w:szCs w:val="12"/>
                <w:color w:val="auto"/>
              </w:rPr>
            </w:pPr>
          </w:p>
        </w:tc>
        <w:tc>
          <w:tcPr>
            <w:tcW w:w="1360" w:type="dxa"/>
            <w:vAlign w:val="bottom"/>
          </w:tcPr>
          <w:p>
            <w:pPr>
              <w:jc w:val="center"/>
              <w:ind w:right="348"/>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97"/>
        </w:trPr>
        <w:tc>
          <w:tcPr>
            <w:tcW w:w="4460" w:type="dxa"/>
            <w:vAlign w:val="bottom"/>
            <w:tcBorders>
              <w:bottom w:val="single" w:sz="8" w:color="D7282F"/>
            </w:tcBorders>
            <w:vMerge w:val="continue"/>
          </w:tcPr>
          <w:p>
            <w:pPr>
              <w:spacing w:after="0"/>
              <w:rPr>
                <w:sz w:val="17"/>
                <w:szCs w:val="17"/>
                <w:color w:val="auto"/>
              </w:rPr>
            </w:pPr>
          </w:p>
        </w:tc>
        <w:tc>
          <w:tcPr>
            <w:tcW w:w="2360" w:type="dxa"/>
            <w:vAlign w:val="bottom"/>
            <w:tcBorders>
              <w:bottom w:val="single" w:sz="8" w:color="D7282F"/>
            </w:tcBorders>
          </w:tcPr>
          <w:p>
            <w:pPr>
              <w:jc w:val="center"/>
              <w:ind w:left="1068"/>
              <w:spacing w:after="0"/>
              <w:rPr>
                <w:sz w:val="20"/>
                <w:szCs w:val="20"/>
                <w:color w:val="auto"/>
              </w:rPr>
            </w:pPr>
            <w:r>
              <w:rPr>
                <w:rFonts w:ascii="Arial" w:cs="Arial" w:eastAsia="Arial" w:hAnsi="Arial"/>
                <w:sz w:val="14"/>
                <w:szCs w:val="14"/>
                <w:b w:val="1"/>
                <w:bCs w:val="1"/>
                <w:color w:val="auto"/>
              </w:rPr>
              <w:t>Purchased</w:t>
            </w:r>
          </w:p>
        </w:tc>
        <w:tc>
          <w:tcPr>
            <w:tcW w:w="11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5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or Programs</w:t>
            </w:r>
          </w:p>
        </w:tc>
        <w:tc>
          <w:tcPr>
            <w:tcW w:w="17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3"/>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January 1-31,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7,106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February 1-28,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600,000</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182.29</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600,000</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6,996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March 1-31, 2022</w:t>
            </w:r>
          </w:p>
        </w:tc>
        <w:tc>
          <w:tcPr>
            <w:tcW w:w="23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4,910,850</w:t>
            </w: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185.06</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4,910,850</w:t>
            </w:r>
          </w:p>
        </w:tc>
        <w:tc>
          <w:tcPr>
            <w:tcW w:w="42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6,087</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00" w:type="dxa"/>
            <w:vAlign w:val="bottom"/>
            <w:tcBorders>
              <w:bottom w:val="single" w:sz="8" w:color="BCBDC0"/>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Borders>
              <w:bottom w:val="single" w:sz="8" w:color="BCBDC0"/>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10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140" w:type="dxa"/>
            <w:vAlign w:val="bottom"/>
          </w:tcPr>
          <w:p>
            <w:pPr>
              <w:ind w:left="240"/>
              <w:spacing w:after="0" w:line="143" w:lineRule="exact"/>
              <w:rPr>
                <w:rFonts w:ascii="Arial" w:cs="Arial" w:eastAsia="Arial" w:hAnsi="Arial"/>
                <w:sz w:val="14"/>
                <w:szCs w:val="14"/>
                <w:color w:val="auto"/>
              </w:rPr>
            </w:pPr>
            <w:hyperlink r:id="rId76">
              <w:r>
                <w:rPr>
                  <w:rFonts w:ascii="Arial" w:cs="Arial" w:eastAsia="Arial" w:hAnsi="Arial"/>
                  <w:sz w:val="14"/>
                  <w:szCs w:val="14"/>
                  <w:color w:val="auto"/>
                </w:rPr>
                <w:t>364-Day Credit Agreement, dated as of March 24, 2022, among Honeywell International Inc., the banks, financial institutions, and other institutional lenders</w:t>
              </w:r>
            </w:hyperlink>
          </w:p>
        </w:tc>
      </w:tr>
      <w:tr>
        <w:trPr>
          <w:trHeight w:val="139"/>
        </w:trPr>
        <w:tc>
          <w:tcPr>
            <w:tcW w:w="1100" w:type="dxa"/>
            <w:vAlign w:val="bottom"/>
          </w:tcPr>
          <w:p>
            <w:pPr>
              <w:spacing w:after="0"/>
              <w:rPr>
                <w:sz w:val="12"/>
                <w:szCs w:val="12"/>
                <w:color w:val="auto"/>
              </w:rPr>
            </w:pPr>
          </w:p>
        </w:tc>
        <w:tc>
          <w:tcPr>
            <w:tcW w:w="10140" w:type="dxa"/>
            <w:vAlign w:val="bottom"/>
          </w:tcPr>
          <w:p>
            <w:pPr>
              <w:ind w:left="240"/>
              <w:spacing w:after="0" w:line="139" w:lineRule="exact"/>
              <w:rPr>
                <w:rFonts w:ascii="Arial" w:cs="Arial" w:eastAsia="Arial" w:hAnsi="Arial"/>
                <w:sz w:val="14"/>
                <w:szCs w:val="14"/>
                <w:color w:val="auto"/>
              </w:rPr>
            </w:pPr>
            <w:hyperlink r:id="rId76">
              <w:r>
                <w:rPr>
                  <w:rFonts w:ascii="Arial" w:cs="Arial" w:eastAsia="Arial" w:hAnsi="Arial"/>
                  <w:sz w:val="14"/>
                  <w:szCs w:val="14"/>
                  <w:color w:val="auto"/>
                </w:rPr>
                <w:t>parties thereto, Bank of America, N.A., as administrative agent, and JPMorgan Chase Bank, N.A. and Wells Fargo Bank, National Association, as</w:t>
              </w:r>
            </w:hyperlink>
          </w:p>
        </w:tc>
      </w:tr>
      <w:tr>
        <w:trPr>
          <w:trHeight w:val="194"/>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rFonts w:ascii="Arial" w:cs="Arial" w:eastAsia="Arial" w:hAnsi="Arial"/>
                <w:sz w:val="14"/>
                <w:szCs w:val="14"/>
                <w:color w:val="auto"/>
              </w:rPr>
            </w:pPr>
            <w:hyperlink r:id="rId76">
              <w:r>
                <w:rPr>
                  <w:rFonts w:ascii="Arial" w:cs="Arial" w:eastAsia="Arial" w:hAnsi="Arial"/>
                  <w:sz w:val="14"/>
                  <w:szCs w:val="14"/>
                  <w:color w:val="auto"/>
                </w:rPr>
                <w:t>syndication agent (incorporated by reference to Honeywell's Form 8-K filed March 28, 2022)</w:t>
              </w:r>
            </w:hyperlink>
          </w:p>
        </w:tc>
      </w:tr>
      <w:tr>
        <w:trPr>
          <w:trHeight w:val="146"/>
        </w:trPr>
        <w:tc>
          <w:tcPr>
            <w:tcW w:w="1100" w:type="dxa"/>
            <w:vAlign w:val="bottom"/>
          </w:tcPr>
          <w:p>
            <w:pPr>
              <w:ind w:left="20"/>
              <w:spacing w:after="0" w:line="146" w:lineRule="exact"/>
              <w:rPr>
                <w:sz w:val="20"/>
                <w:szCs w:val="20"/>
                <w:color w:val="auto"/>
              </w:rPr>
            </w:pPr>
            <w:r>
              <w:rPr>
                <w:rFonts w:ascii="Arial" w:cs="Arial" w:eastAsia="Arial" w:hAnsi="Arial"/>
                <w:sz w:val="14"/>
                <w:szCs w:val="14"/>
                <w:color w:val="auto"/>
              </w:rPr>
              <w:t>10.2</w:t>
            </w:r>
          </w:p>
        </w:tc>
        <w:tc>
          <w:tcPr>
            <w:tcW w:w="10140" w:type="dxa"/>
            <w:vAlign w:val="bottom"/>
          </w:tcPr>
          <w:p>
            <w:pPr>
              <w:ind w:left="240"/>
              <w:spacing w:after="0" w:line="146" w:lineRule="exact"/>
              <w:rPr>
                <w:rFonts w:ascii="Arial" w:cs="Arial" w:eastAsia="Arial" w:hAnsi="Arial"/>
                <w:sz w:val="14"/>
                <w:szCs w:val="14"/>
                <w:color w:val="auto"/>
              </w:rPr>
            </w:pPr>
            <w:hyperlink r:id="rId77">
              <w:r>
                <w:rPr>
                  <w:rFonts w:ascii="Arial" w:cs="Arial" w:eastAsia="Arial" w:hAnsi="Arial"/>
                  <w:sz w:val="14"/>
                  <w:szCs w:val="14"/>
                  <w:color w:val="auto"/>
                </w:rPr>
                <w:t>Amended and Restated Five-Year Credit Agreement, dated as of March 24, 2022, among Honeywell International Inc., the banks, financial institutions, and</w:t>
              </w:r>
            </w:hyperlink>
          </w:p>
        </w:tc>
      </w:tr>
      <w:tr>
        <w:trPr>
          <w:trHeight w:val="139"/>
        </w:trPr>
        <w:tc>
          <w:tcPr>
            <w:tcW w:w="1100" w:type="dxa"/>
            <w:vAlign w:val="bottom"/>
          </w:tcPr>
          <w:p>
            <w:pPr>
              <w:spacing w:after="0"/>
              <w:rPr>
                <w:sz w:val="12"/>
                <w:szCs w:val="12"/>
                <w:color w:val="auto"/>
              </w:rPr>
            </w:pPr>
          </w:p>
        </w:tc>
        <w:tc>
          <w:tcPr>
            <w:tcW w:w="10140" w:type="dxa"/>
            <w:vAlign w:val="bottom"/>
          </w:tcPr>
          <w:p>
            <w:pPr>
              <w:ind w:left="240"/>
              <w:spacing w:after="0" w:line="139" w:lineRule="exact"/>
              <w:rPr>
                <w:rFonts w:ascii="Arial" w:cs="Arial" w:eastAsia="Arial" w:hAnsi="Arial"/>
                <w:sz w:val="14"/>
                <w:szCs w:val="14"/>
                <w:color w:val="auto"/>
              </w:rPr>
            </w:pPr>
            <w:hyperlink r:id="rId77">
              <w:r>
                <w:rPr>
                  <w:rFonts w:ascii="Arial" w:cs="Arial" w:eastAsia="Arial" w:hAnsi="Arial"/>
                  <w:sz w:val="14"/>
                  <w:szCs w:val="14"/>
                  <w:color w:val="auto"/>
                </w:rPr>
                <w:t>other institutional lenders parties thereto, Bank of America, N.A., as administrative agent and as swing line agent and JPMorgan Chase Bank, N.A., and</w:t>
              </w:r>
            </w:hyperlink>
          </w:p>
        </w:tc>
      </w:tr>
      <w:tr>
        <w:trPr>
          <w:trHeight w:val="194"/>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rFonts w:ascii="Arial" w:cs="Arial" w:eastAsia="Arial" w:hAnsi="Arial"/>
                <w:sz w:val="14"/>
                <w:szCs w:val="14"/>
                <w:color w:val="auto"/>
              </w:rPr>
            </w:pPr>
            <w:hyperlink r:id="rId77">
              <w:r>
                <w:rPr>
                  <w:rFonts w:ascii="Arial" w:cs="Arial" w:eastAsia="Arial" w:hAnsi="Arial"/>
                  <w:sz w:val="14"/>
                  <w:szCs w:val="14"/>
                  <w:color w:val="auto"/>
                </w:rPr>
                <w:t>Wells Fargo Bank, National Association, as syndication agents (incorporated by reference to Honeywell's Form 8-K filed March 28, 2022).</w:t>
              </w:r>
            </w:hyperlink>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10.3*</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Amendment to the 2016 Stock Incentive Plan of Honeywell International Inc. and its Affiliates—Form of Restricted Unit Agreement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10.4*</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Amendment to the 2016 Stock Incentive Plan of Honeywell International Inc. and its Affiliates—Form of Restricted Unit Agreement, Form 2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10.5*</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Amendment to the 2016 Stock Incentive Plan of Honeywell International Inc. and its Affiliates—Form of Stock Option Award Agreement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10.6*</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Amendment to the 2016 Stock Incentive Plan of Honeywell International Inc. and its Affiliates–Form of Performance Plan Grant Agreement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31.1</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31.2</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10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40" w:type="dxa"/>
            <w:vAlign w:val="bottom"/>
          </w:tcPr>
          <w:p>
            <w:pPr>
              <w:ind w:left="24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42"/>
        </w:trPr>
        <w:tc>
          <w:tcPr>
            <w:tcW w:w="110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40" w:type="dxa"/>
            <w:vAlign w:val="bottom"/>
          </w:tcPr>
          <w:p>
            <w:pPr>
              <w:ind w:left="24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92"/>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95</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10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40" w:type="dxa"/>
            <w:vAlign w:val="bottom"/>
          </w:tcPr>
          <w:p>
            <w:pPr>
              <w:ind w:left="24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 Inline</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XBRL document)</w:t>
            </w:r>
          </w:p>
        </w:tc>
      </w:tr>
      <w:tr>
        <w:trPr>
          <w:trHeight w:val="192"/>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101.SCH</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101.CAL</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101.DEF</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101.LAB</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101.PRE</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104</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Exhibits identified with an asterisk (*) are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April 29,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46 </w:t>
      </w:r>
      <w:r>
        <w:rPr>
          <w:rFonts w:ascii="Arial" w:cs="Arial" w:eastAsia="Arial" w:hAnsi="Arial"/>
          <w:sz w:val="14"/>
          <w:szCs w:val="14"/>
          <w:color w:val="000000"/>
        </w:rPr>
        <w:t>Honeywell International Inc.</w:t>
      </w:r>
    </w:p>
    <w:p>
      <w:pPr>
        <w:sectPr>
          <w:pgSz w:w="11900" w:h="16838" w:orient="portrait"/>
          <w:cols w:equalWidth="0" w:num="1">
            <w:col w:w="11240"/>
          </w:cols>
          <w:pgMar w:left="320" w:top="122" w:right="339" w:bottom="1440" w:gutter="0" w:footer="0" w:header="0"/>
        </w:sectPr>
      </w:pPr>
    </w:p>
    <w:bookmarkStart w:id="50" w:name="page51"/>
    <w:bookmarkEnd w:id="50"/>
    <w:p>
      <w:pPr>
        <w:ind w:left="988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STOCK INCENTIVE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HONEYWELL INTERNATIONAL INC. AND ITS AFFILIATES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 FORM 1</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2"/>
          <w:szCs w:val="22"/>
          <w:color w:val="auto"/>
        </w:rPr>
        <w:t>This RESTRICTED STOCK UNIT AGREEMENT made in Charlotte, North Carolina, as of [DATE] (the “Grant Date”), between Honeywell International Inc. (the “Company”) and [EMPLOYEE NAME] (“Participant”).</w:t>
      </w:r>
    </w:p>
    <w:p>
      <w:pPr>
        <w:spacing w:after="0" w:line="1" w:lineRule="exact"/>
        <w:rPr>
          <w:sz w:val="20"/>
          <w:szCs w:val="20"/>
          <w:color w:val="auto"/>
        </w:rPr>
      </w:pPr>
    </w:p>
    <w:p>
      <w:pPr>
        <w:jc w:val="both"/>
        <w:ind w:firstLine="8"/>
        <w:spacing w:after="0" w:line="261" w:lineRule="auto"/>
        <w:tabs>
          <w:tab w:leader="none" w:pos="49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Award. </w:t>
      </w:r>
      <w:r>
        <w:rPr>
          <w:rFonts w:ascii="Times New Roman" w:cs="Times New Roman" w:eastAsia="Times New Roman" w:hAnsi="Times New Roman"/>
          <w:sz w:val="22"/>
          <w:szCs w:val="22"/>
          <w:color w:val="auto"/>
        </w:rPr>
        <w:t>The Company has granted you [NUMBER] Restricted Stock Units, subject to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2016 Stock Incentive Plan of Honeywell International Inc. and its Affiliates (the “Plan”). The Company will hold the Restricted Stock Units [and Additional Restricted Stock Units (as defined in Section 2)] in a bookkeeping account on your behalf until they become payable or are forfeited or cancelled.</w:t>
      </w:r>
    </w:p>
    <w:p>
      <w:pPr>
        <w:spacing w:after="0" w:line="1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07" w:lineRule="exact"/>
        <w:rPr>
          <w:sz w:val="20"/>
          <w:szCs w:val="20"/>
          <w:color w:val="auto"/>
        </w:rPr>
      </w:pPr>
    </w:p>
    <w:p>
      <w:pPr>
        <w:jc w:val="both"/>
        <w:ind w:firstLine="8"/>
        <w:spacing w:after="0" w:line="258" w:lineRule="auto"/>
        <w:tabs>
          <w:tab w:leader="none" w:pos="6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[FOLLOWING INCLUDED AT COMMITTEE’S DISCRETION: Dividend Equivalents. </w:t>
      </w:r>
      <w:r>
        <w:rPr>
          <w:rFonts w:ascii="Times New Roman" w:cs="Times New Roman" w:eastAsia="Times New Roman" w:hAnsi="Times New Roman"/>
          <w:sz w:val="22"/>
          <w:szCs w:val="22"/>
          <w:color w:val="auto"/>
        </w:rPr>
        <w:t>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117" w:lineRule="exact"/>
        <w:rPr>
          <w:rFonts w:ascii="Times New Roman" w:cs="Times New Roman" w:eastAsia="Times New Roman" w:hAnsi="Times New Roman"/>
          <w:sz w:val="22"/>
          <w:szCs w:val="22"/>
          <w:color w:val="auto"/>
        </w:rPr>
      </w:pPr>
    </w:p>
    <w:p>
      <w:pPr>
        <w:ind w:right="20" w:firstLine="8"/>
        <w:spacing w:after="0" w:line="287" w:lineRule="auto"/>
        <w:tabs>
          <w:tab w:leader="none" w:pos="3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Amount. </w:t>
      </w:r>
      <w:r>
        <w:rPr>
          <w:rFonts w:ascii="Times New Roman" w:cs="Times New Roman" w:eastAsia="Times New Roman" w:hAnsi="Times New Roman"/>
          <w:sz w:val="22"/>
          <w:szCs w:val="22"/>
          <w:color w:val="auto"/>
        </w:rPr>
        <w:t>Each Restricted Stock Unit [and Additional Restricted Stock Unit] represents one (1)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w:t>
      </w:r>
    </w:p>
    <w:p>
      <w:pPr>
        <w:sectPr>
          <w:pgSz w:w="11900" w:h="16838" w:orient="portrait"/>
          <w:cols w:equalWidth="0" w:num="1">
            <w:col w:w="11240"/>
          </w:cols>
          <w:pgMar w:left="320" w:top="1418" w:right="339" w:bottom="1440" w:gutter="0" w:footer="0" w:header="0"/>
        </w:sectPr>
      </w:pPr>
    </w:p>
    <w:bookmarkStart w:id="51" w:name="page52"/>
    <w:bookmarkEnd w:id="51"/>
    <w:p>
      <w:pPr>
        <w:jc w:val="both"/>
        <w:ind w:firstLine="8"/>
        <w:spacing w:after="0" w:line="272" w:lineRule="auto"/>
        <w:tabs>
          <w:tab w:leader="none" w:pos="45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in the event of your Termination of Employment due to death or Disability, or as otherwise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8 of this Agreement relating to a Change in Control, the Restricted Stock Units [and Additional Restricted Stock Units] will vest as provided on the attached Vesting Schedule Table, which is incorporated into, and made a part of, this Agreement.</w:t>
      </w:r>
    </w:p>
    <w:p>
      <w:pPr>
        <w:spacing w:after="0" w:line="98" w:lineRule="exact"/>
        <w:rPr>
          <w:rFonts w:ascii="Times New Roman" w:cs="Times New Roman" w:eastAsia="Times New Roman" w:hAnsi="Times New Roman"/>
          <w:sz w:val="22"/>
          <w:szCs w:val="22"/>
          <w:color w:val="auto"/>
        </w:rPr>
      </w:pPr>
    </w:p>
    <w:p>
      <w:pPr>
        <w:jc w:val="both"/>
        <w:ind w:firstLine="8"/>
        <w:spacing w:after="0" w:line="260" w:lineRule="auto"/>
        <w:tabs>
          <w:tab w:leader="none" w:pos="56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Form and Timing of Payment. </w:t>
      </w:r>
      <w:r>
        <w:rPr>
          <w:rFonts w:ascii="Times New Roman" w:cs="Times New Roman" w:eastAsia="Times New Roman" w:hAnsi="Times New Roman"/>
          <w:sz w:val="22"/>
          <w:szCs w:val="22"/>
          <w:color w:val="auto"/>
        </w:rPr>
        <w:t>Vested Restricted Stock Units will be redeemed solely for Shares.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AT COMPANY’S DISCRETION: Except as otherwise determined by the Company, in its sole discretion, vested Additional Restricted Stock Units will be redeemed solely for Shares.] [Subject to a deferral election made pursuant to Section 12, and] except as otherwise provided in Section 7(b)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spacing w:after="0" w:line="102" w:lineRule="exact"/>
        <w:rPr>
          <w:rFonts w:ascii="Times New Roman" w:cs="Times New Roman" w:eastAsia="Times New Roman" w:hAnsi="Times New Roman"/>
          <w:sz w:val="22"/>
          <w:szCs w:val="22"/>
          <w:color w:val="auto"/>
        </w:rPr>
      </w:pPr>
    </w:p>
    <w:p>
      <w:pPr>
        <w:jc w:val="both"/>
        <w:ind w:firstLine="8"/>
        <w:spacing w:after="0" w:line="290" w:lineRule="auto"/>
        <w:tabs>
          <w:tab w:leader="none" w:pos="3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of Employment. </w:t>
      </w:r>
      <w:r>
        <w:rPr>
          <w:rFonts w:ascii="Times New Roman" w:cs="Times New Roman" w:eastAsia="Times New Roman" w:hAnsi="Times New Roman"/>
          <w:sz w:val="21"/>
          <w:szCs w:val="21"/>
          <w:color w:val="auto"/>
        </w:rPr>
        <w:t>Except as otherwise provided in Sections 7(a) and 8 of this Agreement, any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[and Additional Restricted Stock Units] that have not vested as of your Termination of Employment will immediately be forfeited, and your rights with respect to these Restricted Stock Units [and Additional Restricted Stock Units] will end.</w:t>
      </w:r>
    </w:p>
    <w:p>
      <w:pPr>
        <w:spacing w:after="0" w:line="8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Death or Disability.</w:t>
      </w:r>
    </w:p>
    <w:p>
      <w:pPr>
        <w:spacing w:after="0" w:line="165" w:lineRule="exact"/>
        <w:rPr>
          <w:rFonts w:ascii="Times New Roman" w:cs="Times New Roman" w:eastAsia="Times New Roman" w:hAnsi="Times New Roman"/>
          <w:sz w:val="22"/>
          <w:szCs w:val="22"/>
          <w:color w:val="auto"/>
        </w:rPr>
      </w:pPr>
    </w:p>
    <w:p>
      <w:pPr>
        <w:ind w:left="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xml:space="preserve"> If your Termination of Employment occurs due to death or Disability before the vesting date described in Section</w:t>
      </w:r>
    </w:p>
    <w:p>
      <w:pPr>
        <w:spacing w:after="0" w:line="44" w:lineRule="exact"/>
        <w:rPr>
          <w:rFonts w:ascii="Times New Roman" w:cs="Times New Roman" w:eastAsia="Times New Roman" w:hAnsi="Times New Roman"/>
          <w:sz w:val="22"/>
          <w:szCs w:val="22"/>
          <w:color w:val="auto"/>
        </w:rPr>
      </w:pPr>
    </w:p>
    <w:p>
      <w:pPr>
        <w:jc w:val="both"/>
        <w:spacing w:after="0" w:line="26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If your Termination of Employment due to Retirement occurs before the vesting date described in Section 4 of this Agreement, all unvested Restricted Stock Units [and Additional Restricted Stock Units] will be forfeited and your rights with respect to any award under this Agreement will terminate.</w:t>
      </w:r>
    </w:p>
    <w:p>
      <w:pPr>
        <w:spacing w:after="0" w:line="101" w:lineRule="exact"/>
        <w:rPr>
          <w:sz w:val="20"/>
          <w:szCs w:val="20"/>
          <w:color w:val="auto"/>
        </w:rPr>
      </w:pPr>
    </w:p>
    <w:p>
      <w:pPr>
        <w:jc w:val="both"/>
        <w:ind w:firstLine="656"/>
        <w:spacing w:after="0" w:line="266" w:lineRule="auto"/>
        <w:tabs>
          <w:tab w:leader="none" w:pos="105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w:t>
      </w:r>
      <w:r>
        <w:rPr>
          <w:rFonts w:ascii="Times New Roman" w:cs="Times New Roman" w:eastAsia="Times New Roman" w:hAnsi="Times New Roman"/>
          <w:sz w:val="22"/>
          <w:szCs w:val="22"/>
          <w:color w:val="auto"/>
        </w:rPr>
        <w:t>If your Termination of Employment occurs due to death or Disability before the vesting date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w:t>
      </w:r>
    </w:p>
    <w:p>
      <w:pPr>
        <w:spacing w:after="0" w:line="10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In the event of a Change in Control (as defined in the Plan), the following provisions apply:</w:t>
      </w:r>
    </w:p>
    <w:p>
      <w:pPr>
        <w:spacing w:after="0" w:line="156" w:lineRule="exact"/>
        <w:rPr>
          <w:rFonts w:ascii="Times New Roman" w:cs="Times New Roman" w:eastAsia="Times New Roman" w:hAnsi="Times New Roman"/>
          <w:sz w:val="22"/>
          <w:szCs w:val="22"/>
          <w:color w:val="auto"/>
        </w:rPr>
      </w:pPr>
    </w:p>
    <w:p>
      <w:pPr>
        <w:ind w:right="20" w:firstLine="656"/>
        <w:spacing w:after="0" w:line="284" w:lineRule="auto"/>
        <w:tabs>
          <w:tab w:leader="none" w:pos="10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adjusted or exchanged pursuant to Section 5.3(c) or 5.3(d) of the Plan, Restricted Stock Units [and Additional Restricted Stock Units] that have not vested or terminated as</w:t>
      </w:r>
    </w:p>
    <w:p>
      <w:pPr>
        <w:sectPr>
          <w:pgSz w:w="11900" w:h="16838" w:orient="portrait"/>
          <w:cols w:equalWidth="0" w:num="1">
            <w:col w:w="11240"/>
          </w:cols>
          <w:pgMar w:left="320" w:top="1418" w:right="339" w:bottom="1440" w:gutter="0" w:footer="0" w:header="0"/>
        </w:sectPr>
      </w:pPr>
    </w:p>
    <w:bookmarkStart w:id="52" w:name="page53"/>
    <w:bookmarkEnd w:id="52"/>
    <w:p>
      <w:pPr>
        <w:jc w:val="both"/>
        <w:spacing w:after="0" w:line="259" w:lineRule="auto"/>
        <w:rPr>
          <w:sz w:val="20"/>
          <w:szCs w:val="20"/>
          <w:color w:val="auto"/>
        </w:rPr>
      </w:pPr>
      <w:r>
        <w:rPr>
          <w:rFonts w:ascii="Times New Roman" w:cs="Times New Roman" w:eastAsia="Times New Roman" w:hAnsi="Times New Roman"/>
          <w:sz w:val="22"/>
          <w:szCs w:val="22"/>
          <w:color w:val="auto"/>
        </w:rPr>
        <w:t>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18" w:lineRule="exact"/>
        <w:rPr>
          <w:sz w:val="20"/>
          <w:szCs w:val="20"/>
          <w:color w:val="auto"/>
        </w:rPr>
      </w:pPr>
    </w:p>
    <w:p>
      <w:pPr>
        <w:jc w:val="both"/>
        <w:ind w:firstLine="226"/>
        <w:spacing w:after="0" w:line="274" w:lineRule="auto"/>
        <w:tabs>
          <w:tab w:leader="none" w:pos="598"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pacing w:after="0" w:line="85" w:lineRule="exact"/>
        <w:rPr>
          <w:rFonts w:ascii="Times New Roman" w:cs="Times New Roman" w:eastAsia="Times New Roman" w:hAnsi="Times New Roman"/>
          <w:sz w:val="21"/>
          <w:szCs w:val="21"/>
          <w:color w:val="auto"/>
        </w:rPr>
      </w:pPr>
    </w:p>
    <w:p>
      <w:pPr>
        <w:jc w:val="both"/>
        <w:ind w:firstLine="8"/>
        <w:spacing w:after="0" w:line="262" w:lineRule="auto"/>
        <w:tabs>
          <w:tab w:leader="none" w:pos="3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The Company or your local employer shall have the power and the right to deduct or withhold, or require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11" w:lineRule="exact"/>
        <w:rPr>
          <w:rFonts w:ascii="Times New Roman" w:cs="Times New Roman" w:eastAsia="Times New Roman" w:hAnsi="Times New Roman"/>
          <w:sz w:val="22"/>
          <w:szCs w:val="22"/>
          <w:color w:val="auto"/>
        </w:rPr>
      </w:pPr>
    </w:p>
    <w:p>
      <w:pPr>
        <w:jc w:val="both"/>
        <w:ind w:firstLine="8"/>
        <w:spacing w:after="0" w:line="272" w:lineRule="auto"/>
        <w:tabs>
          <w:tab w:leader="none" w:pos="49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of Award. </w:t>
      </w:r>
      <w:r>
        <w:rPr>
          <w:rFonts w:ascii="Times New Roman" w:cs="Times New Roman" w:eastAsia="Times New Roman" w:hAnsi="Times New Roman"/>
          <w:sz w:val="22"/>
          <w:szCs w:val="22"/>
          <w:color w:val="auto"/>
        </w:rPr>
        <w:t>You may not transfer the Restricted Stock Units[, Additional Restricted Stock Units] or any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Units except by will or the laws of descent and distribution or except as permitted by the Committee and as specified in the Plan. Any other attempt to dispose of your interest will be null and void.</w:t>
      </w:r>
    </w:p>
    <w:p>
      <w:pPr>
        <w:spacing w:after="0" w:line="98"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Requirements for and Forfeiture of Award.</w:t>
      </w:r>
    </w:p>
    <w:p>
      <w:pPr>
        <w:spacing w:after="0" w:line="152" w:lineRule="exact"/>
        <w:rPr>
          <w:rFonts w:ascii="Times New Roman" w:cs="Times New Roman" w:eastAsia="Times New Roman" w:hAnsi="Times New Roman"/>
          <w:sz w:val="22"/>
          <w:szCs w:val="22"/>
          <w:color w:val="auto"/>
        </w:rPr>
      </w:pPr>
    </w:p>
    <w:p>
      <w:pPr>
        <w:jc w:val="both"/>
        <w:ind w:firstLine="648"/>
        <w:spacing w:after="0" w:line="26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The Award is expressly contingent upon you complying with the terms, conditions and definitions contained in this Section 11 and in any other agreement that governs your noncompetition with Honeywell, your nonsolicitation of Honeywell’s employees, customers, suppliers, business partners and vendors, and/or your conduct with respect to Honeywell’s trade</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65" w:lineRule="auto"/>
        <w:rPr>
          <w:sz w:val="20"/>
          <w:szCs w:val="20"/>
          <w:color w:val="auto"/>
        </w:rPr>
      </w:pPr>
      <w:r>
        <w:rPr>
          <w:rFonts w:ascii="Times New Roman" w:cs="Times New Roman" w:eastAsia="Times New Roman" w:hAnsi="Times New Roman"/>
          <w:sz w:val="22"/>
          <w:szCs w:val="22"/>
          <w:color w:val="auto"/>
        </w:rPr>
        <w:t>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07" w:lineRule="exact"/>
        <w:rPr>
          <w:sz w:val="20"/>
          <w:szCs w:val="20"/>
          <w:color w:val="auto"/>
        </w:rPr>
      </w:pPr>
    </w:p>
    <w:p>
      <w:pPr>
        <w:ind w:left="600" w:hanging="376"/>
        <w:spacing w:after="0"/>
        <w:tabs>
          <w:tab w:leader="none" w:pos="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w:t>
      </w:r>
    </w:p>
    <w:p>
      <w:pPr>
        <w:spacing w:after="0" w:line="156" w:lineRule="exact"/>
        <w:rPr>
          <w:rFonts w:ascii="Times New Roman" w:cs="Times New Roman" w:eastAsia="Times New Roman" w:hAnsi="Times New Roman"/>
          <w:sz w:val="22"/>
          <w:szCs w:val="22"/>
          <w:color w:val="auto"/>
        </w:rPr>
      </w:pPr>
    </w:p>
    <w:p>
      <w:pPr>
        <w:ind w:left="880" w:hanging="398"/>
        <w:spacing w:after="0"/>
        <w:tabs>
          <w:tab w:leader="none" w:pos="8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agree and acknowledge that the forfeiture provisions of subsection 11.b.2. of this Agreement shall apply</w:t>
      </w:r>
    </w:p>
    <w:p>
      <w:pPr>
        <w:spacing w:after="0" w:line="40" w:lineRule="exact"/>
        <w:rPr>
          <w:rFonts w:ascii="Times New Roman" w:cs="Times New Roman" w:eastAsia="Times New Roman" w:hAnsi="Times New Roman"/>
          <w:sz w:val="21"/>
          <w:szCs w:val="21"/>
          <w:color w:val="auto"/>
        </w:rPr>
      </w:pPr>
    </w:p>
    <w:p>
      <w:pPr>
        <w:jc w:val="both"/>
        <w:spacing w:after="0" w:line="26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11" w:lineRule="exact"/>
        <w:rPr>
          <w:sz w:val="20"/>
          <w:szCs w:val="20"/>
          <w:color w:val="auto"/>
        </w:rPr>
      </w:pPr>
    </w:p>
    <w:p>
      <w:pPr>
        <w:jc w:val="both"/>
        <w:ind w:firstLine="1304"/>
        <w:spacing w:after="0" w:line="270" w:lineRule="auto"/>
        <w:tabs>
          <w:tab w:leader="none" w:pos="17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72" w:lineRule="auto"/>
        <w:rPr>
          <w:sz w:val="20"/>
          <w:szCs w:val="20"/>
          <w:color w:val="auto"/>
        </w:rPr>
      </w:pPr>
      <w:r>
        <w:rPr>
          <w:rFonts w:ascii="Times New Roman" w:cs="Times New Roman" w:eastAsia="Times New Roman" w:hAnsi="Times New Roman"/>
          <w:sz w:val="21"/>
          <w:szCs w:val="21"/>
          <w:color w:val="auto"/>
        </w:rPr>
        <w:t>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w:t>
      </w:r>
    </w:p>
    <w:p>
      <w:pPr>
        <w:spacing w:after="0" w:line="1" w:lineRule="exact"/>
        <w:rPr>
          <w:sz w:val="20"/>
          <w:szCs w:val="20"/>
          <w:color w:val="auto"/>
        </w:rPr>
      </w:pPr>
    </w:p>
    <w:p>
      <w:pPr>
        <w:jc w:val="both"/>
        <w:ind w:firstLine="8"/>
        <w:spacing w:after="0" w:line="258" w:lineRule="auto"/>
        <w:tabs>
          <w:tab w:leader="none" w:pos="31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20"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1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94" w:lineRule="exact"/>
        <w:rPr>
          <w:sz w:val="20"/>
          <w:szCs w:val="20"/>
          <w:color w:val="auto"/>
        </w:rPr>
      </w:pPr>
    </w:p>
    <w:p>
      <w:pPr>
        <w:jc w:val="both"/>
        <w:ind w:firstLine="8"/>
        <w:spacing w:after="0" w:line="261" w:lineRule="auto"/>
        <w:tabs>
          <w:tab w:leader="none" w:pos="52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Restrictions on Payment of Shares. </w:t>
      </w:r>
      <w:r>
        <w:rPr>
          <w:rFonts w:ascii="Times New Roman" w:cs="Times New Roman" w:eastAsia="Times New Roman" w:hAnsi="Times New Roman"/>
          <w:sz w:val="22"/>
          <w:szCs w:val="22"/>
          <w:color w:val="auto"/>
        </w:rPr>
        <w:t>Payment of Shares for your Restricted Stock Units [and Additional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12" w:lineRule="exact"/>
        <w:rPr>
          <w:rFonts w:ascii="Times New Roman" w:cs="Times New Roman" w:eastAsia="Times New Roman" w:hAnsi="Times New Roman"/>
          <w:sz w:val="22"/>
          <w:szCs w:val="22"/>
          <w:color w:val="auto"/>
        </w:rPr>
      </w:pPr>
    </w:p>
    <w:p>
      <w:pPr>
        <w:ind w:firstLine="8"/>
        <w:spacing w:after="0" w:line="287" w:lineRule="auto"/>
        <w:tabs>
          <w:tab w:leader="none" w:pos="52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Any adjustments to the Restricted Stock Units [and Additional Restricted Stock Units] will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5.3 of the Plan.</w:t>
      </w:r>
    </w:p>
    <w:p>
      <w:pPr>
        <w:spacing w:after="0" w:line="83" w:lineRule="exact"/>
        <w:rPr>
          <w:rFonts w:ascii="Times New Roman" w:cs="Times New Roman" w:eastAsia="Times New Roman" w:hAnsi="Times New Roman"/>
          <w:sz w:val="22"/>
          <w:szCs w:val="22"/>
          <w:color w:val="auto"/>
        </w:rPr>
      </w:pPr>
    </w:p>
    <w:p>
      <w:pPr>
        <w:jc w:val="both"/>
        <w:ind w:firstLine="8"/>
        <w:spacing w:after="0" w:line="262" w:lineRule="auto"/>
        <w:tabs>
          <w:tab w:leader="none" w:pos="49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Disposition of Securities. </w:t>
      </w:r>
      <w:r>
        <w:rPr>
          <w:rFonts w:ascii="Times New Roman" w:cs="Times New Roman" w:eastAsia="Times New Roman" w:hAnsi="Times New Roman"/>
          <w:sz w:val="22"/>
          <w:szCs w:val="22"/>
          <w:color w:val="auto"/>
        </w:rPr>
        <w:t>By accepting the Award, you acknowledge that you have read and understand (i)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97" w:lineRule="exact"/>
        <w:rPr>
          <w:rFonts w:ascii="Times New Roman" w:cs="Times New Roman" w:eastAsia="Times New Roman" w:hAnsi="Times New Roman"/>
          <w:sz w:val="22"/>
          <w:szCs w:val="22"/>
          <w:color w:val="auto"/>
        </w:rPr>
      </w:pPr>
    </w:p>
    <w:p>
      <w:pPr>
        <w:jc w:val="both"/>
        <w:ind w:firstLine="8"/>
        <w:spacing w:after="0" w:line="272" w:lineRule="auto"/>
        <w:tabs>
          <w:tab w:leader="none" w:pos="56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Plan Terms Govern. </w:t>
      </w:r>
      <w:r>
        <w:rPr>
          <w:rFonts w:ascii="Times New Roman" w:cs="Times New Roman" w:eastAsia="Times New Roman" w:hAnsi="Times New Roman"/>
          <w:sz w:val="22"/>
          <w:szCs w:val="22"/>
          <w:color w:val="auto"/>
        </w:rPr>
        <w:t>The vesting and redemption of Restricted Stock Units [or Additional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any Shares received for Restricted Stock Units [or Additional Restricted Stock Units], the treatment of gain on the disposition of these Shares, and the</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78" w:lineRule="auto"/>
        <w:rPr>
          <w:sz w:val="20"/>
          <w:szCs w:val="20"/>
          <w:color w:val="auto"/>
        </w:rPr>
      </w:pPr>
      <w:r>
        <w:rPr>
          <w:rFonts w:ascii="Times New Roman" w:cs="Times New Roman" w:eastAsia="Times New Roman" w:hAnsi="Times New Roman"/>
          <w:sz w:val="21"/>
          <w:szCs w:val="21"/>
          <w:color w:val="auto"/>
        </w:rPr>
        <w:t>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spacing w:after="0" w:line="96"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Data.</w:t>
      </w:r>
    </w:p>
    <w:p>
      <w:pPr>
        <w:spacing w:after="0" w:line="156" w:lineRule="exact"/>
        <w:rPr>
          <w:rFonts w:ascii="Times New Roman" w:cs="Times New Roman" w:eastAsia="Times New Roman" w:hAnsi="Times New Roman"/>
          <w:sz w:val="22"/>
          <w:szCs w:val="22"/>
          <w:color w:val="auto"/>
        </w:rPr>
      </w:pPr>
    </w:p>
    <w:p>
      <w:pPr>
        <w:jc w:val="both"/>
        <w:ind w:right="20" w:firstLine="656"/>
        <w:spacing w:after="0" w:line="270" w:lineRule="auto"/>
        <w:tabs>
          <w:tab w:leader="none" w:pos="1037" w:val="left"/>
        </w:tabs>
        <w:numPr>
          <w:ilvl w:val="5"/>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04" w:lineRule="exact"/>
        <w:rPr>
          <w:rFonts w:ascii="Times New Roman" w:cs="Times New Roman" w:eastAsia="Times New Roman" w:hAnsi="Times New Roman"/>
          <w:sz w:val="22"/>
          <w:szCs w:val="22"/>
          <w:color w:val="auto"/>
        </w:rPr>
      </w:pPr>
    </w:p>
    <w:p>
      <w:pPr>
        <w:jc w:val="both"/>
        <w:ind w:firstLine="284"/>
        <w:spacing w:after="0" w:line="263" w:lineRule="auto"/>
        <w:tabs>
          <w:tab w:leader="none" w:pos="707" w:val="left"/>
        </w:tabs>
        <w:numPr>
          <w:ilvl w:val="3"/>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112" w:lineRule="exact"/>
        <w:rPr>
          <w:rFonts w:ascii="Times New Roman" w:cs="Times New Roman" w:eastAsia="Times New Roman" w:hAnsi="Times New Roman"/>
          <w:sz w:val="22"/>
          <w:szCs w:val="22"/>
          <w:color w:val="auto"/>
        </w:rPr>
      </w:pPr>
    </w:p>
    <w:p>
      <w:pPr>
        <w:jc w:val="both"/>
        <w:ind w:right="20" w:firstLine="312"/>
        <w:spacing w:after="0" w:line="270" w:lineRule="auto"/>
        <w:tabs>
          <w:tab w:leader="none" w:pos="750" w:val="left"/>
        </w:tabs>
        <w:numPr>
          <w:ilvl w:val="4"/>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91" w:lineRule="exact"/>
        <w:rPr>
          <w:rFonts w:ascii="Times New Roman" w:cs="Times New Roman" w:eastAsia="Times New Roman" w:hAnsi="Times New Roman"/>
          <w:sz w:val="22"/>
          <w:szCs w:val="22"/>
          <w:color w:val="auto"/>
        </w:rPr>
      </w:pPr>
    </w:p>
    <w:p>
      <w:pPr>
        <w:jc w:val="both"/>
        <w:ind w:firstLine="259"/>
        <w:spacing w:after="0" w:line="265" w:lineRule="auto"/>
        <w:tabs>
          <w:tab w:leader="none" w:pos="657"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11" w:lineRule="exact"/>
        <w:rPr>
          <w:rFonts w:ascii="Times New Roman" w:cs="Times New Roman" w:eastAsia="Times New Roman" w:hAnsi="Times New Roman"/>
          <w:sz w:val="22"/>
          <w:szCs w:val="22"/>
          <w:color w:val="auto"/>
        </w:rPr>
      </w:pPr>
    </w:p>
    <w:p>
      <w:pPr>
        <w:jc w:val="both"/>
        <w:ind w:firstLine="233"/>
        <w:spacing w:after="0" w:line="278" w:lineRule="auto"/>
        <w:tabs>
          <w:tab w:leader="none" w:pos="59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99" w:lineRule="exact"/>
        <w:rPr>
          <w:rFonts w:ascii="Times New Roman" w:cs="Times New Roman" w:eastAsia="Times New Roman" w:hAnsi="Times New Roman"/>
          <w:sz w:val="21"/>
          <w:szCs w:val="21"/>
          <w:color w:val="auto"/>
        </w:rPr>
      </w:pPr>
    </w:p>
    <w:p>
      <w:pPr>
        <w:jc w:val="both"/>
        <w:ind w:firstLine="656"/>
        <w:spacing w:after="0" w:line="270" w:lineRule="auto"/>
        <w:tabs>
          <w:tab w:leader="none" w:pos="993" w:val="left"/>
        </w:tabs>
        <w:numPr>
          <w:ilvl w:val="5"/>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ectPr>
          <w:pgSz w:w="11900" w:h="16838" w:orient="portrait"/>
          <w:cols w:equalWidth="0" w:num="1">
            <w:col w:w="11240"/>
          </w:cols>
          <w:pgMar w:left="320" w:top="1422" w:right="339" w:bottom="1440" w:gutter="0" w:footer="0" w:header="0"/>
        </w:sectPr>
      </w:pPr>
    </w:p>
    <w:bookmarkStart w:id="56" w:name="page57"/>
    <w:bookmarkEnd w:id="56"/>
    <w:p>
      <w:pPr>
        <w:ind w:left="-8" w:firstLine="8"/>
        <w:spacing w:after="0" w:line="287" w:lineRule="auto"/>
        <w:tabs>
          <w:tab w:leader="none" w:pos="54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Discretionary Nature and Acceptance of Award. </w:t>
      </w:r>
      <w:r>
        <w:rPr>
          <w:rFonts w:ascii="Times New Roman" w:cs="Times New Roman" w:eastAsia="Times New Roman" w:hAnsi="Times New Roman"/>
          <w:sz w:val="22"/>
          <w:szCs w:val="22"/>
          <w:color w:val="auto"/>
        </w:rPr>
        <w:t>By accepting this Award, you agree to be bound by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acknowledge that:</w:t>
      </w:r>
    </w:p>
    <w:p>
      <w:pPr>
        <w:spacing w:after="0" w:line="87"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1010" w:val="left"/>
        </w:tabs>
        <w:numPr>
          <w:ilvl w:val="4"/>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91" w:lineRule="exact"/>
        <w:rPr>
          <w:rFonts w:ascii="Times New Roman" w:cs="Times New Roman" w:eastAsia="Times New Roman" w:hAnsi="Times New Roman"/>
          <w:sz w:val="22"/>
          <w:szCs w:val="22"/>
          <w:color w:val="auto"/>
        </w:rPr>
      </w:pPr>
    </w:p>
    <w:p>
      <w:pPr>
        <w:ind w:left="-8" w:firstLine="313"/>
        <w:spacing w:after="0" w:line="284" w:lineRule="auto"/>
        <w:tabs>
          <w:tab w:leader="none" w:pos="761"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89" w:lineRule="exact"/>
        <w:rPr>
          <w:rFonts w:ascii="Times New Roman" w:cs="Times New Roman" w:eastAsia="Times New Roman" w:hAnsi="Times New Roman"/>
          <w:sz w:val="22"/>
          <w:szCs w:val="22"/>
          <w:color w:val="auto"/>
        </w:rPr>
      </w:pPr>
    </w:p>
    <w:p>
      <w:pPr>
        <w:ind w:left="-8" w:firstLine="315"/>
        <w:spacing w:after="0" w:line="284" w:lineRule="auto"/>
        <w:tabs>
          <w:tab w:leader="none" w:pos="755"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and rights provided under the Plan are wholly discretionary and, although provided by the Company, do not constitute regular or periodic payments.</w:t>
      </w:r>
    </w:p>
    <w:p>
      <w:pPr>
        <w:spacing w:after="0" w:line="89" w:lineRule="exact"/>
        <w:rPr>
          <w:rFonts w:ascii="Times New Roman" w:cs="Times New Roman" w:eastAsia="Times New Roman" w:hAnsi="Times New Roman"/>
          <w:sz w:val="22"/>
          <w:szCs w:val="22"/>
          <w:color w:val="auto"/>
        </w:rPr>
      </w:pPr>
    </w:p>
    <w:p>
      <w:pPr>
        <w:jc w:val="both"/>
        <w:ind w:left="-8" w:firstLine="264"/>
        <w:spacing w:after="0" w:line="260" w:lineRule="auto"/>
        <w:tabs>
          <w:tab w:leader="none" w:pos="663"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06" w:lineRule="exact"/>
        <w:rPr>
          <w:rFonts w:ascii="Times New Roman" w:cs="Times New Roman" w:eastAsia="Times New Roman" w:hAnsi="Times New Roman"/>
          <w:sz w:val="22"/>
          <w:szCs w:val="22"/>
          <w:color w:val="auto"/>
        </w:rPr>
      </w:pPr>
    </w:p>
    <w:p>
      <w:pPr>
        <w:jc w:val="both"/>
        <w:ind w:left="-8" w:firstLine="252"/>
        <w:spacing w:after="0" w:line="276" w:lineRule="auto"/>
        <w:tabs>
          <w:tab w:leader="none" w:pos="62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02" w:lineRule="exact"/>
        <w:rPr>
          <w:rFonts w:ascii="Times New Roman" w:cs="Times New Roman" w:eastAsia="Times New Roman" w:hAnsi="Times New Roman"/>
          <w:sz w:val="21"/>
          <w:szCs w:val="21"/>
          <w:color w:val="auto"/>
        </w:rPr>
      </w:pPr>
    </w:p>
    <w:p>
      <w:pPr>
        <w:jc w:val="both"/>
        <w:ind w:left="-8" w:firstLine="247"/>
        <w:spacing w:after="0" w:line="270" w:lineRule="auto"/>
        <w:tabs>
          <w:tab w:leader="none" w:pos="59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Times New Roman" w:cs="Times New Roman" w:eastAsia="Times New Roman" w:hAnsi="Times New Roman"/>
          <w:sz w:val="22"/>
          <w:szCs w:val="22"/>
          <w:color w:val="auto"/>
        </w:rPr>
      </w:pPr>
    </w:p>
    <w:p>
      <w:pPr>
        <w:ind w:left="-8" w:right="20" w:firstLine="656"/>
        <w:spacing w:after="0" w:line="284" w:lineRule="auto"/>
        <w:tabs>
          <w:tab w:leader="none" w:pos="1208" w:val="left"/>
        </w:tabs>
        <w:numPr>
          <w:ilvl w:val="4"/>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will not be deemed to constitute, and will not be deemed by you to constitute, an employment or labor relationship of any kind with the Company.</w:t>
      </w:r>
    </w:p>
    <w:p>
      <w:pPr>
        <w:spacing w:after="0" w:line="72" w:lineRule="exact"/>
        <w:rPr>
          <w:rFonts w:ascii="Times New Roman" w:cs="Times New Roman" w:eastAsia="Times New Roman" w:hAnsi="Times New Roman"/>
          <w:sz w:val="22"/>
          <w:szCs w:val="22"/>
          <w:color w:val="auto"/>
        </w:rPr>
      </w:pPr>
    </w:p>
    <w:p>
      <w:pPr>
        <w:jc w:val="both"/>
        <w:ind w:left="-8" w:firstLine="8"/>
        <w:spacing w:after="0" w:line="266" w:lineRule="auto"/>
        <w:tabs>
          <w:tab w:leader="none" w:pos="47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this Agreement or the Plan gives you any right to continue in the employ of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w:t>
      </w:r>
    </w:p>
    <w:p>
      <w:pPr>
        <w:sectPr>
          <w:pgSz w:w="11900" w:h="16838" w:orient="portrait"/>
          <w:cols w:equalWidth="0" w:num="1">
            <w:col w:w="11232"/>
          </w:cols>
          <w:pgMar w:left="328" w:top="1418" w:right="339" w:bottom="1440" w:gutter="0" w:footer="0" w:header="0"/>
        </w:sectPr>
      </w:pPr>
    </w:p>
    <w:bookmarkStart w:id="57" w:name="page58"/>
    <w:bookmarkEnd w:id="57"/>
    <w:p>
      <w:pPr>
        <w:spacing w:after="0" w:line="309" w:lineRule="auto"/>
        <w:rPr>
          <w:sz w:val="20"/>
          <w:szCs w:val="20"/>
          <w:color w:val="auto"/>
        </w:rPr>
      </w:pPr>
      <w:r>
        <w:rPr>
          <w:rFonts w:ascii="Times New Roman" w:cs="Times New Roman" w:eastAsia="Times New Roman" w:hAnsi="Times New Roman"/>
          <w:sz w:val="21"/>
          <w:szCs w:val="21"/>
          <w:color w:val="auto"/>
        </w:rPr>
        <w:t>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63" w:lineRule="exact"/>
        <w:rPr>
          <w:sz w:val="20"/>
          <w:szCs w:val="20"/>
          <w:color w:val="auto"/>
        </w:rPr>
      </w:pPr>
    </w:p>
    <w:p>
      <w:pPr>
        <w:jc w:val="both"/>
        <w:ind w:firstLine="8"/>
        <w:spacing w:after="0" w:line="272" w:lineRule="auto"/>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Incorporation of Other Agreements. </w:t>
      </w:r>
      <w:r>
        <w:rPr>
          <w:rFonts w:ascii="Times New Roman" w:cs="Times New Roman" w:eastAsia="Times New Roman" w:hAnsi="Times New Roman"/>
          <w:sz w:val="22"/>
          <w:szCs w:val="22"/>
          <w:color w:val="auto"/>
        </w:rPr>
        <w:t>This Agreement and the Plan constitute the entire understanding between you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regarding the Restricted Stock Units. This Agreement supersedes any prior agreements, commitments or negotiations concerning the Restricted Stock Units [and the Additional Restricted Stock Units].</w:t>
      </w:r>
    </w:p>
    <w:p>
      <w:pPr>
        <w:spacing w:after="0" w:line="84" w:lineRule="exact"/>
        <w:rPr>
          <w:rFonts w:ascii="Times New Roman" w:cs="Times New Roman" w:eastAsia="Times New Roman" w:hAnsi="Times New Roman"/>
          <w:sz w:val="22"/>
          <w:szCs w:val="22"/>
          <w:color w:val="auto"/>
        </w:rPr>
      </w:pPr>
    </w:p>
    <w:p>
      <w:pPr>
        <w:jc w:val="both"/>
        <w:ind w:firstLine="8"/>
        <w:spacing w:after="0" w:line="266" w:lineRule="auto"/>
        <w:tabs>
          <w:tab w:leader="none" w:pos="66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06" w:lineRule="exact"/>
        <w:rPr>
          <w:rFonts w:ascii="Times New Roman" w:cs="Times New Roman" w:eastAsia="Times New Roman" w:hAnsi="Times New Roman"/>
          <w:sz w:val="22"/>
          <w:szCs w:val="22"/>
          <w:color w:val="auto"/>
        </w:rPr>
      </w:pPr>
    </w:p>
    <w:p>
      <w:pPr>
        <w:jc w:val="both"/>
        <w:ind w:firstLine="8"/>
        <w:spacing w:after="0" w:line="272" w:lineRule="auto"/>
        <w:tabs>
          <w:tab w:leader="none" w:pos="66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Plan, this Agreement, and all determinations made and actions taken under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98" w:lineRule="exact"/>
        <w:rPr>
          <w:rFonts w:ascii="Times New Roman" w:cs="Times New Roman" w:eastAsia="Times New Roman" w:hAnsi="Times New Roman"/>
          <w:sz w:val="22"/>
          <w:szCs w:val="22"/>
          <w:color w:val="auto"/>
        </w:rPr>
      </w:pPr>
    </w:p>
    <w:p>
      <w:pPr>
        <w:jc w:val="both"/>
        <w:ind w:firstLine="8"/>
        <w:spacing w:after="0" w:line="272" w:lineRule="auto"/>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Agreement Changes. </w:t>
      </w:r>
      <w:r>
        <w:rPr>
          <w:rFonts w:ascii="Times New Roman" w:cs="Times New Roman" w:eastAsia="Times New Roman" w:hAnsi="Times New Roman"/>
          <w:sz w:val="22"/>
          <w:szCs w:val="22"/>
          <w:color w:val="auto"/>
        </w:rPr>
        <w:t>The Company reserves the right to change the terms of this Agreement and the Plan without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to the extent necessary or desirable to comply with the requirements of Code section 409A, the Treasury regulations and other guidance thereunder.</w:t>
      </w:r>
    </w:p>
    <w:p>
      <w:pPr>
        <w:spacing w:after="0" w:line="84" w:lineRule="exact"/>
        <w:rPr>
          <w:rFonts w:ascii="Times New Roman" w:cs="Times New Roman" w:eastAsia="Times New Roman" w:hAnsi="Times New Roman"/>
          <w:sz w:val="22"/>
          <w:szCs w:val="22"/>
          <w:color w:val="auto"/>
        </w:rPr>
      </w:pPr>
    </w:p>
    <w:p>
      <w:pPr>
        <w:jc w:val="both"/>
        <w:ind w:firstLine="8"/>
        <w:spacing w:after="0" w:line="264" w:lineRule="auto"/>
        <w:tabs>
          <w:tab w:leader="none" w:pos="5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Acknowledgements and Acceptance. </w:t>
      </w:r>
      <w:r>
        <w:rPr>
          <w:rFonts w:ascii="Times New Roman" w:cs="Times New Roman" w:eastAsia="Times New Roman" w:hAnsi="Times New Roman"/>
          <w:sz w:val="22"/>
          <w:szCs w:val="22"/>
          <w:color w:val="auto"/>
        </w:rPr>
        <w:t>By accepting this Agreement, you agree that: (i) you have carefully read,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retain this Award, you must accept it on the Morgan Stanley website.</w:t>
      </w:r>
    </w:p>
    <w:p>
      <w:pPr>
        <w:sectPr>
          <w:pgSz w:w="11900" w:h="16838" w:orient="portrait"/>
          <w:cols w:equalWidth="0" w:num="1">
            <w:col w:w="11240"/>
          </w:cols>
          <w:pgMar w:left="320" w:top="1422"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VESTING SCHEDULE TABLE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[VESTING PROVISIONS CONSISTENT WITH THE PLAN]</w:t>
      </w:r>
    </w:p>
    <w:p>
      <w:pPr>
        <w:sectPr>
          <w:pgSz w:w="11900" w:h="16838" w:orient="portrait"/>
          <w:cols w:equalWidth="0" w:num="1">
            <w:col w:w="9019"/>
          </w:cols>
          <w:pgMar w:left="1440" w:top="1418" w:right="1440" w:bottom="1440" w:gutter="0" w:footer="0" w:header="0"/>
        </w:sectPr>
      </w:pPr>
    </w:p>
    <w:bookmarkStart w:id="59" w:name="page60"/>
    <w:bookmarkEnd w:id="59"/>
    <w:p>
      <w:pPr>
        <w:ind w:left="988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STOCK INCENTIVE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HONEYWELL INTERNATIONAL INC. AND ITS AFFILIATES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 FORM 2</w:t>
      </w:r>
    </w:p>
    <w:p>
      <w:pPr>
        <w:spacing w:after="0" w:line="1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This RESTRICTED STOCK UNIT AGREEMENT made in Charlotte, North Carolina, as of [DATE] (the “Grant Date”), between Honeywell International Inc. (the “Company”) and [EMPLOYEE NAME] (“Participant”).</w:t>
      </w:r>
    </w:p>
    <w:p>
      <w:pPr>
        <w:spacing w:after="0" w:line="86" w:lineRule="exact"/>
        <w:rPr>
          <w:sz w:val="20"/>
          <w:szCs w:val="20"/>
          <w:color w:val="auto"/>
        </w:rPr>
      </w:pPr>
    </w:p>
    <w:p>
      <w:pPr>
        <w:jc w:val="both"/>
        <w:ind w:firstLine="8"/>
        <w:spacing w:after="0" w:line="266" w:lineRule="auto"/>
        <w:tabs>
          <w:tab w:leader="none" w:pos="49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Award. </w:t>
      </w:r>
      <w:r>
        <w:rPr>
          <w:rFonts w:ascii="Times New Roman" w:cs="Times New Roman" w:eastAsia="Times New Roman" w:hAnsi="Times New Roman"/>
          <w:sz w:val="22"/>
          <w:szCs w:val="22"/>
          <w:color w:val="auto"/>
        </w:rPr>
        <w:t>The Company has granted you [NUMBER] Restricted Stock Units, subject to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2016 Stock Incentive Plan of Honeywell International Inc. and its Affiliates (the “Plan”). The Company will hold the Restricted Stock Units [and Additional Restricted Stock Units (as defined in Section 4)] in a bookkeeping account on your behalf until they become payable or are forfeited or cancelled.</w:t>
      </w:r>
    </w:p>
    <w:p>
      <w:pPr>
        <w:spacing w:after="0" w:line="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07"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Agreement, the following definitions apply:</w:t>
      </w:r>
    </w:p>
    <w:p>
      <w:pPr>
        <w:spacing w:after="0" w:line="169" w:lineRule="exact"/>
        <w:rPr>
          <w:rFonts w:ascii="Times New Roman" w:cs="Times New Roman" w:eastAsia="Times New Roman" w:hAnsi="Times New Roman"/>
          <w:sz w:val="22"/>
          <w:szCs w:val="22"/>
          <w:color w:val="auto"/>
        </w:rPr>
      </w:pPr>
    </w:p>
    <w:p>
      <w:pPr>
        <w:ind w:firstLine="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“Actual Award” means the product of (i) the Plan Payout Percentage (as determined under Section 3), and (ii) your Target Award.</w:t>
      </w:r>
    </w:p>
    <w:p>
      <w:pPr>
        <w:spacing w:after="0" w:line="76" w:lineRule="exact"/>
        <w:rPr>
          <w:rFonts w:ascii="Times New Roman" w:cs="Times New Roman" w:eastAsia="Times New Roman" w:hAnsi="Times New Roman"/>
          <w:sz w:val="22"/>
          <w:szCs w:val="22"/>
          <w:color w:val="auto"/>
        </w:rPr>
      </w:pPr>
    </w:p>
    <w:p>
      <w:pPr>
        <w:jc w:val="both"/>
        <w:ind w:firstLine="238"/>
        <w:spacing w:after="0" w:line="260" w:lineRule="auto"/>
        <w:tabs>
          <w:tab w:leader="none" w:pos="622"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20"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“Measurement Period” means [DESCRIBE MEASUREMENT PERIOD].</w:t>
      </w:r>
    </w:p>
    <w:p>
      <w:pPr>
        <w:spacing w:after="0" w:line="165"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Cycle” means the period beginning on [DATE] and ending on [DATE].</w:t>
      </w:r>
    </w:p>
    <w:p>
      <w:pPr>
        <w:spacing w:after="0" w:line="152" w:lineRule="exact"/>
        <w:rPr>
          <w:rFonts w:ascii="Times New Roman" w:cs="Times New Roman" w:eastAsia="Times New Roman" w:hAnsi="Times New Roman"/>
          <w:sz w:val="22"/>
          <w:szCs w:val="22"/>
          <w:color w:val="auto"/>
        </w:rPr>
      </w:pPr>
    </w:p>
    <w:p>
      <w:pPr>
        <w:ind w:firstLine="232"/>
        <w:spacing w:after="0" w:line="284" w:lineRule="auto"/>
        <w:tabs>
          <w:tab w:leader="none" w:pos="59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Award” means the number of Restricted Stock Units awarded to you for the Performance Cycle under Section 1 of this Agreement.</w:t>
      </w:r>
    </w:p>
    <w:p>
      <w:pPr>
        <w:spacing w:after="0" w:line="89" w:lineRule="exact"/>
        <w:rPr>
          <w:rFonts w:ascii="Times New Roman" w:cs="Times New Roman" w:eastAsia="Times New Roman" w:hAnsi="Times New Roman"/>
          <w:sz w:val="22"/>
          <w:szCs w:val="22"/>
          <w:color w:val="auto"/>
        </w:rPr>
      </w:pPr>
    </w:p>
    <w:p>
      <w:pPr>
        <w:jc w:val="both"/>
        <w:ind w:firstLine="284"/>
        <w:spacing w:after="0" w:line="265" w:lineRule="auto"/>
        <w:tabs>
          <w:tab w:leader="none" w:pos="678"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w:t>
      </w:r>
    </w:p>
    <w:p>
      <w:pPr>
        <w:sectPr>
          <w:pgSz w:w="11900" w:h="16838" w:orient="portrait"/>
          <w:cols w:equalWidth="0" w:num="1">
            <w:col w:w="11240"/>
          </w:cols>
          <w:pgMar w:left="320" w:top="1418" w:right="339" w:bottom="1440" w:gutter="0" w:footer="0" w:header="0"/>
        </w:sectPr>
      </w:pPr>
    </w:p>
    <w:bookmarkStart w:id="60" w:name="page61"/>
    <w:bookmarkEnd w:id="60"/>
    <w:p>
      <w:pPr>
        <w:spacing w:after="0" w:line="284" w:lineRule="auto"/>
        <w:rPr>
          <w:sz w:val="20"/>
          <w:szCs w:val="20"/>
          <w:color w:val="auto"/>
        </w:rPr>
      </w:pPr>
      <w:r>
        <w:rPr>
          <w:rFonts w:ascii="Times New Roman" w:cs="Times New Roman" w:eastAsia="Times New Roman" w:hAnsi="Times New Roman"/>
          <w:sz w:val="22"/>
          <w:szCs w:val="22"/>
          <w:color w:val="auto"/>
        </w:rPr>
        <w:t>average closing share price over the 30 preceding trading days). Dividends are assumed earned and reinvested on the ex-dividend date.</w:t>
      </w:r>
    </w:p>
    <w:p>
      <w:pPr>
        <w:spacing w:after="0" w:line="90" w:lineRule="exact"/>
        <w:rPr>
          <w:sz w:val="20"/>
          <w:szCs w:val="20"/>
          <w:color w:val="auto"/>
        </w:rPr>
      </w:pPr>
    </w:p>
    <w:p>
      <w:pPr>
        <w:ind w:left="1040" w:hanging="384"/>
        <w:spacing w:after="0"/>
        <w:tabs>
          <w:tab w:leader="none" w:pos="104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 ADDITIONAL BUSINESS-RELATED DEFINITIONS AS APPLICABLE].</w:t>
      </w:r>
    </w:p>
    <w:p>
      <w:pPr>
        <w:spacing w:after="0" w:line="148" w:lineRule="exact"/>
        <w:rPr>
          <w:rFonts w:ascii="Times New Roman" w:cs="Times New Roman" w:eastAsia="Times New Roman" w:hAnsi="Times New Roman"/>
          <w:sz w:val="22"/>
          <w:szCs w:val="22"/>
          <w:color w:val="auto"/>
        </w:rPr>
      </w:pPr>
    </w:p>
    <w:p>
      <w:pPr>
        <w:jc w:val="both"/>
        <w:ind w:firstLine="8"/>
        <w:spacing w:after="0" w:line="266" w:lineRule="auto"/>
        <w:tabs>
          <w:tab w:leader="none" w:pos="4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Performance Measures. </w:t>
      </w:r>
      <w:r>
        <w:rPr>
          <w:rFonts w:ascii="Times New Roman" w:cs="Times New Roman" w:eastAsia="Times New Roman" w:hAnsi="Times New Roman"/>
          <w:sz w:val="22"/>
          <w:szCs w:val="22"/>
          <w:color w:val="auto"/>
        </w:rPr>
        <w:t>For each Measurement Period, the Company’s Total Shareholder Return will be compared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Total Shareholder Return of each company in the Compensation Peer Group, and the Total Shareholder Return of the Compensation Peer Group and the Company shall be ranked. [DESCRIBE OTHER BUSINESS-RELATED PERFORMANCE MEASURES AS APPLICABLE].</w:t>
      </w:r>
    </w:p>
    <w:p>
      <w:pPr>
        <w:spacing w:after="0" w:line="11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Plan Payout Percentage shall be determined based on the following for the Performance Cycle: [DESCRIBE HOW PLAN PAYOUT PERCENTAGE IS DETERMINED].</w:t>
      </w:r>
    </w:p>
    <w:p>
      <w:pPr>
        <w:spacing w:after="0" w:line="86" w:lineRule="exact"/>
        <w:rPr>
          <w:sz w:val="20"/>
          <w:szCs w:val="20"/>
          <w:color w:val="auto"/>
        </w:rPr>
      </w:pPr>
    </w:p>
    <w:p>
      <w:pPr>
        <w:jc w:val="both"/>
        <w:ind w:firstLine="8"/>
        <w:spacing w:after="0" w:line="271" w:lineRule="auto"/>
        <w:tabs>
          <w:tab w:leader="none" w:pos="63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[FOLLOWING INCLUDED AT COMMITTEE’S DISCRETION: Dividend Equivalents. </w:t>
      </w:r>
      <w:r>
        <w:rPr>
          <w:rFonts w:ascii="Times New Roman" w:cs="Times New Roman" w:eastAsia="Times New Roman" w:hAnsi="Times New Roman"/>
          <w:sz w:val="21"/>
          <w:szCs w:val="21"/>
          <w:color w:val="auto"/>
        </w:rPr>
        <w:t>Except as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with any fractional Shares rounded up to the nearest whole Share.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89" w:lineRule="exact"/>
        <w:rPr>
          <w:rFonts w:ascii="Times New Roman" w:cs="Times New Roman" w:eastAsia="Times New Roman" w:hAnsi="Times New Roman"/>
          <w:sz w:val="21"/>
          <w:szCs w:val="21"/>
          <w:color w:val="auto"/>
        </w:rPr>
      </w:pPr>
    </w:p>
    <w:p>
      <w:pPr>
        <w:ind w:right="20" w:firstLine="8"/>
        <w:spacing w:after="0" w:line="287" w:lineRule="auto"/>
        <w:tabs>
          <w:tab w:leader="none" w:pos="3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Amount. </w:t>
      </w:r>
      <w:r>
        <w:rPr>
          <w:rFonts w:ascii="Times New Roman" w:cs="Times New Roman" w:eastAsia="Times New Roman" w:hAnsi="Times New Roman"/>
          <w:sz w:val="22"/>
          <w:szCs w:val="22"/>
          <w:color w:val="auto"/>
        </w:rPr>
        <w:t>Each Restricted Stock Unit [and Additional Restricted Stock Unit] represents one (1)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w:t>
      </w:r>
    </w:p>
    <w:p>
      <w:pPr>
        <w:spacing w:after="0" w:line="83" w:lineRule="exact"/>
        <w:rPr>
          <w:rFonts w:ascii="Times New Roman" w:cs="Times New Roman" w:eastAsia="Times New Roman" w:hAnsi="Times New Roman"/>
          <w:sz w:val="22"/>
          <w:szCs w:val="22"/>
          <w:color w:val="auto"/>
        </w:rPr>
      </w:pPr>
    </w:p>
    <w:p>
      <w:pPr>
        <w:jc w:val="both"/>
        <w:ind w:firstLine="8"/>
        <w:spacing w:after="0" w:line="272" w:lineRule="auto"/>
        <w:tabs>
          <w:tab w:leader="none" w:pos="51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Payment. </w:t>
      </w:r>
      <w:r>
        <w:rPr>
          <w:rFonts w:ascii="Times New Roman" w:cs="Times New Roman" w:eastAsia="Times New Roman" w:hAnsi="Times New Roman"/>
          <w:sz w:val="22"/>
          <w:szCs w:val="22"/>
          <w:color w:val="auto"/>
        </w:rPr>
        <w:t>Except as otherwise provided in Sections 8, 9, and 10 and a deferral election, the vesting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Restricted Stock Units [and related Additional Restricted Stock Units] is/are contingent upon you remaining actively employed by the Company on the applicable vesting date(s) specified below: [DESCRIBE VESTING DATE(S)].</w:t>
      </w:r>
    </w:p>
    <w:p>
      <w:pPr>
        <w:sectPr>
          <w:pgSz w:w="11900" w:h="16838" w:orient="portrait"/>
          <w:cols w:equalWidth="0" w:num="1">
            <w:col w:w="11240"/>
          </w:cols>
          <w:pgMar w:left="320" w:top="1422" w:right="339" w:bottom="1440" w:gutter="0" w:footer="0" w:header="0"/>
        </w:sectPr>
      </w:pPr>
    </w:p>
    <w:bookmarkStart w:id="61" w:name="page62"/>
    <w:bookmarkEnd w:id="61"/>
    <w:p>
      <w:pPr>
        <w:spacing w:after="0" w:line="284" w:lineRule="auto"/>
        <w:rPr>
          <w:sz w:val="20"/>
          <w:szCs w:val="20"/>
          <w:color w:val="auto"/>
        </w:rPr>
      </w:pPr>
      <w:r>
        <w:rPr>
          <w:rFonts w:ascii="Times New Roman" w:cs="Times New Roman" w:eastAsia="Times New Roman" w:hAnsi="Times New Roman"/>
          <w:sz w:val="22"/>
          <w:szCs w:val="22"/>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Actual Award [and related Additional Restricted Stock Units] will be paid solely in Shares. [In no event will Additional Restricted Stock Units be paid if the related Restricted Stock Units have not vested.]</w:t>
      </w:r>
    </w:p>
    <w:p>
      <w:pPr>
        <w:spacing w:after="0" w:line="72" w:lineRule="exact"/>
        <w:rPr>
          <w:sz w:val="20"/>
          <w:szCs w:val="20"/>
          <w:color w:val="auto"/>
        </w:rPr>
      </w:pPr>
    </w:p>
    <w:p>
      <w:pPr>
        <w:jc w:val="both"/>
        <w:ind w:firstLine="8"/>
        <w:spacing w:after="0" w:line="266" w:lineRule="auto"/>
        <w:tabs>
          <w:tab w:leader="none" w:pos="4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Except as otherwise provided in this Agreement, if your Termination of Employment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before the vesting date(s) specified above, any unvested Restricted Stock Units [and Additional Restricted Stock Units] will immediately be forfeited, and your rights with respect to these Restricted Stock Units [and Additional Restricted Stock Units] will end.</w:t>
      </w:r>
    </w:p>
    <w:p>
      <w:pPr>
        <w:spacing w:after="0" w:line="106" w:lineRule="exact"/>
        <w:rPr>
          <w:rFonts w:ascii="Times New Roman" w:cs="Times New Roman" w:eastAsia="Times New Roman" w:hAnsi="Times New Roman"/>
          <w:sz w:val="22"/>
          <w:szCs w:val="22"/>
          <w:color w:val="auto"/>
        </w:rPr>
      </w:pPr>
    </w:p>
    <w:p>
      <w:pPr>
        <w:jc w:val="both"/>
        <w:ind w:firstLine="8"/>
        <w:spacing w:after="0" w:line="266" w:lineRule="auto"/>
        <w:tabs>
          <w:tab w:leader="none" w:pos="3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or Disability. </w:t>
      </w:r>
      <w:r>
        <w:rPr>
          <w:rFonts w:ascii="Times New Roman" w:cs="Times New Roman" w:eastAsia="Times New Roman" w:hAnsi="Times New Roman"/>
          <w:sz w:val="22"/>
          <w:szCs w:val="22"/>
          <w:color w:val="auto"/>
        </w:rPr>
        <w:t>If your Termination of Employment occurs because of your death or Disability before the last day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Cycle, you or your estate will receive your Target Award as your Actual Award for the Performance Cycle. [No Additional Restricted Stock Units will be paid in this case. OR Additional Restricted Stock Units will be calculated as provided in Section 4.]</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If your Termination of Employment occurs because of your death or Disability after the last day of the Performance Cycle but before the Actual Award is fully paid, you or your estate will receive the remainder of your unpaid Actual Award for the Performance Cycle. [No Additional Restricted Stock Units will be paid in this case. OR Additional Restricted Stock Units will be calculated as provided in Section 4.]</w:t>
      </w:r>
    </w:p>
    <w:p>
      <w:pPr>
        <w:spacing w:after="0" w:line="94" w:lineRule="exact"/>
        <w:rPr>
          <w:sz w:val="20"/>
          <w:szCs w:val="20"/>
          <w:color w:val="auto"/>
        </w:rPr>
      </w:pPr>
    </w:p>
    <w:p>
      <w:pPr>
        <w:jc w:val="both"/>
        <w:ind w:firstLine="8"/>
        <w:spacing w:after="0" w:line="290" w:lineRule="auto"/>
        <w:tabs>
          <w:tab w:leader="none" w:pos="37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[INCLUDE AS APPLICABLE: Retirement. </w:t>
      </w:r>
      <w:r>
        <w:rPr>
          <w:rFonts w:ascii="Times New Roman" w:cs="Times New Roman" w:eastAsia="Times New Roman" w:hAnsi="Times New Roman"/>
          <w:sz w:val="21"/>
          <w:szCs w:val="21"/>
          <w:color w:val="auto"/>
        </w:rPr>
        <w:t>For the avoidance of doubt, if your Termination of Employment occurs solely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because of your Retirement at any age before the last day of the Performance Cycle, all unvested Restricted Stock Units [and Additional Restricted Stock Units] will be forfeited and your rights with respect to any award under this Agreement will end.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Stock Units set forth in Section 1 above [plus the total number of Additional Restricted Stock Units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Stock Units [and Additional Restricted Stock Units], and (c) equals the number of Restricted Stock Units [and Additional Restricted Stock Units] that vested before your Termination of Employment.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70" w:lineRule="auto"/>
        <w:rPr>
          <w:sz w:val="20"/>
          <w:szCs w:val="20"/>
          <w:color w:val="auto"/>
        </w:rPr>
      </w:pPr>
      <w:r>
        <w:rPr>
          <w:rFonts w:ascii="Times New Roman" w:cs="Times New Roman" w:eastAsia="Times New Roman" w:hAnsi="Times New Roman"/>
          <w:sz w:val="22"/>
          <w:szCs w:val="22"/>
          <w:color w:val="auto"/>
        </w:rPr>
        <w:t>If your Termination of Employment occurs solely because of your Retirement on or after age [AGE] before the last day of the Performance Cycle, you will be vested in an additional number of Restricted Stock Units [and related Additional Restricted Stock Units] equal to [INSERT VESTING PROVISION ON RETIREMENT AT OR AFTER THE SPECIFIED AGE].]</w:t>
      </w:r>
    </w:p>
    <w:p>
      <w:pPr>
        <w:spacing w:after="0" w:line="1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If your Termination of Employment occurs solely because of your Retirement on or after age [AGE] after the last day of the Performance Cycle but before the Actual Award is fully paid, any unpaid Actual Award will be forfeited and your rights with respect to any such Actual Award under this Agreement will terminate.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spacing w:after="0" w:line="1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[No Additional Restricted Stock Units will be paid in this case. OR Additional Restricted Stock Units will be calculated as provided in Section 4.]</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[INCLUDE AS APPLICABLE: Notwithstanding the preceding sentence, if you are a “specified employee” under Section 409A of the Code as of the date your Termination of Employment occurs due to Retirement, payment for vested Restricted Stock Units [and Additional Restricted Stock Units] will be made on the first business day of the first calendar month that begins after the six-month anniversary of your Termination of Employment, or, if earlier, your death.</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Stock Units [and Additional Restricted Stock Units] will be made as soon as practicable following the applicable vesting date described in Section 6 of this Agreement but in no event later than the last day of the calendar year in which each such vesting date occurs.]</w:t>
      </w:r>
    </w:p>
    <w:p>
      <w:pPr>
        <w:spacing w:after="0" w:line="114" w:lineRule="exact"/>
        <w:rPr>
          <w:sz w:val="20"/>
          <w:szCs w:val="20"/>
          <w:color w:val="auto"/>
        </w:rPr>
      </w:pPr>
    </w:p>
    <w:p>
      <w:pPr>
        <w:ind w:firstLine="8"/>
        <w:spacing w:after="0" w:line="287" w:lineRule="auto"/>
        <w:tabs>
          <w:tab w:leader="none" w:pos="52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Notwithstanding anything in Sections 2 through 9 above to the contrary, in the event of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(as defined in the Plan), the following provisions apply:</w:t>
      </w:r>
    </w:p>
    <w:p>
      <w:pPr>
        <w:spacing w:after="0" w:line="83" w:lineRule="exact"/>
        <w:rPr>
          <w:rFonts w:ascii="Times New Roman" w:cs="Times New Roman" w:eastAsia="Times New Roman" w:hAnsi="Times New Roman"/>
          <w:sz w:val="22"/>
          <w:szCs w:val="22"/>
          <w:color w:val="auto"/>
        </w:rPr>
      </w:pPr>
    </w:p>
    <w:p>
      <w:pPr>
        <w:jc w:val="both"/>
        <w:ind w:firstLine="656"/>
        <w:spacing w:after="0" w:line="266" w:lineRule="auto"/>
        <w:tabs>
          <w:tab w:leader="none" w:pos="116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Rollover of Awards. </w:t>
      </w:r>
      <w:r>
        <w:rPr>
          <w:rFonts w:ascii="Times New Roman" w:cs="Times New Roman" w:eastAsia="Times New Roman" w:hAnsi="Times New Roman"/>
          <w:sz w:val="22"/>
          <w:szCs w:val="22"/>
          <w:color w:val="auto"/>
        </w:rPr>
        <w:t>If adjusted or exchanged pursuant to Section 5.3(c), 5.3(d), 5.3(e) or 5.3(f)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[and Additional Restricted Stock Units] that have not vested or terminated as of the date of the Change in Control will continue to vest in accordance with the schedule described in Section 6 of this Agreement (or as adjusted if more favorable);</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72" w:lineRule="auto"/>
        <w:rPr>
          <w:sz w:val="20"/>
          <w:szCs w:val="20"/>
          <w:color w:val="auto"/>
        </w:rPr>
      </w:pPr>
      <w:r>
        <w:rPr>
          <w:rFonts w:ascii="Times New Roman" w:cs="Times New Roman" w:eastAsia="Times New Roman" w:hAnsi="Times New Roman"/>
          <w:sz w:val="21"/>
          <w:szCs w:val="21"/>
          <w:color w:val="auto"/>
        </w:rPr>
        <w:t>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spacing w:after="0" w:line="104" w:lineRule="exact"/>
        <w:rPr>
          <w:sz w:val="20"/>
          <w:szCs w:val="20"/>
          <w:color w:val="auto"/>
        </w:rPr>
      </w:pPr>
    </w:p>
    <w:p>
      <w:pPr>
        <w:jc w:val="both"/>
        <w:ind w:firstLine="656"/>
        <w:spacing w:after="0" w:line="269" w:lineRule="auto"/>
        <w:tabs>
          <w:tab w:leader="none" w:pos="105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Cashout of Awards. </w:t>
      </w:r>
      <w:r>
        <w:rPr>
          <w:rFonts w:ascii="Times New Roman" w:cs="Times New Roman" w:eastAsia="Times New Roman" w:hAnsi="Times New Roman"/>
          <w:sz w:val="21"/>
          <w:szCs w:val="21"/>
          <w:color w:val="auto"/>
        </w:rPr>
        <w:t>Unless adjusted or exchanged pursuant to Section 5.3(c), 5.3(d)(ii), 5.3(e) or 5.3(f) of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(concerning rollover of outstanding awards in certain circumstances), Restricted Stock Units [and Additional Restricted Stock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vested and outstanding Restricted Stock Units [and Additional Restricted Stock Units] as of the date of the Change in Control (including any Restricted Stock Units [and Additional Restricted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w:t>
      </w:r>
    </w:p>
    <w:p>
      <w:pPr>
        <w:spacing w:after="0" w:line="7"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valuation placed on the securities or property by any entity that is a party with the Company to the Change in Control, or</w:t>
      </w:r>
    </w:p>
    <w:p>
      <w:pPr>
        <w:spacing w:after="0" w:line="28"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valuation placed on the securities or property by the Committee.</w:t>
      </w:r>
    </w:p>
    <w:p>
      <w:pPr>
        <w:spacing w:after="0" w:line="136" w:lineRule="exact"/>
        <w:rPr>
          <w:sz w:val="20"/>
          <w:szCs w:val="20"/>
          <w:color w:val="auto"/>
        </w:rPr>
      </w:pPr>
    </w:p>
    <w:p>
      <w:pPr>
        <w:jc w:val="both"/>
        <w:ind w:firstLine="8"/>
        <w:spacing w:after="0" w:line="264" w:lineRule="auto"/>
        <w:tabs>
          <w:tab w:leader="none" w:pos="55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[FOLLOWING INCLUDED AT COMMITTEE’S DISCRETION: Deferral of Payment. </w:t>
      </w:r>
      <w:r>
        <w:rPr>
          <w:rFonts w:ascii="Times New Roman" w:cs="Times New Roman" w:eastAsia="Times New Roman" w:hAnsi="Times New Roman"/>
          <w:sz w:val="22"/>
          <w:szCs w:val="22"/>
          <w:color w:val="auto"/>
        </w:rPr>
        <w:t>If you would like to defer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on the Restricted Stock Units and related Additional Restricted Stock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w:t>
      </w:r>
    </w:p>
    <w:p>
      <w:pPr>
        <w:sectPr>
          <w:pgSz w:w="11900" w:h="16838" w:orient="portrait"/>
          <w:cols w:equalWidth="0" w:num="1">
            <w:col w:w="11240"/>
          </w:cols>
          <w:pgMar w:left="320" w:top="1422" w:right="339" w:bottom="1440" w:gutter="0" w:footer="0" w:header="0"/>
        </w:sectPr>
      </w:pPr>
    </w:p>
    <w:bookmarkStart w:id="64" w:name="page65"/>
    <w:bookmarkEnd w:id="64"/>
    <w:p>
      <w:pPr>
        <w:ind w:right="20"/>
        <w:spacing w:after="0" w:line="284" w:lineRule="auto"/>
        <w:rPr>
          <w:sz w:val="20"/>
          <w:szCs w:val="20"/>
          <w:color w:val="auto"/>
        </w:rPr>
      </w:pPr>
      <w:r>
        <w:rPr>
          <w:rFonts w:ascii="Times New Roman" w:cs="Times New Roman" w:eastAsia="Times New Roman" w:hAnsi="Times New Roman"/>
          <w:sz w:val="22"/>
          <w:szCs w:val="22"/>
          <w:color w:val="auto"/>
        </w:rPr>
        <w:t>thereunder. If the deferral is not permitted, then payment shall be made as provided in this Agreement. All Additional Restricted Stock Units shall be subject to the same deferral restrictions as the Restricted Stock Units to which they relate.]</w:t>
      </w:r>
    </w:p>
    <w:p>
      <w:pPr>
        <w:spacing w:after="0" w:line="86" w:lineRule="exact"/>
        <w:rPr>
          <w:sz w:val="20"/>
          <w:szCs w:val="20"/>
          <w:color w:val="auto"/>
        </w:rPr>
      </w:pPr>
    </w:p>
    <w:p>
      <w:pPr>
        <w:jc w:val="both"/>
        <w:ind w:firstLine="8"/>
        <w:spacing w:after="0" w:line="262" w:lineRule="auto"/>
        <w:tabs>
          <w:tab w:leader="none" w:pos="52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The Company or your local employer shall have the power and the right to deduct or withhold, or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97" w:lineRule="exact"/>
        <w:rPr>
          <w:rFonts w:ascii="Times New Roman" w:cs="Times New Roman" w:eastAsia="Times New Roman" w:hAnsi="Times New Roman"/>
          <w:sz w:val="22"/>
          <w:szCs w:val="22"/>
          <w:color w:val="auto"/>
        </w:rPr>
      </w:pPr>
    </w:p>
    <w:p>
      <w:pPr>
        <w:jc w:val="both"/>
        <w:ind w:firstLine="8"/>
        <w:spacing w:after="0" w:line="272" w:lineRule="auto"/>
        <w:tabs>
          <w:tab w:leader="none" w:pos="48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of Award. </w:t>
      </w:r>
      <w:r>
        <w:rPr>
          <w:rFonts w:ascii="Times New Roman" w:cs="Times New Roman" w:eastAsia="Times New Roman" w:hAnsi="Times New Roman"/>
          <w:sz w:val="22"/>
          <w:szCs w:val="22"/>
          <w:color w:val="auto"/>
        </w:rPr>
        <w:t>You may not transfer the Restricted Stock Units [, Additional Restricted Stock Units] or any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Units except by will or the laws of descent and distribution or except as permitted by the Committee and as specified in the Plan. Any other attempt to dispose of your interest will be null and void.</w:t>
      </w:r>
    </w:p>
    <w:p>
      <w:pPr>
        <w:spacing w:after="0" w:line="98"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Requirements for and Forfeiture of Award.</w:t>
      </w:r>
    </w:p>
    <w:p>
      <w:pPr>
        <w:spacing w:after="0" w:line="165" w:lineRule="exact"/>
        <w:rPr>
          <w:rFonts w:ascii="Times New Roman" w:cs="Times New Roman" w:eastAsia="Times New Roman" w:hAnsi="Times New Roman"/>
          <w:sz w:val="22"/>
          <w:szCs w:val="22"/>
          <w:color w:val="auto"/>
        </w:rPr>
      </w:pPr>
    </w:p>
    <w:p>
      <w:pPr>
        <w:jc w:val="both"/>
        <w:ind w:firstLine="656"/>
        <w:spacing w:after="0" w:line="275" w:lineRule="auto"/>
        <w:tabs>
          <w:tab w:leader="none" w:pos="120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The Award is expressly contingent upon you complying with the terms, conditions and 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Section 14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88"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w:t>
      </w:r>
    </w:p>
    <w:p>
      <w:pPr>
        <w:spacing w:after="0" w:line="16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expressly agree and acknowledge that the forfeiture provisions of subsection 14.b.2. of this Agreement</w:t>
      </w:r>
    </w:p>
    <w:p>
      <w:pPr>
        <w:spacing w:after="0" w:line="29" w:lineRule="exact"/>
        <w:rPr>
          <w:rFonts w:ascii="Times New Roman" w:cs="Times New Roman" w:eastAsia="Times New Roman" w:hAnsi="Times New Roman"/>
          <w:sz w:val="22"/>
          <w:szCs w:val="22"/>
          <w:color w:val="auto"/>
        </w:rPr>
      </w:pPr>
    </w:p>
    <w:p>
      <w:pPr>
        <w:jc w:val="both"/>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22"/>
          <w:szCs w:val="22"/>
          <w:color w:val="auto"/>
        </w:rPr>
        <w:t>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71" w:lineRule="auto"/>
        <w:tabs>
          <w:tab w:leader="none" w:pos="171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14.b.1. of this Agreement or you are terminated for Cause (as defined in the Plan) or you voluntarily 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13" w:lineRule="exact"/>
        <w:rPr>
          <w:rFonts w:ascii="Times New Roman" w:cs="Times New Roman" w:eastAsia="Times New Roman" w:hAnsi="Times New Roman"/>
          <w:sz w:val="21"/>
          <w:szCs w:val="21"/>
          <w:color w:val="auto"/>
        </w:rPr>
      </w:pPr>
    </w:p>
    <w:p>
      <w:pPr>
        <w:jc w:val="both"/>
        <w:ind w:firstLine="1304"/>
        <w:spacing w:after="0" w:line="265" w:lineRule="auto"/>
        <w:tabs>
          <w:tab w:leader="none" w:pos="171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07" w:lineRule="exact"/>
        <w:rPr>
          <w:rFonts w:ascii="Times New Roman" w:cs="Times New Roman" w:eastAsia="Times New Roman" w:hAnsi="Times New Roman"/>
          <w:sz w:val="22"/>
          <w:szCs w:val="22"/>
          <w:color w:val="auto"/>
        </w:rPr>
      </w:pPr>
    </w:p>
    <w:p>
      <w:pPr>
        <w:ind w:firstLine="8"/>
        <w:spacing w:after="0" w:line="287" w:lineRule="auto"/>
        <w:tabs>
          <w:tab w:leader="none" w:pos="52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Restrictions on Payment of Shares. </w:t>
      </w:r>
      <w:r>
        <w:rPr>
          <w:rFonts w:ascii="Times New Roman" w:cs="Times New Roman" w:eastAsia="Times New Roman" w:hAnsi="Times New Roman"/>
          <w:sz w:val="22"/>
          <w:szCs w:val="22"/>
          <w:color w:val="auto"/>
        </w:rPr>
        <w:t>Payment of Shares for your Restricted Stock Units [and Additional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is subject to the conditions that, to the extent required at the</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22"/>
          <w:szCs w:val="22"/>
          <w:color w:val="auto"/>
        </w:rPr>
        <w:t>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08" w:lineRule="exact"/>
        <w:rPr>
          <w:sz w:val="20"/>
          <w:szCs w:val="20"/>
          <w:color w:val="auto"/>
        </w:rPr>
      </w:pPr>
    </w:p>
    <w:p>
      <w:pPr>
        <w:ind w:firstLine="8"/>
        <w:spacing w:after="0" w:line="287" w:lineRule="auto"/>
        <w:tabs>
          <w:tab w:leader="none" w:pos="5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Adjustments. </w:t>
      </w:r>
      <w:r>
        <w:rPr>
          <w:rFonts w:ascii="Times New Roman" w:cs="Times New Roman" w:eastAsia="Times New Roman" w:hAnsi="Times New Roman"/>
          <w:sz w:val="22"/>
          <w:szCs w:val="22"/>
          <w:color w:val="auto"/>
        </w:rPr>
        <w:t>Any adjustments to the Restricted Stock Units [and Additional Restricted Stock Units] will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5.3 of the Plan.</w:t>
      </w:r>
    </w:p>
    <w:p>
      <w:pPr>
        <w:spacing w:after="0" w:line="69" w:lineRule="exact"/>
        <w:rPr>
          <w:rFonts w:ascii="Times New Roman" w:cs="Times New Roman" w:eastAsia="Times New Roman" w:hAnsi="Times New Roman"/>
          <w:sz w:val="22"/>
          <w:szCs w:val="22"/>
          <w:color w:val="auto"/>
        </w:rPr>
      </w:pPr>
    </w:p>
    <w:p>
      <w:pPr>
        <w:jc w:val="both"/>
        <w:ind w:firstLine="8"/>
        <w:spacing w:after="0" w:line="262" w:lineRule="auto"/>
        <w:tabs>
          <w:tab w:leader="none" w:pos="49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Disposition of Securities. </w:t>
      </w:r>
      <w:r>
        <w:rPr>
          <w:rFonts w:ascii="Times New Roman" w:cs="Times New Roman" w:eastAsia="Times New Roman" w:hAnsi="Times New Roman"/>
          <w:sz w:val="22"/>
          <w:szCs w:val="22"/>
          <w:color w:val="auto"/>
        </w:rPr>
        <w:t>By accepting the Award, you acknowledge that you have read and understand (i)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111" w:lineRule="exact"/>
        <w:rPr>
          <w:rFonts w:ascii="Times New Roman" w:cs="Times New Roman" w:eastAsia="Times New Roman" w:hAnsi="Times New Roman"/>
          <w:sz w:val="22"/>
          <w:szCs w:val="22"/>
          <w:color w:val="auto"/>
        </w:rPr>
      </w:pPr>
    </w:p>
    <w:p>
      <w:pPr>
        <w:jc w:val="both"/>
        <w:ind w:firstLine="8"/>
        <w:spacing w:after="0" w:line="259" w:lineRule="auto"/>
        <w:tabs>
          <w:tab w:leader="none" w:pos="56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Plan Terms Govern. </w:t>
      </w:r>
      <w:r>
        <w:rPr>
          <w:rFonts w:ascii="Times New Roman" w:cs="Times New Roman" w:eastAsia="Times New Roman" w:hAnsi="Times New Roman"/>
          <w:sz w:val="22"/>
          <w:szCs w:val="22"/>
          <w:color w:val="auto"/>
        </w:rPr>
        <w:t>The vesting and redemption of Restricted Stock Units [or Additional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18"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Data.</w:t>
      </w:r>
    </w:p>
    <w:p>
      <w:pPr>
        <w:spacing w:after="0" w:line="156" w:lineRule="exact"/>
        <w:rPr>
          <w:rFonts w:ascii="Times New Roman" w:cs="Times New Roman" w:eastAsia="Times New Roman" w:hAnsi="Times New Roman"/>
          <w:sz w:val="22"/>
          <w:szCs w:val="22"/>
          <w:color w:val="auto"/>
        </w:rPr>
      </w:pPr>
    </w:p>
    <w:p>
      <w:pPr>
        <w:jc w:val="both"/>
        <w:ind w:right="20" w:firstLine="656"/>
        <w:spacing w:after="0" w:line="270" w:lineRule="auto"/>
        <w:tabs>
          <w:tab w:leader="none" w:pos="103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0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1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ectPr>
          <w:pgSz w:w="11900" w:h="16838" w:orient="portrait"/>
          <w:cols w:equalWidth="0" w:num="1">
            <w:col w:w="11240"/>
          </w:cols>
          <w:pgMar w:left="320" w:top="1422" w:right="339" w:bottom="1440" w:gutter="0" w:footer="0" w:header="0"/>
        </w:sectPr>
      </w:pPr>
    </w:p>
    <w:bookmarkStart w:id="67" w:name="page68"/>
    <w:bookmarkEnd w:id="67"/>
    <w:p>
      <w:pPr>
        <w:jc w:val="both"/>
        <w:ind w:left="-8" w:right="20" w:firstLine="656"/>
        <w:spacing w:after="0" w:line="270" w:lineRule="auto"/>
        <w:tabs>
          <w:tab w:leader="none" w:pos="103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104" w:lineRule="exact"/>
        <w:rPr>
          <w:rFonts w:ascii="Times New Roman" w:cs="Times New Roman" w:eastAsia="Times New Roman" w:hAnsi="Times New Roman"/>
          <w:sz w:val="22"/>
          <w:szCs w:val="22"/>
          <w:color w:val="auto"/>
        </w:rPr>
      </w:pPr>
    </w:p>
    <w:p>
      <w:pPr>
        <w:jc w:val="both"/>
        <w:ind w:left="-8" w:firstLine="656"/>
        <w:spacing w:after="0" w:line="265" w:lineRule="auto"/>
        <w:tabs>
          <w:tab w:leader="none" w:pos="101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97" w:lineRule="exact"/>
        <w:rPr>
          <w:rFonts w:ascii="Times New Roman" w:cs="Times New Roman" w:eastAsia="Times New Roman" w:hAnsi="Times New Roman"/>
          <w:sz w:val="22"/>
          <w:szCs w:val="22"/>
          <w:color w:val="auto"/>
        </w:rPr>
      </w:pPr>
    </w:p>
    <w:p>
      <w:pPr>
        <w:jc w:val="both"/>
        <w:ind w:left="-8" w:firstLine="656"/>
        <w:spacing w:after="0" w:line="261" w:lineRule="auto"/>
        <w:tabs>
          <w:tab w:leader="none" w:pos="109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7"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98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00" w:lineRule="exact"/>
        <w:rPr>
          <w:rFonts w:ascii="Times New Roman" w:cs="Times New Roman" w:eastAsia="Times New Roman" w:hAnsi="Times New Roman"/>
          <w:sz w:val="22"/>
          <w:szCs w:val="22"/>
          <w:color w:val="auto"/>
        </w:rPr>
      </w:pPr>
    </w:p>
    <w:p>
      <w:pPr>
        <w:ind w:left="-8" w:firstLine="8"/>
        <w:spacing w:after="0" w:line="287" w:lineRule="auto"/>
        <w:tabs>
          <w:tab w:leader="none" w:pos="54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Discretionary Nature and Acceptance of Award. </w:t>
      </w:r>
      <w:r>
        <w:rPr>
          <w:rFonts w:ascii="Times New Roman" w:cs="Times New Roman" w:eastAsia="Times New Roman" w:hAnsi="Times New Roman"/>
          <w:sz w:val="22"/>
          <w:szCs w:val="22"/>
          <w:color w:val="auto"/>
        </w:rPr>
        <w:t>By accepting this Award, you agree to be bound by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acknowledge that:</w:t>
      </w:r>
    </w:p>
    <w:p>
      <w:pPr>
        <w:spacing w:after="0" w:line="73"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101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104" w:lineRule="exact"/>
        <w:rPr>
          <w:rFonts w:ascii="Times New Roman" w:cs="Times New Roman" w:eastAsia="Times New Roman" w:hAnsi="Times New Roman"/>
          <w:sz w:val="22"/>
          <w:szCs w:val="22"/>
          <w:color w:val="auto"/>
        </w:rPr>
      </w:pPr>
    </w:p>
    <w:p>
      <w:pPr>
        <w:ind w:left="-8" w:firstLine="656"/>
        <w:spacing w:after="0" w:line="284" w:lineRule="auto"/>
        <w:tabs>
          <w:tab w:leader="none" w:pos="104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89" w:lineRule="exact"/>
        <w:rPr>
          <w:rFonts w:ascii="Times New Roman" w:cs="Times New Roman" w:eastAsia="Times New Roman" w:hAnsi="Times New Roman"/>
          <w:sz w:val="22"/>
          <w:szCs w:val="22"/>
          <w:color w:val="auto"/>
        </w:rPr>
      </w:pPr>
    </w:p>
    <w:p>
      <w:pPr>
        <w:ind w:left="-8" w:firstLine="656"/>
        <w:spacing w:after="0" w:line="284" w:lineRule="auto"/>
        <w:tabs>
          <w:tab w:leader="none" w:pos="103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and rights provided under the Plan are wholly discretionary and, although provided by the Company, do not constitute regular or periodic payments.</w:t>
      </w:r>
    </w:p>
    <w:p>
      <w:pPr>
        <w:spacing w:after="0" w:line="76" w:lineRule="exact"/>
        <w:rPr>
          <w:rFonts w:ascii="Times New Roman" w:cs="Times New Roman" w:eastAsia="Times New Roman" w:hAnsi="Times New Roman"/>
          <w:sz w:val="22"/>
          <w:szCs w:val="22"/>
          <w:color w:val="auto"/>
        </w:rPr>
      </w:pPr>
    </w:p>
    <w:p>
      <w:pPr>
        <w:jc w:val="both"/>
        <w:ind w:left="-8" w:firstLine="656"/>
        <w:spacing w:after="0" w:line="261" w:lineRule="auto"/>
        <w:tabs>
          <w:tab w:leader="none" w:pos="106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w:t>
      </w:r>
    </w:p>
    <w:p>
      <w:pPr>
        <w:sectPr>
          <w:pgSz w:w="11900" w:h="16838" w:orient="portrait"/>
          <w:cols w:equalWidth="0" w:num="1">
            <w:col w:w="11232"/>
          </w:cols>
          <w:pgMar w:left="328" w:top="1422" w:right="339" w:bottom="1440" w:gutter="0" w:footer="0" w:header="0"/>
        </w:sectPr>
      </w:pPr>
    </w:p>
    <w:bookmarkStart w:id="68" w:name="page69"/>
    <w:bookmarkEnd w:id="68"/>
    <w:p>
      <w:pPr>
        <w:spacing w:after="0" w:line="284" w:lineRule="auto"/>
        <w:rPr>
          <w:sz w:val="20"/>
          <w:szCs w:val="20"/>
          <w:color w:val="auto"/>
        </w:rPr>
      </w:pPr>
      <w:r>
        <w:rPr>
          <w:rFonts w:ascii="Times New Roman" w:cs="Times New Roman" w:eastAsia="Times New Roman" w:hAnsi="Times New Roman"/>
          <w:sz w:val="22"/>
          <w:szCs w:val="22"/>
          <w:color w:val="auto"/>
        </w:rPr>
        <w:t>the Plan or your ceasing to have any rights under, or ceasing to be entitled to any rights under, the Plan as a result of such termination.</w:t>
      </w:r>
    </w:p>
    <w:p>
      <w:pPr>
        <w:spacing w:after="0" w:line="90" w:lineRule="exact"/>
        <w:rPr>
          <w:sz w:val="20"/>
          <w:szCs w:val="20"/>
          <w:color w:val="auto"/>
        </w:rPr>
      </w:pPr>
    </w:p>
    <w:p>
      <w:pPr>
        <w:jc w:val="both"/>
        <w:ind w:firstLine="656"/>
        <w:spacing w:after="0" w:line="260" w:lineRule="auto"/>
        <w:tabs>
          <w:tab w:leader="none" w:pos="114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06" w:lineRule="exact"/>
        <w:rPr>
          <w:rFonts w:ascii="Times New Roman" w:cs="Times New Roman" w:eastAsia="Times New Roman" w:hAnsi="Times New Roman"/>
          <w:sz w:val="22"/>
          <w:szCs w:val="22"/>
          <w:color w:val="auto"/>
        </w:rPr>
      </w:pPr>
    </w:p>
    <w:p>
      <w:pPr>
        <w:jc w:val="both"/>
        <w:ind w:firstLine="656"/>
        <w:spacing w:after="0" w:line="270" w:lineRule="auto"/>
        <w:tabs>
          <w:tab w:leader="none" w:pos="109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Times New Roman" w:cs="Times New Roman" w:eastAsia="Times New Roman" w:hAnsi="Times New Roman"/>
          <w:sz w:val="22"/>
          <w:szCs w:val="22"/>
          <w:color w:val="auto"/>
        </w:rPr>
      </w:pPr>
    </w:p>
    <w:p>
      <w:pPr>
        <w:ind w:right="20" w:firstLine="656"/>
        <w:spacing w:after="0" w:line="284" w:lineRule="auto"/>
        <w:tabs>
          <w:tab w:leader="none" w:pos="121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will not be deemed to constitute, and will not be deemed by you to constitute, an employment or labor relationship of any kind with the Company.</w:t>
      </w:r>
    </w:p>
    <w:p>
      <w:pPr>
        <w:spacing w:after="0" w:line="85" w:lineRule="exact"/>
        <w:rPr>
          <w:rFonts w:ascii="Times New Roman" w:cs="Times New Roman" w:eastAsia="Times New Roman" w:hAnsi="Times New Roman"/>
          <w:sz w:val="22"/>
          <w:szCs w:val="22"/>
          <w:color w:val="auto"/>
        </w:rPr>
      </w:pPr>
    </w:p>
    <w:p>
      <w:pPr>
        <w:jc w:val="both"/>
        <w:ind w:firstLine="8"/>
        <w:spacing w:after="0" w:line="262" w:lineRule="auto"/>
        <w:tabs>
          <w:tab w:leader="none" w:pos="4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this Agreement or the Plan gives you any right to continue in the employ of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97" w:lineRule="exact"/>
        <w:rPr>
          <w:rFonts w:ascii="Times New Roman" w:cs="Times New Roman" w:eastAsia="Times New Roman" w:hAnsi="Times New Roman"/>
          <w:sz w:val="22"/>
          <w:szCs w:val="22"/>
          <w:color w:val="auto"/>
        </w:rPr>
      </w:pPr>
    </w:p>
    <w:p>
      <w:pPr>
        <w:jc w:val="both"/>
        <w:ind w:firstLine="8"/>
        <w:spacing w:after="0" w:line="272" w:lineRule="auto"/>
        <w:tabs>
          <w:tab w:leader="none" w:pos="5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Incorporation of Other Agreements. </w:t>
      </w:r>
      <w:r>
        <w:rPr>
          <w:rFonts w:ascii="Times New Roman" w:cs="Times New Roman" w:eastAsia="Times New Roman" w:hAnsi="Times New Roman"/>
          <w:sz w:val="22"/>
          <w:szCs w:val="22"/>
          <w:color w:val="auto"/>
        </w:rPr>
        <w:t>This Agreement and the Plan constitute the entire understanding between you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regarding the Restricted Stock Units. This Agreement supersedes any prior agreements, commitments or negotiations concerning the Restricted Stock Units [and Additional Restricted Stock Units].</w:t>
      </w:r>
    </w:p>
    <w:p>
      <w:pPr>
        <w:spacing w:after="0" w:line="98" w:lineRule="exact"/>
        <w:rPr>
          <w:rFonts w:ascii="Times New Roman" w:cs="Times New Roman" w:eastAsia="Times New Roman" w:hAnsi="Times New Roman"/>
          <w:sz w:val="22"/>
          <w:szCs w:val="22"/>
          <w:color w:val="auto"/>
        </w:rPr>
      </w:pPr>
    </w:p>
    <w:p>
      <w:pPr>
        <w:jc w:val="both"/>
        <w:ind w:firstLine="8"/>
        <w:spacing w:after="0" w:line="266" w:lineRule="auto"/>
        <w:tabs>
          <w:tab w:leader="none" w:pos="66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06" w:lineRule="exact"/>
        <w:rPr>
          <w:rFonts w:ascii="Times New Roman" w:cs="Times New Roman" w:eastAsia="Times New Roman" w:hAnsi="Times New Roman"/>
          <w:sz w:val="22"/>
          <w:szCs w:val="22"/>
          <w:color w:val="auto"/>
        </w:rPr>
      </w:pPr>
    </w:p>
    <w:p>
      <w:pPr>
        <w:jc w:val="both"/>
        <w:ind w:firstLine="8"/>
        <w:spacing w:after="0" w:line="272" w:lineRule="auto"/>
        <w:tabs>
          <w:tab w:leader="none" w:pos="66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Plan, this Agreement, and all determinations made and actions taken under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internal substantive laws, and not the choice of law rules, of the State of Delaware and construed accordingly, to the extent not superseded by applicable federal law.</w:t>
      </w:r>
    </w:p>
    <w:p>
      <w:pPr>
        <w:sectPr>
          <w:pgSz w:w="11900" w:h="16838" w:orient="portrait"/>
          <w:cols w:equalWidth="0" w:num="1">
            <w:col w:w="11240"/>
          </w:cols>
          <w:pgMar w:left="320" w:top="1422" w:right="339" w:bottom="1440" w:gutter="0" w:footer="0" w:header="0"/>
        </w:sectPr>
      </w:pPr>
    </w:p>
    <w:bookmarkStart w:id="69" w:name="page70"/>
    <w:bookmarkEnd w:id="69"/>
    <w:p>
      <w:pPr>
        <w:jc w:val="both"/>
        <w:ind w:firstLine="8"/>
        <w:spacing w:after="0" w:line="272" w:lineRule="auto"/>
        <w:tabs>
          <w:tab w:leader="none" w:pos="5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Agreement Changes. </w:t>
      </w:r>
      <w:r>
        <w:rPr>
          <w:rFonts w:ascii="Times New Roman" w:cs="Times New Roman" w:eastAsia="Times New Roman" w:hAnsi="Times New Roman"/>
          <w:sz w:val="22"/>
          <w:szCs w:val="22"/>
          <w:color w:val="auto"/>
        </w:rPr>
        <w:t>The Company reserves the right to change the terms of this Agreement and the Plan without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to the extent necessary or desirable to comply with the requirements of Code section 409A, the Treasury regulations and other guidance thereunder.</w:t>
      </w:r>
    </w:p>
    <w:p>
      <w:pPr>
        <w:spacing w:after="0" w:line="98" w:lineRule="exact"/>
        <w:rPr>
          <w:rFonts w:ascii="Times New Roman" w:cs="Times New Roman" w:eastAsia="Times New Roman" w:hAnsi="Times New Roman"/>
          <w:sz w:val="22"/>
          <w:szCs w:val="22"/>
          <w:color w:val="auto"/>
        </w:rPr>
      </w:pPr>
    </w:p>
    <w:p>
      <w:pPr>
        <w:jc w:val="both"/>
        <w:ind w:firstLine="8"/>
        <w:spacing w:after="0" w:line="264" w:lineRule="auto"/>
        <w:tabs>
          <w:tab w:leader="none" w:pos="5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Acknowledgements and Acceptance. </w:t>
      </w:r>
      <w:r>
        <w:rPr>
          <w:rFonts w:ascii="Times New Roman" w:cs="Times New Roman" w:eastAsia="Times New Roman" w:hAnsi="Times New Roman"/>
          <w:sz w:val="22"/>
          <w:szCs w:val="22"/>
          <w:color w:val="auto"/>
        </w:rPr>
        <w:t>By accepting this Agreement, you agree that: (i) you have carefully read,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retain this Award, you must accept it on the Morgan Stanley website.</w:t>
      </w:r>
    </w:p>
    <w:p>
      <w:pPr>
        <w:sectPr>
          <w:pgSz w:w="11900" w:h="16838" w:orient="portrait"/>
          <w:cols w:equalWidth="0" w:num="1">
            <w:col w:w="11240"/>
          </w:cols>
          <w:pgMar w:left="320" w:top="141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STOCK INCENTIVE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HONEYWELL INTERNATIONAL INC. AND ITS AFFILIATES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AWARD AGREEMENT</w:t>
      </w:r>
    </w:p>
    <w:p>
      <w:pPr>
        <w:spacing w:after="0" w:line="1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STOCK OPTION AWARD AGREEMENT made in Charlotte, North Carolina, as of [DATE] (the “Grant Date”), between Honeywell International Inc. (the “Company”) and [EMPLOYEE NAME] (“Participant”).</w:t>
      </w:r>
    </w:p>
    <w:p>
      <w:pPr>
        <w:spacing w:after="0" w:line="86" w:lineRule="exact"/>
        <w:rPr>
          <w:sz w:val="20"/>
          <w:szCs w:val="20"/>
          <w:color w:val="auto"/>
        </w:rPr>
      </w:pPr>
    </w:p>
    <w:p>
      <w:pPr>
        <w:jc w:val="both"/>
        <w:ind w:firstLine="8"/>
        <w:spacing w:after="0" w:line="272" w:lineRule="auto"/>
        <w:tabs>
          <w:tab w:leader="none" w:pos="43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Option. </w:t>
      </w:r>
      <w:r>
        <w:rPr>
          <w:rFonts w:ascii="Times New Roman" w:cs="Times New Roman" w:eastAsia="Times New Roman" w:hAnsi="Times New Roman"/>
          <w:sz w:val="22"/>
          <w:szCs w:val="22"/>
          <w:color w:val="auto"/>
        </w:rPr>
        <w:t>The Company has granted you an Option to purchase [NUMBER] Shares of Common Stock,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this Agreement and the 2016 Stock Incentive Plan of Honeywell International Inc. and its Affiliates (the “Plan”). This Option is a nonqualified Option.</w:t>
      </w:r>
    </w:p>
    <w:p>
      <w:pPr>
        <w:spacing w:after="0" w:line="89" w:lineRule="exact"/>
        <w:rPr>
          <w:sz w:val="20"/>
          <w:szCs w:val="20"/>
          <w:color w:val="auto"/>
        </w:rPr>
      </w:pPr>
    </w:p>
    <w:p>
      <w:pPr>
        <w:jc w:val="both"/>
        <w:ind w:firstLine="462"/>
        <w:spacing w:after="0" w:line="265" w:lineRule="auto"/>
        <w:rPr>
          <w:sz w:val="20"/>
          <w:szCs w:val="20"/>
          <w:color w:val="auto"/>
        </w:rPr>
      </w:pPr>
      <w:r>
        <w:rPr>
          <w:rFonts w:ascii="Times New Roman" w:cs="Times New Roman" w:eastAsia="Times New Roman" w:hAnsi="Times New Roman"/>
          <w:sz w:val="22"/>
          <w:szCs w:val="22"/>
          <w:color w:val="auto"/>
        </w:rPr>
        <w:t xml:space="preserve">The Stock Option Plan Details for this grant can be found on the Morgan Stanley StockPlan Connect website at </w:t>
      </w:r>
      <w:r>
        <w:rPr>
          <w:rFonts w:ascii="Times New Roman" w:cs="Times New Roman" w:eastAsia="Times New Roman" w:hAnsi="Times New Roman"/>
          <w:sz w:val="22"/>
          <w:szCs w:val="22"/>
          <w:u w:val="single" w:color="auto"/>
          <w:color w:val="auto"/>
        </w:rPr>
        <w:t>www.stockplanconnect.com</w:t>
      </w:r>
      <w:r>
        <w:rPr>
          <w:rFonts w:ascii="Times New Roman" w:cs="Times New Roman" w:eastAsia="Times New Roman" w:hAnsi="Times New Roman"/>
          <w:sz w:val="22"/>
          <w:szCs w:val="2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07" w:lineRule="exact"/>
        <w:rPr>
          <w:sz w:val="20"/>
          <w:szCs w:val="20"/>
          <w:color w:val="auto"/>
        </w:rPr>
      </w:pPr>
    </w:p>
    <w:p>
      <w:pPr>
        <w:ind w:firstLine="8"/>
        <w:spacing w:after="0" w:line="287" w:lineRule="auto"/>
        <w:tabs>
          <w:tab w:leader="none" w:pos="37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Exercise Price. </w:t>
      </w:r>
      <w:r>
        <w:rPr>
          <w:rFonts w:ascii="Times New Roman" w:cs="Times New Roman" w:eastAsia="Times New Roman" w:hAnsi="Times New Roman"/>
          <w:sz w:val="22"/>
          <w:szCs w:val="22"/>
          <w:color w:val="auto"/>
        </w:rPr>
        <w:t>The purchase price of the Shares covered by the Option will be [DOLLAR AMOUNT] per Share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or “Grant Price”).</w:t>
      </w:r>
    </w:p>
    <w:p>
      <w:pPr>
        <w:spacing w:after="0" w:line="83" w:lineRule="exact"/>
        <w:rPr>
          <w:rFonts w:ascii="Times New Roman" w:cs="Times New Roman" w:eastAsia="Times New Roman" w:hAnsi="Times New Roman"/>
          <w:sz w:val="22"/>
          <w:szCs w:val="22"/>
          <w:color w:val="auto"/>
        </w:rPr>
      </w:pPr>
    </w:p>
    <w:p>
      <w:pPr>
        <w:jc w:val="both"/>
        <w:ind w:firstLine="8"/>
        <w:spacing w:after="0" w:line="272" w:lineRule="auto"/>
        <w:tabs>
          <w:tab w:leader="none" w:pos="3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in the event of a Termination of Employment due to death or Disability or as otherwise provided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 of this Agreement relating to a Change in Control, the Option will become exercisable as provided on the attached Vesting Schedule Table, which is incorporated into, and made a part of, this Agreement.</w:t>
      </w:r>
    </w:p>
    <w:p>
      <w:pPr>
        <w:spacing w:after="0" w:line="84" w:lineRule="exact"/>
        <w:rPr>
          <w:rFonts w:ascii="Times New Roman" w:cs="Times New Roman" w:eastAsia="Times New Roman" w:hAnsi="Times New Roman"/>
          <w:sz w:val="22"/>
          <w:szCs w:val="22"/>
          <w:color w:val="auto"/>
        </w:rPr>
      </w:pPr>
    </w:p>
    <w:p>
      <w:pPr>
        <w:jc w:val="both"/>
        <w:ind w:firstLine="8"/>
        <w:spacing w:after="0" w:line="266" w:lineRule="auto"/>
        <w:tabs>
          <w:tab w:leader="none" w:pos="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 of Option. </w:t>
      </w:r>
      <w:r>
        <w:rPr>
          <w:rFonts w:ascii="Times New Roman" w:cs="Times New Roman" w:eastAsia="Times New Roman" w:hAnsi="Times New Roman"/>
          <w:sz w:val="22"/>
          <w:szCs w:val="22"/>
          <w:color w:val="auto"/>
        </w:rPr>
        <w:t>The Option must be exercised prior to the close of The Nasdaq Stock Market LLC (“Nasdaq”) on the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spacing w:after="0" w:line="106" w:lineRule="exact"/>
        <w:rPr>
          <w:rFonts w:ascii="Times New Roman" w:cs="Times New Roman" w:eastAsia="Times New Roman" w:hAnsi="Times New Roman"/>
          <w:sz w:val="22"/>
          <w:szCs w:val="22"/>
          <w:color w:val="auto"/>
        </w:rPr>
      </w:pPr>
    </w:p>
    <w:p>
      <w:pPr>
        <w:jc w:val="both"/>
        <w:ind w:firstLine="8"/>
        <w:spacing w:after="0" w:line="266" w:lineRule="auto"/>
        <w:tabs>
          <w:tab w:leader="none" w:pos="44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of Exercise Price. </w:t>
      </w:r>
      <w:r>
        <w:rPr>
          <w:rFonts w:ascii="Times New Roman" w:cs="Times New Roman" w:eastAsia="Times New Roman" w:hAnsi="Times New Roman"/>
          <w:sz w:val="22"/>
          <w:szCs w:val="22"/>
          <w:color w:val="auto"/>
        </w:rPr>
        <w:t>You may pay the Exercise Price by cash, certified check, bank draft, wire transfer, postal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06" w:lineRule="exact"/>
        <w:rPr>
          <w:rFonts w:ascii="Times New Roman" w:cs="Times New Roman" w:eastAsia="Times New Roman" w:hAnsi="Times New Roman"/>
          <w:sz w:val="22"/>
          <w:szCs w:val="22"/>
          <w:color w:val="auto"/>
        </w:rPr>
      </w:pPr>
    </w:p>
    <w:p>
      <w:pPr>
        <w:jc w:val="both"/>
        <w:ind w:firstLine="8"/>
        <w:spacing w:after="0" w:line="279" w:lineRule="auto"/>
        <w:tabs>
          <w:tab w:leader="none" w:pos="41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Exercise of Option. </w:t>
      </w:r>
      <w:r>
        <w:rPr>
          <w:rFonts w:ascii="Times New Roman" w:cs="Times New Roman" w:eastAsia="Times New Roman" w:hAnsi="Times New Roman"/>
          <w:sz w:val="21"/>
          <w:szCs w:val="21"/>
          <w:color w:val="auto"/>
        </w:rPr>
        <w:t>Subject to the terms and conditions of this Agreement, the Option may be exercised by contacting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Honeywell Stock Option Service Center, managed by Morgan Stanley, by telephone at 1-888-723-3391 or 1-801-617-7414, or on the internet at www.stockplanconnect.com.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sectPr>
          <w:pgSz w:w="11900" w:h="16838" w:orient="portrait"/>
          <w:cols w:equalWidth="0" w:num="1">
            <w:col w:w="11240"/>
          </w:cols>
          <w:pgMar w:left="320" w:top="1418" w:right="339" w:bottom="1440" w:gutter="0" w:footer="0" w:header="0"/>
        </w:sectPr>
      </w:pPr>
    </w:p>
    <w:bookmarkStart w:id="71" w:name="page72"/>
    <w:bookmarkEnd w:id="71"/>
    <w:p>
      <w:pPr>
        <w:ind w:left="380" w:hanging="372"/>
        <w:spacing w:after="0"/>
        <w:tabs>
          <w:tab w:leader="none" w:pos="3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Retirement, Disability or Death. </w:t>
      </w:r>
      <w:r>
        <w:rPr>
          <w:rFonts w:ascii="Times New Roman" w:cs="Times New Roman" w:eastAsia="Times New Roman" w:hAnsi="Times New Roman"/>
          <w:sz w:val="22"/>
          <w:szCs w:val="22"/>
          <w:color w:val="auto"/>
        </w:rPr>
        <w:t>The Option will vest and remain exercisable as follows: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1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8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right w:val="single" w:sz="8" w:color="auto"/>
            </w:tcBorders>
          </w:tcPr>
          <w:p>
            <w:pPr>
              <w:spacing w:after="0"/>
              <w:rPr>
                <w:sz w:val="24"/>
                <w:szCs w:val="24"/>
                <w:color w:val="auto"/>
              </w:rPr>
            </w:pP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Exercise</w:t>
            </w:r>
          </w:p>
        </w:tc>
      </w:tr>
      <w:tr>
        <w:trPr>
          <w:trHeight w:val="196"/>
        </w:trPr>
        <w:tc>
          <w:tcPr>
            <w:tcW w:w="376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Death</w:t>
            </w:r>
          </w:p>
        </w:tc>
        <w:tc>
          <w:tcPr>
            <w:tcW w:w="346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auto"/>
              </w:rPr>
              <w:t>Immediate vesting as of Termination</w:t>
            </w:r>
          </w:p>
        </w:tc>
        <w:tc>
          <w:tcPr>
            <w:tcW w:w="2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2"/>
                <w:szCs w:val="22"/>
                <w:color w:val="auto"/>
              </w:rPr>
              <w:t>Expires earlier of (i) original expiration</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292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Employment due to death.</w:t>
            </w: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date, or (ii) 3 years after Termination of</w:t>
            </w:r>
          </w:p>
        </w:tc>
      </w:tr>
      <w:tr>
        <w:trPr>
          <w:trHeight w:val="283"/>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Employment.</w:t>
            </w: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Disability</w:t>
            </w:r>
          </w:p>
        </w:tc>
        <w:tc>
          <w:tcPr>
            <w:tcW w:w="3460" w:type="dxa"/>
            <w:vAlign w:val="bottom"/>
            <w:gridSpan w:val="4"/>
          </w:tcPr>
          <w:p>
            <w:pPr>
              <w:spacing w:after="0" w:line="197" w:lineRule="exact"/>
              <w:rPr>
                <w:sz w:val="20"/>
                <w:szCs w:val="20"/>
                <w:color w:val="auto"/>
              </w:rPr>
            </w:pPr>
            <w:r>
              <w:rPr>
                <w:rFonts w:ascii="Times New Roman" w:cs="Times New Roman" w:eastAsia="Times New Roman" w:hAnsi="Times New Roman"/>
                <w:sz w:val="22"/>
                <w:szCs w:val="22"/>
                <w:color w:val="auto"/>
              </w:rPr>
              <w:t>Immediate vesting as of Termination</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Expires earlier of (i) original expiration</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292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Employment due to Disability.</w:t>
            </w: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date, or (ii) 3 years after Termination of</w:t>
            </w:r>
          </w:p>
        </w:tc>
      </w:tr>
      <w:tr>
        <w:trPr>
          <w:trHeight w:val="283"/>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Employment.</w:t>
            </w: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Retirement (Termination of Employment</w:t>
            </w:r>
          </w:p>
        </w:tc>
        <w:tc>
          <w:tcPr>
            <w:tcW w:w="106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Unvested</w:t>
            </w:r>
          </w:p>
        </w:tc>
        <w:tc>
          <w:tcPr>
            <w:tcW w:w="840" w:type="dxa"/>
            <w:vAlign w:val="bottom"/>
          </w:tcPr>
          <w:p>
            <w:pPr>
              <w:ind w:left="40"/>
              <w:spacing w:after="0" w:line="197" w:lineRule="exact"/>
              <w:rPr>
                <w:sz w:val="20"/>
                <w:szCs w:val="20"/>
                <w:color w:val="auto"/>
              </w:rPr>
            </w:pPr>
            <w:r>
              <w:rPr>
                <w:rFonts w:ascii="Times New Roman" w:cs="Times New Roman" w:eastAsia="Times New Roman" w:hAnsi="Times New Roman"/>
                <w:sz w:val="22"/>
                <w:szCs w:val="22"/>
                <w:color w:val="auto"/>
              </w:rPr>
              <w:t>Awards</w:t>
            </w:r>
          </w:p>
        </w:tc>
        <w:tc>
          <w:tcPr>
            <w:tcW w:w="10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forfeited</w:t>
            </w:r>
          </w:p>
        </w:tc>
        <w:tc>
          <w:tcPr>
            <w:tcW w:w="54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as</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Expires earlier of (i) original expiration</w:t>
            </w:r>
          </w:p>
        </w:tc>
      </w:tr>
      <w:tr>
        <w:trPr>
          <w:trHeight w:val="216"/>
        </w:trPr>
        <w:tc>
          <w:tcPr>
            <w:tcW w:w="376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because  of  retirement  from  active</w:t>
            </w:r>
          </w:p>
        </w:tc>
        <w:tc>
          <w:tcPr>
            <w:tcW w:w="10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Retirement.</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date, or (ii) 3 years after Retirement.</w:t>
            </w:r>
          </w:p>
        </w:tc>
      </w:tr>
      <w:tr>
        <w:trPr>
          <w:trHeight w:val="216"/>
        </w:trPr>
        <w:tc>
          <w:tcPr>
            <w:tcW w:w="376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employment on or after age 55 and 10</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Years of Service)</w:t>
            </w:r>
          </w:p>
        </w:tc>
        <w:tc>
          <w:tcPr>
            <w:tcW w:w="1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Voluntary termination with notice period</w:t>
            </w:r>
          </w:p>
        </w:tc>
        <w:tc>
          <w:tcPr>
            <w:tcW w:w="106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Unvested</w:t>
            </w:r>
          </w:p>
        </w:tc>
        <w:tc>
          <w:tcPr>
            <w:tcW w:w="840" w:type="dxa"/>
            <w:vAlign w:val="bottom"/>
          </w:tcPr>
          <w:p>
            <w:pPr>
              <w:ind w:left="40"/>
              <w:spacing w:after="0" w:line="197" w:lineRule="exact"/>
              <w:rPr>
                <w:sz w:val="20"/>
                <w:szCs w:val="20"/>
                <w:color w:val="auto"/>
              </w:rPr>
            </w:pPr>
            <w:r>
              <w:rPr>
                <w:rFonts w:ascii="Times New Roman" w:cs="Times New Roman" w:eastAsia="Times New Roman" w:hAnsi="Times New Roman"/>
                <w:sz w:val="22"/>
                <w:szCs w:val="22"/>
                <w:color w:val="auto"/>
              </w:rPr>
              <w:t>Awards</w:t>
            </w:r>
          </w:p>
        </w:tc>
        <w:tc>
          <w:tcPr>
            <w:tcW w:w="10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forfeited</w:t>
            </w:r>
          </w:p>
        </w:tc>
        <w:tc>
          <w:tcPr>
            <w:tcW w:w="54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as</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Expires earlier of (i) original expiration</w:t>
            </w: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of 60 days or more</w:t>
            </w:r>
          </w:p>
        </w:tc>
        <w:tc>
          <w:tcPr>
            <w:tcW w:w="2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Termination of Employment.</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date, or (ii) 30 days after termination.</w:t>
            </w: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Voluntary termination with notice period</w:t>
            </w:r>
          </w:p>
        </w:tc>
        <w:tc>
          <w:tcPr>
            <w:tcW w:w="106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Unvested</w:t>
            </w:r>
          </w:p>
        </w:tc>
        <w:tc>
          <w:tcPr>
            <w:tcW w:w="840" w:type="dxa"/>
            <w:vAlign w:val="bottom"/>
          </w:tcPr>
          <w:p>
            <w:pPr>
              <w:ind w:left="40"/>
              <w:spacing w:after="0" w:line="197" w:lineRule="exact"/>
              <w:rPr>
                <w:sz w:val="20"/>
                <w:szCs w:val="20"/>
                <w:color w:val="auto"/>
              </w:rPr>
            </w:pPr>
            <w:r>
              <w:rPr>
                <w:rFonts w:ascii="Times New Roman" w:cs="Times New Roman" w:eastAsia="Times New Roman" w:hAnsi="Times New Roman"/>
                <w:sz w:val="22"/>
                <w:szCs w:val="22"/>
                <w:color w:val="auto"/>
              </w:rPr>
              <w:t>Awards</w:t>
            </w:r>
          </w:p>
        </w:tc>
        <w:tc>
          <w:tcPr>
            <w:tcW w:w="10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forfeited</w:t>
            </w:r>
          </w:p>
        </w:tc>
        <w:tc>
          <w:tcPr>
            <w:tcW w:w="54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as</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Vested Awards immediately cancelled.</w:t>
            </w: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of less than 60 days</w:t>
            </w:r>
          </w:p>
        </w:tc>
        <w:tc>
          <w:tcPr>
            <w:tcW w:w="2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Termination of Employment.</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Involuntary termination not for Cause</w:t>
            </w:r>
          </w:p>
        </w:tc>
        <w:tc>
          <w:tcPr>
            <w:tcW w:w="106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Unvested</w:t>
            </w:r>
          </w:p>
        </w:tc>
        <w:tc>
          <w:tcPr>
            <w:tcW w:w="840" w:type="dxa"/>
            <w:vAlign w:val="bottom"/>
          </w:tcPr>
          <w:p>
            <w:pPr>
              <w:ind w:left="40"/>
              <w:spacing w:after="0" w:line="197" w:lineRule="exact"/>
              <w:rPr>
                <w:sz w:val="20"/>
                <w:szCs w:val="20"/>
                <w:color w:val="auto"/>
              </w:rPr>
            </w:pPr>
            <w:r>
              <w:rPr>
                <w:rFonts w:ascii="Times New Roman" w:cs="Times New Roman" w:eastAsia="Times New Roman" w:hAnsi="Times New Roman"/>
                <w:sz w:val="22"/>
                <w:szCs w:val="22"/>
                <w:color w:val="auto"/>
              </w:rPr>
              <w:t>Awards</w:t>
            </w:r>
          </w:p>
        </w:tc>
        <w:tc>
          <w:tcPr>
            <w:tcW w:w="10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forfeited</w:t>
            </w:r>
          </w:p>
        </w:tc>
        <w:tc>
          <w:tcPr>
            <w:tcW w:w="54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as</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Expires earlier of (i) original expiration</w:t>
            </w:r>
          </w:p>
        </w:tc>
      </w:tr>
      <w:tr>
        <w:trPr>
          <w:trHeight w:val="283"/>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Termination of Employment.</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date, or (ii) 1 year after termination.</w:t>
            </w: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Involuntary termination for Cause</w:t>
            </w:r>
          </w:p>
        </w:tc>
        <w:tc>
          <w:tcPr>
            <w:tcW w:w="106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Unvested</w:t>
            </w:r>
          </w:p>
        </w:tc>
        <w:tc>
          <w:tcPr>
            <w:tcW w:w="840" w:type="dxa"/>
            <w:vAlign w:val="bottom"/>
          </w:tcPr>
          <w:p>
            <w:pPr>
              <w:ind w:left="40"/>
              <w:spacing w:after="0" w:line="197" w:lineRule="exact"/>
              <w:rPr>
                <w:sz w:val="20"/>
                <w:szCs w:val="20"/>
                <w:color w:val="auto"/>
              </w:rPr>
            </w:pPr>
            <w:r>
              <w:rPr>
                <w:rFonts w:ascii="Times New Roman" w:cs="Times New Roman" w:eastAsia="Times New Roman" w:hAnsi="Times New Roman"/>
                <w:sz w:val="22"/>
                <w:szCs w:val="22"/>
                <w:color w:val="auto"/>
              </w:rPr>
              <w:t>Awards</w:t>
            </w:r>
          </w:p>
        </w:tc>
        <w:tc>
          <w:tcPr>
            <w:tcW w:w="10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forfeited</w:t>
            </w:r>
          </w:p>
        </w:tc>
        <w:tc>
          <w:tcPr>
            <w:tcW w:w="54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as</w:t>
            </w:r>
          </w:p>
        </w:tc>
        <w:tc>
          <w:tcPr>
            <w:tcW w:w="2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7"/>
              </w:rPr>
              <w:t>of</w:t>
            </w:r>
          </w:p>
        </w:tc>
        <w:tc>
          <w:tcPr>
            <w:tcW w:w="376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Vested Awards immediately cancelled.</w:t>
            </w:r>
          </w:p>
        </w:tc>
      </w:tr>
      <w:tr>
        <w:trPr>
          <w:trHeight w:val="283"/>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Termination of Employment.</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18" w:right="319" w:bottom="1440" w:gutter="0" w:footer="0" w:header="0"/>
        </w:sectPr>
      </w:pPr>
    </w:p>
    <w:bookmarkStart w:id="72" w:name="page73"/>
    <w:bookmarkEnd w:id="72"/>
    <w:p>
      <w:pPr>
        <w:jc w:val="both"/>
        <w:spacing w:after="0" w:line="265" w:lineRule="auto"/>
        <w:rPr>
          <w:sz w:val="20"/>
          <w:szCs w:val="20"/>
          <w:color w:val="auto"/>
        </w:rPr>
      </w:pPr>
      <w:r>
        <w:rPr>
          <w:rFonts w:ascii="Times New Roman" w:cs="Times New Roman" w:eastAsia="Times New Roman" w:hAnsi="Times New Roman"/>
          <w:sz w:val="22"/>
          <w:szCs w:val="22"/>
          <w:color w:val="auto"/>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spacing w:after="0" w:line="107" w:lineRule="exact"/>
        <w:rPr>
          <w:sz w:val="20"/>
          <w:szCs w:val="20"/>
          <w:color w:val="auto"/>
        </w:rPr>
      </w:pPr>
    </w:p>
    <w:p>
      <w:pPr>
        <w:jc w:val="both"/>
        <w:ind w:firstLine="8"/>
        <w:spacing w:after="0" w:line="262" w:lineRule="auto"/>
        <w:tabs>
          <w:tab w:leader="none" w:pos="4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If you incur an involuntary Termination of Employment not for Cause (as defined in Section 2.7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a voluntary 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spacing w:after="0" w:line="97" w:lineRule="exact"/>
        <w:rPr>
          <w:rFonts w:ascii="Times New Roman" w:cs="Times New Roman" w:eastAsia="Times New Roman" w:hAnsi="Times New Roman"/>
          <w:sz w:val="22"/>
          <w:szCs w:val="22"/>
          <w:color w:val="auto"/>
        </w:rPr>
      </w:pPr>
    </w:p>
    <w:p>
      <w:pPr>
        <w:jc w:val="both"/>
        <w:ind w:firstLine="8"/>
        <w:spacing w:after="0" w:line="262" w:lineRule="auto"/>
        <w:tabs>
          <w:tab w:leader="none" w:pos="37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The Company or your local employer shall have the power and the right to deduct or withhold, or require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111" w:lineRule="exact"/>
        <w:rPr>
          <w:rFonts w:ascii="Times New Roman" w:cs="Times New Roman" w:eastAsia="Times New Roman" w:hAnsi="Times New Roman"/>
          <w:sz w:val="22"/>
          <w:szCs w:val="22"/>
          <w:color w:val="auto"/>
        </w:rPr>
      </w:pPr>
    </w:p>
    <w:p>
      <w:pPr>
        <w:jc w:val="both"/>
        <w:ind w:firstLine="8"/>
        <w:spacing w:after="0" w:line="272" w:lineRule="auto"/>
        <w:tabs>
          <w:tab w:leader="none" w:pos="48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of Option. </w:t>
      </w:r>
      <w:r>
        <w:rPr>
          <w:rFonts w:ascii="Times New Roman" w:cs="Times New Roman" w:eastAsia="Times New Roman" w:hAnsi="Times New Roman"/>
          <w:sz w:val="22"/>
          <w:szCs w:val="22"/>
          <w:color w:val="auto"/>
        </w:rPr>
        <w:t>You may not transfer the Option or any interest in the Option except by will or the laws of descent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distribution or except as permitted by the Committee and as specified in the Plan. Any other attempt to dispose of your interest will be null and void.</w:t>
      </w:r>
    </w:p>
    <w:p>
      <w:pPr>
        <w:spacing w:after="0" w:line="98"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Requirements for and Forfeiture of Award.</w:t>
      </w:r>
    </w:p>
    <w:p>
      <w:pPr>
        <w:spacing w:after="0" w:line="152" w:lineRule="exact"/>
        <w:rPr>
          <w:rFonts w:ascii="Times New Roman" w:cs="Times New Roman" w:eastAsia="Times New Roman" w:hAnsi="Times New Roman"/>
          <w:sz w:val="22"/>
          <w:szCs w:val="22"/>
          <w:color w:val="auto"/>
        </w:rPr>
      </w:pPr>
    </w:p>
    <w:p>
      <w:pPr>
        <w:jc w:val="both"/>
        <w:ind w:firstLine="656"/>
        <w:spacing w:after="0" w:line="275" w:lineRule="auto"/>
        <w:tabs>
          <w:tab w:leader="none" w:pos="1203"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The Award is expressly contingent upon you complying with the terms, conditions and 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01"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w:t>
      </w:r>
    </w:p>
    <w:p>
      <w:pPr>
        <w:spacing w:after="0" w:line="169" w:lineRule="exact"/>
        <w:rPr>
          <w:rFonts w:ascii="Times New Roman" w:cs="Times New Roman" w:eastAsia="Times New Roman" w:hAnsi="Times New Roman"/>
          <w:sz w:val="22"/>
          <w:szCs w:val="22"/>
          <w:color w:val="auto"/>
        </w:rPr>
      </w:pPr>
    </w:p>
    <w:p>
      <w:pPr>
        <w:ind w:left="880" w:hanging="398"/>
        <w:spacing w:after="0"/>
        <w:tabs>
          <w:tab w:leader="none" w:pos="88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agree and acknowledge that the forfeiture provisions of subsection 11.b.2. of this Agreement shall apply</w:t>
      </w:r>
    </w:p>
    <w:p>
      <w:pPr>
        <w:spacing w:after="0" w:line="40" w:lineRule="exact"/>
        <w:rPr>
          <w:rFonts w:ascii="Times New Roman" w:cs="Times New Roman" w:eastAsia="Times New Roman" w:hAnsi="Times New Roman"/>
          <w:sz w:val="21"/>
          <w:szCs w:val="21"/>
          <w:color w:val="auto"/>
        </w:rPr>
      </w:pPr>
    </w:p>
    <w:p>
      <w:pPr>
        <w:ind w:right="20"/>
        <w:spacing w:after="0" w:line="27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(A) you are terminated for Cause (as defined in the Plan) or you voluntarily terminate your employment with less than a 60-day notice period, or (B) from the Grant Date until the date that is twenty-four (24) months after your Termination of</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21"/>
          <w:szCs w:val="21"/>
          <w:color w:val="auto"/>
        </w:rPr>
        <w:t>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w:t>
      </w:r>
    </w:p>
    <w:p>
      <w:pPr>
        <w:spacing w:after="0" w:line="2" w:lineRule="exact"/>
        <w:rPr>
          <w:sz w:val="20"/>
          <w:szCs w:val="20"/>
          <w:color w:val="auto"/>
        </w:rPr>
      </w:pPr>
    </w:p>
    <w:p>
      <w:pPr>
        <w:jc w:val="both"/>
        <w:ind w:firstLine="8"/>
        <w:spacing w:after="0" w:line="257" w:lineRule="auto"/>
        <w:tabs>
          <w:tab w:leader="none" w:pos="34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58" w:lineRule="auto"/>
        <w:tabs>
          <w:tab w:leader="none" w:pos="171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as applicable, and (ii) you shall immediately deliver to the Company Shares equal in value to the amount of any profit you realized upon an exercise of the Option during the period beginning twelve (12) months prior to your Termination of Employment and ending on (x) the date of the CEO’s determination in the case of a violation other than for a Termination of Employment for Cause or voluntary termination without</w:t>
      </w:r>
    </w:p>
    <w:p>
      <w:pPr>
        <w:sectPr>
          <w:pgSz w:w="11900" w:h="16838" w:orient="portrait"/>
          <w:cols w:equalWidth="0" w:num="1">
            <w:col w:w="11240"/>
          </w:cols>
          <w:pgMar w:left="320" w:top="1422" w:right="339" w:bottom="1440" w:gutter="0" w:footer="0" w:header="0"/>
        </w:sectPr>
      </w:pPr>
    </w:p>
    <w:bookmarkStart w:id="74" w:name="page75"/>
    <w:bookmarkEnd w:id="74"/>
    <w:p>
      <w:pPr>
        <w:spacing w:after="0" w:line="284" w:lineRule="auto"/>
        <w:rPr>
          <w:sz w:val="20"/>
          <w:szCs w:val="20"/>
          <w:color w:val="auto"/>
        </w:rPr>
      </w:pPr>
      <w:r>
        <w:rPr>
          <w:rFonts w:ascii="Times New Roman" w:cs="Times New Roman" w:eastAsia="Times New Roman" w:hAnsi="Times New Roman"/>
          <w:sz w:val="22"/>
          <w:szCs w:val="22"/>
          <w:color w:val="auto"/>
        </w:rPr>
        <w:t>sufficient notice, or (y) the date of your Termination of Employment in the case of a Termination of Employment for Cause or voluntary termination without sufficient notice, as applicable.</w:t>
      </w:r>
    </w:p>
    <w:p>
      <w:pPr>
        <w:spacing w:after="0" w:line="90" w:lineRule="exact"/>
        <w:rPr>
          <w:sz w:val="20"/>
          <w:szCs w:val="20"/>
          <w:color w:val="auto"/>
        </w:rPr>
      </w:pPr>
    </w:p>
    <w:p>
      <w:pPr>
        <w:jc w:val="both"/>
        <w:ind w:firstLine="544"/>
        <w:spacing w:after="0" w:line="265" w:lineRule="auto"/>
        <w:tabs>
          <w:tab w:leader="none" w:pos="96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9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Adjustments. </w:t>
      </w:r>
      <w:r>
        <w:rPr>
          <w:rFonts w:ascii="Times New Roman" w:cs="Times New Roman" w:eastAsia="Times New Roman" w:hAnsi="Times New Roman"/>
          <w:sz w:val="22"/>
          <w:szCs w:val="22"/>
          <w:color w:val="auto"/>
        </w:rPr>
        <w:t>Any adjustments to the Option will be governed by Section 5.3 of the Plan.</w:t>
      </w:r>
    </w:p>
    <w:p>
      <w:pPr>
        <w:spacing w:after="0" w:line="165" w:lineRule="exact"/>
        <w:rPr>
          <w:rFonts w:ascii="Times New Roman" w:cs="Times New Roman" w:eastAsia="Times New Roman" w:hAnsi="Times New Roman"/>
          <w:sz w:val="22"/>
          <w:szCs w:val="22"/>
          <w:color w:val="auto"/>
        </w:rPr>
      </w:pPr>
    </w:p>
    <w:p>
      <w:pPr>
        <w:jc w:val="both"/>
        <w:ind w:firstLine="8"/>
        <w:spacing w:after="0" w:line="264" w:lineRule="auto"/>
        <w:tabs>
          <w:tab w:leader="none" w:pos="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Restrictions on Exercise. </w:t>
      </w:r>
      <w:r>
        <w:rPr>
          <w:rFonts w:ascii="Times New Roman" w:cs="Times New Roman" w:eastAsia="Times New Roman" w:hAnsi="Times New Roman"/>
          <w:sz w:val="22"/>
          <w:szCs w:val="22"/>
          <w:color w:val="auto"/>
        </w:rPr>
        <w:t>Exercise of the Option is subject to the conditions that, to the extent required at the time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07" w:lineRule="exact"/>
        <w:rPr>
          <w:rFonts w:ascii="Times New Roman" w:cs="Times New Roman" w:eastAsia="Times New Roman" w:hAnsi="Times New Roman"/>
          <w:sz w:val="22"/>
          <w:szCs w:val="22"/>
          <w:color w:val="auto"/>
        </w:rPr>
      </w:pPr>
    </w:p>
    <w:p>
      <w:pPr>
        <w:jc w:val="both"/>
        <w:ind w:firstLine="8"/>
        <w:spacing w:after="0" w:line="260" w:lineRule="auto"/>
        <w:tabs>
          <w:tab w:leader="none" w:pos="49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Disposition of Securities. </w:t>
      </w:r>
      <w:r>
        <w:rPr>
          <w:rFonts w:ascii="Times New Roman" w:cs="Times New Roman" w:eastAsia="Times New Roman" w:hAnsi="Times New Roman"/>
          <w:sz w:val="22"/>
          <w:szCs w:val="22"/>
          <w:color w:val="auto"/>
        </w:rPr>
        <w:t>By accepting the Award, you acknowledge that you have read and understand (i)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02" w:lineRule="exact"/>
        <w:rPr>
          <w:rFonts w:ascii="Times New Roman" w:cs="Times New Roman" w:eastAsia="Times New Roman" w:hAnsi="Times New Roman"/>
          <w:sz w:val="22"/>
          <w:szCs w:val="22"/>
          <w:color w:val="auto"/>
        </w:rPr>
      </w:pPr>
    </w:p>
    <w:p>
      <w:pPr>
        <w:jc w:val="both"/>
        <w:ind w:firstLine="8"/>
        <w:spacing w:after="0" w:line="261" w:lineRule="auto"/>
        <w:tabs>
          <w:tab w:leader="none" w:pos="52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Plan Terms Govern. </w:t>
      </w:r>
      <w:r>
        <w:rPr>
          <w:rFonts w:ascii="Times New Roman" w:cs="Times New Roman" w:eastAsia="Times New Roman" w:hAnsi="Times New Roman"/>
          <w:sz w:val="22"/>
          <w:szCs w:val="22"/>
          <w:color w:val="auto"/>
        </w:rPr>
        <w:t>The exercise of the Option, the disposition of any Shares received upon exercise of the Option,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12"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Data.</w:t>
      </w:r>
    </w:p>
    <w:p>
      <w:pPr>
        <w:spacing w:after="0" w:line="169" w:lineRule="exact"/>
        <w:rPr>
          <w:rFonts w:ascii="Times New Roman" w:cs="Times New Roman" w:eastAsia="Times New Roman" w:hAnsi="Times New Roman"/>
          <w:sz w:val="22"/>
          <w:szCs w:val="22"/>
          <w:color w:val="auto"/>
        </w:rPr>
      </w:pPr>
    </w:p>
    <w:p>
      <w:pPr>
        <w:jc w:val="both"/>
        <w:ind w:firstLine="656"/>
        <w:spacing w:after="0" w:line="270" w:lineRule="auto"/>
        <w:tabs>
          <w:tab w:leader="none" w:pos="1178"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91" w:lineRule="exact"/>
        <w:rPr>
          <w:rFonts w:ascii="Times New Roman" w:cs="Times New Roman" w:eastAsia="Times New Roman" w:hAnsi="Times New Roman"/>
          <w:sz w:val="22"/>
          <w:szCs w:val="22"/>
          <w:color w:val="auto"/>
        </w:rPr>
      </w:pPr>
    </w:p>
    <w:p>
      <w:pPr>
        <w:ind w:firstLine="656"/>
        <w:spacing w:after="0" w:line="284" w:lineRule="auto"/>
        <w:tabs>
          <w:tab w:leader="none" w:pos="1112"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local employer holds, by means of an automated data file, certain personal information about you, including, but not limited to, name, home address and</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70" w:lineRule="auto"/>
        <w:rPr>
          <w:sz w:val="20"/>
          <w:szCs w:val="20"/>
          <w:color w:val="auto"/>
        </w:rPr>
      </w:pPr>
      <w:r>
        <w:rPr>
          <w:rFonts w:ascii="Times New Roman" w:cs="Times New Roman" w:eastAsia="Times New Roman" w:hAnsi="Times New Roman"/>
          <w:sz w:val="22"/>
          <w:szCs w:val="22"/>
          <w:color w:val="auto"/>
        </w:rPr>
        <w:t>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105" w:lineRule="exact"/>
        <w:rPr>
          <w:sz w:val="20"/>
          <w:szCs w:val="20"/>
          <w:color w:val="auto"/>
        </w:rPr>
      </w:pPr>
    </w:p>
    <w:p>
      <w:pPr>
        <w:jc w:val="both"/>
        <w:ind w:firstLine="656"/>
        <w:spacing w:after="0" w:line="270" w:lineRule="auto"/>
        <w:tabs>
          <w:tab w:leader="none" w:pos="1041"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91" w:lineRule="exact"/>
        <w:rPr>
          <w:rFonts w:ascii="Times New Roman" w:cs="Times New Roman" w:eastAsia="Times New Roman" w:hAnsi="Times New Roman"/>
          <w:sz w:val="22"/>
          <w:szCs w:val="22"/>
          <w:color w:val="auto"/>
        </w:rPr>
      </w:pPr>
    </w:p>
    <w:p>
      <w:pPr>
        <w:jc w:val="both"/>
        <w:ind w:firstLine="656"/>
        <w:spacing w:after="0" w:line="265" w:lineRule="auto"/>
        <w:tabs>
          <w:tab w:leader="none" w:pos="1023"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11" w:lineRule="exact"/>
        <w:rPr>
          <w:rFonts w:ascii="Times New Roman" w:cs="Times New Roman" w:eastAsia="Times New Roman" w:hAnsi="Times New Roman"/>
          <w:sz w:val="22"/>
          <w:szCs w:val="22"/>
          <w:color w:val="auto"/>
        </w:rPr>
      </w:pPr>
    </w:p>
    <w:p>
      <w:pPr>
        <w:jc w:val="both"/>
        <w:ind w:firstLine="656"/>
        <w:spacing w:after="0" w:line="261" w:lineRule="auto"/>
        <w:tabs>
          <w:tab w:leader="none" w:pos="1105"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7" w:lineRule="exact"/>
        <w:rPr>
          <w:rFonts w:ascii="Times New Roman" w:cs="Times New Roman" w:eastAsia="Times New Roman" w:hAnsi="Times New Roman"/>
          <w:sz w:val="22"/>
          <w:szCs w:val="22"/>
          <w:color w:val="auto"/>
        </w:rPr>
      </w:pPr>
    </w:p>
    <w:p>
      <w:pPr>
        <w:jc w:val="both"/>
        <w:ind w:firstLine="656"/>
        <w:spacing w:after="0" w:line="270" w:lineRule="auto"/>
        <w:tabs>
          <w:tab w:leader="none" w:pos="993"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87" w:lineRule="exact"/>
        <w:rPr>
          <w:rFonts w:ascii="Times New Roman" w:cs="Times New Roman" w:eastAsia="Times New Roman" w:hAnsi="Times New Roman"/>
          <w:sz w:val="22"/>
          <w:szCs w:val="22"/>
          <w:color w:val="auto"/>
        </w:rPr>
      </w:pPr>
    </w:p>
    <w:p>
      <w:pPr>
        <w:ind w:firstLine="8"/>
        <w:spacing w:after="0" w:line="287" w:lineRule="auto"/>
        <w:tabs>
          <w:tab w:leader="none" w:pos="55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Discretionary Nature and Acceptance of Award. </w:t>
      </w:r>
      <w:r>
        <w:rPr>
          <w:rFonts w:ascii="Times New Roman" w:cs="Times New Roman" w:eastAsia="Times New Roman" w:hAnsi="Times New Roman"/>
          <w:sz w:val="22"/>
          <w:szCs w:val="22"/>
          <w:color w:val="auto"/>
        </w:rPr>
        <w:t>By accepting this Award, you agree to be bound by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acknowledge that:</w:t>
      </w:r>
    </w:p>
    <w:p>
      <w:pPr>
        <w:spacing w:after="0" w:line="87" w:lineRule="exact"/>
        <w:rPr>
          <w:rFonts w:ascii="Times New Roman" w:cs="Times New Roman" w:eastAsia="Times New Roman" w:hAnsi="Times New Roman"/>
          <w:sz w:val="22"/>
          <w:szCs w:val="22"/>
          <w:color w:val="auto"/>
        </w:rPr>
      </w:pPr>
    </w:p>
    <w:p>
      <w:pPr>
        <w:ind w:firstLine="656"/>
        <w:spacing w:after="0" w:line="284" w:lineRule="auto"/>
        <w:tabs>
          <w:tab w:leader="none" w:pos="1096"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not your local employer) is granting your Option. Furthermore, this Agreement is not derived from any preexisting labor relationship between you and the Company, but rather from a mercantile relationship.</w:t>
      </w:r>
    </w:p>
    <w:p>
      <w:pPr>
        <w:spacing w:after="0" w:line="89" w:lineRule="exact"/>
        <w:rPr>
          <w:rFonts w:ascii="Times New Roman" w:cs="Times New Roman" w:eastAsia="Times New Roman" w:hAnsi="Times New Roman"/>
          <w:sz w:val="22"/>
          <w:szCs w:val="22"/>
          <w:color w:val="auto"/>
        </w:rPr>
      </w:pPr>
    </w:p>
    <w:p>
      <w:pPr>
        <w:ind w:firstLine="313"/>
        <w:spacing w:after="0" w:line="284" w:lineRule="auto"/>
        <w:tabs>
          <w:tab w:leader="none" w:pos="76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administer the Plan from outside your country of residence and United States law will govern all options granted under the Plan.</w:t>
      </w:r>
    </w:p>
    <w:p>
      <w:pPr>
        <w:spacing w:after="0" w:line="76" w:lineRule="exact"/>
        <w:rPr>
          <w:rFonts w:ascii="Times New Roman" w:cs="Times New Roman" w:eastAsia="Times New Roman" w:hAnsi="Times New Roman"/>
          <w:sz w:val="22"/>
          <w:szCs w:val="22"/>
          <w:color w:val="auto"/>
        </w:rPr>
      </w:pPr>
    </w:p>
    <w:p>
      <w:pPr>
        <w:ind w:firstLine="656"/>
        <w:spacing w:after="0" w:line="284" w:lineRule="auto"/>
        <w:tabs>
          <w:tab w:leader="none" w:pos="1040"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and rights provided under the Plan are wholly discretionary and, although provided by the Company, do not constitute regular or periodic payments.</w:t>
      </w:r>
    </w:p>
    <w:p>
      <w:pPr>
        <w:spacing w:after="0" w:line="89" w:lineRule="exact"/>
        <w:rPr>
          <w:rFonts w:ascii="Times New Roman" w:cs="Times New Roman" w:eastAsia="Times New Roman" w:hAnsi="Times New Roman"/>
          <w:sz w:val="22"/>
          <w:szCs w:val="22"/>
          <w:color w:val="auto"/>
        </w:rPr>
      </w:pPr>
    </w:p>
    <w:p>
      <w:pPr>
        <w:jc w:val="both"/>
        <w:ind w:firstLine="656"/>
        <w:spacing w:after="0" w:line="270" w:lineRule="auto"/>
        <w:tabs>
          <w:tab w:leader="none" w:pos="1074"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65" w:lineRule="auto"/>
        <w:rPr>
          <w:sz w:val="20"/>
          <w:szCs w:val="20"/>
          <w:color w:val="auto"/>
        </w:rPr>
      </w:pPr>
      <w:r>
        <w:rPr>
          <w:rFonts w:ascii="Times New Roman" w:cs="Times New Roman" w:eastAsia="Times New Roman" w:hAnsi="Times New Roman"/>
          <w:sz w:val="22"/>
          <w:szCs w:val="22"/>
          <w:color w:val="auto"/>
        </w:rPr>
        <w:t>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11" w:lineRule="exact"/>
        <w:rPr>
          <w:sz w:val="20"/>
          <w:szCs w:val="20"/>
          <w:color w:val="auto"/>
        </w:rPr>
      </w:pPr>
    </w:p>
    <w:p>
      <w:pPr>
        <w:jc w:val="both"/>
        <w:ind w:firstLine="656"/>
        <w:spacing w:after="0" w:line="263" w:lineRule="auto"/>
        <w:tabs>
          <w:tab w:leader="none" w:pos="104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98" w:lineRule="exact"/>
        <w:rPr>
          <w:rFonts w:ascii="Times New Roman" w:cs="Times New Roman" w:eastAsia="Times New Roman" w:hAnsi="Times New Roman"/>
          <w:sz w:val="22"/>
          <w:szCs w:val="22"/>
          <w:color w:val="auto"/>
        </w:rPr>
      </w:pPr>
    </w:p>
    <w:p>
      <w:pPr>
        <w:jc w:val="both"/>
        <w:ind w:firstLine="656"/>
        <w:spacing w:after="0" w:line="270" w:lineRule="auto"/>
        <w:tabs>
          <w:tab w:leader="none" w:pos="109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Times New Roman" w:cs="Times New Roman" w:eastAsia="Times New Roman" w:hAnsi="Times New Roman"/>
          <w:sz w:val="22"/>
          <w:szCs w:val="22"/>
          <w:color w:val="auto"/>
        </w:rPr>
      </w:pPr>
    </w:p>
    <w:p>
      <w:pPr>
        <w:ind w:right="20" w:firstLine="656"/>
        <w:spacing w:after="0" w:line="284" w:lineRule="auto"/>
        <w:tabs>
          <w:tab w:leader="none" w:pos="121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will not be deemed to constitute, and will not be deemed by you to constitute, an employment or labor relationship of any kind with the Company.</w:t>
      </w:r>
    </w:p>
    <w:p>
      <w:pPr>
        <w:spacing w:after="0" w:line="85" w:lineRule="exact"/>
        <w:rPr>
          <w:rFonts w:ascii="Times New Roman" w:cs="Times New Roman" w:eastAsia="Times New Roman" w:hAnsi="Times New Roman"/>
          <w:sz w:val="22"/>
          <w:szCs w:val="22"/>
          <w:color w:val="auto"/>
        </w:rPr>
      </w:pPr>
    </w:p>
    <w:p>
      <w:pPr>
        <w:jc w:val="both"/>
        <w:ind w:firstLine="8"/>
        <w:spacing w:after="0" w:line="264" w:lineRule="auto"/>
        <w:tabs>
          <w:tab w:leader="none" w:pos="4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this Agreement or the Plan gives you any right to continue in the employ of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93" w:lineRule="exact"/>
        <w:rPr>
          <w:rFonts w:ascii="Times New Roman" w:cs="Times New Roman" w:eastAsia="Times New Roman" w:hAnsi="Times New Roman"/>
          <w:sz w:val="22"/>
          <w:szCs w:val="22"/>
          <w:color w:val="auto"/>
        </w:rPr>
      </w:pPr>
    </w:p>
    <w:p>
      <w:pPr>
        <w:jc w:val="both"/>
        <w:ind w:firstLine="8"/>
        <w:spacing w:after="0" w:line="272" w:lineRule="auto"/>
        <w:tabs>
          <w:tab w:leader="none" w:pos="5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Incorporation of Other Agreements. </w:t>
      </w:r>
      <w:r>
        <w:rPr>
          <w:rFonts w:ascii="Times New Roman" w:cs="Times New Roman" w:eastAsia="Times New Roman" w:hAnsi="Times New Roman"/>
          <w:sz w:val="22"/>
          <w:szCs w:val="22"/>
          <w:color w:val="auto"/>
        </w:rPr>
        <w:t>This Agreement and the Plan constitute the entire understanding between you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regarding the Option. This Agreement supersedes any prior agreements, commitments or negotiations concerning the Option.</w:t>
      </w:r>
    </w:p>
    <w:p>
      <w:pPr>
        <w:spacing w:after="0" w:line="98" w:lineRule="exact"/>
        <w:rPr>
          <w:rFonts w:ascii="Times New Roman" w:cs="Times New Roman" w:eastAsia="Times New Roman" w:hAnsi="Times New Roman"/>
          <w:sz w:val="22"/>
          <w:szCs w:val="22"/>
          <w:color w:val="auto"/>
        </w:rPr>
      </w:pPr>
    </w:p>
    <w:p>
      <w:pPr>
        <w:jc w:val="both"/>
        <w:ind w:firstLine="8"/>
        <w:spacing w:after="0" w:line="266" w:lineRule="auto"/>
        <w:tabs>
          <w:tab w:leader="none" w:pos="68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this Agreement will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06" w:lineRule="exact"/>
        <w:rPr>
          <w:rFonts w:ascii="Times New Roman" w:cs="Times New Roman" w:eastAsia="Times New Roman" w:hAnsi="Times New Roman"/>
          <w:sz w:val="22"/>
          <w:szCs w:val="22"/>
          <w:color w:val="auto"/>
        </w:rPr>
      </w:pPr>
    </w:p>
    <w:p>
      <w:pPr>
        <w:jc w:val="both"/>
        <w:ind w:firstLine="8"/>
        <w:spacing w:after="0" w:line="272" w:lineRule="auto"/>
        <w:tabs>
          <w:tab w:leader="none" w:pos="66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Plan, this Agreement, and all determinations made and actions taken under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84" w:lineRule="exact"/>
        <w:rPr>
          <w:rFonts w:ascii="Times New Roman" w:cs="Times New Roman" w:eastAsia="Times New Roman" w:hAnsi="Times New Roman"/>
          <w:sz w:val="22"/>
          <w:szCs w:val="22"/>
          <w:color w:val="auto"/>
        </w:rPr>
      </w:pPr>
    </w:p>
    <w:p>
      <w:pPr>
        <w:jc w:val="both"/>
        <w:ind w:firstLine="8"/>
        <w:spacing w:after="0" w:line="272" w:lineRule="auto"/>
        <w:tabs>
          <w:tab w:leader="none" w:pos="5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Acknowledgements and Acceptance. </w:t>
      </w:r>
      <w:r>
        <w:rPr>
          <w:rFonts w:ascii="Times New Roman" w:cs="Times New Roman" w:eastAsia="Times New Roman" w:hAnsi="Times New Roman"/>
          <w:sz w:val="22"/>
          <w:szCs w:val="22"/>
          <w:color w:val="auto"/>
        </w:rPr>
        <w:t>By accepting this Agreement, you agree that: (i) you have carefully read,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and agree to all of the terms and conditions described in this Agreement, the Plan, the Plan’s prospectus and all accompanying documentation; and (ii) you</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70" w:lineRule="auto"/>
        <w:rPr>
          <w:sz w:val="20"/>
          <w:szCs w:val="20"/>
          <w:color w:val="auto"/>
        </w:rPr>
      </w:pPr>
      <w:r>
        <w:rPr>
          <w:rFonts w:ascii="Times New Roman" w:cs="Times New Roman" w:eastAsia="Times New Roman" w:hAnsi="Times New Roman"/>
          <w:sz w:val="22"/>
          <w:szCs w:val="22"/>
          <w:color w:val="auto"/>
        </w:rPr>
        <w:t>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retain this Award, you must accept it on the Morgan Stanley website.</w:t>
      </w:r>
    </w:p>
    <w:p>
      <w:pPr>
        <w:sectPr>
          <w:pgSz w:w="11900" w:h="16838" w:orient="portrait"/>
          <w:cols w:equalWidth="0" w:num="1">
            <w:col w:w="11240"/>
          </w:cols>
          <w:pgMar w:left="320" w:top="1422"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VESTING SCHEDULE TABLE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[VESTING PROVISIONS CONSISTENT WITH THE PLAN]</w:t>
      </w:r>
    </w:p>
    <w:p>
      <w:pPr>
        <w:sectPr>
          <w:pgSz w:w="11900" w:h="16838" w:orient="portrait"/>
          <w:cols w:equalWidth="0" w:num="1">
            <w:col w:w="9019"/>
          </w:cols>
          <w:pgMar w:left="1440" w:top="1418"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STOCK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HONEYWELL INTERNATIONAL INC. AND ITS AFFILIATES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PLAN GRANT AGREEMENT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EID:</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Employee Name: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of Performance Stock Units Granted:</w:t>
      </w:r>
    </w:p>
    <w:p>
      <w:pPr>
        <w:spacing w:after="0" w:line="200" w:lineRule="exact"/>
        <w:rPr>
          <w:sz w:val="20"/>
          <w:szCs w:val="20"/>
          <w:color w:val="auto"/>
        </w:rPr>
      </w:pPr>
    </w:p>
    <w:p>
      <w:pPr>
        <w:spacing w:after="0" w:line="2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This PERFORMANCE STOCK UNIT AGREEMENT made in Charlotte, North Carolina, as of the [GRANT DATE] (the “Grant Date”), between Honeywell International Inc. (the “Company”) and the Company senior executive named above (the “Participant”).</w:t>
      </w:r>
    </w:p>
    <w:p>
      <w:pPr>
        <w:spacing w:after="0" w:line="87" w:lineRule="exact"/>
        <w:rPr>
          <w:sz w:val="20"/>
          <w:szCs w:val="20"/>
          <w:color w:val="auto"/>
        </w:rPr>
      </w:pPr>
    </w:p>
    <w:p>
      <w:pPr>
        <w:jc w:val="both"/>
        <w:ind w:firstLine="8"/>
        <w:spacing w:after="0" w:line="272" w:lineRule="auto"/>
        <w:tabs>
          <w:tab w:leader="none" w:pos="4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Performance Award. </w:t>
      </w:r>
      <w:r>
        <w:rPr>
          <w:rFonts w:ascii="Times New Roman" w:cs="Times New Roman" w:eastAsia="Times New Roman" w:hAnsi="Times New Roman"/>
          <w:sz w:val="22"/>
          <w:szCs w:val="22"/>
          <w:color w:val="auto"/>
        </w:rPr>
        <w:t>The Company has granted you a target number (“Target Award”)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Performance Award (“Performance Stock Units”), subject to the terms of this Agreement and the 2016 Stock Incentive Plan of Honeywell International Inc. and Its Affiliates (the “Plan”).</w:t>
      </w:r>
    </w:p>
    <w:p>
      <w:pPr>
        <w:spacing w:after="0" w:line="1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 will hold the Performance Stock Units and [Additional Performance Stock Units (as defined in Section 4)] in a bookkeeping account on your behalf until they become payable or are forfeited or cancelled.</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The details for this grant can be found on the Morgan Stanley StockPlan Connect website at </w:t>
      </w:r>
      <w:r>
        <w:rPr>
          <w:rFonts w:ascii="Times New Roman" w:cs="Times New Roman" w:eastAsia="Times New Roman" w:hAnsi="Times New Roman"/>
          <w:sz w:val="22"/>
          <w:szCs w:val="22"/>
          <w:u w:val="single" w:color="auto"/>
          <w:color w:val="auto"/>
        </w:rPr>
        <w:t>www.stockplanconnect.com</w:t>
      </w:r>
      <w:r>
        <w:rPr>
          <w:rFonts w:ascii="Times New Roman" w:cs="Times New Roman" w:eastAsia="Times New Roman" w:hAnsi="Times New Roman"/>
          <w:sz w:val="22"/>
          <w:szCs w:val="2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01"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Agreement, the following definitions apply:</w:t>
      </w:r>
    </w:p>
    <w:p>
      <w:pPr>
        <w:spacing w:after="0" w:line="169" w:lineRule="exact"/>
        <w:rPr>
          <w:rFonts w:ascii="Times New Roman" w:cs="Times New Roman" w:eastAsia="Times New Roman" w:hAnsi="Times New Roman"/>
          <w:sz w:val="22"/>
          <w:szCs w:val="22"/>
          <w:color w:val="auto"/>
        </w:rPr>
      </w:pPr>
    </w:p>
    <w:p>
      <w:pPr>
        <w:jc w:val="both"/>
        <w:ind w:firstLine="656"/>
        <w:spacing w:after="0" w:line="270" w:lineRule="auto"/>
        <w:tabs>
          <w:tab w:leader="none" w:pos="108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spacing w:after="0" w:line="9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Cycle” means the [INSERT PERFORMANCE CYCLE DATES].</w:t>
      </w:r>
    </w:p>
    <w:p>
      <w:pPr>
        <w:spacing w:after="0" w:line="161" w:lineRule="exact"/>
        <w:rPr>
          <w:rFonts w:ascii="Times New Roman" w:cs="Times New Roman" w:eastAsia="Times New Roman" w:hAnsi="Times New Roman"/>
          <w:sz w:val="22"/>
          <w:szCs w:val="22"/>
          <w:color w:val="auto"/>
        </w:rPr>
      </w:pPr>
    </w:p>
    <w:p>
      <w:pPr>
        <w:jc w:val="both"/>
        <w:ind w:firstLine="8"/>
        <w:spacing w:after="0" w:line="260" w:lineRule="auto"/>
        <w:tabs>
          <w:tab w:leader="none" w:pos="52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Performance Measures. </w:t>
      </w:r>
      <w:r>
        <w:rPr>
          <w:rFonts w:ascii="Times New Roman" w:cs="Times New Roman" w:eastAsia="Times New Roman" w:hAnsi="Times New Roman"/>
          <w:sz w:val="22"/>
          <w:szCs w:val="22"/>
          <w:color w:val="auto"/>
        </w:rPr>
        <w:t>The Plan Payout Percentage shall be determined based on [INCLUDE IF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MEASURES ARE THE SAME, OTHERWISE DESCRIBE PERFORMANCE MEASURES: actual performance against pre-set goals of (a) total revenue, (b) average return on investment, (c) average segment margin rate, and (d) Total Shareholder Return (collectively the “Performance Measures”) for the Performance Cycle, with each Performance Measure equally weighted (25% each). The Plan Payout for each Performance Measure other than Total Shareholder Return shall be determined at the Company level (“Corporate”) for eligible employees not assigned to one of the Company’s strategic business groups or the Honeywell Connected Enterprise business unit (collectively, an “SBG”), and 50% at the Company level and 50% at the SBG level for other eligible employees; provided, however, that the average return on</w:t>
      </w:r>
    </w:p>
    <w:p>
      <w:pPr>
        <w:sectPr>
          <w:pgSz w:w="11900" w:h="16838" w:orient="portrait"/>
          <w:cols w:equalWidth="0" w:num="1">
            <w:col w:w="11240"/>
          </w:cols>
          <w:pgMar w:left="320" w:top="1418" w:right="339" w:bottom="1440" w:gutter="0" w:footer="0" w:header="0"/>
        </w:sectPr>
      </w:pPr>
    </w:p>
    <w:bookmarkStart w:id="80" w:name="page81"/>
    <w:bookmarkEnd w:id="80"/>
    <w:p>
      <w:pPr>
        <w:jc w:val="both"/>
        <w:spacing w:after="0" w:line="265" w:lineRule="auto"/>
        <w:rPr>
          <w:sz w:val="20"/>
          <w:szCs w:val="20"/>
          <w:color w:val="auto"/>
        </w:rPr>
      </w:pPr>
      <w:r>
        <w:rPr>
          <w:rFonts w:ascii="Times New Roman" w:cs="Times New Roman" w:eastAsia="Times New Roman" w:hAnsi="Times New Roman"/>
          <w:sz w:val="22"/>
          <w:szCs w:val="22"/>
          <w:color w:val="auto"/>
        </w:rPr>
        <w:t>investment Performance Measure for eligible employees assigned to the Honeywell Connected Enterprise business unit shall be determined 100% at the Company level.] For purposes of this determination, if an eligible employee transfers from one of the Company’s business units (i.e., an SBG or Corporate) to another during the Performance Cycle, their Actual Award will be prorated for the number of days actively employed in each business unit during the Performance Cycle.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[DESCRIBE ADDITIONAL PERFORMANCE MEASURES]</w:t>
      </w:r>
    </w:p>
    <w:p>
      <w:pPr>
        <w:spacing w:after="0" w:line="148" w:lineRule="exact"/>
        <w:rPr>
          <w:sz w:val="20"/>
          <w:szCs w:val="20"/>
          <w:color w:val="auto"/>
        </w:rPr>
      </w:pPr>
    </w:p>
    <w:p>
      <w:pPr>
        <w:jc w:val="both"/>
        <w:ind w:firstLine="8"/>
        <w:spacing w:after="0" w:line="258" w:lineRule="auto"/>
        <w:tabs>
          <w:tab w:leader="none" w:pos="47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[INCLUDE IF DIVIDEND EQUIVALENTS ARE PROVIDED UNDER GRANT: Dividend Equivalents. </w:t>
      </w:r>
      <w:r>
        <w:rPr>
          <w:rFonts w:ascii="Times New Roman" w:cs="Times New Roman" w:eastAsia="Times New Roman" w:hAnsi="Times New Roman"/>
          <w:sz w:val="22"/>
          <w:szCs w:val="22"/>
          <w:color w:val="auto"/>
        </w:rPr>
        <w:t>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 (a)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spacing w:after="0" w:line="115" w:lineRule="exact"/>
        <w:rPr>
          <w:rFonts w:ascii="Times New Roman" w:cs="Times New Roman" w:eastAsia="Times New Roman" w:hAnsi="Times New Roman"/>
          <w:sz w:val="22"/>
          <w:szCs w:val="22"/>
          <w:color w:val="auto"/>
        </w:rPr>
      </w:pPr>
    </w:p>
    <w:p>
      <w:pPr>
        <w:ind w:right="20" w:firstLine="8"/>
        <w:spacing w:after="0" w:line="287" w:lineRule="auto"/>
        <w:tabs>
          <w:tab w:leader="none" w:pos="48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Amount. </w:t>
      </w:r>
      <w:r>
        <w:rPr>
          <w:rFonts w:ascii="Times New Roman" w:cs="Times New Roman" w:eastAsia="Times New Roman" w:hAnsi="Times New Roman"/>
          <w:sz w:val="22"/>
          <w:szCs w:val="22"/>
          <w:color w:val="auto"/>
        </w:rPr>
        <w:t>Each Performance Stock Unit [and Additional Performance Stock Unit] represents one (1) Share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Your Actual Award will not exceed 200% of your Target Award.</w:t>
      </w:r>
    </w:p>
    <w:p>
      <w:pPr>
        <w:spacing w:after="0" w:line="83" w:lineRule="exact"/>
        <w:rPr>
          <w:rFonts w:ascii="Times New Roman" w:cs="Times New Roman" w:eastAsia="Times New Roman" w:hAnsi="Times New Roman"/>
          <w:sz w:val="22"/>
          <w:szCs w:val="22"/>
          <w:color w:val="auto"/>
        </w:rPr>
      </w:pPr>
    </w:p>
    <w:p>
      <w:pPr>
        <w:jc w:val="both"/>
        <w:ind w:firstLine="8"/>
        <w:spacing w:after="0" w:line="283" w:lineRule="auto"/>
        <w:tabs>
          <w:tab w:leader="none" w:pos="45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Vesting and Payment. </w:t>
      </w:r>
      <w:r>
        <w:rPr>
          <w:rFonts w:ascii="Times New Roman" w:cs="Times New Roman" w:eastAsia="Times New Roman" w:hAnsi="Times New Roman"/>
          <w:sz w:val="21"/>
          <w:szCs w:val="21"/>
          <w:color w:val="auto"/>
        </w:rPr>
        <w:t>Except as otherwise provided in this Agreement, the vesting and payment of an Actual Award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contingent upon (i) the achievement of a Plan Payout Percentage based on performance as described in Section 3 and Attachment A, and (ii) you remaining actively employed by the Company on [DESCRIBE VESTING PROVISIONS] (“Vesting Date”). [In no event will Additional Performance Stock Units be paid if the related Performance Stock Units have not vested.]</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[INCLUDE IF PAYMENT PROVISIONS ARE THE SAME, OTHERWISE DESCRIBE PAYMENT PROVISIONS Except as otherwise provided in Sections 8 and 10, if earned, the Actual Award will be paid 50% in Shares rounded up to the nearest whole Share, with the net Shares held</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22"/>
          <w:szCs w:val="22"/>
          <w:color w:val="auto"/>
        </w:rPr>
        <w:t>by you for at least one year from the Vesting Date. The remaining Actual Award will be converted and paid in cash, calculated by multiplying 50% of the Actual Award, stated in Shares, by the Fair Market Value of the Shares on the last trading day of the Performance Cycle.</w:t>
      </w:r>
    </w:p>
    <w:p>
      <w:pPr>
        <w:spacing w:after="0" w:line="1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If an Actual Award is due, payment in cash and Shares will be made as soon as practicable following the Vesting Date, but in no event later than two and one-half months following the end of the year in which vesting occurs.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cash portion of your Actual Award shall be expressed in U.S. dollars. Cash payment shall be made in the same currency as your pay (“Local Currency”). In the event you receive pay in more than one Local Currency, the currency used for payment will be at the discretion of the Company or your employer. The Company will convert the cash portion of your Actual Award from U.S. dollars to your Local Currency using the exchange rate in effect for the compensation planning cycle in the year of payment (i.e., the same rate used for converting annual bonuses to local currency in the first quarter of the year of payment). No payments will be credited with interest, and you may not defer any portion of the Actual Award hereunder.]</w:t>
      </w:r>
    </w:p>
    <w:p>
      <w:pPr>
        <w:spacing w:after="0" w:line="114" w:lineRule="exact"/>
        <w:rPr>
          <w:sz w:val="20"/>
          <w:szCs w:val="20"/>
          <w:color w:val="auto"/>
        </w:rPr>
      </w:pPr>
    </w:p>
    <w:p>
      <w:pPr>
        <w:jc w:val="both"/>
        <w:ind w:firstLine="8"/>
        <w:spacing w:after="0" w:line="266" w:lineRule="auto"/>
        <w:tabs>
          <w:tab w:leader="none" w:pos="40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Except as otherwise provided in this Agreement, if your Termination of Employment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 death or Disability before the Vesting Date, any unvested Performance Stock Units [and Additional Performance Stock Units] will immediately be forfeited and your rights with respect to future payments under this Agreement will end.</w:t>
      </w:r>
    </w:p>
    <w:p>
      <w:pPr>
        <w:spacing w:after="0" w:line="106" w:lineRule="exact"/>
        <w:rPr>
          <w:rFonts w:ascii="Times New Roman" w:cs="Times New Roman" w:eastAsia="Times New Roman" w:hAnsi="Times New Roman"/>
          <w:sz w:val="22"/>
          <w:szCs w:val="22"/>
          <w:color w:val="auto"/>
        </w:rPr>
      </w:pPr>
    </w:p>
    <w:p>
      <w:pPr>
        <w:jc w:val="both"/>
        <w:ind w:firstLine="8"/>
        <w:spacing w:after="0" w:line="260" w:lineRule="auto"/>
        <w:tabs>
          <w:tab w:leader="none" w:pos="3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or Disability. </w:t>
      </w:r>
      <w:r>
        <w:rPr>
          <w:rFonts w:ascii="Times New Roman" w:cs="Times New Roman" w:eastAsia="Times New Roman" w:hAnsi="Times New Roman"/>
          <w:sz w:val="22"/>
          <w:szCs w:val="22"/>
          <w:color w:val="auto"/>
        </w:rPr>
        <w:t>If your Termination of Employment occurs because of your death or Disability before the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or your estate will receive the prorated value of your Actual Award. The prorated value of the Actual Award shall be determined by multiplying the Actual Award by a fraction, the numerator of which is the number of days you were actively employed before your Termination of Employment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spacing w:after="0" w:line="98" w:lineRule="exact"/>
        <w:rPr>
          <w:rFonts w:ascii="Times New Roman" w:cs="Times New Roman" w:eastAsia="Times New Roman" w:hAnsi="Times New Roman"/>
          <w:sz w:val="22"/>
          <w:szCs w:val="22"/>
          <w:color w:val="auto"/>
        </w:rPr>
      </w:pPr>
    </w:p>
    <w:p>
      <w:pPr>
        <w:jc w:val="both"/>
        <w:ind w:firstLine="8"/>
        <w:spacing w:after="0" w:line="266" w:lineRule="auto"/>
        <w:tabs>
          <w:tab w:leader="none" w:pos="43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the avoidance of doubt, if your Termination of Employment occurs solely because of your Retirement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age before the Vesting Date specified above, any unvested Performance Stock Units [and Additional Performance Stock Units] or unpaid Actual Award, as applicable, will immediately be forfeited and your rights with respect to future payments under this Agreement will end.</w:t>
      </w:r>
    </w:p>
    <w:p>
      <w:pPr>
        <w:spacing w:after="0" w:line="106" w:lineRule="exact"/>
        <w:rPr>
          <w:rFonts w:ascii="Times New Roman" w:cs="Times New Roman" w:eastAsia="Times New Roman" w:hAnsi="Times New Roman"/>
          <w:sz w:val="22"/>
          <w:szCs w:val="22"/>
          <w:color w:val="auto"/>
        </w:rPr>
      </w:pPr>
    </w:p>
    <w:p>
      <w:pPr>
        <w:ind w:firstLine="8"/>
        <w:spacing w:after="0" w:line="287" w:lineRule="auto"/>
        <w:tabs>
          <w:tab w:leader="none" w:pos="51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Notwithstanding anything in Sections 2 through 9 to the contrary, in the event of a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the Plan), the following provisions apply:</w:t>
      </w:r>
    </w:p>
    <w:p>
      <w:pPr>
        <w:spacing w:after="0" w:line="83" w:lineRule="exact"/>
        <w:rPr>
          <w:rFonts w:ascii="Times New Roman" w:cs="Times New Roman" w:eastAsia="Times New Roman" w:hAnsi="Times New Roman"/>
          <w:sz w:val="22"/>
          <w:szCs w:val="22"/>
          <w:color w:val="auto"/>
        </w:rPr>
      </w:pPr>
    </w:p>
    <w:p>
      <w:pPr>
        <w:ind w:right="20" w:firstLine="656"/>
        <w:spacing w:after="0" w:line="287" w:lineRule="auto"/>
        <w:tabs>
          <w:tab w:leader="none" w:pos="101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Rollover of Performance Awards. </w:t>
      </w:r>
      <w:r>
        <w:rPr>
          <w:rFonts w:ascii="Times New Roman" w:cs="Times New Roman" w:eastAsia="Times New Roman" w:hAnsi="Times New Roman"/>
          <w:sz w:val="22"/>
          <w:szCs w:val="22"/>
          <w:color w:val="auto"/>
        </w:rPr>
        <w:t>If adjusted or exchanged pursuant to Section 5.3(c) – (f) of the Plan,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[and Additional Performance Stock Units] that</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72" w:lineRule="auto"/>
        <w:rPr>
          <w:sz w:val="20"/>
          <w:szCs w:val="20"/>
          <w:color w:val="auto"/>
        </w:rPr>
      </w:pPr>
      <w:r>
        <w:rPr>
          <w:rFonts w:ascii="Times New Roman" w:cs="Times New Roman" w:eastAsia="Times New Roman" w:hAnsi="Times New Roman"/>
          <w:sz w:val="21"/>
          <w:szCs w:val="21"/>
          <w:color w:val="auto"/>
        </w:rPr>
        <w:t>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spacing w:after="0" w:line="100" w:lineRule="exact"/>
        <w:rPr>
          <w:sz w:val="20"/>
          <w:szCs w:val="20"/>
          <w:color w:val="auto"/>
        </w:rPr>
      </w:pPr>
    </w:p>
    <w:p>
      <w:pPr>
        <w:jc w:val="both"/>
        <w:ind w:firstLine="656"/>
        <w:spacing w:after="0" w:line="258" w:lineRule="auto"/>
        <w:tabs>
          <w:tab w:leader="none" w:pos="110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Cashout of Performance Awards. </w:t>
      </w:r>
      <w:r>
        <w:rPr>
          <w:rFonts w:ascii="Times New Roman" w:cs="Times New Roman" w:eastAsia="Times New Roman" w:hAnsi="Times New Roman"/>
          <w:sz w:val="22"/>
          <w:szCs w:val="22"/>
          <w:color w:val="auto"/>
        </w:rPr>
        <w:t>Unless adjusted or exchanged pursuant to Section 5.3(a) or 5.3(b)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rollover of outstanding awards in certain circumstances), Performance Stock Units [and Additional Performance Stock Units] that have not vested or terminated as of the date of the Change in Control will immediately vest. If the Change in Control occurs after the Performance Cycle has ended, you will receive your 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w:t>
      </w:r>
    </w:p>
    <w:p>
      <w:pPr>
        <w:spacing w:after="0" w:line="4" w:lineRule="exact"/>
        <w:rPr>
          <w:rFonts w:ascii="Times New Roman" w:cs="Times New Roman" w:eastAsia="Times New Roman" w:hAnsi="Times New Roman"/>
          <w:sz w:val="22"/>
          <w:szCs w:val="22"/>
          <w:color w:val="auto"/>
        </w:rPr>
      </w:pPr>
    </w:p>
    <w:p>
      <w:pPr>
        <w:jc w:val="both"/>
        <w:ind w:firstLine="8"/>
        <w:spacing w:after="0" w:line="271" w:lineRule="auto"/>
        <w:tabs>
          <w:tab w:leader="none" w:pos="27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94" w:lineRule="exact"/>
        <w:rPr>
          <w:rFonts w:ascii="Times New Roman" w:cs="Times New Roman" w:eastAsia="Times New Roman" w:hAnsi="Times New Roman"/>
          <w:sz w:val="21"/>
          <w:szCs w:val="21"/>
          <w:color w:val="auto"/>
        </w:rPr>
      </w:pPr>
    </w:p>
    <w:p>
      <w:pPr>
        <w:jc w:val="both"/>
        <w:ind w:firstLine="8"/>
        <w:spacing w:after="0" w:line="264" w:lineRule="auto"/>
        <w:tabs>
          <w:tab w:leader="none" w:pos="5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Withholdings. </w:t>
      </w:r>
      <w:r>
        <w:rPr>
          <w:rFonts w:ascii="Times New Roman" w:cs="Times New Roman" w:eastAsia="Times New Roman" w:hAnsi="Times New Roman"/>
          <w:sz w:val="22"/>
          <w:szCs w:val="22"/>
          <w:color w:val="auto"/>
        </w:rPr>
        <w:t>The Company or your local employer shall have the power and the right to deduct or withhold, or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to remit to the Company or to your local employer, prior to any issuance or delivery 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ectPr>
          <w:pgSz w:w="11900" w:h="16838" w:orient="portrait"/>
          <w:cols w:equalWidth="0" w:num="1">
            <w:col w:w="11240"/>
          </w:cols>
          <w:pgMar w:left="320" w:top="1422" w:right="339" w:bottom="1440" w:gutter="0" w:footer="0" w:header="0"/>
        </w:sectPr>
      </w:pPr>
    </w:p>
    <w:bookmarkStart w:id="83" w:name="page84"/>
    <w:bookmarkEnd w:id="83"/>
    <w:p>
      <w:pPr>
        <w:jc w:val="both"/>
        <w:ind w:firstLine="8"/>
        <w:spacing w:after="0" w:line="266" w:lineRule="auto"/>
        <w:tabs>
          <w:tab w:leader="none" w:pos="59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of Performance Award. </w:t>
      </w:r>
      <w:r>
        <w:rPr>
          <w:rFonts w:ascii="Times New Roman" w:cs="Times New Roman" w:eastAsia="Times New Roman" w:hAnsi="Times New Roman"/>
          <w:sz w:val="22"/>
          <w:szCs w:val="22"/>
          <w:color w:val="auto"/>
        </w:rPr>
        <w:t>You may not transfer the Performance Stock Units[, Additional Performance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or any interest in such Units or any portion of your Actual Award except by will or the laws of descent and distribution or except as permitted by the Committee and as specified in the Plan. Any other attempt to dispose of your interest will be null and void.</w:t>
      </w:r>
    </w:p>
    <w:p>
      <w:pPr>
        <w:spacing w:after="0" w:line="106"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Requirements for and Forfeiture of Award.</w:t>
      </w:r>
    </w:p>
    <w:p>
      <w:pPr>
        <w:spacing w:after="0" w:line="152" w:lineRule="exact"/>
        <w:rPr>
          <w:rFonts w:ascii="Times New Roman" w:cs="Times New Roman" w:eastAsia="Times New Roman" w:hAnsi="Times New Roman"/>
          <w:sz w:val="22"/>
          <w:szCs w:val="22"/>
          <w:color w:val="auto"/>
        </w:rPr>
      </w:pPr>
    </w:p>
    <w:p>
      <w:pPr>
        <w:jc w:val="both"/>
        <w:ind w:firstLine="656"/>
        <w:spacing w:after="0" w:line="275" w:lineRule="auto"/>
        <w:tabs>
          <w:tab w:leader="none" w:pos="1189"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This Award is expressly contingent upon you complying with the terms, conditions and 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Section 13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13,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01"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w:t>
      </w:r>
    </w:p>
    <w:p>
      <w:pPr>
        <w:spacing w:after="0" w:line="169" w:lineRule="exact"/>
        <w:rPr>
          <w:rFonts w:ascii="Times New Roman" w:cs="Times New Roman" w:eastAsia="Times New Roman" w:hAnsi="Times New Roman"/>
          <w:sz w:val="22"/>
          <w:szCs w:val="22"/>
          <w:color w:val="auto"/>
        </w:rPr>
      </w:pPr>
    </w:p>
    <w:p>
      <w:pPr>
        <w:ind w:left="880" w:hanging="398"/>
        <w:spacing w:after="0"/>
        <w:tabs>
          <w:tab w:leader="none" w:pos="88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agree and acknowledge that the forfeiture provisions of subsection 13.b.2. of this Agreement shall apply</w:t>
      </w:r>
    </w:p>
    <w:p>
      <w:pPr>
        <w:spacing w:after="0" w:line="40" w:lineRule="exact"/>
        <w:rPr>
          <w:rFonts w:ascii="Times New Roman" w:cs="Times New Roman" w:eastAsia="Times New Roman" w:hAnsi="Times New Roman"/>
          <w:sz w:val="21"/>
          <w:szCs w:val="21"/>
          <w:color w:val="auto"/>
        </w:rPr>
      </w:pPr>
    </w:p>
    <w:p>
      <w:pPr>
        <w:jc w:val="both"/>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w:t>
      </w:r>
    </w:p>
    <w:p>
      <w:pPr>
        <w:sectPr>
          <w:pgSz w:w="11900" w:h="16838" w:orient="portrait"/>
          <w:cols w:equalWidth="0" w:num="1">
            <w:col w:w="11240"/>
          </w:cols>
          <w:pgMar w:left="320" w:top="1418" w:right="339" w:bottom="1440" w:gutter="0" w:footer="0" w:header="0"/>
        </w:sectPr>
      </w:pPr>
    </w:p>
    <w:bookmarkStart w:id="84" w:name="page85"/>
    <w:bookmarkEnd w:id="84"/>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statement (in good faith) which is required by any applicable law or regulation or the order of a court or other governmental body.</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For purposes of this subsection 13.b.1,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58" w:lineRule="auto"/>
        <w:tabs>
          <w:tab w:leader="none" w:pos="171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their sole judgment, that you have violated the terms of any such agreement or you have engaged in an act that violates subsection 13.b.1. of this Agreement, or you are terminated for Cause (as defined in the Plan) or you voluntarily terminate your employment with less than a 60-day notice period, (i) any Performance Stock Units [and Additional Performance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and cash equal in value to the Actual Award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2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1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07" w:lineRule="exact"/>
        <w:rPr>
          <w:rFonts w:ascii="Times New Roman" w:cs="Times New Roman" w:eastAsia="Times New Roman" w:hAnsi="Times New Roman"/>
          <w:sz w:val="22"/>
          <w:szCs w:val="22"/>
          <w:color w:val="auto"/>
        </w:rPr>
      </w:pPr>
    </w:p>
    <w:p>
      <w:pPr>
        <w:jc w:val="both"/>
        <w:ind w:firstLine="8"/>
        <w:spacing w:after="0" w:line="262" w:lineRule="auto"/>
        <w:tabs>
          <w:tab w:leader="none" w:pos="51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Restrictions on Payment of Shares. </w:t>
      </w:r>
      <w:r>
        <w:rPr>
          <w:rFonts w:ascii="Times New Roman" w:cs="Times New Roman" w:eastAsia="Times New Roman" w:hAnsi="Times New Roman"/>
          <w:sz w:val="22"/>
          <w:szCs w:val="22"/>
          <w:color w:val="auto"/>
        </w:rPr>
        <w:t>Payment of Shares is subject to the conditions that, to the extent required at the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exercise, (i) the Shares underlying the Award and/or Actual Award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97"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Adjustments. </w:t>
      </w:r>
      <w:r>
        <w:rPr>
          <w:rFonts w:ascii="Times New Roman" w:cs="Times New Roman" w:eastAsia="Times New Roman" w:hAnsi="Times New Roman"/>
          <w:sz w:val="22"/>
          <w:szCs w:val="22"/>
          <w:color w:val="auto"/>
        </w:rPr>
        <w:t>Any adjustments to this Performance Award will be governed by Section 5.3 of the Plan.</w:t>
      </w:r>
    </w:p>
    <w:p>
      <w:pPr>
        <w:sectPr>
          <w:pgSz w:w="11900" w:h="16838" w:orient="portrait"/>
          <w:cols w:equalWidth="0" w:num="1">
            <w:col w:w="11240"/>
          </w:cols>
          <w:pgMar w:left="320" w:top="1422" w:right="339" w:bottom="1440" w:gutter="0" w:footer="0" w:header="0"/>
        </w:sectPr>
      </w:pPr>
    </w:p>
    <w:bookmarkStart w:id="85" w:name="page86"/>
    <w:bookmarkEnd w:id="85"/>
    <w:p>
      <w:pPr>
        <w:jc w:val="both"/>
        <w:ind w:left="-8" w:firstLine="8"/>
        <w:spacing w:after="0" w:line="279" w:lineRule="auto"/>
        <w:tabs>
          <w:tab w:leader="none" w:pos="53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Disposition of Securities. </w:t>
      </w:r>
      <w:r>
        <w:rPr>
          <w:rFonts w:ascii="Times New Roman" w:cs="Times New Roman" w:eastAsia="Times New Roman" w:hAnsi="Times New Roman"/>
          <w:sz w:val="21"/>
          <w:szCs w:val="21"/>
          <w:color w:val="auto"/>
        </w:rPr>
        <w:t>By accepting the Performance Award, you acknowledge that you have read and understand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policy, and are aware of and understand your obligations under 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spacing w:after="0" w:line="94" w:lineRule="exact"/>
        <w:rPr>
          <w:rFonts w:ascii="Times New Roman" w:cs="Times New Roman" w:eastAsia="Times New Roman" w:hAnsi="Times New Roman"/>
          <w:sz w:val="21"/>
          <w:szCs w:val="21"/>
          <w:color w:val="auto"/>
        </w:rPr>
      </w:pPr>
    </w:p>
    <w:p>
      <w:pPr>
        <w:jc w:val="both"/>
        <w:ind w:left="-8" w:firstLine="8"/>
        <w:spacing w:after="0" w:line="273" w:lineRule="auto"/>
        <w:tabs>
          <w:tab w:leader="none" w:pos="62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Plan Terms Govern. </w:t>
      </w:r>
      <w:r>
        <w:rPr>
          <w:rFonts w:ascii="Times New Roman" w:cs="Times New Roman" w:eastAsia="Times New Roman" w:hAnsi="Times New Roman"/>
          <w:sz w:val="21"/>
          <w:szCs w:val="21"/>
          <w:color w:val="auto"/>
        </w:rPr>
        <w:t>This Award (including the vesting and redemption of Performance Stock Units [or Additional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Stock Units], the disposition of any Shares received,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(including but not limited to, Total Shareholder Return and the Company’s ranking within the Compensation Peer Group) shall be final, binding and conclusive on you in accordance with Article III of the Plan.</w:t>
      </w:r>
    </w:p>
    <w:p>
      <w:pPr>
        <w:spacing w:after="0" w:line="88" w:lineRule="exact"/>
        <w:rPr>
          <w:rFonts w:ascii="Times New Roman" w:cs="Times New Roman" w:eastAsia="Times New Roman" w:hAnsi="Times New Roman"/>
          <w:sz w:val="21"/>
          <w:szCs w:val="21"/>
          <w:color w:val="auto"/>
        </w:rPr>
      </w:pPr>
    </w:p>
    <w:p>
      <w:pPr>
        <w:ind w:left="492" w:hanging="492"/>
        <w:spacing w:after="0"/>
        <w:tabs>
          <w:tab w:leader="none" w:pos="49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Data.</w:t>
      </w:r>
    </w:p>
    <w:p>
      <w:pPr>
        <w:spacing w:after="0" w:line="169"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102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spacing w:after="0" w:line="104" w:lineRule="exact"/>
        <w:rPr>
          <w:rFonts w:ascii="Times New Roman" w:cs="Times New Roman" w:eastAsia="Times New Roman" w:hAnsi="Times New Roman"/>
          <w:sz w:val="22"/>
          <w:szCs w:val="22"/>
          <w:color w:val="auto"/>
        </w:rPr>
      </w:pPr>
    </w:p>
    <w:p>
      <w:pPr>
        <w:jc w:val="both"/>
        <w:ind w:left="-8" w:firstLine="656"/>
        <w:spacing w:after="0" w:line="263" w:lineRule="auto"/>
        <w:tabs>
          <w:tab w:leader="none" w:pos="110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spacing w:after="0" w:line="98"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102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part or all of your Data may be also held by the Company or its Affiliates, pursuant to a transfer made in the past with your consent, in respect of any previous grant of Performance Stock Units or awards, which was made for the same purposes of managing and administering of previous award/incentive plans, or for other purposes.</w:t>
      </w:r>
    </w:p>
    <w:p>
      <w:pPr>
        <w:spacing w:after="0" w:line="104" w:lineRule="exact"/>
        <w:rPr>
          <w:rFonts w:ascii="Times New Roman" w:cs="Times New Roman" w:eastAsia="Times New Roman" w:hAnsi="Times New Roman"/>
          <w:sz w:val="22"/>
          <w:szCs w:val="22"/>
          <w:color w:val="auto"/>
        </w:rPr>
      </w:pPr>
    </w:p>
    <w:p>
      <w:pPr>
        <w:jc w:val="both"/>
        <w:ind w:left="-8" w:firstLine="656"/>
        <w:spacing w:after="0" w:line="265" w:lineRule="auto"/>
        <w:tabs>
          <w:tab w:leader="none" w:pos="109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ectPr>
          <w:pgSz w:w="11900" w:h="16838" w:orient="portrait"/>
          <w:cols w:equalWidth="0" w:num="1">
            <w:col w:w="11232"/>
          </w:cols>
          <w:pgMar w:left="328" w:top="1418" w:right="339" w:bottom="1440" w:gutter="0" w:footer="0" w:header="0"/>
        </w:sectPr>
      </w:pPr>
    </w:p>
    <w:bookmarkStart w:id="86" w:name="page87"/>
    <w:bookmarkEnd w:id="86"/>
    <w:p>
      <w:pPr>
        <w:jc w:val="both"/>
        <w:ind w:left="-8" w:firstLine="656"/>
        <w:spacing w:after="0" w:line="261" w:lineRule="auto"/>
        <w:tabs>
          <w:tab w:leader="none" w:pos="109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7"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98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spacing w:after="0" w:line="87" w:lineRule="exact"/>
        <w:rPr>
          <w:rFonts w:ascii="Times New Roman" w:cs="Times New Roman" w:eastAsia="Times New Roman" w:hAnsi="Times New Roman"/>
          <w:sz w:val="22"/>
          <w:szCs w:val="22"/>
          <w:color w:val="auto"/>
        </w:rPr>
      </w:pPr>
    </w:p>
    <w:p>
      <w:pPr>
        <w:ind w:left="-8" w:firstLine="8"/>
        <w:spacing w:after="0" w:line="287" w:lineRule="auto"/>
        <w:tabs>
          <w:tab w:leader="none" w:pos="5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Discretionary Nature and Acceptance of Performance Award. </w:t>
      </w:r>
      <w:r>
        <w:rPr>
          <w:rFonts w:ascii="Times New Roman" w:cs="Times New Roman" w:eastAsia="Times New Roman" w:hAnsi="Times New Roman"/>
          <w:sz w:val="22"/>
          <w:szCs w:val="22"/>
          <w:color w:val="auto"/>
        </w:rPr>
        <w:t>By accepting this Performance Award, you agree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bound by the terms of this Agreement and acknowledge that:</w:t>
      </w:r>
    </w:p>
    <w:p>
      <w:pPr>
        <w:spacing w:after="0" w:line="87" w:lineRule="exact"/>
        <w:rPr>
          <w:rFonts w:ascii="Times New Roman" w:cs="Times New Roman" w:eastAsia="Times New Roman" w:hAnsi="Times New Roman"/>
          <w:sz w:val="22"/>
          <w:szCs w:val="22"/>
          <w:color w:val="auto"/>
        </w:rPr>
      </w:pPr>
    </w:p>
    <w:p>
      <w:pPr>
        <w:jc w:val="both"/>
        <w:ind w:left="-8" w:firstLine="656"/>
        <w:spacing w:after="0" w:line="270" w:lineRule="auto"/>
        <w:tabs>
          <w:tab w:leader="none" w:pos="101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not your local employer) is granting these Performance Stock Units [and Additional Performance Stock Units]. This Agreement is not derived from any preexisting labor relationship between you and the Company, but rather from a mercantile relationship.</w:t>
      </w:r>
    </w:p>
    <w:p>
      <w:pPr>
        <w:spacing w:after="0" w:line="104" w:lineRule="exact"/>
        <w:rPr>
          <w:rFonts w:ascii="Times New Roman" w:cs="Times New Roman" w:eastAsia="Times New Roman" w:hAnsi="Times New Roman"/>
          <w:sz w:val="22"/>
          <w:szCs w:val="22"/>
          <w:color w:val="auto"/>
        </w:rPr>
      </w:pPr>
    </w:p>
    <w:p>
      <w:pPr>
        <w:ind w:left="-8" w:firstLine="656"/>
        <w:spacing w:after="0" w:line="284" w:lineRule="auto"/>
        <w:tabs>
          <w:tab w:leader="none" w:pos="104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administer the Plan from outside your country of residence and United States law will govern all Performance Stock Units [and Additional Performance Stock Units] granted under the Plan.</w:t>
      </w:r>
    </w:p>
    <w:p>
      <w:pPr>
        <w:spacing w:after="0" w:line="76" w:lineRule="exact"/>
        <w:rPr>
          <w:rFonts w:ascii="Times New Roman" w:cs="Times New Roman" w:eastAsia="Times New Roman" w:hAnsi="Times New Roman"/>
          <w:sz w:val="22"/>
          <w:szCs w:val="22"/>
          <w:color w:val="auto"/>
        </w:rPr>
      </w:pPr>
    </w:p>
    <w:p>
      <w:pPr>
        <w:ind w:left="-8" w:firstLine="656"/>
        <w:spacing w:after="0" w:line="284" w:lineRule="auto"/>
        <w:tabs>
          <w:tab w:leader="none" w:pos="103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and rights provided under the Plan are wholly discretionary and, although provided by the Company, do not constitute regular or periodic payments.</w:t>
      </w:r>
    </w:p>
    <w:p>
      <w:pPr>
        <w:spacing w:after="0" w:line="89" w:lineRule="exact"/>
        <w:rPr>
          <w:rFonts w:ascii="Times New Roman" w:cs="Times New Roman" w:eastAsia="Times New Roman" w:hAnsi="Times New Roman"/>
          <w:sz w:val="22"/>
          <w:szCs w:val="22"/>
          <w:color w:val="auto"/>
        </w:rPr>
      </w:pPr>
    </w:p>
    <w:p>
      <w:pPr>
        <w:jc w:val="both"/>
        <w:ind w:left="-8" w:firstLine="656"/>
        <w:spacing w:after="0" w:line="260" w:lineRule="auto"/>
        <w:tabs>
          <w:tab w:leader="none" w:pos="106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20" w:lineRule="exact"/>
        <w:rPr>
          <w:rFonts w:ascii="Times New Roman" w:cs="Times New Roman" w:eastAsia="Times New Roman" w:hAnsi="Times New Roman"/>
          <w:sz w:val="22"/>
          <w:szCs w:val="22"/>
          <w:color w:val="auto"/>
        </w:rPr>
      </w:pPr>
    </w:p>
    <w:p>
      <w:pPr>
        <w:jc w:val="both"/>
        <w:ind w:left="-8" w:firstLine="656"/>
        <w:spacing w:after="0" w:line="261" w:lineRule="auto"/>
        <w:tabs>
          <w:tab w:leader="none" w:pos="105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ectPr>
          <w:pgSz w:w="11900" w:h="16838" w:orient="portrait"/>
          <w:cols w:equalWidth="0" w:num="1">
            <w:col w:w="11232"/>
          </w:cols>
          <w:pgMar w:left="328" w:top="1422" w:right="339" w:bottom="1440" w:gutter="0" w:footer="0" w:header="0"/>
        </w:sectPr>
      </w:pPr>
    </w:p>
    <w:bookmarkStart w:id="87" w:name="page88"/>
    <w:bookmarkEnd w:id="87"/>
    <w:p>
      <w:pPr>
        <w:jc w:val="both"/>
        <w:ind w:firstLine="656"/>
        <w:spacing w:after="0" w:line="270" w:lineRule="auto"/>
        <w:tabs>
          <w:tab w:leader="none" w:pos="109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Times New Roman" w:cs="Times New Roman" w:eastAsia="Times New Roman" w:hAnsi="Times New Roman"/>
          <w:sz w:val="22"/>
          <w:szCs w:val="22"/>
          <w:color w:val="auto"/>
        </w:rPr>
      </w:pPr>
    </w:p>
    <w:p>
      <w:pPr>
        <w:ind w:right="20" w:firstLine="656"/>
        <w:spacing w:after="0" w:line="284" w:lineRule="auto"/>
        <w:tabs>
          <w:tab w:leader="none" w:pos="121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will not be deemed to constitute, and will not be deemed by you to constitute, an employment or labor relationship of any kind with the Company.</w:t>
      </w:r>
    </w:p>
    <w:p>
      <w:pPr>
        <w:spacing w:after="0" w:line="72" w:lineRule="exact"/>
        <w:rPr>
          <w:rFonts w:ascii="Times New Roman" w:cs="Times New Roman" w:eastAsia="Times New Roman" w:hAnsi="Times New Roman"/>
          <w:sz w:val="22"/>
          <w:szCs w:val="22"/>
          <w:color w:val="auto"/>
        </w:rPr>
      </w:pPr>
    </w:p>
    <w:p>
      <w:pPr>
        <w:jc w:val="both"/>
        <w:ind w:firstLine="8"/>
        <w:spacing w:after="0" w:line="262" w:lineRule="auto"/>
        <w:tabs>
          <w:tab w:leader="none" w:pos="48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Nothing in this Agreement or the Plan gives you any right to continue in the employ of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or to interfere in any way with the right of the Company or any Affiliate to 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spacing w:after="0" w:line="111" w:lineRule="exact"/>
        <w:rPr>
          <w:rFonts w:ascii="Times New Roman" w:cs="Times New Roman" w:eastAsia="Times New Roman" w:hAnsi="Times New Roman"/>
          <w:sz w:val="22"/>
          <w:szCs w:val="22"/>
          <w:color w:val="auto"/>
        </w:rPr>
      </w:pPr>
    </w:p>
    <w:p>
      <w:pPr>
        <w:jc w:val="both"/>
        <w:ind w:firstLine="8"/>
        <w:spacing w:after="0" w:line="272" w:lineRule="auto"/>
        <w:tabs>
          <w:tab w:leader="none" w:pos="5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Incorporation of Other Agreements. </w:t>
      </w:r>
      <w:r>
        <w:rPr>
          <w:rFonts w:ascii="Times New Roman" w:cs="Times New Roman" w:eastAsia="Times New Roman" w:hAnsi="Times New Roman"/>
          <w:sz w:val="22"/>
          <w:szCs w:val="22"/>
          <w:color w:val="auto"/>
        </w:rPr>
        <w:t>This Agreement and the Plan constitute the entire understanding between you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regarding the Performance Stock Units. This Agreement supersedes any prior agreements, commitments or negotiations concerning the Performance Stock Units [and Additional Performance Stock Units].</w:t>
      </w:r>
    </w:p>
    <w:p>
      <w:pPr>
        <w:spacing w:after="0" w:line="98" w:lineRule="exact"/>
        <w:rPr>
          <w:rFonts w:ascii="Times New Roman" w:cs="Times New Roman" w:eastAsia="Times New Roman" w:hAnsi="Times New Roman"/>
          <w:sz w:val="22"/>
          <w:szCs w:val="22"/>
          <w:color w:val="auto"/>
        </w:rPr>
      </w:pPr>
    </w:p>
    <w:p>
      <w:pPr>
        <w:jc w:val="both"/>
        <w:ind w:firstLine="8"/>
        <w:spacing w:after="0" w:line="266" w:lineRule="auto"/>
        <w:tabs>
          <w:tab w:leader="none" w:pos="6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invalidity or unenforceability of any provision of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93" w:lineRule="exact"/>
        <w:rPr>
          <w:rFonts w:ascii="Times New Roman" w:cs="Times New Roman" w:eastAsia="Times New Roman" w:hAnsi="Times New Roman"/>
          <w:sz w:val="22"/>
          <w:szCs w:val="22"/>
          <w:color w:val="auto"/>
        </w:rPr>
      </w:pPr>
    </w:p>
    <w:p>
      <w:pPr>
        <w:jc w:val="both"/>
        <w:ind w:firstLine="8"/>
        <w:spacing w:after="0" w:line="272" w:lineRule="auto"/>
        <w:tabs>
          <w:tab w:leader="none" w:pos="6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Plan, this Agreement, and all determinations made and actions taken under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98" w:lineRule="exact"/>
        <w:rPr>
          <w:rFonts w:ascii="Times New Roman" w:cs="Times New Roman" w:eastAsia="Times New Roman" w:hAnsi="Times New Roman"/>
          <w:sz w:val="22"/>
          <w:szCs w:val="22"/>
          <w:color w:val="auto"/>
        </w:rPr>
      </w:pPr>
    </w:p>
    <w:p>
      <w:pPr>
        <w:jc w:val="both"/>
        <w:ind w:firstLine="8"/>
        <w:spacing w:after="0" w:line="272" w:lineRule="auto"/>
        <w:tabs>
          <w:tab w:leader="none" w:pos="5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Agreement Changes. </w:t>
      </w:r>
      <w:r>
        <w:rPr>
          <w:rFonts w:ascii="Times New Roman" w:cs="Times New Roman" w:eastAsia="Times New Roman" w:hAnsi="Times New Roman"/>
          <w:sz w:val="22"/>
          <w:szCs w:val="22"/>
          <w:color w:val="auto"/>
        </w:rPr>
        <w:t>The Company reserves the right to change the terms of this Agreement and the Plan without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to the extent necessary or desirable to comply with the requirements of Code section 409A, the Treasury regulations and other guidance thereunder.</w:t>
      </w:r>
    </w:p>
    <w:p>
      <w:pPr>
        <w:spacing w:after="0" w:line="98" w:lineRule="exact"/>
        <w:rPr>
          <w:rFonts w:ascii="Times New Roman" w:cs="Times New Roman" w:eastAsia="Times New Roman" w:hAnsi="Times New Roman"/>
          <w:sz w:val="22"/>
          <w:szCs w:val="22"/>
          <w:color w:val="auto"/>
        </w:rPr>
      </w:pPr>
    </w:p>
    <w:p>
      <w:pPr>
        <w:jc w:val="both"/>
        <w:ind w:firstLine="8"/>
        <w:spacing w:after="0" w:line="264" w:lineRule="auto"/>
        <w:tabs>
          <w:tab w:leader="none" w:pos="5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Acknowledgements and Acceptance. </w:t>
      </w:r>
      <w:r>
        <w:rPr>
          <w:rFonts w:ascii="Times New Roman" w:cs="Times New Roman" w:eastAsia="Times New Roman" w:hAnsi="Times New Roman"/>
          <w:sz w:val="22"/>
          <w:szCs w:val="22"/>
          <w:color w:val="auto"/>
        </w:rPr>
        <w:t>By signing this Agreement (including via electronic signature), you agree that: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retain this Award, you must accept it [through Docusign OR on the Morgan Stanley website].</w:t>
      </w:r>
    </w:p>
    <w:p>
      <w:pPr>
        <w:sectPr>
          <w:pgSz w:w="11900" w:h="16838" w:orient="portrait"/>
          <w:cols w:equalWidth="0" w:num="1">
            <w:col w:w="11240"/>
          </w:cols>
          <w:pgMar w:left="320" w:top="1422" w:right="339" w:bottom="1440" w:gutter="0" w:footer="0" w:header="0"/>
        </w:sectPr>
      </w:pPr>
    </w:p>
    <w:bookmarkStart w:id="88" w:name="page89"/>
    <w:bookmarkEnd w:id="8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2022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29, 2022</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2022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29, 2022</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March 31, 2022,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March 31, 2022,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2"/>
    </w:lvl>
  </w:abstractNum>
  <w:abstractNum w:abstractNumId="20">
    <w:nsid w:val="4F4EF005"/>
    <w:multiLevelType w:val="hybridMultilevel"/>
    <w:lvl w:ilvl="0">
      <w:lvlJc w:val="left"/>
      <w:lvlText w:val="%1."/>
      <w:numFmt w:val="decimal"/>
      <w:start w:val="4"/>
    </w:lvl>
    <w:lvl w:ilvl="1">
      <w:lvlJc w:val="left"/>
      <w:lvlText w:val="%2"/>
      <w:numFmt w:val="lowerLetter"/>
      <w:start w:val="1"/>
    </w:lvl>
  </w:abstractNum>
  <w:abstractNum w:abstractNumId="21">
    <w:nsid w:val="23F9C13C"/>
    <w:multiLevelType w:val="hybridMultilevel"/>
    <w:lvl w:ilvl="0">
      <w:lvlJc w:val="left"/>
      <w:lvlText w:val="%1"/>
      <w:numFmt w:val="decimal"/>
      <w:start w:val="1"/>
    </w:lvl>
    <w:lvl w:ilvl="1">
      <w:lvlJc w:val="left"/>
      <w:lvlText w:val="%2."/>
      <w:numFmt w:val="lowerLetter"/>
      <w:start w:val="2"/>
    </w:lvl>
  </w:abstractNum>
  <w:abstractNum w:abstractNumId="22">
    <w:nsid w:val="649BB77C"/>
    <w:multiLevelType w:val="hybridMultilevel"/>
    <w:lvl w:ilvl="0">
      <w:lvlJc w:val="left"/>
      <w:lvlText w:val="%1."/>
      <w:numFmt w:val="decimal"/>
      <w:start w:val="8"/>
    </w:lvl>
    <w:lvl w:ilvl="1">
      <w:lvlJc w:val="left"/>
      <w:lvlText w:val="%2."/>
      <w:numFmt w:val="lowerLetter"/>
      <w:start w:val="1"/>
    </w:lvl>
  </w:abstractNum>
  <w:abstractNum w:abstractNumId="23">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
    <w:nsid w:val="3938657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5">
    <w:nsid w:val="1CF10FD8"/>
    <w:multiLevelType w:val="hybridMultilevel"/>
    <w:lvl w:ilvl="0">
      <w:lvlJc w:val="left"/>
      <w:lvlText w:val="%1."/>
      <w:numFmt w:val="lowerLetter"/>
      <w:start w:val="2"/>
    </w:lvl>
    <w:lvl w:ilvl="1">
      <w:lvlJc w:val="left"/>
      <w:lvlText w:val="%2."/>
      <w:numFmt w:val="decimal"/>
      <w:start w:val="1"/>
    </w:lvl>
  </w:abstractNum>
  <w:abstractNum w:abstractNumId="26">
    <w:nsid w:val="180115BE"/>
    <w:multiLevelType w:val="hybridMultilevel"/>
    <w:lvl w:ilvl="0">
      <w:lvlJc w:val="left"/>
      <w:lvlText w:val="%1."/>
      <w:numFmt w:val="decimal"/>
      <w:start w:val="2"/>
    </w:lvl>
  </w:abstractNum>
  <w:abstractNum w:abstractNumId="27">
    <w:nsid w:val="235BA861"/>
    <w:multiLevelType w:val="hybridMultilevel"/>
    <w:lvl w:ilvl="0">
      <w:lvlJc w:val="left"/>
      <w:lvlText w:val="(%1)"/>
      <w:numFmt w:val="lowerRoman"/>
      <w:start w:val="1"/>
    </w:lvl>
    <w:lvl w:ilvl="1">
      <w:lvlJc w:val="left"/>
      <w:lvlText w:val="%2."/>
      <w:numFmt w:val="decimal"/>
      <w:start w:val="3"/>
    </w:lvl>
  </w:abstractNum>
  <w:abstractNum w:abstractNumId="28">
    <w:nsid w:val="47398C89"/>
    <w:multiLevelType w:val="hybridMultilevel"/>
    <w:lvl w:ilvl="0">
      <w:lvlJc w:val="left"/>
      <w:lvlText w:val="%1."/>
      <w:numFmt w:val="decimal"/>
      <w:start w:val="12"/>
    </w:lvl>
  </w:abstractNum>
  <w:abstractNum w:abstractNumId="29">
    <w:nsid w:val="354FE9F9"/>
    <w:multiLevelType w:val="hybridMultilevel"/>
    <w:lvl w:ilvl="0">
      <w:lvlJc w:val="left"/>
      <w:lvlText w:val="%1."/>
      <w:numFmt w:val="decimal"/>
      <w:start w:val="16"/>
    </w:lvl>
    <w:lvl w:ilvl="1">
      <w:lvlJc w:val="left"/>
      <w:lvlText w:val="%2."/>
      <w:numFmt w:val="lowerLetter"/>
      <w:start w:val="4"/>
    </w:lvl>
    <w:lvl w:ilvl="2">
      <w:lvlJc w:val="left"/>
      <w:lvlText w:val="%3."/>
      <w:numFmt w:val="lowerLetter"/>
      <w:start w:val="3"/>
    </w:lvl>
    <w:lvl w:ilvl="3">
      <w:lvlJc w:val="left"/>
      <w:lvlText w:val="%4."/>
      <w:numFmt w:val="lowerLetter"/>
      <w:start w:val="1"/>
    </w:lvl>
    <w:lvl w:ilvl="4">
      <w:lvlJc w:val="left"/>
      <w:lvlText w:val="%5."/>
      <w:numFmt w:val="lowerLetter"/>
      <w:start w:val="3"/>
    </w:lvl>
    <w:lvl w:ilvl="5">
      <w:lvlJc w:val="left"/>
      <w:lvlText w:val="%6."/>
      <w:numFmt w:val="lowerLetter"/>
      <w:start w:val="1"/>
    </w:lvl>
  </w:abstractNum>
  <w:abstractNum w:abstractNumId="30">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6"/>
    </w:lvl>
  </w:abstractNum>
  <w:abstractNum w:abstractNumId="31">
    <w:nsid w:val="741226BB"/>
    <w:multiLevelType w:val="hybridMultilevel"/>
    <w:lvl w:ilvl="0">
      <w:lvlJc w:val="left"/>
      <w:lvlText w:val="%1."/>
      <w:numFmt w:val="decimal"/>
      <w:start w:val="17"/>
    </w:lvl>
    <w:lvl w:ilvl="1">
      <w:lvlJc w:val="left"/>
      <w:lvlText w:val="%2."/>
      <w:numFmt w:val="lowerLetter"/>
      <w:start w:val="4"/>
    </w:lvl>
    <w:lvl w:ilvl="2">
      <w:lvlJc w:val="left"/>
      <w:lvlText w:val="%3."/>
      <w:numFmt w:val="lowerLetter"/>
      <w:start w:val="3"/>
    </w:lvl>
    <w:lvl w:ilvl="3">
      <w:lvlJc w:val="left"/>
      <w:lvlText w:val="%4."/>
      <w:numFmt w:val="lowerLetter"/>
      <w:start w:val="1"/>
    </w:lvl>
    <w:lvl w:ilvl="4">
      <w:lvlJc w:val="left"/>
      <w:lvlText w:val="%5."/>
      <w:numFmt w:val="lowerLetter"/>
      <w:start w:val="1"/>
    </w:lvl>
  </w:abstractNum>
  <w:abstractNum w:abstractNumId="32">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7"/>
    </w:lvl>
  </w:abstractNum>
  <w:abstractNum w:abstractNumId="33">
    <w:nsid w:val="10233C99"/>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4">
    <w:nsid w:val="3F6AB60F"/>
    <w:multiLevelType w:val="hybridMultilevel"/>
    <w:lvl w:ilvl="0">
      <w:lvlJc w:val="left"/>
      <w:lvlText w:val="%1."/>
      <w:numFmt w:val="decimal"/>
      <w:start w:val="19"/>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2"/>
    </w:lvl>
    <w:lvl w:ilvl="3">
      <w:lvlJc w:val="left"/>
      <w:lvlText w:val="%4"/>
      <w:numFmt w:val="lowerLetter"/>
      <w:start w:val="1"/>
    </w:lvl>
  </w:abstractNum>
  <w:abstractNum w:abstractNumId="37">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38">
    <w:nsid w:val="579BE4F1"/>
    <w:multiLevelType w:val="hybridMultilevel"/>
    <w:lvl w:ilvl="0">
      <w:lvlJc w:val="left"/>
      <w:lvlText w:val="%1"/>
      <w:numFmt w:val="decimal"/>
      <w:start w:val="1"/>
    </w:lvl>
    <w:lvl w:ilvl="1">
      <w:lvlJc w:val="left"/>
      <w:lvlText w:val="%2."/>
      <w:numFmt w:val="lowerLetter"/>
      <w:start w:val="7"/>
    </w:lvl>
  </w:abstractNum>
  <w:abstractNum w:abstractNumId="39">
    <w:nsid w:val="310C50B3"/>
    <w:multiLevelType w:val="hybridMultilevel"/>
    <w:lvl w:ilvl="0">
      <w:lvlJc w:val="left"/>
      <w:lvlText w:val="%1."/>
      <w:numFmt w:val="decimal"/>
      <w:start w:val="3"/>
    </w:lvl>
    <w:lvl w:ilvl="1">
      <w:lvlJc w:val="left"/>
      <w:lvlText w:val="%2"/>
      <w:numFmt w:val="lowerLetter"/>
      <w:start w:val="1"/>
    </w:lvl>
  </w:abstractNum>
  <w:abstractNum w:abstractNumId="40">
    <w:nsid w:val="5FF87E05"/>
    <w:multiLevelType w:val="hybridMultilevel"/>
    <w:lvl w:ilvl="0">
      <w:lvlJc w:val="left"/>
      <w:lvlText w:val="%1."/>
      <w:numFmt w:val="decimal"/>
      <w:start w:val="4"/>
    </w:lvl>
  </w:abstractNum>
  <w:abstractNum w:abstractNumId="41">
    <w:nsid w:val="2F305DEF"/>
    <w:multiLevelType w:val="hybridMultilevel"/>
    <w:lvl w:ilvl="0">
      <w:lvlJc w:val="left"/>
      <w:lvlText w:val="%1."/>
      <w:numFmt w:val="decimal"/>
      <w:start w:val="7"/>
    </w:lvl>
  </w:abstractNum>
  <w:abstractNum w:abstractNumId="42">
    <w:nsid w:val="25A70BF7"/>
    <w:multiLevelType w:val="hybridMultilevel"/>
    <w:lvl w:ilvl="0">
      <w:lvlJc w:val="left"/>
      <w:lvlText w:val="%1."/>
      <w:numFmt w:val="decimal"/>
      <w:start w:val="9"/>
    </w:lvl>
  </w:abstractNum>
  <w:abstractNum w:abstractNumId="43">
    <w:nsid w:val="1DBABF00"/>
    <w:multiLevelType w:val="hybridMultilevel"/>
    <w:lvl w:ilvl="0">
      <w:lvlJc w:val="left"/>
      <w:lvlText w:val="%1."/>
      <w:numFmt w:val="decimal"/>
      <w:start w:val="10"/>
    </w:lvl>
    <w:lvl w:ilvl="1">
      <w:lvlJc w:val="left"/>
      <w:lvlText w:val="%2."/>
      <w:numFmt w:val="lowerLetter"/>
      <w:start w:val="1"/>
    </w:lvl>
  </w:abstractNum>
  <w:abstractNum w:abstractNumId="44">
    <w:nsid w:val="4AD084E9"/>
    <w:multiLevelType w:val="hybridMultilevel"/>
    <w:lvl w:ilvl="0">
      <w:lvlJc w:val="left"/>
      <w:lvlText w:val="%1"/>
      <w:numFmt w:val="lowerLetter"/>
      <w:start w:val="1"/>
    </w:lvl>
    <w:lvl w:ilvl="1">
      <w:lvlJc w:val="left"/>
      <w:lvlText w:val="%2."/>
      <w:numFmt w:val="lowerLetter"/>
      <w:start w:val="2"/>
    </w:lvl>
  </w:abstractNum>
  <w:abstractNum w:abstractNumId="45">
    <w:nsid w:val="1F48EAA1"/>
    <w:multiLevelType w:val="hybridMultilevel"/>
    <w:lvl w:ilvl="0">
      <w:lvlJc w:val="left"/>
      <w:lvlText w:val="(%1)"/>
      <w:numFmt w:val="lowerLetter"/>
      <w:start w:val="24"/>
    </w:lvl>
    <w:lvl w:ilvl="1">
      <w:lvlJc w:val="left"/>
      <w:lvlText w:val="%2"/>
      <w:numFmt w:val="lowerLetter"/>
      <w:start w:val="1"/>
    </w:lvl>
  </w:abstractNum>
  <w:abstractNum w:abstractNumId="46">
    <w:nsid w:val="1381823A"/>
    <w:multiLevelType w:val="hybridMultilevel"/>
    <w:lvl w:ilvl="0">
      <w:lvlJc w:val="left"/>
      <w:lvlText w:val="%1."/>
      <w:numFmt w:val="decimal"/>
      <w:start w:val="11"/>
    </w:lvl>
  </w:abstractNum>
  <w:abstractNum w:abstractNumId="47">
    <w:nsid w:val="5DB70AE5"/>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48">
    <w:nsid w:val="100F8FCA"/>
    <w:multiLevelType w:val="hybridMultilevel"/>
    <w:lvl w:ilvl="0">
      <w:lvlJc w:val="left"/>
      <w:lvlText w:val="%1"/>
      <w:numFmt w:val="decimal"/>
      <w:start w:val="1"/>
    </w:lvl>
    <w:lvl w:ilvl="1">
      <w:lvlJc w:val="left"/>
      <w:lvlText w:val="%2."/>
      <w:numFmt w:val="decimal"/>
      <w:start w:val="2"/>
    </w:lvl>
  </w:abstractNum>
  <w:abstractNum w:abstractNumId="49">
    <w:nsid w:val="6590700B"/>
    <w:multiLevelType w:val="hybridMultilevel"/>
    <w:lvl w:ilvl="0">
      <w:lvlJc w:val="left"/>
      <w:lvlText w:val="%1."/>
      <w:numFmt w:val="decimal"/>
      <w:start w:val="15"/>
    </w:lvl>
    <w:lvl w:ilvl="1">
      <w:lvlJc w:val="left"/>
      <w:lvlText w:val="%2"/>
      <w:numFmt w:val="decimal"/>
      <w:start w:val="1"/>
    </w:lvl>
  </w:abstractNum>
  <w:abstractNum w:abstractNumId="50">
    <w:nsid w:val="15014ACB"/>
    <w:multiLevelType w:val="hybridMultilevel"/>
    <w:lvl w:ilvl="0">
      <w:lvlJc w:val="left"/>
      <w:lvlText w:val="%1."/>
      <w:numFmt w:val="decimal"/>
      <w:start w:val="16"/>
    </w:lvl>
    <w:lvl w:ilvl="1">
      <w:lvlJc w:val="left"/>
      <w:lvlText w:val="%2."/>
      <w:numFmt w:val="lowerLetter"/>
      <w:start w:val="1"/>
    </w:lvl>
  </w:abstractNum>
  <w:abstractNum w:abstractNumId="51">
    <w:nsid w:val="5F5E7FD0"/>
    <w:multiLevelType w:val="hybridMultilevel"/>
    <w:lvl w:ilvl="0">
      <w:lvlJc w:val="left"/>
      <w:lvlText w:val="%1"/>
      <w:numFmt w:val="decimal"/>
      <w:start w:val="1"/>
    </w:lvl>
    <w:lvl w:ilvl="1">
      <w:lvlJc w:val="left"/>
      <w:lvlText w:val="%2."/>
      <w:numFmt w:val="lowerLetter"/>
      <w:start w:val="3"/>
    </w:lvl>
  </w:abstractNum>
  <w:abstractNum w:abstractNumId="52">
    <w:nsid w:val="98A3148"/>
    <w:multiLevelType w:val="hybridMultilevel"/>
    <w:lvl w:ilvl="0">
      <w:lvlJc w:val="left"/>
      <w:lvlText w:val="%1."/>
      <w:numFmt w:val="decimal"/>
      <w:start w:val="20"/>
    </w:lvl>
    <w:lvl w:ilvl="1">
      <w:lvlJc w:val="left"/>
      <w:lvlText w:val="%2."/>
      <w:numFmt w:val="lowerLetter"/>
      <w:start w:val="1"/>
    </w:lvl>
  </w:abstractNum>
  <w:abstractNum w:abstractNumId="53">
    <w:nsid w:val="799D0247"/>
    <w:multiLevelType w:val="hybridMultilevel"/>
    <w:lvl w:ilvl="0">
      <w:lvlJc w:val="left"/>
      <w:lvlText w:val="%1"/>
      <w:numFmt w:val="decimal"/>
      <w:start w:val="1"/>
    </w:lvl>
    <w:lvl w:ilvl="1">
      <w:lvlJc w:val="left"/>
      <w:lvlText w:val="%2."/>
      <w:numFmt w:val="lowerLetter"/>
      <w:start w:val="5"/>
    </w:lvl>
  </w:abstractNum>
  <w:abstractNum w:abstractNumId="54">
    <w:nsid w:val="6B94764"/>
    <w:multiLevelType w:val="hybridMultilevel"/>
    <w:lvl w:ilvl="0">
      <w:lvlJc w:val="left"/>
      <w:lvlText w:val="%1."/>
      <w:numFmt w:val="decimal"/>
      <w:start w:val="21"/>
    </w:lvl>
    <w:lvl w:ilvl="1">
      <w:lvlJc w:val="left"/>
      <w:lvlText w:val="%2"/>
      <w:numFmt w:val="lowerLetter"/>
      <w:start w:val="1"/>
    </w:lvl>
  </w:abstractNum>
  <w:abstractNum w:abstractNumId="55">
    <w:nsid w:val="42C296BD"/>
    <w:multiLevelType w:val="hybridMultilevel"/>
    <w:lvl w:ilvl="0">
      <w:lvlJc w:val="left"/>
      <w:lvlText w:val="%1."/>
      <w:numFmt w:val="decimal"/>
      <w:start w:val="25"/>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2"/>
    </w:lvl>
  </w:abstractNum>
  <w:abstractNum w:abstractNumId="58">
    <w:nsid w:val="661E3F1E"/>
    <w:multiLevelType w:val="hybridMultilevel"/>
    <w:lvl w:ilvl="0">
      <w:lvlJc w:val="left"/>
      <w:lvlText w:val="%1."/>
      <w:numFmt w:val="decimal"/>
      <w:start w:val="7"/>
    </w:lvl>
  </w:abstractNum>
  <w:abstractNum w:abstractNumId="59">
    <w:nsid w:val="5DC79EA8"/>
    <w:multiLevelType w:val="hybridMultilevel"/>
    <w:lvl w:ilvl="0">
      <w:lvlJc w:val="left"/>
      <w:lvlText w:val="%1."/>
      <w:numFmt w:val="decimal"/>
      <w:start w:val="8"/>
    </w:lvl>
    <w:lvl w:ilvl="1">
      <w:lvlJc w:val="left"/>
      <w:lvlText w:val="%2."/>
      <w:numFmt w:val="decimal"/>
    </w:lvl>
    <w:lvl w:ilvl="2">
      <w:lvlJc w:val="left"/>
      <w:lvlText w:val="%3."/>
      <w:numFmt w:val="lowerLetter"/>
      <w:start w:val="1"/>
    </w:lvl>
  </w:abstractNum>
  <w:abstractNum w:abstractNumId="60">
    <w:nsid w:val="540A471C"/>
    <w:multiLevelType w:val="hybridMultilevel"/>
    <w:lvl w:ilvl="0">
      <w:lvlJc w:val="left"/>
      <w:lvlText w:val="(%1)"/>
      <w:numFmt w:val="lowerRoman"/>
      <w:start w:val="2"/>
    </w:lvl>
  </w:abstractNum>
  <w:abstractNum w:abstractNumId="61">
    <w:nsid w:val="7BD3EE7B"/>
    <w:multiLevelType w:val="hybridMultilevel"/>
    <w:lvl w:ilvl="0">
      <w:lvlJc w:val="left"/>
      <w:lvlText w:val="%1."/>
      <w:numFmt w:val="decimal"/>
      <w:start w:val="2"/>
    </w:lvl>
  </w:abstractNum>
  <w:abstractNum w:abstractNumId="62">
    <w:nsid w:val="51D9C56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3">
    <w:nsid w:val="613EFDC5"/>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64">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5">
    <w:nsid w:val="11447B73"/>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66">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7">
    <w:nsid w:val="A0382C5"/>
    <w:multiLevelType w:val="hybridMultilevel"/>
    <w:lvl w:ilvl="0">
      <w:lvlJc w:val="left"/>
      <w:lvlText w:val="%1"/>
      <w:numFmt w:val="decimal"/>
      <w:start w:val="1"/>
    </w:lvl>
    <w:lvl w:ilvl="1">
      <w:lvlJc w:val="left"/>
      <w:lvlText w:val="%2."/>
      <w:numFmt w:val="lowerLetter"/>
      <w:start w:val="5"/>
    </w:lvl>
  </w:abstractNum>
  <w:abstractNum w:abstractNumId="68">
    <w:nsid w:val="8F2B15E"/>
    <w:multiLevelType w:val="hybridMultilevel"/>
    <w:lvl w:ilvl="0">
      <w:lvlJc w:val="left"/>
      <w:lvlText w:val="%1."/>
      <w:numFmt w:val="decimal"/>
      <w:start w:val="18"/>
    </w:lvl>
    <w:lvl w:ilvl="1">
      <w:lvlJc w:val="left"/>
      <w:lvlText w:val="%2"/>
      <w:numFmt w:val="lowerLetter"/>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2"/>
    </w:lvl>
    <w:lvl w:ilvl="1">
      <w:lvlJc w:val="left"/>
      <w:lvlText w:val="%2."/>
      <w:numFmt w:val="lowerLetter"/>
      <w:start w:val="1"/>
    </w:lvl>
  </w:abstractNum>
  <w:abstractNum w:abstractNumId="71">
    <w:nsid w:val="68EB2F63"/>
    <w:multiLevelType w:val="hybridMultilevel"/>
    <w:lvl w:ilvl="0">
      <w:lvlJc w:val="left"/>
      <w:lvlText w:val="%1."/>
      <w:numFmt w:val="decimal"/>
      <w:start w:val="4"/>
    </w:lvl>
  </w:abstractNum>
  <w:abstractNum w:abstractNumId="72">
    <w:nsid w:val="4962813B"/>
    <w:multiLevelType w:val="hybridMultilevel"/>
    <w:lvl w:ilvl="0">
      <w:lvlJc w:val="left"/>
      <w:lvlText w:val="%1."/>
      <w:numFmt w:val="decimal"/>
      <w:start w:val="7"/>
    </w:lvl>
    <w:lvl w:ilvl="1">
      <w:lvlJc w:val="left"/>
      <w:lvlText w:val="%2."/>
      <w:numFmt w:val="lowerLetter"/>
      <w:start w:val="1"/>
    </w:lvl>
  </w:abstractNum>
  <w:abstractNum w:abstractNumId="73">
    <w:nsid w:val="60B6DF70"/>
    <w:multiLevelType w:val="hybridMultilevel"/>
    <w:lvl w:ilvl="0">
      <w:lvlJc w:val="left"/>
      <w:lvlText w:val="%1"/>
      <w:numFmt w:val="decimal"/>
      <w:start w:val="1"/>
    </w:lvl>
    <w:lvl w:ilvl="1">
      <w:lvlJc w:val="left"/>
      <w:lvlText w:val="%2."/>
      <w:numFmt w:val="lowerLetter"/>
      <w:start w:val="2"/>
    </w:lvl>
  </w:abstractNum>
  <w:abstractNum w:abstractNumId="74">
    <w:nsid w:val="6A5EE64"/>
    <w:multiLevelType w:val="hybridMultilevel"/>
    <w:lvl w:ilvl="0">
      <w:lvlJc w:val="left"/>
      <w:lvlText w:val="%1"/>
      <w:numFmt w:val="decimal"/>
      <w:start w:val="90"/>
    </w:lvl>
    <w:lvl w:ilvl="1">
      <w:lvlJc w:val="left"/>
      <w:lvlText w:val="%2"/>
      <w:numFmt w:val="lowerLetter"/>
      <w:start w:val="1"/>
    </w:lvl>
  </w:abstractNum>
  <w:abstractNum w:abstractNumId="75">
    <w:nsid w:val="14330624"/>
    <w:multiLevelType w:val="hybridMultilevel"/>
    <w:lvl w:ilvl="0">
      <w:lvlJc w:val="left"/>
      <w:lvlText w:val="%1."/>
      <w:numFmt w:val="decimal"/>
      <w:start w:val="11"/>
    </w:lvl>
    <w:lvl w:ilvl="1">
      <w:lvlJc w:val="left"/>
      <w:lvlText w:val="%2"/>
      <w:numFmt w:val="lowerLetter"/>
      <w:start w:val="1"/>
    </w:lvl>
  </w:abstractNum>
  <w:abstractNum w:abstractNumId="76">
    <w:nsid w:val="7FFFCA11"/>
    <w:multiLevelType w:val="hybridMultilevel"/>
    <w:lvl w:ilvl="0">
      <w:lvlJc w:val="left"/>
      <w:lvlText w:val="%1."/>
      <w:numFmt w:val="decimal"/>
      <w:start w:val="12"/>
    </w:lvl>
    <w:lvl w:ilvl="1">
      <w:lvlJc w:val="left"/>
      <w:lvlText w:val="%2."/>
      <w:numFmt w:val="decimal"/>
    </w:lvl>
    <w:lvl w:ilvl="2">
      <w:lvlJc w:val="left"/>
      <w:lvlText w:val="%3."/>
      <w:numFmt w:val="lowerLetter"/>
      <w:start w:val="1"/>
    </w:lvl>
  </w:abstractNum>
  <w:abstractNum w:abstractNumId="77">
    <w:nsid w:val="1A27709E"/>
    <w:multiLevelType w:val="hybridMultilevel"/>
    <w:lvl w:ilvl="0">
      <w:lvlJc w:val="left"/>
      <w:lvlText w:val="%1"/>
      <w:numFmt w:val="decimal"/>
      <w:start w:val="1"/>
    </w:lvl>
    <w:lvl w:ilvl="1">
      <w:lvlJc w:val="left"/>
      <w:lvlText w:val="%2."/>
      <w:numFmt w:val="decimal"/>
      <w:start w:val="2"/>
    </w:lvl>
  </w:abstractNum>
  <w:abstractNum w:abstractNumId="78">
    <w:nsid w:val="71EA1109"/>
    <w:multiLevelType w:val="hybridMultilevel"/>
    <w:lvl w:ilvl="0">
      <w:lvlJc w:val="left"/>
      <w:lvlText w:val="%1."/>
      <w:numFmt w:val="decimal"/>
      <w:start w:val="14"/>
    </w:lvl>
    <w:lvl w:ilvl="1">
      <w:lvlJc w:val="left"/>
      <w:lvlText w:val="%2"/>
      <w:numFmt w:val="decimal"/>
      <w:start w:val="1"/>
    </w:lvl>
  </w:abstractNum>
  <w:abstractNum w:abstractNumId="79">
    <w:nsid w:val="100F59DC"/>
    <w:multiLevelType w:val="hybridMultilevel"/>
    <w:lvl w:ilvl="0">
      <w:lvlJc w:val="left"/>
      <w:lvlText w:val="%1."/>
      <w:numFmt w:val="decimal"/>
      <w:start w:val="16"/>
    </w:lvl>
    <w:lvl w:ilvl="1">
      <w:lvlJc w:val="left"/>
      <w:lvlText w:val="%2."/>
      <w:numFmt w:val="lowerLetter"/>
      <w:start w:val="1"/>
    </w:lvl>
  </w:abstractNum>
  <w:abstractNum w:abstractNumId="80">
    <w:nsid w:val="7FB7E0AA"/>
    <w:multiLevelType w:val="hybridMultilevel"/>
    <w:lvl w:ilvl="0">
      <w:lvlJc w:val="left"/>
      <w:lvlText w:val="%1"/>
      <w:numFmt w:val="decimal"/>
      <w:start w:val="1"/>
    </w:lvl>
    <w:lvl w:ilvl="1">
      <w:lvlJc w:val="left"/>
      <w:lvlText w:val="%2."/>
      <w:numFmt w:val="lowerLetter"/>
      <w:start w:val="5"/>
    </w:lvl>
  </w:abstractNum>
  <w:abstractNum w:abstractNumId="81">
    <w:nsid w:val="6EB5BD4"/>
    <w:multiLevelType w:val="hybridMultilevel"/>
    <w:lvl w:ilvl="0">
      <w:lvlJc w:val="left"/>
      <w:lvlText w:val="%1."/>
      <w:numFmt w:val="decimal"/>
      <w:start w:val="19"/>
    </w:lvl>
    <w:lvl w:ilvl="1">
      <w:lvlJc w:val="left"/>
      <w:lvlText w:val="%2."/>
      <w:numFmt w:val="lowerLetter"/>
      <w:start w:val="1"/>
    </w:lvl>
  </w:abstractNum>
  <w:abstractNum w:abstractNumId="82">
    <w:nsid w:val="6F6DD9AC"/>
    <w:multiLevelType w:val="hybridMultilevel"/>
    <w:lvl w:ilvl="0">
      <w:lvlJc w:val="left"/>
      <w:lvlText w:val="%1"/>
      <w:numFmt w:val="decimal"/>
      <w:start w:val="1"/>
    </w:lvl>
    <w:lvl w:ilvl="1">
      <w:lvlJc w:val="left"/>
      <w:lvlText w:val="%2."/>
      <w:numFmt w:val="lowerLetter"/>
      <w:start w:val="6"/>
    </w:lvl>
  </w:abstractNum>
  <w:abstractNum w:abstractNumId="83">
    <w:nsid w:val="94211F2"/>
    <w:multiLevelType w:val="hybridMultilevel"/>
    <w:lvl w:ilvl="0">
      <w:lvlJc w:val="left"/>
      <w:lvlText w:val="%1."/>
      <w:numFmt w:val="decimal"/>
      <w:start w:val="20"/>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6" Type="http://schemas.openxmlformats.org/officeDocument/2006/relationships/hyperlink" Target="http://www.sec.gov/Archives/edgar/data/773840/000119312522086968/d340028dex101.htm" TargetMode="External"/><Relationship Id="rId77" Type="http://schemas.openxmlformats.org/officeDocument/2006/relationships/hyperlink" Target="http://www.sec.gov/Archives/edgar/data/773840/000119312522086968/d34002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2022-04-29T08:10:29Z</dcterms:created>
  <dcterms:modified xsi:type="dcterms:W3CDTF">2022-04-29T08:10:29Z</dcterms:modified>
</cp:coreProperties>
</file>