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UNITED STATES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DATE OF REPORT – October 22, 2026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HONEYWELL INTERNATIONAL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769" w:type="dxa"/>
        <w:jc w:val="center"/>
        <w:tblInd w:w="0" w:type="dxa"/>
        <w:tblLayout w:type="fixed"/>
        <w:tblCellMar>
          <w:top w:w="28" w:type="dxa"/>
          <w:left w:w="28" w:type="dxa"/>
          <w:bottom w:w="28" w:type="dxa"/>
          <w:right w:w="28" w:type="dxa"/>
        </w:tblCellMar>
      </w:tblPr>
      <w:tblGrid>
        <w:gridCol w:w="935"/>
        <w:gridCol w:w="819"/>
        <w:gridCol w:w="826"/>
        <w:gridCol w:w="802"/>
        <w:gridCol w:w="802"/>
        <w:gridCol w:w="810"/>
        <w:gridCol w:w="810"/>
        <w:gridCol w:w="810"/>
        <w:gridCol w:w="1155"/>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1-8974</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22-2640650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br/>
              <w:t>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w:t>
              <w:br/>
              <w:t>Number)</w:t>
            </w:r>
          </w:p>
        </w:tc>
      </w:tr>
    </w:tbl>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20"/>
        </w:rPr>
        <w:t>855 S. MINT STREET, CHARLOTTE, NC</w:t>
      </w:r>
      <w:r>
        <w:rPr>
          <w:rFonts w:ascii="Arial;sans-serif" w:hAnsi="Arial;sans-serif"/>
          <w:b w:val="false"/>
          <w:color w:val="FFFFFF"/>
          <w:sz w:val="20"/>
        </w:rPr>
        <w:t>..................................................</w:t>
      </w:r>
      <w:r>
        <w:rPr>
          <w:rFonts w:ascii="Arial;sans-serif" w:hAnsi="Arial;sans-serif"/>
          <w:b w:val="false"/>
          <w:color w:val="000000"/>
          <w:sz w:val="20"/>
        </w:rPr>
        <w:t>28202</w:t>
      </w:r>
    </w:p>
    <w:p>
      <w:pPr>
        <w:pStyle w:val="TextBody"/>
        <w:bidi w:val="0"/>
        <w:spacing w:lineRule="auto" w:line="288" w:before="0" w:after="0"/>
        <w:jc w:val="center"/>
        <w:rPr/>
      </w:pPr>
      <w:r>
        <w:rPr>
          <w:rFonts w:ascii="Arial;sans-serif" w:hAnsi="Arial;sans-serif"/>
          <w:b w:val="false"/>
          <w:color w:val="FFFFFF"/>
          <w:sz w:val="20"/>
        </w:rPr>
        <w:t>......</w:t>
      </w:r>
      <w:r>
        <w:rPr>
          <w:rFonts w:ascii="Arial;sans-serif" w:hAnsi="Arial;sans-serif"/>
          <w:b w:val="false"/>
          <w:color w:val="000000"/>
          <w:sz w:val="20"/>
        </w:rPr>
        <w:t>(Address of principal executive offices)</w:t>
      </w:r>
      <w:r>
        <w:rPr>
          <w:rFonts w:ascii="Arial;sans-serif" w:hAnsi="Arial;sans-serif"/>
          <w:b w:val="false"/>
          <w:color w:val="FFFFFF"/>
          <w:sz w:val="20"/>
        </w:rPr>
        <w:t>.................................................</w:t>
      </w:r>
      <w:r>
        <w:rPr>
          <w:rFonts w:ascii="Arial;sans-serif" w:hAnsi="Arial;sans-serif"/>
          <w:b w:val="false"/>
          <w:color w:val="000000"/>
          <w:sz w:val="20"/>
        </w:rPr>
        <w:t>(Zip Code)</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Arial;sans-serif" w:hAnsi="Arial;sans-serif"/>
          <w:b w:val="false"/>
          <w:color w:val="000000"/>
          <w:sz w:val="20"/>
        </w:rPr>
        <w:t xml:space="preserve">Registrant’s telephone number, including area code: (704) 627-6200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877" w:type="dxa"/>
        <w:jc w:val="left"/>
        <w:tblInd w:w="0" w:type="dxa"/>
        <w:tblLayout w:type="fixed"/>
        <w:tblCellMar>
          <w:top w:w="28" w:type="dxa"/>
          <w:left w:w="28" w:type="dxa"/>
          <w:bottom w:w="28" w:type="dxa"/>
          <w:right w:w="28" w:type="dxa"/>
        </w:tblCellMar>
      </w:tblPr>
      <w:tblGrid>
        <w:gridCol w:w="1276"/>
        <w:gridCol w:w="1118"/>
        <w:gridCol w:w="1131"/>
        <w:gridCol w:w="109"/>
        <w:gridCol w:w="109"/>
        <w:gridCol w:w="109"/>
        <w:gridCol w:w="564"/>
        <w:gridCol w:w="564"/>
        <w:gridCol w:w="566"/>
        <w:gridCol w:w="109"/>
        <w:gridCol w:w="109"/>
        <w:gridCol w:w="109"/>
        <w:gridCol w:w="1170"/>
        <w:gridCol w:w="1170"/>
        <w:gridCol w:w="1664"/>
      </w:tblGrid>
      <w:tr>
        <w:trPr/>
        <w:tc>
          <w:tcPr>
            <w:tcW w:w="127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22, 2026, Honeywell International Inc. (the “Company”) issued a press release announcing its third quarter 2026 earnings, which is furnished herewith as Exhibit 99. The information furnished pursuant to this Item 2.02, including Exhibit 99,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(d) Exhibits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following exhibits are filed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97"/>
        <w:gridCol w:w="109"/>
        <w:gridCol w:w="109"/>
        <w:gridCol w:w="109"/>
        <w:gridCol w:w="2619"/>
        <w:gridCol w:w="2619"/>
        <w:gridCol w:w="3712"/>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Description</w:t>
            </w:r>
          </w:p>
        </w:tc>
      </w:tr>
      <w:tr>
        <w:trPr/>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q32026earningsre.htm">
              <w:r>
                <w:rPr>
                  <w:rStyle w:val="InternetLink"/>
                  <w:rFonts w:ascii="Arial;sans-serif" w:hAnsi="Arial;sans-serif"/>
                  <w:b w:val="false"/>
                  <w:color w:val="0000FF"/>
                  <w:sz w:val="20"/>
                  <w:u w:val="single"/>
                </w:rPr>
                <w:t>Honeywell International Inc. Earnings Press Release dated October 22, 2026.</w:t>
              </w:r>
            </w:hyperlink>
          </w:p>
        </w:tc>
      </w:tr>
      <w:tr>
        <w:trPr/>
        <w:tc>
          <w:tcPr>
            <w:tcW w:w="928"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8288"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109"/>
        <w:gridCol w:w="109"/>
        <w:gridCol w:w="109"/>
        <w:gridCol w:w="865"/>
        <w:gridCol w:w="865"/>
        <w:gridCol w:w="865"/>
        <w:gridCol w:w="865"/>
        <w:gridCol w:w="865"/>
        <w:gridCol w:w="877"/>
        <w:gridCol w:w="167"/>
        <w:gridCol w:w="167"/>
        <w:gridCol w:w="23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INC.</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Su Ping Lu</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 Ping Lu</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General Counsel and Corporate Secretary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99</w:t>
      </w:r>
    </w:p>
    <w:p>
      <w:pPr>
        <w:pStyle w:val="TextBody"/>
        <w:bidi w:val="0"/>
        <w:spacing w:lineRule="auto" w:line="288" w:before="0" w:after="0"/>
        <w:jc w:val="left"/>
        <w:rPr/>
      </w:pPr>
      <w:r>
        <w:rPr>
          <w:color w:val="000000"/>
        </w:rPr>
        <w:t> </w:t>
      </w:r>
      <w:r>
        <w:rPr/>
        <w:drawing>
          <wp:inline distT="0" distB="0" distL="0" distR="0">
            <wp:extent cx="2286000" cy="771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771525"/>
                    </a:xfrm>
                    <a:prstGeom prst="rect">
                      <a:avLst/>
                    </a:prstGeom>
                  </pic:spPr>
                </pic:pic>
              </a:graphicData>
            </a:graphic>
          </wp:inline>
        </w:drawing>
      </w:r>
    </w:p>
    <w:tbl>
      <w:tblPr>
        <w:tblW w:w="6377" w:type="dxa"/>
        <w:jc w:val="left"/>
        <w:tblInd w:w="0" w:type="dxa"/>
        <w:tblLayout w:type="fixed"/>
        <w:tblCellMar>
          <w:top w:w="28" w:type="dxa"/>
          <w:left w:w="28" w:type="dxa"/>
          <w:bottom w:w="28" w:type="dxa"/>
          <w:right w:w="28" w:type="dxa"/>
        </w:tblCellMar>
      </w:tblPr>
      <w:tblGrid>
        <w:gridCol w:w="1096"/>
        <w:gridCol w:w="965"/>
        <w:gridCol w:w="970"/>
        <w:gridCol w:w="980"/>
        <w:gridCol w:w="980"/>
        <w:gridCol w:w="1386"/>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br/>
              <w:t>Contacts:</w:t>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Media</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Investor Relations</w:t>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Stacey Jones</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Mark Macaluso</w:t>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(980) 378-6258</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(704) 627-6118</w:t>
            </w:r>
          </w:p>
        </w:tc>
      </w:tr>
      <w:tr>
        <w:trPr/>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u w:val="single"/>
              </w:rPr>
            </w:pPr>
            <w:r>
              <w:rPr>
                <w:rFonts w:ascii="Aptos;sans-serif" w:hAnsi="Aptos;sans-serif"/>
                <w:b w:val="false"/>
                <w:color w:val="000000"/>
                <w:sz w:val="20"/>
                <w:u w:val="single"/>
              </w:rPr>
              <w:t>stacey.jones@honeywell.com</w:t>
            </w:r>
          </w:p>
        </w:tc>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u w:val="single"/>
              </w:rPr>
            </w:pPr>
            <w:r>
              <w:rPr>
                <w:rFonts w:ascii="Aptos;sans-serif" w:hAnsi="Aptos;sans-serif"/>
                <w:b w:val="false"/>
                <w:color w:val="000000"/>
                <w:sz w:val="20"/>
                <w:u w:val="single"/>
              </w:rPr>
              <w:t>mark.macaluso@honeywell.com</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ptos;sans-serif" w:hAnsi="Aptos;sans-serif"/>
          <w:b/>
          <w:color w:val="000000"/>
          <w:sz w:val="24"/>
        </w:rPr>
      </w:pPr>
      <w:r>
        <w:rPr>
          <w:rFonts w:ascii="Aptos;sans-serif" w:hAnsi="Aptos;sans-serif"/>
          <w:b/>
          <w:color w:val="000000"/>
          <w:sz w:val="24"/>
        </w:rPr>
        <w:t>HONEYWELL TECHNOLOGIES REPORTS THIRD QUARTER RESULTS, RAISES FULL-YEAR 2026 OUTLOOK</w:t>
      </w:r>
    </w:p>
    <w:p>
      <w:pPr>
        <w:pStyle w:val="TextBody"/>
        <w:bidi w:val="0"/>
        <w:spacing w:before="0" w:after="60"/>
        <w:jc w:val="center"/>
        <w:rPr/>
      </w:pPr>
      <w:r>
        <w:rPr/>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Sales of $5.0 billion, up 1% reported (7% organic</w:t>
      </w:r>
      <w:r>
        <w:rPr>
          <w:rFonts w:ascii="Aptos;sans-serif" w:hAnsi="Aptos;sans-serif"/>
          <w:b w:val="false"/>
          <w:color w:val="000000"/>
          <w:sz w:val="13"/>
        </w:rPr>
        <w:t>1</w:t>
      </w:r>
      <w:r>
        <w:rPr>
          <w:rFonts w:ascii="Aptos;sans-serif" w:hAnsi="Aptos;sans-serif"/>
          <w:b w:val="false"/>
          <w:color w:val="000000"/>
          <w:sz w:val="20"/>
        </w:rPr>
        <w:t>) driven by broad-based growth across all segments</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Operating margin of 14.8%, up 640 basis points; segment margin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21.3%, up 370 basis points</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Earnings per share (EPS) of $2.40, down 20% due to one-time gain in prior year; adjusted EPS</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$2.27, up 34%</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Operating cash of $0.6 billion; free cash flow</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$0.7 billion, with conversion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95%</w:t>
      </w:r>
    </w:p>
    <w:p>
      <w:pPr>
        <w:pStyle w:val="TextBody"/>
        <w:bidi w:val="0"/>
        <w:spacing w:lineRule="auto" w:line="417" w:before="0" w:after="0"/>
        <w:ind w:left="0" w:right="0" w:hanging="360"/>
        <w:jc w:val="left"/>
        <w:rPr/>
      </w:pPr>
      <w:r>
        <w:rPr>
          <w:color w:val="000000"/>
        </w:rPr>
        <w:t>•</w:t>
      </w:r>
      <w:r>
        <w:rPr>
          <w:rFonts w:ascii="Aptos;sans-serif" w:hAnsi="Aptos;sans-serif"/>
          <w:b w:val="false"/>
          <w:color w:val="000000"/>
          <w:sz w:val="20"/>
        </w:rPr>
        <w:t>Raising full-year organic revenue, adjusted EPS and free cash flow guidance; expect segment margin to be at previous high end of guidance</w:t>
      </w:r>
    </w:p>
    <w:p>
      <w:pPr>
        <w:pStyle w:val="TextBody"/>
        <w:bidi w:val="0"/>
        <w:spacing w:before="0" w:after="0"/>
        <w:jc w:val="left"/>
        <w:rPr/>
      </w:pPr>
      <w:r>
        <w:rPr/>
      </w:r>
    </w:p>
    <w:p>
      <w:pPr>
        <w:pStyle w:val="TextBody"/>
        <w:bidi w:val="0"/>
        <w:spacing w:lineRule="auto" w:line="417" w:before="0" w:after="0"/>
        <w:ind w:left="0" w:right="0" w:firstLine="720"/>
        <w:jc w:val="left"/>
        <w:rPr>
          <w:rFonts w:ascii="Aptos;sans-serif" w:hAnsi="Aptos;sans-serif"/>
          <w:b w:val="false"/>
          <w:color w:val="000000"/>
          <w:sz w:val="20"/>
        </w:rPr>
      </w:pPr>
      <w:r>
        <w:rPr>
          <w:rFonts w:ascii="Aptos;sans-serif" w:hAnsi="Aptos;sans-serif"/>
          <w:b w:val="false"/>
          <w:color w:val="000000"/>
          <w:sz w:val="20"/>
        </w:rPr>
        <w:t>CHARLOTTE, N.C., October 22, 2026 -- Honeywell Technologies (NASDAQ: HON) today announced financial results for the third quarter of 2026.</w:t>
      </w:r>
    </w:p>
    <w:p>
      <w:pPr>
        <w:pStyle w:val="TextBody"/>
        <w:bidi w:val="0"/>
        <w:spacing w:lineRule="auto" w:line="417" w:before="0" w:after="0"/>
        <w:ind w:left="0" w:right="0" w:firstLine="720"/>
        <w:jc w:val="left"/>
        <w:rPr/>
      </w:pPr>
      <w:r>
        <w:rPr>
          <w:rFonts w:ascii="Aptos;sans-serif" w:hAnsi="Aptos;sans-serif"/>
          <w:b w:val="false"/>
          <w:color w:val="000000"/>
          <w:sz w:val="20"/>
        </w:rPr>
        <w:t>The company reported third-quarter sales of $5.0 billion, up 1% reported and 7% organic</w:t>
      </w:r>
      <w:r>
        <w:rPr>
          <w:rFonts w:ascii="Aptos;sans-serif" w:hAnsi="Aptos;sans-serif"/>
          <w:b w:val="false"/>
          <w:color w:val="000000"/>
          <w:sz w:val="13"/>
        </w:rPr>
        <w:t>1</w:t>
      </w:r>
      <w:r>
        <w:rPr>
          <w:rFonts w:ascii="Aptos;sans-serif" w:hAnsi="Aptos;sans-serif"/>
          <w:b w:val="false"/>
          <w:color w:val="000000"/>
          <w:sz w:val="20"/>
        </w:rPr>
        <w:t>, driven by broad-based strength across all three segments, pricing actions, and continued demand across key end markets. Backlog increased 7% year over year to nearly $19 billion, excluding Warehouse and Workflow Solutions (WWS) and Productivity Solutions and Services (PSS) divestitures in 3Q 2026.</w:t>
      </w:r>
    </w:p>
    <w:p>
      <w:pPr>
        <w:pStyle w:val="TextBody"/>
        <w:bidi w:val="0"/>
        <w:spacing w:lineRule="auto" w:line="417" w:before="0" w:after="0"/>
        <w:ind w:left="0" w:right="0" w:firstLine="720"/>
        <w:jc w:val="left"/>
        <w:rPr/>
      </w:pPr>
      <w:r>
        <w:rPr>
          <w:rFonts w:ascii="Aptos;sans-serif" w:hAnsi="Aptos;sans-serif"/>
          <w:b w:val="false"/>
          <w:color w:val="000000"/>
          <w:sz w:val="20"/>
        </w:rPr>
        <w:t>Operating income increased 79% and segment profit</w:t>
      </w:r>
      <w:r>
        <w:rPr>
          <w:rFonts w:ascii="Aptos;sans-serif" w:hAnsi="Aptos;sans-serif"/>
          <w:b w:val="false"/>
          <w:color w:val="000000"/>
          <w:sz w:val="13"/>
        </w:rPr>
        <w:t xml:space="preserve">1 </w:t>
      </w:r>
      <w:r>
        <w:rPr>
          <w:rFonts w:ascii="Aptos;sans-serif" w:hAnsi="Aptos;sans-serif"/>
          <w:b w:val="false"/>
          <w:color w:val="000000"/>
          <w:sz w:val="20"/>
        </w:rPr>
        <w:t>increased 23% driven by productivity, including elimination of stranded costs related to prior spin-offs and divestitures, pricing actions that more than offset inflation, and volume leverage. Operating margin of 14.8% increased 640 basis points and segment margin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21.3% expanded 370 basis points, led by Industrial Automation and Building Automation.</w:t>
      </w:r>
    </w:p>
    <w:p>
      <w:pPr>
        <w:pStyle w:val="TextBody"/>
        <w:bidi w:val="0"/>
        <w:spacing w:lineRule="auto" w:line="417" w:before="0" w:after="0"/>
        <w:ind w:left="0" w:right="0" w:firstLine="720"/>
        <w:jc w:val="left"/>
        <w:rPr/>
      </w:pPr>
      <w:r>
        <w:rPr>
          <w:rFonts w:ascii="Aptos;sans-serif" w:hAnsi="Aptos;sans-serif"/>
          <w:b w:val="false"/>
          <w:color w:val="000000"/>
          <w:sz w:val="20"/>
        </w:rPr>
        <w:t>Reported EPS decreased 20% primarily due to a one-time gain from the Resideo termination agreement in prior year. Excluding the impact of this and other items, adjusted earnings per share</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increased 34% year over year to $2.27 driven by organic sales growth, higher segment profit, and lower net interest expense.</w:t>
      </w:r>
    </w:p>
    <w:p>
      <w:pPr>
        <w:pStyle w:val="TextBody"/>
        <w:bidi w:val="0"/>
        <w:spacing w:lineRule="auto" w:line="417" w:before="0" w:after="0"/>
        <w:ind w:left="0" w:right="0" w:firstLine="720"/>
        <w:jc w:val="left"/>
        <w:rPr/>
      </w:pPr>
      <w:r>
        <w:rPr>
          <w:rFonts w:ascii="Aptos;sans-serif" w:hAnsi="Aptos;sans-serif"/>
          <w:b w:val="false"/>
          <w:color w:val="000000"/>
          <w:sz w:val="20"/>
        </w:rPr>
        <w:t>Finally, operating cash flow of $607 million decreased 74% primarily due to the one-time settlement from the Resideo termination agreement in prior year, while free cash flow</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$688 million increased 15%, with free cash flow conversion</w:t>
      </w:r>
      <w:r>
        <w:rPr>
          <w:rFonts w:ascii="Aptos;sans-serif" w:hAnsi="Aptos;sans-serif"/>
          <w:b w:val="false"/>
          <w:color w:val="000000"/>
          <w:sz w:val="13"/>
        </w:rPr>
        <w:t>1</w:t>
      </w:r>
      <w:r>
        <w:rPr>
          <w:rFonts w:ascii="Aptos;sans-serif" w:hAnsi="Aptos;sans-serif"/>
          <w:b w:val="false"/>
          <w:color w:val="000000"/>
          <w:sz w:val="20"/>
        </w:rPr>
        <w:t>of 95%, driven by higher operating income and lower capital expenditures.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9405"/>
                <wp:effectExtent l="0" t="0" r="0" b="0"/>
                <wp:wrapNone/>
                <wp:docPr id="5" name="Frame4"/>
                <a:graphic xmlns:a="http://schemas.openxmlformats.org/drawingml/2006/main">
                  <a:graphicData uri="http://schemas.microsoft.com/office/word/2010/wordprocessingShape">
                    <wps:wsp>
                      <wps:cNvSpPr txBox="1"/>
                      <wps:spPr>
                        <a:xfrm>
                          <a:off x="0" y="0"/>
                          <a:ext cx="6480175" cy="319405"/>
                        </a:xfrm>
                        <a:prstGeom prst="rect"/>
                        <a:solidFill>
                          <a:srgbClr val="FFFFFF"/>
                        </a:solidFill>
                      </wps:spPr>
                      <wps:txbx>
                        <w:txbxContent>
                          <w:p>
                            <w:pPr>
                              <w:pStyle w:val="TextBody"/>
                              <w:bidi w:val="0"/>
                              <w:spacing w:lineRule="auto" w:line="276" w:before="0" w:after="0"/>
                              <w:jc w:val="center"/>
                              <w:rPr>
                                <w:color w:val="000000"/>
                              </w:rPr>
                            </w:pPr>
                            <w:r>
                              <w:rPr>
                                <w:color w:val="000000"/>
                              </w:rPr>
                              <w:t>                                                          </w:t>
                            </w:r>
                            <w:r>
                              <w:br w:type="page"/>
                            </w:r>
                          </w:p>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color w:val="000000"/>
                        </w:rPr>
                      </w:pPr>
                      <w:r>
                        <w:rPr>
                          <w:color w:val="000000"/>
                        </w:rPr>
                        <w:t>                                                          </w:t>
                      </w:r>
                    </w:p>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- 2</w:t>
      </w:r>
    </w:p>
    <w:p>
      <w:pPr>
        <w:pStyle w:val="TextBody"/>
        <w:bidi w:val="0"/>
        <w:spacing w:before="0" w:after="0"/>
        <w:jc w:val="left"/>
        <w:rPr/>
      </w:pPr>
      <w:r>
        <w:rPr/>
      </w:r>
    </w:p>
    <w:p>
      <w:pPr>
        <w:pStyle w:val="TextBody"/>
        <w:bidi w:val="0"/>
        <w:spacing w:lineRule="auto" w:line="417" w:before="0" w:after="0"/>
        <w:jc w:val="left"/>
        <w:rPr>
          <w:rFonts w:ascii="Aptos;sans-serif" w:hAnsi="Aptos;sans-serif"/>
          <w:b/>
          <w:color w:val="000000"/>
          <w:sz w:val="20"/>
        </w:rPr>
      </w:pPr>
      <w:r>
        <w:rPr>
          <w:rFonts w:ascii="Aptos;sans-serif" w:hAnsi="Aptos;sans-serif"/>
          <w:b/>
          <w:color w:val="000000"/>
          <w:sz w:val="20"/>
        </w:rPr>
        <w:t>Management Commentary</w:t>
      </w:r>
    </w:p>
    <w:p>
      <w:pPr>
        <w:pStyle w:val="TextBody"/>
        <w:bidi w:val="0"/>
        <w:spacing w:lineRule="auto" w:line="417" w:before="0" w:after="0"/>
        <w:ind w:left="0" w:right="0" w:firstLine="720"/>
        <w:jc w:val="left"/>
        <w:rPr>
          <w:color w:val="000000"/>
        </w:rPr>
      </w:pPr>
      <w:r>
        <w:rPr>
          <w:color w:val="000000"/>
        </w:rPr>
        <w:t>“</w:t>
      </w:r>
      <w:r>
        <w:rPr>
          <w:rFonts w:ascii="Aptos;sans-serif" w:hAnsi="Aptos;sans-serif"/>
          <w:b w:val="false"/>
          <w:color w:val="000000"/>
          <w:sz w:val="20"/>
        </w:rPr>
        <w:t>Honeywell Technologies delivered strong results across the business in our first quarter as a standalone company. Continued momentum across all three segments, together with our improving position in high-growth verticals, translated to 7% organic sales growth, above the three-year target set at our June Investor Day. This performance, coupled with continued progress reducing fixed cost, enabled adjusted operating income to increase at more than three times the rate of sales, while adjusted EPS rose 34%, well ahead of our expectations for the quarter. As a result of this strong performance, we are raising our full-year 2026 outlook, which gives me great confidence in our long-term strategy and our ability to deliver on our 2029 targets,” said Chairman and Chief Executive Officer Vimal Kapur.</w:t>
      </w:r>
    </w:p>
    <w:p>
      <w:pPr>
        <w:pStyle w:val="TextBody"/>
        <w:bidi w:val="0"/>
        <w:spacing w:before="0" w:after="0"/>
        <w:ind w:left="0" w:right="0" w:firstLine="720"/>
        <w:jc w:val="left"/>
        <w:rPr/>
      </w:pPr>
      <w:r>
        <w:rPr/>
      </w:r>
    </w:p>
    <w:p>
      <w:pPr>
        <w:pStyle w:val="TextBody"/>
        <w:bidi w:val="0"/>
        <w:spacing w:lineRule="auto" w:line="417" w:before="0" w:after="0"/>
        <w:jc w:val="left"/>
        <w:rPr>
          <w:rFonts w:ascii="Aptos;sans-serif" w:hAnsi="Aptos;sans-serif"/>
          <w:b/>
          <w:color w:val="000000"/>
          <w:sz w:val="20"/>
        </w:rPr>
      </w:pPr>
      <w:r>
        <w:rPr>
          <w:rFonts w:ascii="Aptos;sans-serif" w:hAnsi="Aptos;sans-serif"/>
          <w:b/>
          <w:color w:val="000000"/>
          <w:sz w:val="20"/>
        </w:rPr>
        <w:t>Table 1: Summary of Financial Results</w:t>
      </w:r>
    </w:p>
    <w:p>
      <w:pPr>
        <w:pStyle w:val="TextBody"/>
        <w:bidi w:val="0"/>
        <w:spacing w:lineRule="auto" w:line="417" w:before="0" w:after="0"/>
        <w:jc w:val="left"/>
        <w:rPr>
          <w:rFonts w:ascii="Aptos;sans-serif" w:hAnsi="Aptos;sans-serif"/>
          <w:b w:val="false"/>
          <w:color w:val="000000"/>
          <w:sz w:val="16"/>
        </w:rPr>
      </w:pPr>
      <w:r>
        <w:rPr>
          <w:rFonts w:ascii="Aptos;sans-serif" w:hAnsi="Aptos;sans-serif"/>
          <w:b w:val="false"/>
          <w:color w:val="000000"/>
          <w:sz w:val="16"/>
        </w:rPr>
        <w:t>(Dollars in millions, except per share amounts)</w:t>
      </w:r>
    </w:p>
    <w:p>
      <w:pPr>
        <w:pStyle w:val="TextBody"/>
        <w:bidi w:val="0"/>
        <w:spacing w:before="0" w:after="0"/>
        <w:jc w:val="left"/>
        <w:rPr/>
      </w:pPr>
      <w:r>
        <w:rPr/>
      </w:r>
    </w:p>
    <w:tbl>
      <w:tblPr>
        <w:tblW w:w="8030" w:type="dxa"/>
        <w:jc w:val="left"/>
        <w:tblInd w:w="0" w:type="dxa"/>
        <w:tblLayout w:type="fixed"/>
        <w:tblCellMar>
          <w:top w:w="28" w:type="dxa"/>
          <w:left w:w="28" w:type="dxa"/>
          <w:bottom w:w="28" w:type="dxa"/>
          <w:right w:w="28" w:type="dxa"/>
        </w:tblCellMar>
      </w:tblPr>
      <w:tblGrid>
        <w:gridCol w:w="1593"/>
        <w:gridCol w:w="1396"/>
        <w:gridCol w:w="1421"/>
        <w:gridCol w:w="109"/>
        <w:gridCol w:w="109"/>
        <w:gridCol w:w="109"/>
        <w:gridCol w:w="299"/>
        <w:gridCol w:w="299"/>
        <w:gridCol w:w="301"/>
        <w:gridCol w:w="109"/>
        <w:gridCol w:w="109"/>
        <w:gridCol w:w="109"/>
        <w:gridCol w:w="299"/>
        <w:gridCol w:w="299"/>
        <w:gridCol w:w="301"/>
        <w:gridCol w:w="109"/>
        <w:gridCol w:w="109"/>
        <w:gridCol w:w="109"/>
        <w:gridCol w:w="246"/>
        <w:gridCol w:w="246"/>
        <w:gridCol w:w="349"/>
      </w:tblGrid>
      <w:tr>
        <w:trPr/>
        <w:tc>
          <w:tcPr>
            <w:tcW w:w="15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3Q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3Q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Change</w:t>
            </w:r>
          </w:p>
        </w:tc>
      </w:tr>
      <w:tr>
        <w:trPr/>
        <w:tc>
          <w:tcPr>
            <w:tcW w:w="4410"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$4,994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$4,929</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7%</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Operating Income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$740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$413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79%</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Operating Income Margin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14.8%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8.4%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640 bps</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Segment Profit</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$1,062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$866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23%</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Segment Margin</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21.3%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17.6%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370 bps</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 Continuing Operations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$2.40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$2.99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Adjusted Earnings Per Share</w:t>
            </w:r>
            <w:r>
              <w:rPr>
                <w:rFonts w:ascii="Aptos;sans-serif" w:hAnsi="Aptos;sans-serif"/>
                <w:b w:val="false"/>
                <w:color w:val="000000"/>
                <w:sz w:val="10"/>
              </w:rPr>
              <w:t>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$2.27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$1.70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34%</w:t>
            </w:r>
          </w:p>
        </w:tc>
      </w:tr>
      <w:tr>
        <w:trPr/>
        <w:tc>
          <w:tcPr>
            <w:tcW w:w="4410"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Flow from Operations - Continuing Operations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$607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$2,306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(74%)</w:t>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2" w:space="0" w:color="61656A"/>
              <w:left w:val="single" w:sz="2" w:space="0" w:color="FFFFFF"/>
              <w:bottom w:val="single" w:sz="4" w:space="0" w:color="D7282F"/>
            </w:tcBorders>
            <w:tcMar>
              <w:top w:w="52"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Free Cash Flow</w:t>
            </w:r>
            <w:r>
              <w:rPr>
                <w:rFonts w:ascii="Aptos;sans-serif" w:hAnsi="Aptos;sans-serif"/>
                <w:b w:val="false"/>
                <w:color w:val="000000"/>
                <w:sz w:val="10"/>
              </w:rPr>
              <w:t>1,4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$688</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$599</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1656A"/>
              <w:bottom w:val="single" w:sz="4" w:space="0" w:color="D7282F"/>
              <w:right w:val="single" w:sz="2" w:space="0" w:color="FFFFFF"/>
            </w:tcBorders>
            <w:tcMar>
              <w:top w:w="52" w:type="dxa"/>
              <w:left w:w="0" w:type="dxa"/>
              <w:bottom w:w="3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15%</w:t>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417" w:before="0" w:after="20"/>
        <w:jc w:val="left"/>
        <w:rPr>
          <w:rFonts w:ascii="Aptos;sans-serif" w:hAnsi="Aptos;sans-serif"/>
          <w:b/>
          <w:color w:val="000000"/>
          <w:sz w:val="20"/>
        </w:rPr>
      </w:pPr>
      <w:r>
        <w:rPr>
          <w:rFonts w:ascii="Aptos;sans-serif" w:hAnsi="Aptos;sans-serif"/>
          <w:b/>
          <w:color w:val="000000"/>
          <w:sz w:val="20"/>
        </w:rPr>
        <w:t>Table 2: Summary of Segment Financial Results</w: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(Dollars in millions)</w:t>
      </w:r>
    </w:p>
    <w:p>
      <w:pPr>
        <w:pStyle w:val="TextBody"/>
        <w:bidi w:val="0"/>
        <w:spacing w:before="0" w:after="0"/>
        <w:jc w:val="left"/>
        <w:rPr/>
      </w:pPr>
      <w:r>
        <w:rPr/>
      </w:r>
    </w:p>
    <w:tbl>
      <w:tblPr>
        <w:tblW w:w="7802" w:type="dxa"/>
        <w:jc w:val="left"/>
        <w:tblInd w:w="0" w:type="dxa"/>
        <w:tblLayout w:type="fixed"/>
        <w:tblCellMar>
          <w:top w:w="28" w:type="dxa"/>
          <w:left w:w="28" w:type="dxa"/>
          <w:bottom w:w="28" w:type="dxa"/>
          <w:right w:w="28" w:type="dxa"/>
        </w:tblCellMar>
      </w:tblPr>
      <w:tblGrid>
        <w:gridCol w:w="1484"/>
        <w:gridCol w:w="1302"/>
        <w:gridCol w:w="1308"/>
        <w:gridCol w:w="109"/>
        <w:gridCol w:w="109"/>
        <w:gridCol w:w="109"/>
        <w:gridCol w:w="299"/>
        <w:gridCol w:w="299"/>
        <w:gridCol w:w="301"/>
        <w:gridCol w:w="109"/>
        <w:gridCol w:w="109"/>
        <w:gridCol w:w="109"/>
        <w:gridCol w:w="299"/>
        <w:gridCol w:w="299"/>
        <w:gridCol w:w="301"/>
        <w:gridCol w:w="109"/>
        <w:gridCol w:w="109"/>
        <w:gridCol w:w="109"/>
        <w:gridCol w:w="272"/>
        <w:gridCol w:w="272"/>
        <w:gridCol w:w="385"/>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BUILDING AUTOMATION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3Q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3Q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 </w:t>
            </w:r>
            <w:r>
              <w:rPr>
                <w:rFonts w:ascii="Aptos;sans-serif" w:hAnsi="Aptos;sans-serif"/>
                <w:b/>
                <w:color w:val="000000"/>
                <w:sz w:val="16"/>
              </w:rPr>
              <w:t>Change</w:t>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$2,020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$1,878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8%</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8%</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$546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$502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9%</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Margin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27.0%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26.7%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30 bps</w:t>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PROCESS AUTOMATION AND TECHNOLOGY</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$1,859</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$1,598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16%</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8%</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$412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$389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6%</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Margin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22.2%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24.3%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(210) bps</w:t>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INDUSTRIAL AUTOMATION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4" w:space="0" w:color="D7282F"/>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$1,115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$1,450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(23%)</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16"/>
              </w:rPr>
              <w:t>Organic</w:t>
            </w:r>
            <w:r>
              <w:rPr>
                <w:rFonts w:ascii="Aptos;sans-serif" w:hAnsi="Aptos;sans-serif"/>
                <w:b w:val="false"/>
                <w:i/>
                <w:color w:val="000000"/>
                <w:sz w:val="10"/>
              </w:rPr>
              <w:t>1</w:t>
            </w:r>
            <w:r>
              <w:rPr>
                <w:color w:val="000000"/>
              </w:rPr>
              <w:t xml:space="preserve"> </w:t>
            </w:r>
            <w:r>
              <w:rPr>
                <w:rFonts w:ascii="Aptos;sans-serif" w:hAnsi="Aptos;sans-serif"/>
                <w:b w:val="false"/>
                <w:i/>
                <w:color w:val="000000"/>
                <w:sz w:val="16"/>
              </w:rPr>
              <w:t>Growth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i/>
                <w:color w:val="000000"/>
                <w:sz w:val="16"/>
              </w:rPr>
            </w:pPr>
            <w:r>
              <w:rPr>
                <w:rFonts w:ascii="Aptos;sans-serif" w:hAnsi="Aptos;sans-serif"/>
                <w:b w:val="false"/>
                <w:i/>
                <w:color w:val="000000"/>
                <w:sz w:val="16"/>
              </w:rPr>
              <w:t>4%</w:t>
            </w:r>
          </w:p>
        </w:tc>
      </w:tr>
      <w:tr>
        <w:trPr/>
        <w:tc>
          <w:tcPr>
            <w:tcW w:w="4094" w:type="dxa"/>
            <w:gridSpan w:val="3"/>
            <w:tcBorders>
              <w:top w:val="single" w:sz="2" w:space="0" w:color="61656A"/>
              <w:left w:val="single" w:sz="2" w:space="0" w:color="FFFFFF"/>
            </w:tcBorders>
            <w:tcMar>
              <w:top w:w="52"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$216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right w:val="single" w:sz="2" w:space="0" w:color="FFFFFF"/>
            </w:tcBorders>
            <w:tcMar>
              <w:top w:w="52" w:type="dxa"/>
              <w:left w:w="0" w:type="dxa"/>
              <w:bottom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(5%)</w:t>
            </w:r>
          </w:p>
        </w:tc>
      </w:tr>
      <w:tr>
        <w:trPr/>
        <w:tc>
          <w:tcPr>
            <w:tcW w:w="4094" w:type="dxa"/>
            <w:gridSpan w:val="3"/>
            <w:tcBorders>
              <w:top w:val="single" w:sz="2" w:space="0" w:color="61656A"/>
              <w:left w:val="single" w:sz="2" w:space="0" w:color="FFFFFF"/>
              <w:bottom w:val="single" w:sz="4" w:space="0" w:color="D7282F"/>
            </w:tcBorders>
            <w:tcMar>
              <w:top w:w="52"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Margin</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18.4%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14.9%</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61656A"/>
              <w:bottom w:val="single" w:sz="4" w:space="0" w:color="D7282F"/>
              <w:right w:val="single" w:sz="2" w:space="0" w:color="FFFFFF"/>
            </w:tcBorders>
            <w:tcMar>
              <w:top w:w="52" w:type="dxa"/>
              <w:left w:w="0" w:type="dxa"/>
              <w:bottom w:w="3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350 bps</w:t>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8110"/>
                <wp:effectExtent l="0" t="0" r="0" b="0"/>
                <wp:wrapNone/>
                <wp:docPr id="6" name="Frame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- 3</w:t>
      </w:r>
    </w:p>
    <w:p>
      <w:pPr>
        <w:pStyle w:val="TextBody"/>
        <w:bidi w:val="0"/>
        <w:spacing w:before="0" w:after="0"/>
        <w:jc w:val="left"/>
        <w:rPr/>
      </w:pPr>
      <w:r>
        <w:rPr/>
      </w:r>
    </w:p>
    <w:p>
      <w:pPr>
        <w:pStyle w:val="TextBody"/>
        <w:bidi w:val="0"/>
        <w:spacing w:lineRule="auto" w:line="417" w:before="0" w:after="0"/>
        <w:ind w:left="0" w:right="0" w:firstLine="720"/>
        <w:jc w:val="left"/>
        <w:rPr/>
      </w:pPr>
      <w:r>
        <w:rPr>
          <w:rFonts w:ascii="Aptos;sans-serif" w:hAnsi="Aptos;sans-serif"/>
          <w:b/>
          <w:color w:val="000000"/>
          <w:sz w:val="20"/>
        </w:rPr>
        <w:t xml:space="preserve">Building Automation </w:t>
      </w:r>
      <w:r>
        <w:rPr>
          <w:rFonts w:ascii="Aptos;sans-serif" w:hAnsi="Aptos;sans-serif"/>
          <w:b w:val="false"/>
          <w:color w:val="000000"/>
          <w:sz w:val="20"/>
        </w:rPr>
        <w:t>sales grew 8% organically</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year over year. Building products grew 11%, fueled by the fire and security businesses, while building solutions grew 4% on continued strength in services. Segment margin expanded 30 basis points to 27.0%, benefiting from volume leverage and pricing actions that offset inflation.</w:t>
      </w:r>
    </w:p>
    <w:p>
      <w:pPr>
        <w:pStyle w:val="TextBody"/>
        <w:bidi w:val="0"/>
        <w:spacing w:lineRule="auto" w:line="417" w:before="0" w:after="0"/>
        <w:ind w:left="0" w:right="0" w:firstLine="720"/>
        <w:jc w:val="left"/>
        <w:rPr/>
      </w:pPr>
      <w:r>
        <w:rPr>
          <w:rFonts w:ascii="Aptos;sans-serif" w:hAnsi="Aptos;sans-serif"/>
          <w:b/>
          <w:color w:val="000000"/>
          <w:sz w:val="20"/>
        </w:rPr>
        <w:t xml:space="preserve">Process Automation and Technology </w:t>
      </w:r>
      <w:r>
        <w:rPr>
          <w:rFonts w:ascii="Aptos;sans-serif" w:hAnsi="Aptos;sans-serif"/>
          <w:b w:val="false"/>
          <w:color w:val="000000"/>
          <w:sz w:val="20"/>
        </w:rPr>
        <w:t>sales increased 8% organically</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 xml:space="preserve">year over year. Project sales grew 14% led by continued growth in LNG and petrochemical projects, while aftermarket grew 4% driven primarily by refining demand. Margins contracted 210 basis points as expected driven by project mix and dilution from the acquisition of Johnson Matthey’s Catalyst Technologies business. </w:t>
      </w:r>
    </w:p>
    <w:p>
      <w:pPr>
        <w:pStyle w:val="TextBody"/>
        <w:bidi w:val="0"/>
        <w:spacing w:lineRule="auto" w:line="417" w:before="0" w:after="0"/>
        <w:ind w:left="0" w:right="0" w:firstLine="720"/>
        <w:jc w:val="left"/>
        <w:rPr/>
      </w:pPr>
      <w:r>
        <w:rPr>
          <w:rFonts w:ascii="Aptos;sans-serif" w:hAnsi="Aptos;sans-serif"/>
          <w:b/>
          <w:color w:val="000000"/>
          <w:sz w:val="20"/>
        </w:rPr>
        <w:t>Industrial Automation</w:t>
      </w:r>
      <w:r>
        <w:rPr>
          <w:color w:val="000000"/>
        </w:rPr>
        <w:t xml:space="preserve"> </w:t>
      </w:r>
      <w:r>
        <w:rPr>
          <w:rFonts w:ascii="Aptos;sans-serif" w:hAnsi="Aptos;sans-serif"/>
          <w:b w:val="false"/>
          <w:color w:val="000000"/>
          <w:sz w:val="20"/>
        </w:rPr>
        <w:t>sales grew 4% organically</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 xml:space="preserve">year over year led by 16% growth in solutions, driven primarily by industrial measurement and utilities. Products were flat year over year with double-digit growth in sensing largely offset by industry-wide meter deployment deferrals in utilities. Segment margin expanded 350 basis points year over year to 18.4%, driven primarily by price and productivity actions, partially offset by inflation.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Aptos;sans-serif" w:hAnsi="Aptos;sans-serif"/>
          <w:b/>
          <w:color w:val="000000"/>
          <w:sz w:val="20"/>
        </w:rPr>
        <w:t>Table 3: Full-Year 2026 Guidance</w:t>
      </w:r>
      <w:r>
        <w:rPr>
          <w:rFonts w:ascii="Aptos;sans-serif" w:hAnsi="Aptos;sans-serif"/>
          <w:b/>
          <w:color w:val="000000"/>
          <w:sz w:val="13"/>
        </w:rPr>
        <w:t>1</w:t>
      </w:r>
    </w:p>
    <w:p>
      <w:pPr>
        <w:pStyle w:val="TextBody"/>
        <w:bidi w:val="0"/>
        <w:spacing w:before="0" w:after="0"/>
        <w:jc w:val="left"/>
        <w:rPr/>
      </w:pPr>
      <w:r>
        <w:rPr/>
      </w:r>
    </w:p>
    <w:tbl>
      <w:tblPr>
        <w:tblW w:w="6267" w:type="dxa"/>
        <w:jc w:val="left"/>
        <w:tblInd w:w="0" w:type="dxa"/>
        <w:tblLayout w:type="fixed"/>
        <w:tblCellMar>
          <w:top w:w="28" w:type="dxa"/>
          <w:left w:w="28" w:type="dxa"/>
          <w:bottom w:w="28" w:type="dxa"/>
          <w:right w:w="28" w:type="dxa"/>
        </w:tblCellMar>
      </w:tblPr>
      <w:tblGrid>
        <w:gridCol w:w="962"/>
        <w:gridCol w:w="838"/>
        <w:gridCol w:w="854"/>
        <w:gridCol w:w="614"/>
        <w:gridCol w:w="614"/>
        <w:gridCol w:w="616"/>
        <w:gridCol w:w="518"/>
        <w:gridCol w:w="518"/>
        <w:gridCol w:w="733"/>
      </w:tblGrid>
      <w:tr>
        <w:trPr/>
        <w:tc>
          <w:tcPr>
            <w:tcW w:w="96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Previous Guidance</w:t>
            </w:r>
          </w:p>
        </w:tc>
        <w:tc>
          <w:tcPr>
            <w:tcW w:w="176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Current Guidance</w:t>
            </w:r>
          </w:p>
        </w:tc>
      </w:tr>
      <w:tr>
        <w:trPr/>
        <w:tc>
          <w:tcPr>
            <w:tcW w:w="26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16"/>
              </w:rPr>
            </w:pPr>
            <w:r>
              <w:rPr>
                <w:rFonts w:ascii="Aptos;sans-serif" w:hAnsi="Aptos;sans-serif"/>
                <w:b w:val="false"/>
                <w:color w:val="000000"/>
                <w:sz w:val="16"/>
              </w:rPr>
              <w:t>Sales</w:t>
            </w:r>
          </w:p>
        </w:tc>
        <w:tc>
          <w:tcPr>
            <w:tcW w:w="184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$19.8B - $20.0B</w:t>
            </w:r>
          </w:p>
        </w:tc>
        <w:tc>
          <w:tcPr>
            <w:tcW w:w="176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68" w:before="0" w:after="283"/>
              <w:ind w:left="0" w:right="0" w:firstLine="270"/>
              <w:jc w:val="center"/>
              <w:rPr>
                <w:rFonts w:ascii="Aptos;sans-serif" w:hAnsi="Aptos;sans-serif"/>
                <w:b w:val="false"/>
                <w:color w:val="000000"/>
                <w:sz w:val="16"/>
              </w:rPr>
            </w:pPr>
            <w:r>
              <w:rPr>
                <w:rFonts w:ascii="Aptos;sans-serif" w:hAnsi="Aptos;sans-serif"/>
                <w:b w:val="false"/>
                <w:color w:val="000000"/>
                <w:sz w:val="16"/>
              </w:rPr>
              <w:t>$20.0B - $20.1B</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16"/>
              </w:rPr>
            </w:pPr>
            <w:r>
              <w:rPr>
                <w:rFonts w:ascii="Aptos;sans-serif" w:hAnsi="Aptos;sans-serif"/>
                <w:b w:val="false"/>
                <w:i/>
                <w:color w:val="000000"/>
                <w:sz w:val="16"/>
              </w:rPr>
              <w:t>Organic Growth</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3% - 4%</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4% - 5%</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16"/>
              </w:rPr>
              <w:t>Segment Margin</w:t>
            </w:r>
            <w:r>
              <w:rPr>
                <w:rFonts w:ascii="Aptos;sans-serif" w:hAnsi="Aptos;sans-serif"/>
                <w:b w:val="false"/>
                <w:color w:val="000000"/>
                <w:sz w:val="10"/>
              </w:rPr>
              <w:t>2</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20.1% - 20.5%</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ind w:left="0" w:right="0" w:firstLine="240"/>
              <w:jc w:val="center"/>
              <w:rPr>
                <w:rFonts w:ascii="Aptos;sans-serif" w:hAnsi="Aptos;sans-serif"/>
                <w:b w:val="false"/>
                <w:color w:val="000000"/>
                <w:sz w:val="16"/>
              </w:rPr>
            </w:pPr>
            <w:r>
              <w:rPr>
                <w:rFonts w:ascii="Aptos;sans-serif" w:hAnsi="Aptos;sans-serif"/>
                <w:b w:val="false"/>
                <w:color w:val="000000"/>
                <w:sz w:val="16"/>
              </w:rPr>
              <w:t>~20.5%</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16"/>
              </w:rPr>
            </w:pPr>
            <w:r>
              <w:rPr>
                <w:rFonts w:ascii="Aptos;sans-serif" w:hAnsi="Aptos;sans-serif"/>
                <w:b w:val="false"/>
                <w:i/>
                <w:color w:val="000000"/>
                <w:sz w:val="16"/>
              </w:rPr>
              <w:t>Expansion</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Up 250 - 290 bps</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Up ~290 bps</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16"/>
              </w:rPr>
              <w:t>Adjusted Earnings Per Share</w:t>
            </w:r>
            <w:r>
              <w:rPr>
                <w:rFonts w:ascii="Aptos;sans-serif" w:hAnsi="Aptos;sans-serif"/>
                <w:b w:val="false"/>
                <w:color w:val="000000"/>
                <w:sz w:val="10"/>
              </w:rPr>
              <w:t>2,3</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$8.05 - $8.35</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$8.40 - $8.45</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0"/>
              <w:ind w:left="0" w:right="0" w:firstLine="270"/>
              <w:jc w:val="left"/>
              <w:rPr/>
            </w:pPr>
            <w:r>
              <w:rPr>
                <w:rFonts w:ascii="Aptos;sans-serif" w:hAnsi="Aptos;sans-serif"/>
                <w:b w:val="false"/>
                <w:i/>
                <w:color w:val="000000"/>
                <w:sz w:val="16"/>
              </w:rPr>
              <w:t>Adjusted Earnings Growth</w:t>
            </w:r>
            <w:r>
              <w:rPr>
                <w:rFonts w:ascii="Aptos;sans-serif" w:hAnsi="Aptos;sans-serif"/>
                <w:b w:val="false"/>
                <w:i/>
                <w:color w:val="000000"/>
                <w:sz w:val="10"/>
              </w:rPr>
              <w:t>3</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25% - 29%</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i/>
                <w:color w:val="000000"/>
                <w:sz w:val="16"/>
              </w:rPr>
            </w:pPr>
            <w:r>
              <w:rPr>
                <w:rFonts w:ascii="Aptos;sans-serif" w:hAnsi="Aptos;sans-serif"/>
                <w:b w:val="false"/>
                <w:i/>
                <w:color w:val="000000"/>
                <w:sz w:val="16"/>
              </w:rPr>
              <w:t>30% - 31%</w:t>
            </w:r>
          </w:p>
        </w:tc>
      </w:tr>
      <w:tr>
        <w:trPr/>
        <w:tc>
          <w:tcPr>
            <w:tcW w:w="26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16"/>
              </w:rPr>
            </w:pPr>
            <w:r>
              <w:rPr>
                <w:rFonts w:ascii="Aptos;sans-serif" w:hAnsi="Aptos;sans-serif"/>
                <w:b w:val="false"/>
                <w:color w:val="000000"/>
                <w:sz w:val="16"/>
              </w:rPr>
              <w:t>Operating Cash Flow</w:t>
            </w:r>
          </w:p>
        </w:tc>
        <w:tc>
          <w:tcPr>
            <w:tcW w:w="184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~$2.1B</w:t>
            </w:r>
          </w:p>
        </w:tc>
        <w:tc>
          <w:tcPr>
            <w:tcW w:w="176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68" w:before="0" w:after="283"/>
              <w:jc w:val="center"/>
              <w:rPr>
                <w:rFonts w:ascii="Aptos;sans-serif" w:hAnsi="Aptos;sans-serif"/>
                <w:b w:val="false"/>
                <w:color w:val="000000"/>
                <w:sz w:val="16"/>
              </w:rPr>
            </w:pPr>
            <w:r>
              <w:rPr>
                <w:rFonts w:ascii="Aptos;sans-serif" w:hAnsi="Aptos;sans-serif"/>
                <w:b w:val="false"/>
                <w:color w:val="000000"/>
                <w:sz w:val="16"/>
              </w:rPr>
              <w:t>~$2.1B</w:t>
            </w:r>
          </w:p>
        </w:tc>
      </w:tr>
      <w:tr>
        <w:trPr/>
        <w:tc>
          <w:tcPr>
            <w:tcW w:w="265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Free Cash Flow</w:t>
            </w:r>
            <w:r>
              <w:rPr>
                <w:rFonts w:ascii="Aptos;sans-serif" w:hAnsi="Aptos;sans-serif"/>
                <w:b w:val="false"/>
                <w:color w:val="000000"/>
                <w:sz w:val="10"/>
              </w:rPr>
              <w:t>4</w:t>
            </w:r>
          </w:p>
        </w:tc>
        <w:tc>
          <w:tcPr>
            <w:tcW w:w="184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~$2.0B</w:t>
            </w:r>
          </w:p>
        </w:tc>
        <w:tc>
          <w:tcPr>
            <w:tcW w:w="176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~$2.1B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3"/>
        <w:gridCol w:w="2727"/>
        <w:gridCol w:w="3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ptos;sans-serif" w:hAnsi="Aptos;sans-serif"/>
                <w:b w:val="false"/>
                <w:color w:val="000000"/>
                <w:sz w:val="14"/>
              </w:rPr>
            </w:pPr>
            <w:r>
              <w:rPr>
                <w:rFonts w:ascii="Aptos;sans-serif" w:hAnsi="Aptos;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Aptos;sans-serif" w:hAnsi="Aptos;sans-serif"/>
                <w:b w:val="false"/>
                <w:color w:val="000000"/>
                <w:sz w:val="14"/>
              </w:rPr>
            </w:pPr>
            <w:r>
              <w:rPr>
                <w:rFonts w:ascii="Aptos;sans-serif" w:hAnsi="Aptos;sans-serif"/>
                <w:b w:val="false"/>
                <w:color w:val="000000"/>
                <w:sz w:val="14"/>
              </w:rPr>
              <w:t>See additional information at the end of this release regarding non-GAAP financial measures.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14"/>
              </w:rPr>
            </w:pPr>
            <w:r>
              <w:rPr>
                <w:rFonts w:ascii="Aptos;sans-serif" w:hAnsi="Aptos;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40" w:after="283"/>
              <w:jc w:val="left"/>
              <w:rPr>
                <w:rFonts w:ascii="Aptos;sans-serif" w:hAnsi="Aptos;sans-serif"/>
                <w:b w:val="false"/>
                <w:color w:val="000000"/>
                <w:sz w:val="14"/>
              </w:rPr>
            </w:pPr>
            <w:r>
              <w:rPr>
                <w:rFonts w:ascii="Aptos;sans-serif" w:hAnsi="Aptos;sans-serif"/>
                <w:b w:val="false"/>
                <w:color w:val="000000"/>
                <w:sz w:val="14"/>
              </w:rPr>
              <w:t>Segment margin and adjusted EPS are non-GAAP financial measures. Management cannot reliably predict or estimate, without unreasonable effort, the impact and timing on future operating results arising from items excluded from segment margin and adjusted EPS. We therefore, do not present a guidance range, or a reconciliation to, the nearest GAAP financial measures of operating margin or EPS.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14"/>
              </w:rPr>
            </w:pPr>
            <w:r>
              <w:rPr>
                <w:rFonts w:ascii="Aptos;sans-serif" w:hAnsi="Aptos;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40" w:after="283"/>
              <w:jc w:val="left"/>
              <w:rPr>
                <w:rFonts w:ascii="Aptos;sans-serif" w:hAnsi="Aptos;sans-serif"/>
                <w:b w:val="false"/>
                <w:color w:val="000000"/>
                <w:sz w:val="14"/>
              </w:rPr>
            </w:pPr>
            <w:r>
              <w:rPr>
                <w:rFonts w:ascii="Aptos;sans-serif" w:hAnsi="Aptos;sans-serif"/>
                <w:b w:val="false"/>
                <w:color w:val="000000"/>
                <w:sz w:val="14"/>
              </w:rPr>
              <w:t>Adjusted EPS and adjusted EPS V% guidance excludes items identified in the non-GAAP reconciliation of adjusted EPS at the end of this release, and any potential future one-time items that we cannot reliably predict or estimate.</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14"/>
              </w:rPr>
            </w:pPr>
            <w:r>
              <w:rPr>
                <w:rFonts w:ascii="Aptos;sans-serif" w:hAnsi="Aptos;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14"/>
              </w:rPr>
            </w:pPr>
            <w:r>
              <w:rPr>
                <w:rFonts w:ascii="Aptos;sans-serif" w:hAnsi="Aptos;sans-serif"/>
                <w:b w:val="false"/>
                <w:color w:val="000000"/>
                <w:sz w:val="14"/>
              </w:rPr>
              <w:t>With respect to historical periods, free cash flow adjusts for capital expenditures, separation-related cost payments, Resideo indemnification and reimbursement agreement termination payment, cash payment for settlement of the divestiture of asbestos liabilities, and cash flows attributable to Quantinuum. With respect to the company’s outlook for 2026, free cash flow adjusts for capital expenditures, separation-related cost payments, and cash flows attributable to Quantinuum.</w:t>
            </w:r>
          </w:p>
        </w:tc>
      </w:tr>
    </w:tbl>
    <w:p>
      <w:pPr>
        <w:pStyle w:val="TextBody"/>
        <w:bidi w:val="0"/>
        <w:spacing w:before="0" w:after="0"/>
        <w:jc w:val="left"/>
        <w:rPr/>
      </w:pPr>
      <w:r>
        <w:rPr/>
      </w:r>
    </w:p>
    <w:p>
      <w:pPr>
        <w:pStyle w:val="TextBody"/>
        <w:bidi w:val="0"/>
        <w:spacing w:lineRule="auto" w:line="417" w:before="0" w:after="20"/>
        <w:jc w:val="left"/>
        <w:rPr>
          <w:rFonts w:ascii="Aptos;sans-serif" w:hAnsi="Aptos;sans-serif"/>
          <w:b/>
          <w:color w:val="000000"/>
          <w:sz w:val="20"/>
        </w:rPr>
      </w:pPr>
      <w:r>
        <w:rPr>
          <w:rFonts w:ascii="Aptos;sans-serif" w:hAnsi="Aptos;sans-serif"/>
          <w:b/>
          <w:color w:val="000000"/>
          <w:sz w:val="20"/>
        </w:rPr>
        <w:t>Revised 2026 Guidance</w:t>
      </w:r>
    </w:p>
    <w:p>
      <w:pPr>
        <w:pStyle w:val="TextBody"/>
        <w:bidi w:val="0"/>
        <w:spacing w:lineRule="auto" w:line="417" w:before="0" w:after="0"/>
        <w:ind w:left="0" w:right="0" w:firstLine="720"/>
        <w:jc w:val="left"/>
        <w:rPr/>
      </w:pPr>
      <w:r>
        <w:rPr>
          <w:rFonts w:ascii="Aptos;sans-serif" w:hAnsi="Aptos;sans-serif"/>
          <w:b w:val="false"/>
          <w:color w:val="000000"/>
          <w:sz w:val="20"/>
        </w:rPr>
        <w:t>Honeywell Technologies is raising its full-year outlook for organic revenue, adjusted EPS and free cash flow, and also now expects segment margin to be at the previous high end of guidance, following strong third quarter performance and continued momentum across the portfolio. The company now expects full-year sales of $20.0 billion to $20.1 billion with organic</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sales growth of 4% to 5%, and 5% to 6% organic</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growth in the fourth quarter; segment margin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approximately 20.5%, at the upper end of its previous guidance range, representing segment margin</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expansion of approximately 290 basis points; and adjusted earnings per share</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of $8.40 to $8.45, up 30% to 31%, representing a $0.23 increase from the midpoint of its previous guidance range. Finally, operating cash flow and free cash flow are now expected to be ~$2.1 billion each.</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8110"/>
                <wp:effectExtent l="0" t="0" r="0" b="0"/>
                <wp:wrapNone/>
                <wp:docPr id="7" name="Frame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- 4</w:t>
      </w:r>
    </w:p>
    <w:p>
      <w:pPr>
        <w:pStyle w:val="TextBody"/>
        <w:bidi w:val="0"/>
        <w:spacing w:before="0" w:after="0"/>
        <w:jc w:val="left"/>
        <w:rPr/>
      </w:pPr>
      <w:r>
        <w:rPr/>
      </w:r>
    </w:p>
    <w:p>
      <w:pPr>
        <w:pStyle w:val="TextBody"/>
        <w:bidi w:val="0"/>
        <w:spacing w:lineRule="auto" w:line="417" w:before="0" w:after="20"/>
        <w:jc w:val="left"/>
        <w:rPr>
          <w:rFonts w:ascii="Aptos;sans-serif" w:hAnsi="Aptos;sans-serif"/>
          <w:b/>
          <w:color w:val="000000"/>
          <w:sz w:val="20"/>
          <w:u w:val="single"/>
        </w:rPr>
      </w:pPr>
      <w:r>
        <w:rPr>
          <w:rFonts w:ascii="Aptos;sans-serif" w:hAnsi="Aptos;sans-serif"/>
          <w:b/>
          <w:color w:val="000000"/>
          <w:sz w:val="20"/>
          <w:u w:val="single"/>
        </w:rPr>
        <w:t>Conference Call Details</w:t>
      </w:r>
    </w:p>
    <w:p>
      <w:pPr>
        <w:pStyle w:val="TextBody"/>
        <w:bidi w:val="0"/>
        <w:spacing w:lineRule="auto" w:line="417" w:before="0" w:after="0"/>
        <w:ind w:left="0" w:right="0" w:firstLine="720"/>
        <w:jc w:val="left"/>
        <w:rPr/>
      </w:pPr>
      <w:r>
        <w:rPr>
          <w:rFonts w:ascii="Aptos;sans-serif" w:hAnsi="Aptos;sans-serif"/>
          <w:b w:val="false"/>
          <w:color w:val="000000"/>
          <w:sz w:val="20"/>
        </w:rPr>
        <w:t>Honeywell Technologies will discuss its third-quarter results and full-year 2026 guidance for during an investor conference call starting at 8:30 a.m. Eastern Daylight Time today. A live webcast of the investor call as well as related presentation materials will be available through the Investor Relations section of the company's website (</w:t>
      </w:r>
      <w:r>
        <w:rPr>
          <w:rFonts w:ascii="Aptos;sans-serif" w:hAnsi="Aptos;sans-serif"/>
          <w:b w:val="false"/>
          <w:color w:val="000000"/>
          <w:sz w:val="20"/>
          <w:u w:val="single"/>
        </w:rPr>
        <w:t>www.honeywell.com/investor</w:t>
      </w:r>
      <w:r>
        <w:rPr>
          <w:rFonts w:ascii="Aptos;sans-serif" w:hAnsi="Aptos;sans-serif"/>
          <w:b w:val="false"/>
          <w:color w:val="000000"/>
          <w:sz w:val="20"/>
        </w:rPr>
        <w:t>). A replay of the webcast will be available for 30 days following the presentation.</w:t>
      </w:r>
    </w:p>
    <w:p>
      <w:pPr>
        <w:pStyle w:val="TextBody"/>
        <w:bidi w:val="0"/>
        <w:spacing w:before="0" w:after="0"/>
        <w:jc w:val="left"/>
        <w:rPr/>
      </w:pPr>
      <w:r>
        <w:rPr/>
      </w:r>
    </w:p>
    <w:p>
      <w:pPr>
        <w:pStyle w:val="TextBody"/>
        <w:bidi w:val="0"/>
        <w:spacing w:lineRule="auto" w:line="276" w:before="0" w:after="0"/>
        <w:jc w:val="left"/>
        <w:rPr>
          <w:rFonts w:ascii="Aptos;sans-serif" w:hAnsi="Aptos;sans-serif"/>
          <w:b/>
          <w:color w:val="000000"/>
          <w:sz w:val="20"/>
        </w:rPr>
      </w:pPr>
      <w:r>
        <w:rPr>
          <w:rFonts w:ascii="Aptos;sans-serif" w:hAnsi="Aptos;sans-serif"/>
          <w:b/>
          <w:color w:val="000000"/>
          <w:sz w:val="20"/>
        </w:rPr>
        <w:t>About Honeywell Technologies</w:t>
      </w:r>
    </w:p>
    <w:p>
      <w:pPr>
        <w:pStyle w:val="TextBody"/>
        <w:bidi w:val="0"/>
        <w:spacing w:lineRule="auto" w:line="288" w:before="0" w:after="0"/>
        <w:jc w:val="left"/>
        <w:rPr/>
      </w:pPr>
      <w:r>
        <w:rPr>
          <w:rFonts w:ascii="Aptos;sans-serif" w:hAnsi="Aptos;sans-serif"/>
          <w:b w:val="false"/>
          <w:color w:val="000000"/>
          <w:sz w:val="20"/>
        </w:rPr>
        <w:t>Honeywell Technologies is a global, pure-play automation company with a legacy of innovating to help solve the world's most mission-critical challenges, enhancing the quality of life for people and communities around the world.</w:t>
      </w:r>
      <w:r>
        <w:rPr>
          <w:color w:val="000000"/>
        </w:rPr>
        <w:t xml:space="preserve"> </w:t>
      </w:r>
      <w:r>
        <w:rPr>
          <w:rFonts w:ascii="Aptos;sans-serif" w:hAnsi="Aptos;sans-serif"/>
          <w:b w:val="false"/>
          <w:color w:val="000000"/>
          <w:sz w:val="20"/>
        </w:rPr>
        <w:t>We serve the building, industrial, and process sectors with a broad portfolio of services, solutions, and products, underpinned by our Honeywell Technologies Accelerator operating system and Honeywell Technologies Forge intelligence layer.</w:t>
      </w:r>
      <w:r>
        <w:rPr>
          <w:color w:val="000000"/>
        </w:rPr>
        <w:t xml:space="preserve"> </w:t>
      </w:r>
      <w:r>
        <w:rPr>
          <w:rFonts w:ascii="Aptos;sans-serif" w:hAnsi="Aptos;sans-serif"/>
          <w:b w:val="false"/>
          <w:color w:val="000000"/>
          <w:sz w:val="20"/>
        </w:rPr>
        <w:t>By combining the deep domain expertise of our more than 50,000 employees with decades of data from our global installed base, we are uniquely positioned to lead the industrial sector's transition from automation to autonomy. For more news and information on Honeywell Technologies, please visit Honeywell Technologies Newsroom.</w:t>
      </w:r>
    </w:p>
    <w:p>
      <w:pPr>
        <w:pStyle w:val="TextBody"/>
        <w:bidi w:val="0"/>
        <w:spacing w:before="0" w:after="0"/>
        <w:jc w:val="left"/>
        <w:rPr/>
      </w:pPr>
      <w:r>
        <w:rPr/>
      </w:r>
    </w:p>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Additional Information</w:t>
      </w:r>
    </w:p>
    <w:p>
      <w:pPr>
        <w:pStyle w:val="TextBody"/>
        <w:bidi w:val="0"/>
        <w:spacing w:lineRule="auto" w:line="288" w:before="0" w:after="0"/>
        <w:jc w:val="left"/>
        <w:rPr/>
      </w:pPr>
      <w:r>
        <w:rPr>
          <w:rFonts w:ascii="Aptos;sans-serif" w:hAnsi="Aptos;sans-serif"/>
          <w:b w:val="false"/>
          <w:color w:val="000000"/>
          <w:sz w:val="20"/>
        </w:rPr>
        <w:t>Honeywell Technologies uses our Investor Relations website, investor.honeywell.com, as a means of disclosing information which may be of interest or material to our investors and for complying with disclosure obligations under Regulation FD.</w:t>
      </w:r>
      <w:r>
        <w:rPr>
          <w:color w:val="000000"/>
        </w:rPr>
        <w:t xml:space="preserve"> </w:t>
      </w:r>
      <w:r>
        <w:rPr>
          <w:rFonts w:ascii="Aptos;sans-serif" w:hAnsi="Aptos;sans-serif"/>
          <w:b w:val="false"/>
          <w:color w:val="000000"/>
          <w:sz w:val="20"/>
        </w:rPr>
        <w:t xml:space="preserve">Accordingly, investors should monitor our Investor Relations website, in addition to following our press releases, SEC filings, public conference calls, webcasts, and social media. </w:t>
      </w:r>
    </w:p>
    <w:p>
      <w:pPr>
        <w:pStyle w:val="TextBody"/>
        <w:bidi w:val="0"/>
        <w:spacing w:before="0" w:after="0"/>
        <w:jc w:val="left"/>
        <w:rPr/>
      </w:pPr>
      <w:r>
        <w:rPr/>
      </w:r>
    </w:p>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Forward Looking Statements</w: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We describe many of the trends and other factors that drive our business and future results in this release. Such discussions contain forward-looking statements within the meaning of Section 21E of the Securities Exchange Act of 1934, as amended (the Exchange Act).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including ongoing conflicts in the Middle East, that can affect our performance in both the near- and long-term. In addition, no assurance can be given that any plan, initiative, projection, goal, commitment, expectation, or prospect set forth in this release can or will be achieved. These forward-looking statements should be considered in light of the information included in this release, our Form 10-K, and our other filings with the Securities and Exchange Commission. Any forward-looking plans described herein are not final and may be modified or abandoned at any time.</w:t>
      </w:r>
    </w:p>
    <w:p>
      <w:pPr>
        <w:pStyle w:val="TextBody"/>
        <w:bidi w:val="0"/>
        <w:spacing w:before="0" w:after="0"/>
        <w:jc w:val="both"/>
        <w:rPr/>
      </w:pPr>
      <w:r>
        <w:rPr/>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This release contains financial measures presented on a non-GAAP basis. Honeywell Technologies' non-GAAP financial measures used in this release are as follows:</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Segment profit, on an overall Honeywell Technologies basis;</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Segment profit margin, on an overall Honeywell Technologies basis;</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Organic sales growth;</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 xml:space="preserve">Free cash flow; </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Free cash flow conversion; and</w:t>
      </w:r>
    </w:p>
    <w:p>
      <w:pPr>
        <w:pStyle w:val="TextBody"/>
        <w:bidi w:val="0"/>
        <w:spacing w:lineRule="auto" w:line="288" w:before="0" w:after="0"/>
        <w:ind w:left="0" w:right="0" w:hanging="360"/>
        <w:jc w:val="left"/>
        <w:rPr/>
      </w:pPr>
      <w:r>
        <w:rPr>
          <w:color w:val="000000"/>
        </w:rPr>
        <w:t>•</w:t>
      </w:r>
      <w:r>
        <w:rPr>
          <w:rFonts w:ascii="Aptos;sans-serif" w:hAnsi="Aptos;sans-serif"/>
          <w:b w:val="false"/>
          <w:color w:val="000000"/>
          <w:sz w:val="20"/>
        </w:rPr>
        <w:t>Adjusted earnings per share.</w:t>
      </w:r>
    </w:p>
    <w:p>
      <w:pPr>
        <w:pStyle w:val="TextBody"/>
        <w:bidi w:val="0"/>
        <w:spacing w:before="0" w:after="0"/>
        <w:jc w:val="left"/>
        <w:rPr/>
      </w:pPr>
      <w:r>
        <w:rPr/>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 xml:space="preserve">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Refer to the Appendix attached to this release for reconciliations of non-GAAP financial measures to the most directly comparable 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8110"/>
                <wp:effectExtent l="0" t="0" r="0" b="0"/>
                <wp:wrapNone/>
                <wp:docPr id="8" name="Frame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- 5</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Consolidated Statement of Operations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 except per share amounts)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30"/>
        <w:gridCol w:w="1203"/>
        <w:gridCol w:w="1208"/>
        <w:gridCol w:w="276"/>
        <w:gridCol w:w="753"/>
        <w:gridCol w:w="133"/>
        <w:gridCol w:w="133"/>
        <w:gridCol w:w="133"/>
        <w:gridCol w:w="133"/>
        <w:gridCol w:w="276"/>
        <w:gridCol w:w="864"/>
        <w:gridCol w:w="133"/>
        <w:gridCol w:w="109"/>
        <w:gridCol w:w="109"/>
        <w:gridCol w:w="109"/>
        <w:gridCol w:w="263"/>
        <w:gridCol w:w="841"/>
        <w:gridCol w:w="126"/>
        <w:gridCol w:w="126"/>
        <w:gridCol w:w="126"/>
        <w:gridCol w:w="126"/>
        <w:gridCol w:w="263"/>
        <w:gridCol w:w="841"/>
        <w:gridCol w:w="191"/>
      </w:tblGrid>
      <w:tr>
        <w:trPr/>
        <w:tc>
          <w:tcPr>
            <w:tcW w:w="173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Nine Months Ended September 30,</w:t>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Product sales</w:t>
            </w:r>
          </w:p>
        </w:tc>
        <w:tc>
          <w:tcPr>
            <w:tcW w:w="2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3,628 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6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3,573 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10,856 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10,724 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Service sales</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1,366 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1,356 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4,148 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3,979 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sales</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4,994</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4,929</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15,004</w:t>
            </w:r>
            <w:r>
              <w:rPr>
                <w:color w:val="000000"/>
              </w:rPr>
              <w:t>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14,703</w:t>
            </w:r>
            <w:r>
              <w:rPr>
                <w:color w:val="000000"/>
              </w:rPr>
              <w:t>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Costs, expenses and other</w:t>
            </w:r>
          </w:p>
        </w:tc>
        <w:tc>
          <w:tcPr>
            <w:tcW w:w="11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Cost of products sold</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2,127 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2,041 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6,421 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6,179 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Cost of services sold</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849 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1,114 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2,593 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2,749 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Cost of products and services sold</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2,976</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3,155</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9,014</w:t>
            </w:r>
            <w:r>
              <w:rPr>
                <w:color w:val="000000"/>
              </w:rPr>
              <w:t>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8,928</w:t>
            </w:r>
            <w:r>
              <w:rPr>
                <w:color w:val="000000"/>
              </w:rPr>
              <w:t>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Research and development expenses</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239 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268 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825 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774 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Selling, general and administrative expenses</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1,039 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1,093 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3,078 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3,372 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311 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Loss on debt extinguishment</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241 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Gain on deconsolidation of subsidiary</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(income) expense</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(389)</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(957)</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(301)</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(1,124)</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Interest and other financial charges</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143 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263 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579 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715 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costs, expenses and other</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4,008</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3,822</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7,118</w:t>
            </w:r>
            <w:r>
              <w:rPr>
                <w:color w:val="000000"/>
              </w:rPr>
              <w:t>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12,680</w:t>
            </w:r>
            <w:r>
              <w:rPr>
                <w:color w:val="000000"/>
              </w:rPr>
              <w:t>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Income from continuing operations before taxes and equity losses</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986</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1,107</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7,886</w:t>
            </w:r>
            <w:r>
              <w:rPr>
                <w:color w:val="000000"/>
              </w:rPr>
              <w:t>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2,023</w:t>
            </w:r>
            <w:r>
              <w:rPr>
                <w:color w:val="000000"/>
              </w:rPr>
              <w:t>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Tax expense</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60 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153 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1,378 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427 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Equity loss</w:t>
            </w:r>
          </w:p>
        </w:tc>
        <w:tc>
          <w:tcPr>
            <w:tcW w:w="10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147 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412 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income from continuing operations</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779</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954</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6,096</w:t>
            </w:r>
            <w:r>
              <w:rPr>
                <w:color w:val="000000"/>
              </w:rPr>
              <w:t>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1,596</w:t>
            </w:r>
            <w:r>
              <w:rPr>
                <w:color w:val="000000"/>
              </w:rPr>
              <w:t>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(loss) income from discontinued operations</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(103)</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905 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1,061 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3,299 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income</w:t>
            </w:r>
          </w:p>
        </w:tc>
        <w:tc>
          <w:tcPr>
            <w:tcW w:w="1029"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676</w:t>
            </w:r>
            <w:r>
              <w:rPr>
                <w:color w:val="000000"/>
              </w:rPr>
              <w:t>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1,859</w:t>
            </w:r>
            <w:r>
              <w:rPr>
                <w:color w:val="000000"/>
              </w:rPr>
              <w:t>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7,157</w:t>
            </w:r>
            <w:r>
              <w:rPr>
                <w:color w:val="000000"/>
              </w:rPr>
              <w:t> </w:t>
            </w:r>
          </w:p>
        </w:tc>
        <w:tc>
          <w:tcPr>
            <w:tcW w:w="126"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4,895</w:t>
            </w:r>
            <w:r>
              <w:rPr>
                <w:color w:val="000000"/>
              </w:rPr>
              <w:t> </w:t>
            </w:r>
          </w:p>
        </w:tc>
        <w:tc>
          <w:tcPr>
            <w:tcW w:w="19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Net (loss) income attributable to noncontrolling interest</w:t>
            </w:r>
          </w:p>
        </w:tc>
        <w:tc>
          <w:tcPr>
            <w:tcW w:w="1029"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34 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w:t>
            </w:r>
          </w:p>
        </w:tc>
        <w:tc>
          <w:tcPr>
            <w:tcW w:w="126"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51 </w:t>
            </w:r>
          </w:p>
        </w:tc>
        <w:tc>
          <w:tcPr>
            <w:tcW w:w="19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income attributable to Honeywell Technologies</w:t>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664</w:t>
            </w:r>
            <w:r>
              <w:rPr>
                <w:color w:val="000000"/>
              </w:rPr>
              <w:t>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64"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1,825</w:t>
            </w:r>
            <w:r>
              <w:rPr>
                <w:color w:val="000000"/>
              </w:rPr>
              <w:t>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7,167</w:t>
            </w:r>
            <w:r>
              <w:rPr>
                <w:color w:val="000000"/>
              </w:rPr>
              <w:t> </w:t>
            </w:r>
          </w:p>
        </w:tc>
        <w:tc>
          <w:tcPr>
            <w:tcW w:w="126"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4,844</w:t>
            </w:r>
            <w:r>
              <w:rPr>
                <w:color w:val="000000"/>
              </w:rPr>
              <w:t> </w:t>
            </w:r>
          </w:p>
        </w:tc>
        <w:tc>
          <w:tcPr>
            <w:tcW w:w="19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Earnings per share of common stock—basic:</w:t>
            </w:r>
          </w:p>
        </w:tc>
        <w:tc>
          <w:tcPr>
            <w:tcW w:w="1162"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of common stock from continuing operations—basic</w:t>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2.42 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64"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3.01 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19.30 </w:t>
            </w:r>
          </w:p>
        </w:tc>
        <w:tc>
          <w:tcPr>
            <w:tcW w:w="126"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5.02 </w:t>
            </w:r>
          </w:p>
        </w:tc>
        <w:tc>
          <w:tcPr>
            <w:tcW w:w="19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of common stock from discontinued operations—basic</w:t>
            </w:r>
          </w:p>
        </w:tc>
        <w:tc>
          <w:tcPr>
            <w:tcW w:w="1029"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(0.33)</w:t>
            </w:r>
          </w:p>
        </w:tc>
        <w:tc>
          <w:tcPr>
            <w:tcW w:w="133"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2.73 </w:t>
            </w:r>
          </w:p>
        </w:tc>
        <w:tc>
          <w:tcPr>
            <w:tcW w:w="133"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3.29 </w:t>
            </w:r>
          </w:p>
        </w:tc>
        <w:tc>
          <w:tcPr>
            <w:tcW w:w="126"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10.11 </w:t>
            </w:r>
          </w:p>
        </w:tc>
        <w:tc>
          <w:tcPr>
            <w:tcW w:w="191"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earnings per share of common stock—basic</w:t>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2.09</w:t>
            </w:r>
            <w:r>
              <w:rPr>
                <w:color w:val="000000"/>
              </w:rPr>
              <w:t>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64"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5.74</w:t>
            </w:r>
            <w:r>
              <w:rPr>
                <w:color w:val="000000"/>
              </w:rPr>
              <w:t>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22.59</w:t>
            </w:r>
            <w:r>
              <w:rPr>
                <w:color w:val="000000"/>
              </w:rPr>
              <w:t> </w:t>
            </w:r>
          </w:p>
        </w:tc>
        <w:tc>
          <w:tcPr>
            <w:tcW w:w="126"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15.13</w:t>
            </w:r>
            <w:r>
              <w:rPr>
                <w:color w:val="000000"/>
              </w:rPr>
              <w:t> </w:t>
            </w:r>
          </w:p>
        </w:tc>
        <w:tc>
          <w:tcPr>
            <w:tcW w:w="19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Earnings per share of common stock—assuming dilution:</w:t>
            </w:r>
          </w:p>
        </w:tc>
        <w:tc>
          <w:tcPr>
            <w:tcW w:w="1162"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of common stock from continuing operations—assuming dilution</w:t>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5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2.40 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64"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2.99 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19.19 </w:t>
            </w:r>
          </w:p>
        </w:tc>
        <w:tc>
          <w:tcPr>
            <w:tcW w:w="126"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4.99 </w:t>
            </w:r>
          </w:p>
        </w:tc>
        <w:tc>
          <w:tcPr>
            <w:tcW w:w="19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Earnings per share of common stock from discontinued operations—assuming dilution</w:t>
            </w:r>
          </w:p>
        </w:tc>
        <w:tc>
          <w:tcPr>
            <w:tcW w:w="1029"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(0.32)</w:t>
            </w:r>
          </w:p>
        </w:tc>
        <w:tc>
          <w:tcPr>
            <w:tcW w:w="133"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2.72 </w:t>
            </w:r>
          </w:p>
        </w:tc>
        <w:tc>
          <w:tcPr>
            <w:tcW w:w="133"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3.27 </w:t>
            </w:r>
          </w:p>
        </w:tc>
        <w:tc>
          <w:tcPr>
            <w:tcW w:w="126"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10.05 </w:t>
            </w:r>
          </w:p>
        </w:tc>
        <w:tc>
          <w:tcPr>
            <w:tcW w:w="191" w:type="dxa"/>
            <w:tcBorders>
              <w:top w:val="single" w:sz="4" w:space="0" w:color="B1B3B3"/>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earnings per share of common stock—assuming dilution</w:t>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5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2.08</w:t>
            </w:r>
            <w:r>
              <w:rPr>
                <w:color w:val="000000"/>
              </w:rPr>
              <w:t>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64"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5.71</w:t>
            </w:r>
            <w:r>
              <w:rPr>
                <w:color w:val="000000"/>
              </w:rPr>
              <w:t> </w:t>
            </w:r>
          </w:p>
        </w:tc>
        <w:tc>
          <w:tcPr>
            <w:tcW w:w="133"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22.46</w:t>
            </w:r>
            <w:r>
              <w:rPr>
                <w:color w:val="000000"/>
              </w:rPr>
              <w:t> </w:t>
            </w:r>
          </w:p>
        </w:tc>
        <w:tc>
          <w:tcPr>
            <w:tcW w:w="126"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41" w:type="dxa"/>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15.04</w:t>
            </w:r>
            <w:r>
              <w:rPr>
                <w:color w:val="000000"/>
              </w:rPr>
              <w:t> </w:t>
            </w:r>
          </w:p>
        </w:tc>
        <w:tc>
          <w:tcPr>
            <w:tcW w:w="191" w:type="dxa"/>
            <w:tcBorders>
              <w:top w:val="single" w:sz="4" w:space="0" w:color="D7282F"/>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Weighted average number of shares outstanding - basic</w:t>
            </w:r>
          </w:p>
        </w:tc>
        <w:tc>
          <w:tcPr>
            <w:tcW w:w="10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317.5</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317.7</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317.3</w:t>
            </w:r>
            <w:r>
              <w:rPr>
                <w:color w:val="000000"/>
              </w:rPr>
              <w:t>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320.2</w:t>
            </w:r>
            <w:r>
              <w:rPr>
                <w:color w:val="000000"/>
              </w:rPr>
              <w:t>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Weighted average number of shares outstanding - assuming dilution</w:t>
            </w:r>
          </w:p>
        </w:tc>
        <w:tc>
          <w:tcPr>
            <w:tcW w:w="1029"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319.2</w:t>
            </w:r>
            <w:r>
              <w:rPr>
                <w:color w:val="000000"/>
              </w:rPr>
              <w:t> </w:t>
            </w:r>
          </w:p>
        </w:tc>
        <w:tc>
          <w:tcPr>
            <w:tcW w:w="13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319.4</w:t>
            </w:r>
            <w:r>
              <w:rPr>
                <w:color w:val="000000"/>
              </w:rPr>
              <w:t> </w:t>
            </w:r>
          </w:p>
        </w:tc>
        <w:tc>
          <w:tcPr>
            <w:tcW w:w="13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319.1</w:t>
            </w:r>
            <w:r>
              <w:rPr>
                <w:color w:val="000000"/>
              </w:rPr>
              <w:t> </w:t>
            </w:r>
          </w:p>
        </w:tc>
        <w:tc>
          <w:tcPr>
            <w:tcW w:w="1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322.0</w:t>
            </w:r>
            <w:r>
              <w:rPr>
                <w:color w:val="000000"/>
              </w:rPr>
              <w:t> </w:t>
            </w:r>
          </w:p>
        </w:tc>
        <w:tc>
          <w:tcPr>
            <w:tcW w:w="1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8110"/>
                <wp:effectExtent l="0" t="0" r="0" b="0"/>
                <wp:wrapNone/>
                <wp:docPr id="9" name="Frame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- 6</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Segment Data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20"/>
        <w:gridCol w:w="985"/>
        <w:gridCol w:w="999"/>
        <w:gridCol w:w="319"/>
        <w:gridCol w:w="999"/>
        <w:gridCol w:w="154"/>
        <w:gridCol w:w="154"/>
        <w:gridCol w:w="154"/>
        <w:gridCol w:w="154"/>
        <w:gridCol w:w="319"/>
        <w:gridCol w:w="999"/>
        <w:gridCol w:w="154"/>
        <w:gridCol w:w="109"/>
        <w:gridCol w:w="109"/>
        <w:gridCol w:w="109"/>
        <w:gridCol w:w="281"/>
        <w:gridCol w:w="1031"/>
        <w:gridCol w:w="135"/>
        <w:gridCol w:w="135"/>
        <w:gridCol w:w="135"/>
        <w:gridCol w:w="135"/>
        <w:gridCol w:w="281"/>
        <w:gridCol w:w="1031"/>
        <w:gridCol w:w="204"/>
      </w:tblGrid>
      <w:tr>
        <w:trPr/>
        <w:tc>
          <w:tcPr>
            <w:tcW w:w="112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Nine Months Ended September 30,</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sales</w:t>
            </w:r>
          </w:p>
        </w:tc>
        <w:tc>
          <w:tcPr>
            <w:tcW w:w="147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4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Building Automation</w:t>
            </w:r>
          </w:p>
        </w:tc>
        <w:tc>
          <w:tcPr>
            <w:tcW w:w="3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9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2,020 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9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1,878 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0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5,904 </w:t>
            </w:r>
          </w:p>
        </w:tc>
        <w:tc>
          <w:tcPr>
            <w:tcW w:w="1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0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5,396 </w:t>
            </w:r>
          </w:p>
        </w:tc>
        <w:tc>
          <w:tcPr>
            <w:tcW w:w="20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Process Automation and Technology</w:t>
            </w:r>
          </w:p>
        </w:tc>
        <w:tc>
          <w:tcPr>
            <w:tcW w:w="13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1,859 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1,598 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5,051 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4,656 </w:t>
            </w:r>
          </w:p>
        </w:tc>
        <w:tc>
          <w:tcPr>
            <w:tcW w:w="20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Industrial Automation</w:t>
            </w:r>
          </w:p>
        </w:tc>
        <w:tc>
          <w:tcPr>
            <w:tcW w:w="13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1,115 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1,450 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4,039 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4,627 </w:t>
            </w:r>
          </w:p>
        </w:tc>
        <w:tc>
          <w:tcPr>
            <w:tcW w:w="20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Segment sales</w:t>
            </w:r>
          </w:p>
        </w:tc>
        <w:tc>
          <w:tcPr>
            <w:tcW w:w="131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4,994</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4,926</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14,994</w:t>
            </w:r>
            <w:r>
              <w:rPr>
                <w:color w:val="000000"/>
              </w:rPr>
              <w:t> </w:t>
            </w:r>
          </w:p>
        </w:tc>
        <w:tc>
          <w:tcPr>
            <w:tcW w:w="1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14,679</w:t>
            </w:r>
            <w:r>
              <w:rPr>
                <w:color w:val="000000"/>
              </w:rPr>
              <w:t> </w:t>
            </w:r>
          </w:p>
        </w:tc>
        <w:tc>
          <w:tcPr>
            <w:tcW w:w="20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Quantinuum</w:t>
            </w:r>
          </w:p>
        </w:tc>
        <w:tc>
          <w:tcPr>
            <w:tcW w:w="131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10 </w:t>
            </w:r>
          </w:p>
        </w:tc>
        <w:tc>
          <w:tcPr>
            <w:tcW w:w="1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24 </w:t>
            </w:r>
          </w:p>
        </w:tc>
        <w:tc>
          <w:tcPr>
            <w:tcW w:w="20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Net sales</w:t>
            </w:r>
          </w:p>
        </w:tc>
        <w:tc>
          <w:tcPr>
            <w:tcW w:w="3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9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4,994</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9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4,929</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15,004</w:t>
            </w:r>
            <w:r>
              <w:rPr>
                <w:color w:val="000000"/>
              </w:rPr>
              <w:t> </w:t>
            </w:r>
          </w:p>
        </w:tc>
        <w:tc>
          <w:tcPr>
            <w:tcW w:w="1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14,703</w:t>
            </w:r>
            <w:r>
              <w:rPr>
                <w:color w:val="000000"/>
              </w:rPr>
              <w:t> </w:t>
            </w:r>
          </w:p>
        </w:tc>
        <w:tc>
          <w:tcPr>
            <w:tcW w:w="2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Segment Profit to Income Before Taxes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54"/>
        <w:gridCol w:w="1126"/>
        <w:gridCol w:w="1133"/>
        <w:gridCol w:w="305"/>
        <w:gridCol w:w="711"/>
        <w:gridCol w:w="146"/>
        <w:gridCol w:w="146"/>
        <w:gridCol w:w="146"/>
        <w:gridCol w:w="146"/>
        <w:gridCol w:w="305"/>
        <w:gridCol w:w="954"/>
        <w:gridCol w:w="146"/>
        <w:gridCol w:w="109"/>
        <w:gridCol w:w="109"/>
        <w:gridCol w:w="109"/>
        <w:gridCol w:w="281"/>
        <w:gridCol w:w="878"/>
        <w:gridCol w:w="135"/>
        <w:gridCol w:w="135"/>
        <w:gridCol w:w="135"/>
        <w:gridCol w:w="135"/>
        <w:gridCol w:w="281"/>
        <w:gridCol w:w="878"/>
        <w:gridCol w:w="202"/>
      </w:tblGrid>
      <w:tr>
        <w:trPr/>
        <w:tc>
          <w:tcPr>
            <w:tcW w:w="15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Nine Months Ended September 30,</w:t>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profit</w:t>
            </w:r>
          </w:p>
        </w:tc>
        <w:tc>
          <w:tcPr>
            <w:tcW w:w="11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43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3813"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Building Automation</w:t>
            </w:r>
          </w:p>
        </w:tc>
        <w:tc>
          <w:tcPr>
            <w:tcW w:w="3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546 </w:t>
            </w:r>
          </w:p>
        </w:tc>
        <w:tc>
          <w:tcPr>
            <w:tcW w:w="1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9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502 </w:t>
            </w:r>
          </w:p>
        </w:tc>
        <w:tc>
          <w:tcPr>
            <w:tcW w:w="1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7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1,584 </w:t>
            </w:r>
          </w:p>
        </w:tc>
        <w:tc>
          <w:tcPr>
            <w:tcW w:w="1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87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1,421 </w:t>
            </w:r>
          </w:p>
        </w:tc>
        <w:tc>
          <w:tcPr>
            <w:tcW w:w="20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Process Automation and Technology</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412 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389 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1,142 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1,088 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Industrial Automation</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205 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216 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703 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704 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Corporate and All Other</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(101)</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(241)</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(438)</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(650)</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Segment profit</w:t>
            </w:r>
          </w:p>
        </w:tc>
        <w:tc>
          <w:tcPr>
            <w:tcW w:w="101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1,062</w:t>
            </w:r>
            <w:r>
              <w:rPr>
                <w:color w:val="000000"/>
              </w:rPr>
              <w:t> </w:t>
            </w:r>
          </w:p>
        </w:tc>
        <w:tc>
          <w:tcPr>
            <w:tcW w:w="1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866</w:t>
            </w:r>
            <w:r>
              <w:rPr>
                <w:color w:val="000000"/>
              </w:rPr>
              <w:t> </w:t>
            </w:r>
          </w:p>
        </w:tc>
        <w:tc>
          <w:tcPr>
            <w:tcW w:w="1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2,991</w:t>
            </w:r>
            <w:r>
              <w:rPr>
                <w:color w:val="000000"/>
              </w:rPr>
              <w:t> </w:t>
            </w:r>
          </w:p>
        </w:tc>
        <w:tc>
          <w:tcPr>
            <w:tcW w:w="1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2,563</w:t>
            </w:r>
            <w:r>
              <w:rPr>
                <w:color w:val="000000"/>
              </w:rPr>
              <w:t> </w:t>
            </w:r>
          </w:p>
        </w:tc>
        <w:tc>
          <w:tcPr>
            <w:tcW w:w="20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Interest and other financial charges</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(143)</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(263)</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(579)</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(715)</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Interest income</w:t>
            </w:r>
            <w:r>
              <w:rPr>
                <w:rFonts w:ascii="Aptos;sans-serif" w:hAnsi="Aptos;sans-serif"/>
                <w:b w:val="false"/>
                <w:color w:val="000000"/>
                <w:sz w:val="10"/>
              </w:rPr>
              <w:t>1</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85 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207 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247 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2</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(131)</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(135)</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(352)</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(364)</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(311)</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Stock compensation expense</w:t>
            </w:r>
            <w:r>
              <w:rPr>
                <w:rFonts w:ascii="Aptos;sans-serif" w:hAnsi="Aptos;sans-serif"/>
                <w:b w:val="false"/>
                <w:color w:val="000000"/>
                <w:sz w:val="10"/>
              </w:rPr>
              <w:t>3</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(104)</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(182)</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(115)</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ongoing income</w:t>
            </w:r>
            <w:r>
              <w:rPr>
                <w:rFonts w:ascii="Aptos;sans-serif" w:hAnsi="Aptos;sans-serif"/>
                <w:b w:val="false"/>
                <w:color w:val="000000"/>
                <w:sz w:val="10"/>
              </w:rPr>
              <w:t>4</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90 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75 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263 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151 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Other postretirement income</w:t>
            </w:r>
            <w:r>
              <w:rPr>
                <w:rFonts w:ascii="Aptos;sans-serif" w:hAnsi="Aptos;sans-serif"/>
                <w:b w:val="false"/>
                <w:color w:val="000000"/>
                <w:sz w:val="10"/>
              </w:rPr>
              <w:t>4</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Repositioning and other gains (charges)</w:t>
            </w:r>
            <w:r>
              <w:rPr>
                <w:rFonts w:ascii="Aptos;sans-serif" w:hAnsi="Aptos;sans-serif"/>
                <w:b w:val="false"/>
                <w:color w:val="000000"/>
                <w:sz w:val="10"/>
              </w:rPr>
              <w:t>5</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581 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(133)</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516 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Loss on debt extinguishment</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(241)</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Divestiture-related costs</w:t>
            </w:r>
            <w:r>
              <w:rPr>
                <w:rFonts w:ascii="Aptos;sans-serif" w:hAnsi="Aptos;sans-serif"/>
                <w:b w:val="false"/>
                <w:color w:val="000000"/>
                <w:sz w:val="10"/>
              </w:rPr>
              <w:t>6</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(94)</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(489)</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(70)</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Gain on deconsolidation of subsidiary</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Equity loss</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(147)</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(412)</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(loss) on sale of non-strategic businesses and assets</w:t>
            </w:r>
            <w:r>
              <w:rPr>
                <w:rFonts w:ascii="Aptos;sans-serif" w:hAnsi="Aptos;sans-serif"/>
                <w:b w:val="false"/>
                <w:color w:val="000000"/>
                <w:sz w:val="10"/>
              </w:rPr>
              <w:t>1</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339 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345 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Other expense</w:t>
            </w:r>
            <w:r>
              <w:rPr>
                <w:rFonts w:ascii="Aptos;sans-serif" w:hAnsi="Aptos;sans-serif"/>
                <w:b w:val="false"/>
                <w:color w:val="000000"/>
                <w:sz w:val="10"/>
              </w:rPr>
              <w:t>7</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(68)</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(128)</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Quantinuum Loss</w:t>
            </w:r>
            <w:r>
              <w:rPr>
                <w:rFonts w:ascii="Aptos;sans-serif" w:hAnsi="Aptos;sans-serif"/>
                <w:b w:val="false"/>
                <w:color w:val="000000"/>
                <w:sz w:val="10"/>
              </w:rPr>
              <w:t>8</w:t>
            </w:r>
          </w:p>
        </w:tc>
        <w:tc>
          <w:tcPr>
            <w:tcW w:w="10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(40)</w:t>
            </w:r>
          </w:p>
        </w:tc>
        <w:tc>
          <w:tcPr>
            <w:tcW w:w="1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(140)</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(120)</w:t>
            </w:r>
          </w:p>
        </w:tc>
        <w:tc>
          <w:tcPr>
            <w:tcW w:w="20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Income before taxes</w:t>
            </w:r>
          </w:p>
        </w:tc>
        <w:tc>
          <w:tcPr>
            <w:tcW w:w="30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839</w:t>
            </w:r>
            <w:r>
              <w:rPr>
                <w:color w:val="000000"/>
              </w:rPr>
              <w:t> </w:t>
            </w:r>
          </w:p>
        </w:tc>
        <w:tc>
          <w:tcPr>
            <w:tcW w:w="1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9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1,107</w:t>
            </w:r>
            <w:r>
              <w:rPr>
                <w:color w:val="000000"/>
              </w:rPr>
              <w:t> </w:t>
            </w:r>
          </w:p>
        </w:tc>
        <w:tc>
          <w:tcPr>
            <w:tcW w:w="1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7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7,474</w:t>
            </w:r>
            <w:r>
              <w:rPr>
                <w:color w:val="000000"/>
              </w:rPr>
              <w:t> </w:t>
            </w:r>
          </w:p>
        </w:tc>
        <w:tc>
          <w:tcPr>
            <w:tcW w:w="1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7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2,023</w:t>
            </w:r>
            <w:r>
              <w:rPr>
                <w:color w:val="000000"/>
              </w:rPr>
              <w:t> </w:t>
            </w:r>
          </w:p>
        </w:tc>
        <w:tc>
          <w:tcPr>
            <w:tcW w:w="20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109"/>
        <w:gridCol w:w="109"/>
        <w:gridCol w:w="109"/>
        <w:gridCol w:w="3023"/>
        <w:gridCol w:w="2686"/>
        <w:gridCol w:w="3804"/>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Other (income) expense.</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Cost of products and services sold.</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Cost of products and services sold (service cost component), Selling, general and administrative expenses (service cost component), Research and development expenses (service cost component), and Other (income) expense (non-service cost component).</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Cost of products and services sold, Selling, general and administrative expenses, and Other (income) expense.</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Amounts included in Selling, general and administrative expenses, Research and development expenses, and Other (income) expense.</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Aptos;sans-serif" w:hAnsi="Aptos;sans-serif"/>
                <w:b w:val="false"/>
                <w:color w:val="000000"/>
                <w:sz w:val="14"/>
              </w:rPr>
            </w:pPr>
            <w:r>
              <w:rPr>
                <w:rFonts w:ascii="Aptos;sans-serif" w:hAnsi="Aptos;sans-serif"/>
                <w:b w:val="false"/>
                <w:color w:val="000000"/>
                <w:sz w:val="14"/>
              </w:rPr>
              <w:t>Amounts include the other components of Selling, general and administrative expenses and Other (income) expense not included within other categories in this reconciliation. Equity income of affiliated companies from strategically aligned investments and trademark licensing income are included in segment profit.</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Includes consolidated losses of Quantinuum prior to the deconsolidation of the Company’s investment in Quantinuum, which does not meet the definition of an operating segment. Included in Net sales, Cost of products and services sold, Research and development expenses, Selling, general and administrative expenses, and Other (income)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8110"/>
                <wp:effectExtent l="0" t="0" r="0" b="0"/>
                <wp:wrapNone/>
                <wp:docPr id="10" name="Frame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- 7</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Consolidated Balance Sheet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2109"/>
        <w:gridCol w:w="1854"/>
        <w:gridCol w:w="1871"/>
        <w:gridCol w:w="388"/>
        <w:gridCol w:w="1420"/>
        <w:gridCol w:w="187"/>
        <w:gridCol w:w="109"/>
        <w:gridCol w:w="109"/>
        <w:gridCol w:w="109"/>
        <w:gridCol w:w="368"/>
        <w:gridCol w:w="1346"/>
        <w:gridCol w:w="251"/>
      </w:tblGrid>
      <w:tr>
        <w:trPr/>
        <w:tc>
          <w:tcPr>
            <w:tcW w:w="210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December 31, 2025</w:t>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Assets</w:t>
            </w:r>
          </w:p>
        </w:tc>
        <w:tc>
          <w:tcPr>
            <w:tcW w:w="1995"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Current assets</w:t>
            </w:r>
          </w:p>
        </w:tc>
        <w:tc>
          <w:tcPr>
            <w:tcW w:w="1995"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and cash equivalents</w:t>
            </w:r>
          </w:p>
        </w:tc>
        <w:tc>
          <w:tcPr>
            <w:tcW w:w="38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42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5,694 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3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12,273 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Short-term investments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492 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443 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Accounts receivable, less allowances of $155 and $167, respectively</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5,086 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4,429 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Inventories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2,056 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1,677 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Assets held for sale</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2,492 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current assets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988 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841 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Current assets of discontinued operations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8,232 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current assets</w:t>
            </w:r>
          </w:p>
        </w:tc>
        <w:tc>
          <w:tcPr>
            <w:tcW w:w="180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14,316</w:t>
            </w:r>
            <w:r>
              <w:rPr>
                <w:color w:val="000000"/>
              </w:rPr>
              <w:t> </w:t>
            </w:r>
          </w:p>
        </w:tc>
        <w:tc>
          <w:tcPr>
            <w:tcW w:w="1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30,387</w:t>
            </w:r>
            <w:r>
              <w:rPr>
                <w:color w:val="000000"/>
              </w:rPr>
              <w:t>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Equity method investments</w:t>
            </w:r>
          </w:p>
        </w:tc>
        <w:tc>
          <w:tcPr>
            <w:tcW w:w="180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7,273 </w:t>
            </w:r>
          </w:p>
        </w:tc>
        <w:tc>
          <w:tcPr>
            <w:tcW w:w="1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195 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Long-term receivables and other investments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1,114 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1,113 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Property, plant and equipment—net</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2,706 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2,466 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Goodwill</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17,561 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18,054 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intangible assets—net</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5,442 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5,161 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Deferred income taxes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199 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156 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assets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4,487 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4,537 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Assets of discontinued operations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11,612 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assets</w:t>
            </w:r>
          </w:p>
        </w:tc>
        <w:tc>
          <w:tcPr>
            <w:tcW w:w="38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4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53,098</w:t>
            </w:r>
            <w:r>
              <w:rPr>
                <w:color w:val="000000"/>
              </w:rPr>
              <w:t> </w:t>
            </w:r>
          </w:p>
        </w:tc>
        <w:tc>
          <w:tcPr>
            <w:tcW w:w="1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3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73,681</w:t>
            </w:r>
            <w:r>
              <w:rPr>
                <w:color w:val="000000"/>
              </w:rPr>
              <w:t>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Liabilities</w:t>
            </w:r>
          </w:p>
        </w:tc>
        <w:tc>
          <w:tcPr>
            <w:tcW w:w="199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Current liabilities</w:t>
            </w:r>
          </w:p>
        </w:tc>
        <w:tc>
          <w:tcPr>
            <w:tcW w:w="199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Accounts payable</w:t>
            </w:r>
          </w:p>
        </w:tc>
        <w:tc>
          <w:tcPr>
            <w:tcW w:w="38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42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3,592 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3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3,434 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Commercial paper and other short-term borrowings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2,424 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5,893 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Current maturities of long-term debt</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3,783 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1,541 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Accrued liabilities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5,112 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5,063 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Liabilities held for sale</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1,198 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Current liabilities of discontinued operations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6,285 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current liabilities</w:t>
            </w:r>
          </w:p>
        </w:tc>
        <w:tc>
          <w:tcPr>
            <w:tcW w:w="180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14,911</w:t>
            </w:r>
            <w:r>
              <w:rPr>
                <w:color w:val="000000"/>
              </w:rPr>
              <w:t> </w:t>
            </w:r>
          </w:p>
        </w:tc>
        <w:tc>
          <w:tcPr>
            <w:tcW w:w="1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23,414</w:t>
            </w:r>
            <w:r>
              <w:rPr>
                <w:color w:val="000000"/>
              </w:rPr>
              <w:t>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Long-term debt</w:t>
            </w:r>
          </w:p>
        </w:tc>
        <w:tc>
          <w:tcPr>
            <w:tcW w:w="180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10,386 </w:t>
            </w:r>
          </w:p>
        </w:tc>
        <w:tc>
          <w:tcPr>
            <w:tcW w:w="18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27,137 </w:t>
            </w:r>
          </w:p>
        </w:tc>
        <w:tc>
          <w:tcPr>
            <w:tcW w:w="25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Deferred income taxes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1,561 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815 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Postretirement benefit obligations other than pensions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80 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111 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liabilities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3,506 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3,986 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Liabilities of discontinued operations</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3,188 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Shareowners' equity</w:t>
            </w:r>
          </w:p>
        </w:tc>
        <w:tc>
          <w:tcPr>
            <w:tcW w:w="180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22,654 </w:t>
            </w:r>
          </w:p>
        </w:tc>
        <w:tc>
          <w:tcPr>
            <w:tcW w:w="18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15,030 </w:t>
            </w:r>
          </w:p>
        </w:tc>
        <w:tc>
          <w:tcPr>
            <w:tcW w:w="25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Total liabilities and shareowners’ equity</w:t>
            </w:r>
          </w:p>
        </w:tc>
        <w:tc>
          <w:tcPr>
            <w:tcW w:w="38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42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53,098</w:t>
            </w:r>
            <w:r>
              <w:rPr>
                <w:color w:val="000000"/>
              </w:rPr>
              <w:t> </w:t>
            </w:r>
          </w:p>
        </w:tc>
        <w:tc>
          <w:tcPr>
            <w:tcW w:w="18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3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73,681</w:t>
            </w:r>
            <w:r>
              <w:rPr>
                <w:color w:val="000000"/>
              </w:rPr>
              <w:t> </w:t>
            </w:r>
          </w:p>
        </w:tc>
        <w:tc>
          <w:tcPr>
            <w:tcW w:w="25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8110"/>
                <wp:effectExtent l="0" t="0" r="0" b="0"/>
                <wp:wrapNone/>
                <wp:docPr id="11" name="Frame1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- 8</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Consolidated Statement of Cash Flows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tbl>
      <w:tblPr>
        <w:tblW w:w="10205" w:type="dxa"/>
        <w:jc w:val="left"/>
        <w:tblInd w:w="0" w:type="dxa"/>
        <w:tblLayout w:type="fixed"/>
        <w:tblCellMar>
          <w:top w:w="28" w:type="dxa"/>
          <w:left w:w="28" w:type="dxa"/>
          <w:bottom w:w="28" w:type="dxa"/>
          <w:right w:w="28" w:type="dxa"/>
        </w:tblCellMar>
      </w:tblPr>
      <w:tblGrid>
        <w:gridCol w:w="1817"/>
        <w:gridCol w:w="1368"/>
        <w:gridCol w:w="1373"/>
        <w:gridCol w:w="269"/>
        <w:gridCol w:w="594"/>
        <w:gridCol w:w="138"/>
        <w:gridCol w:w="138"/>
        <w:gridCol w:w="138"/>
        <w:gridCol w:w="138"/>
        <w:gridCol w:w="269"/>
        <w:gridCol w:w="786"/>
        <w:gridCol w:w="138"/>
        <w:gridCol w:w="109"/>
        <w:gridCol w:w="109"/>
        <w:gridCol w:w="109"/>
        <w:gridCol w:w="254"/>
        <w:gridCol w:w="742"/>
        <w:gridCol w:w="131"/>
        <w:gridCol w:w="131"/>
        <w:gridCol w:w="131"/>
        <w:gridCol w:w="131"/>
        <w:gridCol w:w="254"/>
        <w:gridCol w:w="742"/>
        <w:gridCol w:w="196"/>
      </w:tblGrid>
      <w:tr>
        <w:trPr/>
        <w:tc>
          <w:tcPr>
            <w:tcW w:w="181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Nine Months Ended September 30,</w:t>
            </w:r>
          </w:p>
        </w:tc>
      </w:tr>
      <w:tr>
        <w:trPr/>
        <w:tc>
          <w:tcPr>
            <w:tcW w:w="4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flows from operating activities</w:t>
            </w:r>
          </w:p>
        </w:tc>
        <w:tc>
          <w:tcPr>
            <w:tcW w:w="100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income</w:t>
            </w:r>
          </w:p>
        </w:tc>
        <w:tc>
          <w:tcPr>
            <w:tcW w:w="26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59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676 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8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1,859 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4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7,157 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4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4,895 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Net income from discontinued operations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(103)</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905 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1,061 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3,299 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color w:val="000000"/>
                <w:sz w:val="16"/>
              </w:rPr>
            </w:pPr>
            <w:r>
              <w:rPr>
                <w:rFonts w:ascii="Aptos;sans-serif" w:hAnsi="Aptos;sans-serif"/>
                <w:b/>
                <w:color w:val="000000"/>
                <w:sz w:val="16"/>
              </w:rPr>
              <w:t>Net income from continuing operations</w:t>
            </w:r>
          </w:p>
        </w:tc>
        <w:tc>
          <w:tcPr>
            <w:tcW w:w="86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779</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954</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6,096</w:t>
            </w:r>
            <w:r>
              <w:rPr>
                <w:color w:val="000000"/>
              </w:rPr>
              <w:t> </w:t>
            </w:r>
          </w:p>
        </w:tc>
        <w:tc>
          <w:tcPr>
            <w:tcW w:w="1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1,596</w:t>
            </w:r>
            <w:r>
              <w:rPr>
                <w:color w:val="000000"/>
              </w:rPr>
              <w:t> </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Adjustments to reconcile net income from continuing operations to net cash provided by operating activities</w:t>
            </w:r>
          </w:p>
        </w:tc>
        <w:tc>
          <w:tcPr>
            <w:tcW w:w="100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Depreciation</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70 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72 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215 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206 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Amortization</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186 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176 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483 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510 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Gain on deconsolidation of subsidiary</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(6,629)</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Equity loss (income) of affiliated companies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157 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397 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(Gain) loss on sale of non-strategic businesses and assets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(346)</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(351)</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311 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Loss on debt extinguishment</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241 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Repositioning and other charges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(583)</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133 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(516)</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payments for repositioning and other charges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(93)</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(119)</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(307)</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Resideo indemnification and reimbursement agreement termination payment</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1,590 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1,590 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Pension and other postretirement income</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(91)</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(80)</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(268)</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(164)</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Pension and other postretirement benefit payments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Stock compensation expense</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104 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182 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115 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Deferred income taxes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(533)</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(142)</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687 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(248)</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(322)</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(56)</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(362)</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Changes in assets and liabilities, net of the effects of acquisitions and divestitures:</w:t>
            </w:r>
          </w:p>
        </w:tc>
        <w:tc>
          <w:tcPr>
            <w:tcW w:w="100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Accounts receivable</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(217)</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93 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(546)</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(344)</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Inventories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(297)</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 current assets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126 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(206)</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(168)</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Accounts payable</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(178)</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196 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376 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Accrued liabilities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1,019 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(112)</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567 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510 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Income taxes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(124)</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292 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(247)</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96 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provided by operating activities from continuing operations</w:t>
            </w:r>
          </w:p>
        </w:tc>
        <w:tc>
          <w:tcPr>
            <w:tcW w:w="86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607</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2,306</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932</w:t>
            </w:r>
            <w:r>
              <w:rPr>
                <w:color w:val="000000"/>
              </w:rPr>
              <w:t> </w:t>
            </w:r>
          </w:p>
        </w:tc>
        <w:tc>
          <w:tcPr>
            <w:tcW w:w="1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2,610</w:t>
            </w:r>
            <w:r>
              <w:rPr>
                <w:color w:val="000000"/>
              </w:rPr>
              <w:t> </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cash (used for) provided by operating activities - discontinued operations</w:t>
            </w:r>
          </w:p>
        </w:tc>
        <w:tc>
          <w:tcPr>
            <w:tcW w:w="86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(488)</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982 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(189)</w:t>
            </w:r>
          </w:p>
        </w:tc>
        <w:tc>
          <w:tcPr>
            <w:tcW w:w="1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2,594 </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provided by operating activities</w:t>
            </w:r>
          </w:p>
        </w:tc>
        <w:tc>
          <w:tcPr>
            <w:tcW w:w="86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119</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3,288</w:t>
            </w: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743</w:t>
            </w:r>
            <w:r>
              <w:rPr>
                <w:color w:val="000000"/>
              </w:rPr>
              <w:t> </w:t>
            </w:r>
          </w:p>
        </w:tc>
        <w:tc>
          <w:tcPr>
            <w:tcW w:w="1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5,204</w:t>
            </w:r>
            <w:r>
              <w:rPr>
                <w:color w:val="000000"/>
              </w:rPr>
              <w:t> </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flows from investing activities</w:t>
            </w:r>
          </w:p>
        </w:tc>
        <w:tc>
          <w:tcPr>
            <w:tcW w:w="100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Capital expenditures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(77)</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(150)</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(369)</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(375)</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Increase in investments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(266)</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(384)</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(771)</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(1,064)</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Decrease in investments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215 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295 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728 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1,047 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16"/>
              </w:rPr>
            </w:pPr>
            <w:r>
              <w:rPr>
                <w:rFonts w:ascii="Aptos;sans-serif" w:hAnsi="Aptos;sans-serif"/>
                <w:b w:val="false"/>
                <w:color w:val="000000"/>
                <w:sz w:val="16"/>
              </w:rPr>
              <w:t>Receipts (payments) from settlements of derivative contracts</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123 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(403)</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paid for acquisitions, net of cash acquired</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(1,743)</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(38)</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(1,763)</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(2,201)</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Deconsolidation of subsidiary cash</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(623)</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Proceeds from sale of business, net of cash transferred</w:t>
            </w:r>
          </w:p>
        </w:tc>
        <w:tc>
          <w:tcPr>
            <w:tcW w:w="86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1,448 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1,454 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1,157 </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used for investing activities from continuing operations</w:t>
            </w:r>
          </w:p>
        </w:tc>
        <w:tc>
          <w:tcPr>
            <w:tcW w:w="86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(425)</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(265)</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(1,221)</w:t>
            </w:r>
          </w:p>
        </w:tc>
        <w:tc>
          <w:tcPr>
            <w:tcW w:w="1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(1,839)</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Net cash used for investing activities from discontinued operations</w:t>
            </w:r>
          </w:p>
        </w:tc>
        <w:tc>
          <w:tcPr>
            <w:tcW w:w="86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(223)</w:t>
            </w:r>
          </w:p>
        </w:tc>
        <w:tc>
          <w:tcPr>
            <w:tcW w:w="13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(252)</w:t>
            </w:r>
          </w:p>
        </w:tc>
        <w:tc>
          <w:tcPr>
            <w:tcW w:w="1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(529)</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used for investing activities</w:t>
            </w:r>
          </w:p>
        </w:tc>
        <w:tc>
          <w:tcPr>
            <w:tcW w:w="863"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(425)</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(488)</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(1,473)</w:t>
            </w:r>
          </w:p>
        </w:tc>
        <w:tc>
          <w:tcPr>
            <w:tcW w:w="1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(2,368)</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8110"/>
                <wp:effectExtent l="0" t="0" r="0" b="0"/>
                <wp:wrapNone/>
                <wp:docPr id="12" name="Frame1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- 9</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6"/>
        <w:gridCol w:w="1474"/>
        <w:gridCol w:w="1483"/>
        <w:gridCol w:w="226"/>
        <w:gridCol w:w="706"/>
        <w:gridCol w:w="109"/>
        <w:gridCol w:w="109"/>
        <w:gridCol w:w="109"/>
        <w:gridCol w:w="109"/>
        <w:gridCol w:w="226"/>
        <w:gridCol w:w="826"/>
        <w:gridCol w:w="109"/>
        <w:gridCol w:w="109"/>
        <w:gridCol w:w="109"/>
        <w:gridCol w:w="109"/>
        <w:gridCol w:w="226"/>
        <w:gridCol w:w="706"/>
        <w:gridCol w:w="109"/>
        <w:gridCol w:w="109"/>
        <w:gridCol w:w="109"/>
        <w:gridCol w:w="109"/>
        <w:gridCol w:w="226"/>
        <w:gridCol w:w="826"/>
        <w:gridCol w:w="156"/>
      </w:tblGrid>
      <w:tr>
        <w:trPr/>
        <w:tc>
          <w:tcPr>
            <w:tcW w:w="181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flows from financing activities</w:t>
            </w:r>
          </w:p>
        </w:tc>
        <w:tc>
          <w:tcPr>
            <w:tcW w:w="10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Proceeds from issuance of commercial paper and other short-term borrowings</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4,502 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7,308 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12,413 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19,171 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Payments of commercial paper and other short-term borrowings</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(4,558)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(6,721)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(15,882)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(16,711)</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Proceeds from issuance of common stock</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140 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Proceeds from issuance of long-term debt</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4,035 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Payments of long-term debt</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(1,501)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(14,688)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(1,555)</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Repurchases of common stock</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(1,000)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(3,704)</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dividends paid</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(240)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(735)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(1,816)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(2,214)</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xml:space="preserve">Pre-separation funding </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15,835 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Spin-off cash</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(1,000)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(1,000)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Other</w:t>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233 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198 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cash used for financing activities</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(2,771)</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(219)</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(6,017)</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(640)</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Effect of foreign exchange rate changes on cash and cash equivalents</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(46)</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167 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(decrease) increase in cash and cash equivalents</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(3,057)</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2,581</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(6,793)</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2,363</w:t>
            </w:r>
            <w:r>
              <w:rPr>
                <w:color w:val="000000"/>
              </w:rPr>
              <w:t>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and cash equivalents at beginning of period</w:t>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8,751</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10,349</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12,487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10,567</w:t>
            </w:r>
            <w:r>
              <w:rPr>
                <w:color w:val="000000"/>
              </w:rPr>
              <w:t>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and cash equivalents at end of period</w:t>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5,694</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12,930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5,694</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12,930</w:t>
            </w:r>
            <w:r>
              <w:rPr>
                <w:color w:val="000000"/>
              </w:rPr>
              <w:t> </w:t>
            </w:r>
          </w:p>
        </w:tc>
        <w:tc>
          <w:tcPr>
            <w:tcW w:w="1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8110"/>
                <wp:effectExtent l="0" t="0" r="0" b="0"/>
                <wp:wrapNone/>
                <wp:docPr id="13" name="Frame1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- 10</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Appendix</w:t>
      </w:r>
    </w:p>
    <w:p>
      <w:pPr>
        <w:pStyle w:val="TextBody"/>
        <w:bidi w:val="0"/>
        <w:spacing w:before="0" w:after="0"/>
        <w:ind w:left="0" w:right="0" w:firstLine="90"/>
        <w:jc w:val="center"/>
        <w:rPr/>
      </w:pPr>
      <w:r>
        <w:rPr/>
      </w:r>
    </w:p>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Non-GAAP Financial Measures</w:t>
      </w:r>
    </w:p>
    <w:p>
      <w:pPr>
        <w:pStyle w:val="TextBody"/>
        <w:bidi w:val="0"/>
        <w:spacing w:before="0" w:after="0"/>
        <w:ind w:left="0" w:right="0" w:firstLine="90"/>
        <w:jc w:val="left"/>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 xml:space="preserve">The following information provides definitions and reconciliations of certain non-GAAP financial measures presented in this press release to which reconciliations are attached to the most directly comparable financial measures calculated and presented in accordance with generally accepted accounting principles (GAAP). </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 xml:space="preserve">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Other companies may calculate these non-GAAP measures differently, limiting the usefulness of these measures for comparative purposes. </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 Technologies’ businesses.</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As indicated herein, certain forward-looking non-GAAP financial measures are not reconciled because management cannot reliably predict or estimate certain items for the reasons specified herein with respect to each 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8110"/>
                <wp:effectExtent l="0" t="0" r="0" b="0"/>
                <wp:wrapNone/>
                <wp:docPr id="14" name="Frame1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- 11</w:t>
      </w:r>
    </w:p>
    <w:p>
      <w:pPr>
        <w:pStyle w:val="TextBody"/>
        <w:bidi w:val="0"/>
        <w:spacing w:before="0" w:after="0"/>
        <w:jc w:val="left"/>
        <w:rPr/>
      </w:pPr>
      <w:r>
        <w:rPr/>
      </w:r>
    </w:p>
    <w:p>
      <w:pPr>
        <w:pStyle w:val="TextBody"/>
        <w:bidi w:val="0"/>
        <w:spacing w:lineRule="auto" w:line="288" w:before="0" w:after="0"/>
        <w:ind w:left="0" w:right="0" w:firstLine="9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ind w:left="0" w:right="0" w:firstLine="90"/>
        <w:jc w:val="center"/>
        <w:rPr>
          <w:rFonts w:ascii="Aptos;sans-serif" w:hAnsi="Aptos;sans-serif"/>
          <w:b w:val="false"/>
          <w:color w:val="000000"/>
          <w:sz w:val="18"/>
        </w:rPr>
      </w:pPr>
      <w:r>
        <w:rPr>
          <w:rFonts w:ascii="Aptos;sans-serif" w:hAnsi="Aptos;sans-serif"/>
          <w:b w:val="false"/>
          <w:color w:val="000000"/>
          <w:sz w:val="18"/>
        </w:rPr>
        <w:t>Reconciliation of Organic Sales Percent Change</w:t>
      </w:r>
    </w:p>
    <w:p>
      <w:pPr>
        <w:pStyle w:val="TextBody"/>
        <w:bidi w:val="0"/>
        <w:spacing w:lineRule="auto" w:line="288" w:before="0" w:after="0"/>
        <w:ind w:left="0" w:right="0" w:firstLine="9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ind w:left="0" w:right="0" w:firstLine="9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62"/>
        <w:gridCol w:w="1987"/>
        <w:gridCol w:w="1994"/>
        <w:gridCol w:w="1158"/>
        <w:gridCol w:w="1158"/>
        <w:gridCol w:w="1646"/>
      </w:tblGrid>
      <w:tr>
        <w:trPr/>
        <w:tc>
          <w:tcPr>
            <w:tcW w:w="226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September 30, 2026</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Honeywell Technologies</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1%</w:t>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(8)%</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9%</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3962"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w:t>
            </w:r>
          </w:p>
        </w:tc>
      </w:tr>
      <w:tr>
        <w:trPr/>
        <w:tc>
          <w:tcPr>
            <w:tcW w:w="6243"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3962"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7%</w:t>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Building Automation</w:t>
            </w:r>
          </w:p>
        </w:tc>
        <w:tc>
          <w:tcPr>
            <w:tcW w:w="3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8%</w:t>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8%</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3962"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8%</w:t>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Process Automation and Technology</w:t>
            </w:r>
          </w:p>
        </w:tc>
        <w:tc>
          <w:tcPr>
            <w:tcW w:w="3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16%</w:t>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16%</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8%</w:t>
            </w:r>
          </w:p>
        </w:tc>
      </w:tr>
      <w:tr>
        <w:trPr/>
        <w:tc>
          <w:tcPr>
            <w:tcW w:w="6243"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3962"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8%</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Industrial Automation</w:t>
            </w:r>
          </w:p>
        </w:tc>
        <w:tc>
          <w:tcPr>
            <w:tcW w:w="3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(23)%</w:t>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Impact of divestitures to the prior period</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16"/>
              </w:rPr>
            </w:pPr>
            <w:r>
              <w:rPr>
                <w:rFonts w:ascii="Aptos;sans-serif" w:hAnsi="Aptos;sans-serif"/>
                <w:b w:val="false"/>
                <w:color w:val="000000"/>
                <w:sz w:val="16"/>
              </w:rPr>
              <w:t>(27)%</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Reported sales percent change, adjusted for impact of divestitures</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Foreign currency translation</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Acquisitions</w:t>
            </w:r>
          </w:p>
        </w:tc>
        <w:tc>
          <w:tcPr>
            <w:tcW w:w="39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Less: Other</w:t>
            </w:r>
          </w:p>
        </w:tc>
        <w:tc>
          <w:tcPr>
            <w:tcW w:w="3962"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ptos;sans-serif" w:hAnsi="Aptos;sans-serif"/>
                <w:b w:val="false"/>
                <w:color w:val="000000"/>
                <w:sz w:val="16"/>
              </w:rPr>
              <w:t>%</w:t>
            </w:r>
          </w:p>
        </w:tc>
      </w:tr>
      <w:tr>
        <w:trPr/>
        <w:tc>
          <w:tcPr>
            <w:tcW w:w="62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Organic sales percent change</w:t>
            </w:r>
          </w:p>
        </w:tc>
        <w:tc>
          <w:tcPr>
            <w:tcW w:w="3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4%</w:t>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39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ptos;sans-serif" w:hAnsi="Aptos;sans-serif"/>
          <w:b w:val="false"/>
          <w:color w:val="000000"/>
          <w:sz w:val="18"/>
        </w:rPr>
      </w:pPr>
      <w:r>
        <w:rPr>
          <w:rFonts w:ascii="Aptos;sans-serif" w:hAnsi="Aptos;sans-serif"/>
          <w:b w:val="false"/>
          <w:color w:val="000000"/>
          <w:sz w:val="18"/>
        </w:rPr>
        <w:t>We define organic sales percentage as the year-over-year change in reported sales relative to the comparable period,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measure is useful to investors and management in understanding our ongoing operations and in analysis of ongoing operating trends.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 xml:space="preserve">A quantitative reconciliation of reported sales percent change to organic sales percent change has not been provided for the forward-looking measure of organic sales percent change because management cannot reliably predict or estimate, without unreasonable effort, the fluctuations in global currency markets that impact foreign currency translation, nor is it reasonable for management to predict the timing, occurrence and impact of acquisition and divestiture transactions, all of which could significantly impact our reported sales percent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8110"/>
                <wp:effectExtent l="0" t="0" r="0" b="0"/>
                <wp:wrapNone/>
                <wp:docPr id="15" name="Frame1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- 12</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Operating Income to Segment Profit, Calculation of Operating Income and Segment Profit Margins</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03"/>
        <w:gridCol w:w="906"/>
        <w:gridCol w:w="907"/>
        <w:gridCol w:w="109"/>
        <w:gridCol w:w="109"/>
        <w:gridCol w:w="370"/>
        <w:gridCol w:w="1159"/>
        <w:gridCol w:w="444"/>
        <w:gridCol w:w="178"/>
        <w:gridCol w:w="178"/>
        <w:gridCol w:w="178"/>
        <w:gridCol w:w="178"/>
        <w:gridCol w:w="109"/>
        <w:gridCol w:w="551"/>
        <w:gridCol w:w="1283"/>
        <w:gridCol w:w="661"/>
        <w:gridCol w:w="109"/>
        <w:gridCol w:w="109"/>
        <w:gridCol w:w="109"/>
        <w:gridCol w:w="226"/>
        <w:gridCol w:w="706"/>
        <w:gridCol w:w="323"/>
      </w:tblGrid>
      <w:tr>
        <w:trPr/>
        <w:tc>
          <w:tcPr>
            <w:tcW w:w="13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Twelve Months Ended December 31, </w:t>
            </w:r>
          </w:p>
        </w:tc>
        <w:tc>
          <w:tcPr>
            <w:tcW w:w="1582" w:type="dxa"/>
            <w:gridSpan w:val="6"/>
            <w:tcBorders/>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5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1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740</w:t>
            </w:r>
            <w:r>
              <w:rPr>
                <w:color w:val="000000"/>
              </w:rPr>
              <w:t> </w:t>
            </w:r>
          </w:p>
        </w:tc>
        <w:tc>
          <w:tcPr>
            <w:tcW w:w="44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413</w:t>
            </w:r>
            <w:r>
              <w:rPr>
                <w:color w:val="000000"/>
              </w:rPr>
              <w:t> </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1,171</w:t>
            </w:r>
            <w:r>
              <w:rPr>
                <w:color w:val="000000"/>
              </w:rPr>
              <w:t> </w:t>
            </w:r>
          </w:p>
        </w:tc>
        <w:tc>
          <w:tcPr>
            <w:tcW w:w="3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Stock compensation expense</w:t>
            </w:r>
            <w:r>
              <w:rPr>
                <w:rFonts w:ascii="Aptos;sans-serif" w:hAnsi="Aptos;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104 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153 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Repositioning, other</w:t>
            </w:r>
            <w:r>
              <w:rPr>
                <w:rFonts w:ascii="Aptos;sans-serif" w:hAnsi="Aptos;sans-serif"/>
                <w:b w:val="false"/>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20 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223 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390 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and other postretirement service costs</w:t>
            </w:r>
            <w:r>
              <w:rPr>
                <w:rFonts w:ascii="Aptos;sans-serif" w:hAnsi="Aptos;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14 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57 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131 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135 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509 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Acquisition-related costs</w:t>
            </w:r>
            <w:r>
              <w:rPr>
                <w:rFonts w:ascii="Aptos;sans-serif" w:hAnsi="Aptos;sans-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Divestiture-related costs</w:t>
            </w:r>
            <w:r>
              <w:rPr>
                <w:rFonts w:ascii="Aptos;sans-serif" w:hAnsi="Aptos;sans-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ERP implementation costs</w:t>
            </w:r>
            <w:r>
              <w:rPr>
                <w:rFonts w:ascii="Aptos;sans-serif" w:hAnsi="Aptos;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9 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Indefinite-lived intangible asset impairment</w:t>
            </w:r>
            <w:r>
              <w:rPr>
                <w:rFonts w:ascii="Aptos;sans-serif" w:hAnsi="Aptos;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44 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724 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Impairment of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270 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Quantinuum</w:t>
            </w:r>
            <w:r>
              <w:rPr>
                <w:rFonts w:ascii="Aptos;sans-serif" w:hAnsi="Aptos;sans-serif"/>
                <w:b w:val="false"/>
                <w:color w:val="000000"/>
                <w:sz w:val="1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50 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187 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Trademark licensing income</w:t>
            </w:r>
            <w:r>
              <w:rPr>
                <w:rFonts w:ascii="Aptos;sans-serif" w:hAnsi="Aptos;sans-serif"/>
                <w:b w:val="false"/>
                <w:color w:val="000000"/>
                <w:sz w:val="1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36 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1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1,062</w:t>
            </w:r>
            <w:r>
              <w:rPr>
                <w:color w:val="000000"/>
              </w:rPr>
              <w:t> </w:t>
            </w:r>
          </w:p>
        </w:tc>
        <w:tc>
          <w:tcPr>
            <w:tcW w:w="44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866</w:t>
            </w:r>
            <w:r>
              <w:rPr>
                <w:color w:val="000000"/>
              </w:rPr>
              <w:t> </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3,507</w:t>
            </w:r>
            <w:r>
              <w:rPr>
                <w:color w:val="000000"/>
              </w:rPr>
              <w:t> </w:t>
            </w:r>
          </w:p>
        </w:tc>
        <w:tc>
          <w:tcPr>
            <w:tcW w:w="3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1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740 </w:t>
            </w:r>
          </w:p>
        </w:tc>
        <w:tc>
          <w:tcPr>
            <w:tcW w:w="44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413 </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1,171 </w:t>
            </w:r>
          </w:p>
        </w:tc>
        <w:tc>
          <w:tcPr>
            <w:tcW w:w="3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4,994</w:t>
            </w:r>
            <w:r>
              <w:rPr>
                <w:color w:val="000000"/>
              </w:rPr>
              <w:t>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4,929</w:t>
            </w:r>
            <w:r>
              <w:rPr>
                <w:color w:val="000000"/>
              </w:rPr>
              <w:t>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19,915</w:t>
            </w:r>
            <w:r>
              <w:rPr>
                <w:color w:val="000000"/>
              </w:rPr>
              <w:t>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Operating income margin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14.8</w:t>
            </w:r>
            <w:r>
              <w:rPr>
                <w:color w:val="000000"/>
              </w:rPr>
              <w:t> </w:t>
            </w:r>
          </w:p>
        </w:tc>
        <w:tc>
          <w:tcPr>
            <w:tcW w:w="44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5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8.4</w:t>
            </w:r>
            <w:r>
              <w:rPr>
                <w:color w:val="000000"/>
              </w:rPr>
              <w:t> </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5.9</w:t>
            </w:r>
            <w:r>
              <w:rPr>
                <w:color w:val="000000"/>
              </w:rPr>
              <w:t> </w:t>
            </w:r>
          </w:p>
        </w:tc>
        <w:tc>
          <w:tcPr>
            <w:tcW w:w="3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r>
      <w:tr>
        <w:trPr/>
        <w:tc>
          <w:tcPr>
            <w:tcW w:w="31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1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1,062 </w:t>
            </w:r>
          </w:p>
        </w:tc>
        <w:tc>
          <w:tcPr>
            <w:tcW w:w="44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866 </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3,507 </w:t>
            </w:r>
          </w:p>
        </w:tc>
        <w:tc>
          <w:tcPr>
            <w:tcW w:w="3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4,994 </w:t>
            </w:r>
          </w:p>
        </w:tc>
        <w:tc>
          <w:tcPr>
            <w:tcW w:w="4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4,929 </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19,915 </w:t>
            </w:r>
          </w:p>
        </w:tc>
        <w:tc>
          <w:tcPr>
            <w:tcW w:w="3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Segment profit margin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21.3</w:t>
            </w:r>
            <w:r>
              <w:rPr>
                <w:color w:val="000000"/>
              </w:rPr>
              <w:t> </w:t>
            </w:r>
          </w:p>
        </w:tc>
        <w:tc>
          <w:tcPr>
            <w:tcW w:w="444" w:type="dxa"/>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53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4" w:type="dxa"/>
            <w:gridSpan w:val="2"/>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17.6</w:t>
            </w:r>
            <w:r>
              <w:rPr>
                <w:color w:val="000000"/>
              </w:rPr>
              <w:t> </w:t>
            </w:r>
          </w:p>
        </w:tc>
        <w:tc>
          <w:tcPr>
            <w:tcW w:w="661" w:type="dxa"/>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17.6</w:t>
            </w:r>
            <w:r>
              <w:rPr>
                <w:color w:val="000000"/>
              </w:rPr>
              <w:t> </w:t>
            </w:r>
          </w:p>
        </w:tc>
        <w:tc>
          <w:tcPr>
            <w:tcW w:w="323" w:type="dxa"/>
            <w:tcBorders>
              <w:top w:val="single" w:sz="4" w:space="0" w:color="DC202E"/>
              <w:bottom w:val="single" w:sz="4" w:space="0" w:color="DC202E"/>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109"/>
        <w:gridCol w:w="109"/>
        <w:gridCol w:w="109"/>
        <w:gridCol w:w="2922"/>
        <w:gridCol w:w="2721"/>
        <w:gridCol w:w="3870"/>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Includes repositioning, asbestos, environmental expenses, equity income adjustment, and other charges.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and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Research and development expenses, and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Cost of products and services sold. Includes acquisition-related fair value adjustments to inventory.</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Included in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Includes consolidated losses of Quantinuum prior to the deconsolidation of the Company’s investment in Quantinuum, which does not meet the definition of an operating segment. Included in Net sales, Cost of products and services sold, Research and development expenses, and Selling, general and administrative expenses.</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Included in segment profit and recorded within Other (income) expense.</w:t>
            </w:r>
          </w:p>
        </w:tc>
      </w:tr>
      <w:tr>
        <w:trPr/>
        <w:tc>
          <w:tcPr>
            <w:tcW w:w="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 xml:space="preserve">We define operating income as segment sales less total cost of products and services sold, research and development expenses, selling, general and administrative expenses, impairment of goodwill, and impairment of assets held for sale. We define segment profit, on an overall Honeywell Technologies basis, as operating income, excluding stock compensation expense, pension and other postretirement service costs, amortization of acquisition-related intangibles, certain acquisition- and divestiture-related costs and impairments, repositioning and other charges, trademark licensing income, and the results of Quantinuum. We define segment profit margin, on an overall Honeywell Technologies basis, as segment profit divided by net sales. We believe these measures are useful to investors and management in understanding our ongoing operations and in analysis of ongoing operating trends. </w:t>
      </w:r>
    </w:p>
    <w:p>
      <w:pPr>
        <w:pStyle w:val="TextBody"/>
        <w:bidi w:val="0"/>
        <w:spacing w:before="0" w:after="0"/>
        <w:jc w:val="both"/>
        <w:rPr/>
      </w:pPr>
      <w:r>
        <w:rPr/>
      </w:r>
    </w:p>
    <w:p>
      <w:pPr>
        <w:pStyle w:val="TextBody"/>
        <w:bidi w:val="0"/>
        <w:spacing w:lineRule="auto" w:line="288"/>
        <w:jc w:val="both"/>
        <w:rPr>
          <w:rFonts w:ascii="Aptos;sans-serif" w:hAnsi="Aptos;sans-serif"/>
          <w:b w:val="false"/>
          <w:color w:val="000000"/>
          <w:sz w:val="18"/>
        </w:rPr>
      </w:pPr>
      <w:r>
        <w:rPr>
          <w:rFonts w:ascii="Aptos;sans-serif" w:hAnsi="Aptos;sans-serif"/>
          <w:b w:val="false"/>
          <w:color w:val="000000"/>
          <w:sz w:val="18"/>
        </w:rPr>
        <w:t xml:space="preserve">A quantitative reconciliation of operating income to segment profit, on an overall company basis, has not been provided for all forward-looking measures of segment profit and segment profit margin included herein. Management cannot reliably predict or estimate, without unreasonable effort, the impact and timing on future operating results arising from items excluded from segment profit. The information that is unavailable to provide a quantitative reconciliation could have a significant impact on our reported financial results. To the extent quantitative information becomes available without unreasonable effort in the future, and closer to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8110"/>
                <wp:effectExtent l="0" t="0" r="0" b="0"/>
                <wp:wrapNone/>
                <wp:docPr id="16" name="Frame1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- 13</w:t>
      </w:r>
    </w:p>
    <w:p>
      <w:pPr>
        <w:pStyle w:val="TextBody"/>
        <w:bidi w:val="0"/>
        <w:spacing w:before="0" w:after="0"/>
        <w:jc w:val="left"/>
        <w:rPr/>
      </w:pPr>
      <w:r>
        <w:rPr/>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the period to which the forward-looking measures pertain, a reconciliation of operating income to segment profit will be included within future filings.</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Acquisition amortization and acquisition- and divestiture-related costs are significantly impacted by the timing, size, and number of acquisitions or divestitures we complete and are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8110"/>
                <wp:effectExtent l="0" t="0" r="0" b="0"/>
                <wp:wrapNone/>
                <wp:docPr id="17" name="Frame1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- 14</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Earnings per Share to Adjusted Earnings per Share</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51"/>
        <w:gridCol w:w="798"/>
        <w:gridCol w:w="803"/>
        <w:gridCol w:w="318"/>
        <w:gridCol w:w="825"/>
        <w:gridCol w:w="153"/>
        <w:gridCol w:w="153"/>
        <w:gridCol w:w="586"/>
        <w:gridCol w:w="109"/>
        <w:gridCol w:w="109"/>
        <w:gridCol w:w="109"/>
        <w:gridCol w:w="320"/>
        <w:gridCol w:w="830"/>
        <w:gridCol w:w="154"/>
        <w:gridCol w:w="154"/>
        <w:gridCol w:w="700"/>
        <w:gridCol w:w="109"/>
        <w:gridCol w:w="109"/>
        <w:gridCol w:w="109"/>
        <w:gridCol w:w="226"/>
        <w:gridCol w:w="586"/>
        <w:gridCol w:w="109"/>
        <w:gridCol w:w="109"/>
        <w:gridCol w:w="109"/>
        <w:gridCol w:w="109"/>
        <w:gridCol w:w="380"/>
        <w:gridCol w:w="319"/>
        <w:gridCol w:w="459"/>
      </w:tblGrid>
      <w:tr>
        <w:trPr/>
        <w:tc>
          <w:tcPr>
            <w:tcW w:w="135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5"/>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Twelve Months Ended December 31,</w:t>
            </w:r>
          </w:p>
        </w:tc>
        <w:tc>
          <w:tcPr>
            <w:tcW w:w="2733" w:type="dxa"/>
            <w:gridSpan w:val="12"/>
            <w:tcBorders/>
          </w:tcPr>
          <w:p>
            <w:pPr>
              <w:pStyle w:val="TableContents"/>
              <w:bidi w:val="0"/>
              <w:spacing w:before="0" w:after="283"/>
              <w:jc w:val="left"/>
              <w:rPr>
                <w:sz w:val="4"/>
                <w:szCs w:val="4"/>
              </w:rPr>
            </w:pPr>
            <w:r>
              <w:rPr>
                <w:sz w:val="4"/>
                <w:szCs w:val="4"/>
              </w:rPr>
            </w:r>
          </w:p>
        </w:tc>
      </w:tr>
      <w:tr>
        <w:trPr/>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w:t>
            </w:r>
          </w:p>
        </w:tc>
        <w:tc>
          <w:tcPr>
            <w:tcW w:w="153" w:type="dxa"/>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2025</w:t>
            </w:r>
          </w:p>
        </w:tc>
        <w:tc>
          <w:tcPr>
            <w:tcW w:w="154" w:type="dxa"/>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2026(E)</w:t>
            </w:r>
          </w:p>
        </w:tc>
        <w:tc>
          <w:tcPr>
            <w:tcW w:w="2733" w:type="dxa"/>
            <w:gridSpan w:val="12"/>
            <w:tcBorders/>
          </w:tcPr>
          <w:p>
            <w:pPr>
              <w:pStyle w:val="TableContents"/>
              <w:bidi w:val="0"/>
              <w:spacing w:before="0" w:after="283"/>
              <w:jc w:val="left"/>
              <w:rPr>
                <w:sz w:val="4"/>
                <w:szCs w:val="4"/>
              </w:rPr>
            </w:pPr>
            <w:r>
              <w:rPr>
                <w:sz w:val="4"/>
                <w:szCs w:val="4"/>
              </w:rPr>
            </w:r>
          </w:p>
        </w:tc>
      </w:tr>
      <w:tr>
        <w:trPr/>
        <w:tc>
          <w:tcPr>
            <w:tcW w:w="29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9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16"/>
              </w:rPr>
              <w:t>Earnings per share of common stock from continuing operations - diluted</w:t>
            </w:r>
            <w:r>
              <w:rPr>
                <w:rFonts w:ascii="Aptos;sans-serif" w:hAnsi="Aptos;sans-serif"/>
                <w:b/>
                <w:color w:val="000000"/>
                <w:sz w:val="10"/>
              </w:rPr>
              <w:t>1</w:t>
            </w:r>
          </w:p>
        </w:tc>
        <w:tc>
          <w:tcPr>
            <w:tcW w:w="3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2.40</w:t>
            </w:r>
            <w:r>
              <w:rPr>
                <w:color w:val="000000"/>
              </w:rPr>
              <w:t> </w:t>
            </w:r>
          </w:p>
        </w:tc>
        <w:tc>
          <w:tcPr>
            <w:tcW w:w="15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2.99</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5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3.24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$21.88 - $21.93</w:t>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income</w:t>
            </w:r>
            <w:r>
              <w:rPr>
                <w:rFonts w:ascii="Aptos;sans-serif" w:hAnsi="Aptos;sans-serif"/>
                <w:b w:val="false"/>
                <w:color w:val="000000"/>
                <w:sz w:val="10"/>
              </w:rPr>
              <w:t>2</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(0.21)</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(0.18)</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No Forecast</w:t>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3</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0.32 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0.32 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1.20 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Acquisition-related costs</w:t>
            </w:r>
            <w:r>
              <w:rPr>
                <w:rFonts w:ascii="Aptos;sans-serif" w:hAnsi="Aptos;sans-serif"/>
                <w:b w:val="false"/>
                <w:color w:val="000000"/>
                <w:sz w:val="10"/>
              </w:rPr>
              <w:t>4</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0.10 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0.05 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0.12 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Divestiture-related costs</w:t>
            </w:r>
            <w:r>
              <w:rPr>
                <w:rFonts w:ascii="Aptos;sans-serif" w:hAnsi="Aptos;sans-serif"/>
                <w:b w:val="false"/>
                <w:color w:val="000000"/>
                <w:sz w:val="10"/>
              </w:rPr>
              <w:t>5</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(0.04)</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0.57 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No Forecast</w:t>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Debt restructuring costs</w:t>
            </w:r>
            <w:r>
              <w:rPr>
                <w:rFonts w:ascii="Aptos;sans-serif" w:hAnsi="Aptos;sans-serif"/>
                <w:b w:val="false"/>
                <w:color w:val="000000"/>
                <w:sz w:val="10"/>
              </w:rPr>
              <w:t>6</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0.71 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ERP implementation costs</w:t>
            </w:r>
            <w:r>
              <w:rPr>
                <w:rFonts w:ascii="Aptos;sans-serif" w:hAnsi="Aptos;sans-serif"/>
                <w:b w:val="false"/>
                <w:color w:val="000000"/>
                <w:sz w:val="10"/>
              </w:rPr>
              <w:t>7</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0.02 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0.08 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Impairment of assets held for sale</w:t>
            </w:r>
            <w:r>
              <w:rPr>
                <w:rFonts w:ascii="Aptos;sans-serif" w:hAnsi="Aptos;sans-serif"/>
                <w:b w:val="false"/>
                <w:color w:val="000000"/>
                <w:sz w:val="10"/>
              </w:rPr>
              <w:t>8</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0.74 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Indefinite-lived intangible asset impairment</w:t>
            </w:r>
            <w:r>
              <w:rPr>
                <w:rFonts w:ascii="Aptos;sans-serif" w:hAnsi="Aptos;sans-serif"/>
                <w:b w:val="false"/>
                <w:color w:val="000000"/>
                <w:sz w:val="10"/>
              </w:rPr>
              <w:t>9</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Impairment of goodwill</w:t>
            </w:r>
            <w:r>
              <w:rPr>
                <w:rFonts w:ascii="Aptos;sans-serif" w:hAnsi="Aptos;sans-serif"/>
                <w:b w:val="false"/>
                <w:color w:val="000000"/>
                <w:sz w:val="10"/>
              </w:rPr>
              <w:t>10</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2.25 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loss on sale of business</w:t>
            </w:r>
            <w:r>
              <w:rPr>
                <w:rFonts w:ascii="Aptos;sans-serif" w:hAnsi="Aptos;sans-serif"/>
                <w:b w:val="false"/>
                <w:color w:val="000000"/>
                <w:sz w:val="10"/>
              </w:rPr>
              <w:t>11</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(0.67)</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(0.69)</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related to Resideo indemnification and reimbursement agreement termination</w:t>
            </w:r>
            <w:r>
              <w:rPr>
                <w:rFonts w:ascii="Aptos;sans-serif" w:hAnsi="Aptos;sans-serif"/>
                <w:b w:val="false"/>
                <w:color w:val="000000"/>
                <w:sz w:val="10"/>
              </w:rPr>
              <w:t>12</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(2.51)</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(2.50)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Adjustment to estimated future environmental liabilities</w:t>
            </w:r>
            <w:r>
              <w:rPr>
                <w:rFonts w:ascii="Aptos;sans-serif" w:hAnsi="Aptos;sans-serif"/>
                <w:b w:val="false"/>
                <w:color w:val="000000"/>
                <w:sz w:val="10"/>
              </w:rPr>
              <w:t>13</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0.07 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settlement of divestiture of asbestos liabilities</w:t>
            </w:r>
            <w:r>
              <w:rPr>
                <w:rFonts w:ascii="Aptos;sans-serif" w:hAnsi="Aptos;sans-serif"/>
                <w:b w:val="false"/>
                <w:color w:val="000000"/>
                <w:sz w:val="10"/>
              </w:rPr>
              <w:t>14</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0.35 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Impact of Russia-Ukraine conflict</w:t>
            </w:r>
            <w:r>
              <w:rPr>
                <w:rFonts w:ascii="Aptos;sans-serif" w:hAnsi="Aptos;sans-serif"/>
                <w:b w:val="false"/>
                <w:color w:val="000000"/>
                <w:sz w:val="10"/>
              </w:rPr>
              <w:t>15</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0.02 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on deconsolidation of Quantinuum</w:t>
            </w:r>
            <w:r>
              <w:rPr>
                <w:rFonts w:ascii="Aptos;sans-serif" w:hAnsi="Aptos;sans-serif"/>
                <w:b w:val="false"/>
                <w:color w:val="000000"/>
                <w:sz w:val="10"/>
              </w:rPr>
              <w:t>16</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(15.83)</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Equity loss of Quantinuum</w:t>
            </w:r>
            <w:r>
              <w:rPr>
                <w:rFonts w:ascii="Aptos;sans-serif" w:hAnsi="Aptos;sans-serif"/>
                <w:b w:val="false"/>
                <w:color w:val="000000"/>
                <w:sz w:val="10"/>
              </w:rPr>
              <w:t>17</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0.35 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No Forecast</w:t>
            </w:r>
          </w:p>
        </w:tc>
      </w:tr>
      <w:tr>
        <w:trPr/>
        <w:tc>
          <w:tcPr>
            <w:tcW w:w="295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Loss on Quantinuum</w:t>
            </w:r>
            <w:r>
              <w:rPr>
                <w:rFonts w:ascii="Aptos;sans-serif" w:hAnsi="Aptos;sans-serif"/>
                <w:b w:val="false"/>
                <w:color w:val="000000"/>
                <w:sz w:val="10"/>
              </w:rPr>
              <w:t>18</w:t>
            </w:r>
          </w:p>
        </w:tc>
        <w:tc>
          <w:tcPr>
            <w:tcW w:w="114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0.04 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0.17 </w:t>
            </w:r>
          </w:p>
        </w:tc>
        <w:tc>
          <w:tcPr>
            <w:tcW w:w="4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Adjusted earnings per share of common stock from continuing operations - diluted</w:t>
            </w:r>
          </w:p>
        </w:tc>
        <w:tc>
          <w:tcPr>
            <w:tcW w:w="31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2.27</w:t>
            </w:r>
            <w:r>
              <w:rPr>
                <w:color w:val="000000"/>
              </w:rPr>
              <w:t> </w:t>
            </w:r>
          </w:p>
        </w:tc>
        <w:tc>
          <w:tcPr>
            <w:tcW w:w="1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8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1.70</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58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6.46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$8.40 - 8.45</w:t>
            </w:r>
          </w:p>
        </w:tc>
      </w:tr>
    </w:tbl>
    <w:tbl>
      <w:tblPr>
        <w:tblW w:w="10205" w:type="dxa"/>
        <w:jc w:val="left"/>
        <w:tblInd w:w="0" w:type="dxa"/>
        <w:tblLayout w:type="fixed"/>
        <w:tblCellMar>
          <w:top w:w="28" w:type="dxa"/>
          <w:left w:w="28" w:type="dxa"/>
          <w:bottom w:w="28" w:type="dxa"/>
          <w:right w:w="28" w:type="dxa"/>
        </w:tblCellMar>
      </w:tblPr>
      <w:tblGrid>
        <w:gridCol w:w="183"/>
        <w:gridCol w:w="163"/>
        <w:gridCol w:w="109"/>
        <w:gridCol w:w="109"/>
        <w:gridCol w:w="109"/>
        <w:gridCol w:w="109"/>
        <w:gridCol w:w="2958"/>
        <w:gridCol w:w="2673"/>
        <w:gridCol w:w="379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and 2025, adjusted earnings per share utilizes weighted average shares of 319.2 million and 319.4 million, respectively. For the twelve months ended December 31, 2025, adjusted earnings per share utilizes weighted average shares of 321.4 million. For the twelve months ended December 31, 2026, expected earnings per share utilizes weighted average shares of approximately 319.4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and 2025, pension income was $67 million and $58 million, net of tax expense of $22 million and $18 million, respectively. For the twelve months ended December 31, 2025, pension income was $40 million, net of tax expense of $25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and 2025, acquisition-related intangibles amortization includes $102 million and $102 million, net of tax benefit of $29 million and $33 million, respectively. For the twelve months ended December 31, 2025, acquisition-related intangibles amortization includes $386 million, net of tax benefit of $123 million. For the twelve months ended December 31, 2026, the expected adjustment for acquisition-related intangibles amortization includes approximately $382 million, net of tax benefit of approximately $90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and 2025, the adjustment for acquisition-related costs, which is principally comprised of third-party transaction and integration costs was $31 million and $17 million, net of tax benefit of $9 million and $5 million, respectively. For the twelve months ended December 31, 2025, the adjustment for acquisition-related costs, which is principally comprised of third-party transaction and integration costs and acquisition-related fair value adjustments to inventory, was $35 million, net of tax benefit of $10 million. For the twelve months ended December 31, 2026, the expected adjustment for acquisition-related costs, which is principally comprised of third-party transaction and integration costs, is approximately $39 million, net of tax benefit of approximately $12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and 2025, the adjustment for divestiture-related costs, which is principally comprised of third-party transaction, separation and simplification costs, was $12 million and $180 million, net of tax benefit of $182 million and tax expense of $122 million, respectively. For the twelve months ended December 31, 2025, the adjustment for divestiture-related costs was $262 million, net of tax expense of $31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 xml:space="preserve">For the twelve months ended December 31, 2026, the expected adjustment for debt restructuring costs excluding spin-off impact is $228 million, net of tax benefit of $70 million. </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 xml:space="preserve">For the three months ended September 30, 2026, the adjustment for ERP implementation costs was $7 million, net of tax benefit of $2 million. For the twelve months ended December 31, 2026, the expected adjustment for ERP implementation costs is approximately $26 million, net of tax benefit of approximately $6 million. </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impairment charge of assets held for sale was $209 million, net of tax benefit of $61 million. For the twelve months ended December 31, 2026, the expected impairment charge of assets held for sale is $236 million, net of tax benefit of $75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impairment charge of indefinite-lived intangible assets associated with the Industrial Automation reportable segment was $44 million, without tax benefit.</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2025, the impairment charge of goodwill associated with the Industrial Automation reportable segment was $724 million, without tax benefit.</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the (gain) loss on sale of personal protection equipment business was $216 million, net of tax expense of $123 million. For the twelve months ended December 31, 2025, the adjustment for loss on sale of the personal protective equipment business was $28 million, net of tax benefit of $2 million. For the twelve months ended December 31, 2026, the expected gain on sale of personal protection equipment business is $221 million, net of tax expense of $124 million.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8110"/>
                <wp:effectExtent l="0" t="0" r="0" b="0"/>
                <wp:wrapNone/>
                <wp:docPr id="18" name="Frame1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- 15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4"/>
        <w:gridCol w:w="162"/>
        <w:gridCol w:w="109"/>
        <w:gridCol w:w="109"/>
        <w:gridCol w:w="109"/>
        <w:gridCol w:w="109"/>
        <w:gridCol w:w="2773"/>
        <w:gridCol w:w="2746"/>
        <w:gridCol w:w="390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September 30, 2025, the gain related to the Resideo indemnification and reimbursement agreement termination was $802 million, without tax impact. For the twelve months ended December 31, 2025, the gain related to the Resideo indemnification and reimbursement agreement termination was $802 million, without tax impact.</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September 30, 2025, the adjustment to increase environmental liabilities was $22 million, net of tax benefit of $7 million. For the twelve months ended December 31, 2025, the adjustment to increase environmental liabilities was $22 million, net of tax benefit of $7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three months ended September 30, 2025, the adjustment for loss on settlement of divestiture of asbestos liabilities was $112 million, net of</w:t>
              <w:br/>
              <w:t>tax benefit of $36 million. For the twelve months ended December 31, 2025, the adjustment for loss on settlement of divestiture of asbestos liabilities was $112 million, net of tax benefit of $36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For the twelve months ended December 31, 2026, the expected adjustment for the impact of the Russia-Ukraine conflict is approximately $6 million, net of tax benefit of approximately $2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76" w:before="0" w:after="0"/>
              <w:ind w:left="0" w:right="0" w:hanging="720"/>
              <w:jc w:val="both"/>
              <w:rPr>
                <w:rFonts w:ascii="Aptos;sans-serif" w:hAnsi="Aptos;sans-serif"/>
                <w:b w:val="false"/>
                <w:color w:val="000000"/>
                <w:sz w:val="14"/>
              </w:rPr>
            </w:pPr>
            <w:r>
              <w:rPr>
                <w:rFonts w:ascii="Aptos;sans-serif" w:hAnsi="Aptos;sans-serif"/>
                <w:b w:val="false"/>
                <w:color w:val="000000"/>
                <w:sz w:val="14"/>
              </w:rPr>
              <w:t>Includes the gain from the deconsolidation of Quantinuum of $5,057 million, net of tax expense of $1,572 million.</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the adjustment for equity losses on Quantinuum is $112 million, net of tax benefit of $35 million. The equity losses of Quantinuum are based on our proportionate share of Quantinuum's earnings or losses, which are outside of the Company's control. We therefore do not include an estimate for these amounts.</w:t>
            </w:r>
          </w:p>
        </w:tc>
      </w:tr>
      <w:tr>
        <w:trPr/>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14"/>
              </w:rPr>
            </w:pPr>
            <w:r>
              <w:rPr>
                <w:rFonts w:ascii="Aptos;sans-serif" w:hAnsi="Aptos;sans-serif"/>
                <w:b w:val="false"/>
                <w:color w:val="000000"/>
                <w:sz w:val="14"/>
              </w:rPr>
              <w:t>Includes consolidated losses of Quantinuum prior to the deconsolidation of the Company’s investment in Quantinuum, which does not meet the definition of an operating segment. For the three months ended September 30, 2025, the net income adjustment for Quantinuum was $35 million, net of tax benefit of $11 million. The net adjustment also reflects an adjustment to NCI of $16 million for the three months ended September 30, 2025. For the twelve months ended December 31, 2025, the net income adjustment for Quantinuum was $135 million, net of tax benefit of $43 million. The net adjustment also reflects an adjustment to NCI of $78 million for the twelve months ended December 31, 2025. For the twelve months ended December 31, 2026, the expected net income adjustment for Quantinuum is approximately $107 million, net of tax benefit of approximately $33 million. The net adjustment also reflects an adjustment to NCI of approximately $55 million for the twelve months ended December 31,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We define adjusted earnings per share as diluted earnings per share from continuing operations adjusted to exclude various charges as listed above. We believe adjusted earnings per share is a measure that is useful to investors and management in understanding our ongoing operations and in analysis of ongoing operating trends. For forward-looking information, management cannot reliably predict or estimate, without unreasonable effort, pension income or the divestiture-related costs. The pension income is dependent on macroeconomic factors, such as interest rates and the return generated on invested pension plan assets. The divestiture-related costs are subject to detailed development and execution of separation restructuring and simplification plans for the recently completed separation of Honeywell Technologies and Honeywell Aerospace. The equity losses of Quantinuum are based on our proportionate share of Quantinuum's earnings or losses, which are outside of the Company's control. We therefore do not include an estimate for these amounts. Based on economic and industry conditions, future developments, and other relevant factors, these assumptions are subject to change.</w:t>
      </w:r>
    </w:p>
    <w:p>
      <w:pPr>
        <w:pStyle w:val="TextBody"/>
        <w:bidi w:val="0"/>
        <w:spacing w:before="0" w:after="0"/>
        <w:jc w:val="both"/>
        <w:rPr/>
      </w:pPr>
      <w:r>
        <w:rPr/>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Acquisition amortization and acquisition- and divestiture-related costs are significantly impacted by the timing, size, and number of acquisitions or divestitures we complete and are not on a predictable cycle and we make no comment as to when or whether any future acquisitions or divestitures may occur. We believe excluding these costs provides investors with a more meaningful comparison of operating performance over time and with both acquisitive and other peer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8110"/>
                <wp:effectExtent l="0" t="0" r="0" b="0"/>
                <wp:wrapNone/>
                <wp:docPr id="19" name="Frame1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ptos;sans-serif" w:hAnsi="Aptos;sans-serif"/>
                          <w:b w:val="false"/>
                          <w:color w:val="000000"/>
                          <w:sz w:val="16"/>
                        </w:rPr>
                      </w:pPr>
                      <w:r>
                        <w:rPr>
                          <w:rFonts w:ascii="Aptos;sans-serif" w:hAnsi="Aptos;sans-serif"/>
                          <w:b w:val="false"/>
                          <w:color w:val="000000"/>
                          <w:sz w:val="16"/>
                        </w:rPr>
                        <w:t>- MORE -</w:t>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- 16</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Reconciliation of Cash Provided by Operating Activities to Free Cash Flow</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39"/>
        <w:gridCol w:w="694"/>
        <w:gridCol w:w="698"/>
        <w:gridCol w:w="333"/>
        <w:gridCol w:w="778"/>
        <w:gridCol w:w="162"/>
        <w:gridCol w:w="109"/>
        <w:gridCol w:w="1275"/>
        <w:gridCol w:w="109"/>
        <w:gridCol w:w="109"/>
        <w:gridCol w:w="109"/>
        <w:gridCol w:w="226"/>
        <w:gridCol w:w="706"/>
        <w:gridCol w:w="109"/>
        <w:gridCol w:w="109"/>
        <w:gridCol w:w="2045"/>
        <w:gridCol w:w="109"/>
        <w:gridCol w:w="109"/>
        <w:gridCol w:w="109"/>
        <w:gridCol w:w="109"/>
        <w:gridCol w:w="109"/>
        <w:gridCol w:w="226"/>
        <w:gridCol w:w="466"/>
        <w:gridCol w:w="158"/>
      </w:tblGrid>
      <w:tr>
        <w:trPr/>
        <w:tc>
          <w:tcPr>
            <w:tcW w:w="123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w:t>
              <w:br/>
              <w:t>September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Twelve Months Ended December 31, 2026(E)</w:t>
            </w:r>
          </w:p>
        </w:tc>
        <w:tc>
          <w:tcPr>
            <w:tcW w:w="1395" w:type="dxa"/>
            <w:gridSpan w:val="8"/>
            <w:tcBorders/>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provided by operating activities from continuing operations</w:t>
            </w:r>
          </w:p>
        </w:tc>
        <w:tc>
          <w:tcPr>
            <w:tcW w:w="33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7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607</w:t>
            </w:r>
            <w:r>
              <w:rPr>
                <w:color w:val="000000"/>
              </w:rPr>
              <w:t> </w:t>
            </w:r>
          </w:p>
        </w:tc>
        <w:tc>
          <w:tcPr>
            <w:tcW w:w="16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2,306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46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2.1</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Capital expenditures</w:t>
            </w:r>
          </w:p>
        </w:tc>
        <w:tc>
          <w:tcPr>
            <w:tcW w:w="111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(77)</w:t>
            </w:r>
          </w:p>
        </w:tc>
        <w:tc>
          <w:tcPr>
            <w:tcW w:w="16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(150)</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~(0.6)</w:t>
            </w:r>
          </w:p>
        </w:tc>
      </w:tr>
      <w:tr>
        <w:trPr/>
        <w:tc>
          <w:tcPr>
            <w:tcW w:w="263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Separation-related cost payments</w:t>
            </w:r>
          </w:p>
        </w:tc>
        <w:tc>
          <w:tcPr>
            <w:tcW w:w="11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158 </w:t>
            </w:r>
          </w:p>
        </w:tc>
        <w:tc>
          <w:tcPr>
            <w:tcW w:w="16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~0.5</w:t>
            </w:r>
          </w:p>
        </w:tc>
      </w:tr>
      <w:tr>
        <w:trPr/>
        <w:tc>
          <w:tcPr>
            <w:tcW w:w="263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Quantinuum</w:t>
            </w:r>
          </w:p>
        </w:tc>
        <w:tc>
          <w:tcPr>
            <w:tcW w:w="11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~0.1</w:t>
            </w:r>
          </w:p>
        </w:tc>
      </w:tr>
      <w:tr>
        <w:trPr/>
        <w:tc>
          <w:tcPr>
            <w:tcW w:w="263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Resideo indemnification and reimbursement agreement termination payment</w:t>
            </w:r>
          </w:p>
        </w:tc>
        <w:tc>
          <w:tcPr>
            <w:tcW w:w="11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(1,590)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Free cash flow</w:t>
            </w:r>
          </w:p>
        </w:tc>
        <w:tc>
          <w:tcPr>
            <w:tcW w:w="33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7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688</w:t>
            </w:r>
            <w:r>
              <w:rPr>
                <w:color w:val="000000"/>
              </w:rPr>
              <w:t> </w:t>
            </w:r>
          </w:p>
        </w:tc>
        <w:tc>
          <w:tcPr>
            <w:tcW w:w="16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7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599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~$2.1</w:t>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We define free cash flow as cash provided by operating activities from continuing operations less cash for capital expenditures and excluding spin-off and separation-related cost payments, the Resideo indemnification and reimbursement agreement termination payment, the cash payment for settlement of divestiture of asbestos liabilities, and cash flows attributable to Quantinuum.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We believe that free cash flow is a non-GAAP measure that is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This measure can also be used to evaluate our ability to generate cash flow from operations and the impact that this cash flow has on our liquidity.</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16"/>
        </w:rPr>
      </w:pPr>
      <w:r>
        <w:rPr>
          <w:rFonts w:ascii="Aptos;sans-serif" w:hAnsi="Aptos;sans-serif"/>
          <w:b w:val="false"/>
          <w:color w:val="000000"/>
          <w:sz w:val="16"/>
        </w:rPr>
        <w:t>Honeywell Technologies Q3’26 Results - 17</w:t>
      </w:r>
    </w:p>
    <w:p>
      <w:pPr>
        <w:pStyle w:val="TextBody"/>
        <w:bidi w:val="0"/>
        <w:spacing w:before="0" w:after="0"/>
        <w:jc w:val="left"/>
        <w:rPr/>
      </w:pPr>
      <w:r>
        <w:rPr/>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Honeywell International Inc.</w:t>
      </w:r>
    </w:p>
    <w:p>
      <w:pPr>
        <w:pStyle w:val="TextBody"/>
        <w:bidi w:val="0"/>
        <w:spacing w:lineRule="auto" w:line="276" w:before="0" w:after="0"/>
        <w:jc w:val="center"/>
        <w:rPr>
          <w:rFonts w:ascii="Aptos;sans-serif" w:hAnsi="Aptos;sans-serif"/>
          <w:b w:val="false"/>
          <w:color w:val="000000"/>
          <w:sz w:val="18"/>
        </w:rPr>
      </w:pPr>
      <w:r>
        <w:rPr>
          <w:rFonts w:ascii="Aptos;sans-serif" w:hAnsi="Aptos;sans-serif"/>
          <w:b w:val="false"/>
          <w:color w:val="000000"/>
          <w:sz w:val="18"/>
        </w:rPr>
        <w:t>Reconciliation of Cash Provided by Operating Activities to Free Cash Flow, Reconciliation of Net Income Attributable to Honeywell Technologies to Adjusted Net Income Attributable to Honeywell Technologies, and Calculation of Adjusted Free Cash Flow Conversion (Unaudited)</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(Dollars in millions)</w:t>
      </w:r>
    </w:p>
    <w:p>
      <w:pPr>
        <w:pStyle w:val="TextBody"/>
        <w:bidi w:val="0"/>
        <w:spacing w:lineRule="auto" w:line="288" w:before="0" w:after="0"/>
        <w:jc w:val="center"/>
        <w:rPr>
          <w:color w:val="000000"/>
        </w:rPr>
      </w:pPr>
      <w:r>
        <w:rPr>
          <w:color w:val="000000"/>
        </w:rPr>
        <w:t> </w:t>
      </w:r>
    </w:p>
    <w:tbl>
      <w:tblPr>
        <w:tblW w:w="10079" w:type="dxa"/>
        <w:jc w:val="left"/>
        <w:tblInd w:w="0" w:type="dxa"/>
        <w:tblLayout w:type="fixed"/>
        <w:tblCellMar>
          <w:top w:w="28" w:type="dxa"/>
          <w:left w:w="28" w:type="dxa"/>
          <w:bottom w:w="28" w:type="dxa"/>
          <w:right w:w="28" w:type="dxa"/>
        </w:tblCellMar>
      </w:tblPr>
      <w:tblGrid>
        <w:gridCol w:w="2736"/>
        <w:gridCol w:w="2405"/>
        <w:gridCol w:w="2418"/>
        <w:gridCol w:w="450"/>
        <w:gridCol w:w="1048"/>
        <w:gridCol w:w="541"/>
        <w:gridCol w:w="109"/>
        <w:gridCol w:w="109"/>
        <w:gridCol w:w="109"/>
        <w:gridCol w:w="154"/>
      </w:tblGrid>
      <w:tr>
        <w:trPr/>
        <w:tc>
          <w:tcPr>
            <w:tcW w:w="2736"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w:t>
              <w:br/>
              <w:t>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Cash provided by operating activities from continuing operations</w:t>
            </w:r>
          </w:p>
        </w:tc>
        <w:tc>
          <w:tcPr>
            <w:tcW w:w="4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607</w:t>
            </w:r>
            <w:r>
              <w:rPr>
                <w:color w:val="000000"/>
              </w:rPr>
              <w:t> </w:t>
            </w:r>
          </w:p>
        </w:tc>
        <w:tc>
          <w:tcPr>
            <w:tcW w:w="5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Capital expenditures</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(77)</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Separation-related cost payments</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158 </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Free cash flow</w:t>
            </w:r>
          </w:p>
        </w:tc>
        <w:tc>
          <w:tcPr>
            <w:tcW w:w="4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688</w:t>
            </w:r>
            <w:r>
              <w:rPr>
                <w:color w:val="000000"/>
              </w:rPr>
              <w:t> </w:t>
            </w:r>
          </w:p>
        </w:tc>
        <w:tc>
          <w:tcPr>
            <w:tcW w:w="5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Net income attributable to Honeywell Technologies from continuing operations</w:t>
            </w:r>
          </w:p>
        </w:tc>
        <w:tc>
          <w:tcPr>
            <w:tcW w:w="4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767</w:t>
            </w:r>
            <w:r>
              <w:rPr>
                <w:color w:val="000000"/>
              </w:rPr>
              <w:t> </w:t>
            </w:r>
          </w:p>
        </w:tc>
        <w:tc>
          <w:tcPr>
            <w:tcW w:w="5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Pension income</w:t>
            </w:r>
            <w:r>
              <w:rPr>
                <w:rFonts w:ascii="Aptos;sans-serif" w:hAnsi="Aptos;sans-serif"/>
                <w:b w:val="false"/>
                <w:color w:val="000000"/>
                <w:sz w:val="10"/>
              </w:rPr>
              <w:t>1</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(67)</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Amortization of acquisition-related intangibles</w:t>
            </w:r>
            <w:r>
              <w:rPr>
                <w:rFonts w:ascii="Aptos;sans-serif" w:hAnsi="Aptos;sans-serif"/>
                <w:b w:val="false"/>
                <w:color w:val="000000"/>
                <w:sz w:val="10"/>
              </w:rPr>
              <w:t>2</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102 </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Acquisition-related costs</w:t>
            </w:r>
            <w:r>
              <w:rPr>
                <w:rFonts w:ascii="Aptos;sans-serif" w:hAnsi="Aptos;sans-serif"/>
                <w:b w:val="false"/>
                <w:color w:val="000000"/>
                <w:sz w:val="10"/>
              </w:rPr>
              <w:t>3</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31 </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Divestiture-related costs</w:t>
            </w:r>
            <w:r>
              <w:rPr>
                <w:rFonts w:ascii="Aptos;sans-serif" w:hAnsi="Aptos;sans-serif"/>
                <w:b w:val="false"/>
                <w:color w:val="000000"/>
                <w:sz w:val="10"/>
              </w:rPr>
              <w:t>4</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(12)</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ERP implementation costs</w:t>
            </w:r>
            <w:r>
              <w:rPr>
                <w:rFonts w:ascii="Aptos;sans-serif" w:hAnsi="Aptos;sans-serif"/>
                <w:b w:val="false"/>
                <w:color w:val="000000"/>
                <w:sz w:val="10"/>
              </w:rPr>
              <w:t>5</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7 </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Gain on sale of business</w:t>
            </w:r>
            <w:r>
              <w:rPr>
                <w:rFonts w:ascii="Aptos;sans-serif" w:hAnsi="Aptos;sans-serif"/>
                <w:b w:val="false"/>
                <w:color w:val="000000"/>
                <w:sz w:val="10"/>
              </w:rPr>
              <w:t>6</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(216)</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16"/>
              </w:rPr>
              <w:t>Equity loss of Quantinuum</w:t>
            </w:r>
            <w:r>
              <w:rPr>
                <w:rFonts w:ascii="Aptos;sans-serif" w:hAnsi="Aptos;sans-serif"/>
                <w:b w:val="false"/>
                <w:color w:val="000000"/>
                <w:sz w:val="10"/>
              </w:rPr>
              <w:t>7</w:t>
            </w:r>
          </w:p>
        </w:tc>
        <w:tc>
          <w:tcPr>
            <w:tcW w:w="14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112 </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Adjusted net income attributable to Honeywell Technologies</w:t>
            </w:r>
          </w:p>
        </w:tc>
        <w:tc>
          <w:tcPr>
            <w:tcW w:w="4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w:t>
            </w:r>
          </w:p>
        </w:tc>
        <w:tc>
          <w:tcPr>
            <w:tcW w:w="10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724</w:t>
            </w:r>
            <w:r>
              <w:rPr>
                <w:color w:val="000000"/>
              </w:rPr>
              <w:t> </w:t>
            </w:r>
          </w:p>
        </w:tc>
        <w:tc>
          <w:tcPr>
            <w:tcW w:w="5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Cash provided by operating activities from continuing operations</w:t>
            </w:r>
          </w:p>
        </w:tc>
        <w:tc>
          <w:tcPr>
            <w:tcW w:w="4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0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607 </w:t>
            </w:r>
          </w:p>
        </w:tc>
        <w:tc>
          <w:tcPr>
            <w:tcW w:w="5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Net income attributable to Honeywell Technologies from continuing operations</w:t>
            </w:r>
          </w:p>
        </w:tc>
        <w:tc>
          <w:tcPr>
            <w:tcW w:w="45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04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767 </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Operating cash flow conversion %</w:t>
            </w:r>
          </w:p>
        </w:tc>
        <w:tc>
          <w:tcPr>
            <w:tcW w:w="149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79</w:t>
            </w:r>
            <w:r>
              <w:rPr>
                <w:color w:val="000000"/>
              </w:rPr>
              <w:t> </w:t>
            </w:r>
          </w:p>
        </w:tc>
        <w:tc>
          <w:tcPr>
            <w:tcW w:w="54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Free cash flow</w:t>
            </w:r>
          </w:p>
        </w:tc>
        <w:tc>
          <w:tcPr>
            <w:tcW w:w="4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0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688 </w:t>
            </w:r>
          </w:p>
        </w:tc>
        <w:tc>
          <w:tcPr>
            <w:tcW w:w="5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 Adjusted net income attributable to Honeywell Technologies</w:t>
            </w:r>
          </w:p>
        </w:tc>
        <w:tc>
          <w:tcPr>
            <w:tcW w:w="45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16"/>
              </w:rPr>
            </w:pPr>
            <w:r>
              <w:rPr>
                <w:rFonts w:ascii="Aptos;sans-serif" w:hAnsi="Aptos;sans-serif"/>
                <w:b w:val="false"/>
                <w:color w:val="000000"/>
                <w:sz w:val="16"/>
              </w:rPr>
              <w:t>$</w:t>
            </w:r>
          </w:p>
        </w:tc>
        <w:tc>
          <w:tcPr>
            <w:tcW w:w="104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6"/>
              </w:rPr>
            </w:pPr>
            <w:r>
              <w:rPr>
                <w:rFonts w:ascii="Aptos;sans-serif" w:hAnsi="Aptos;sans-serif"/>
                <w:b w:val="false"/>
                <w:color w:val="000000"/>
                <w:sz w:val="16"/>
              </w:rPr>
              <w:t>724 </w:t>
            </w:r>
          </w:p>
        </w:tc>
        <w:tc>
          <w:tcPr>
            <w:tcW w:w="5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16"/>
              </w:rPr>
            </w:pPr>
            <w:r>
              <w:rPr>
                <w:rFonts w:ascii="Aptos;sans-serif" w:hAnsi="Aptos;sans-serif"/>
                <w:b/>
                <w:color w:val="000000"/>
                <w:sz w:val="16"/>
              </w:rPr>
              <w:t>Adjusted free cash flow conversion %</w:t>
            </w:r>
          </w:p>
        </w:tc>
        <w:tc>
          <w:tcPr>
            <w:tcW w:w="1498"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16"/>
              </w:rPr>
              <w:t>95</w:t>
            </w:r>
            <w:r>
              <w:rPr>
                <w:color w:val="000000"/>
              </w:rPr>
              <w:t> </w:t>
            </w:r>
          </w:p>
        </w:tc>
        <w:tc>
          <w:tcPr>
            <w:tcW w:w="5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16"/>
              </w:rPr>
            </w:pPr>
            <w:r>
              <w:rPr>
                <w:rFonts w:ascii="Aptos;sans-serif" w:hAnsi="Aptos;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6"/>
        <w:gridCol w:w="120"/>
        <w:gridCol w:w="109"/>
        <w:gridCol w:w="109"/>
        <w:gridCol w:w="109"/>
        <w:gridCol w:w="109"/>
        <w:gridCol w:w="2985"/>
        <w:gridCol w:w="2702"/>
        <w:gridCol w:w="3826"/>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 xml:space="preserve">For the three months ended September 30, 2026, pension income was $67 million, net of tax expense of $22 million. </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acquisition-related intangibles amortization includes $102 million net of tax benefit of $29 million.</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 xml:space="preserve">For the three months ended September 30, 2026, the adjustment for acquisition-related costs, which is principally comprised of third-party transaction and integration costs was $31 million, net of tax benefit of $9 million. </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the adjustment for divestiture-related costs, which is principally comprised of third-party transaction, separation and simplification costs, was $12 million, net of tax benefit of $182 million.</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the adjustment for ERP implementation costs was $7 million, net of tax benefit of $2 million.</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 xml:space="preserve">For the three months ended September 30, 2026, the gain on sale of personal protection equipment business was $216 million, net of tax expense of $123 million. </w:t>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14"/>
              </w:rPr>
            </w:pPr>
            <w:r>
              <w:rPr>
                <w:rFonts w:ascii="Aptos;sans-serif" w:hAnsi="Aptos;sans-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ptos;sans-serif" w:hAnsi="Aptos;sans-serif"/>
                <w:b w:val="false"/>
                <w:color w:val="000000"/>
                <w:sz w:val="14"/>
              </w:rPr>
            </w:pPr>
            <w:r>
              <w:rPr>
                <w:rFonts w:ascii="Aptos;sans-serif" w:hAnsi="Aptos;sans-serif"/>
                <w:b w:val="false"/>
                <w:color w:val="000000"/>
                <w:sz w:val="14"/>
              </w:rPr>
              <w:t>For the three months ended September 30, 2026, the adjustment for equity losses on Quantinuum is $112 million, net of tax benefit of $35 million.</w:t>
            </w:r>
          </w:p>
        </w:tc>
      </w:tr>
    </w:tbl>
    <w:p>
      <w:pPr>
        <w:pStyle w:val="TextBody"/>
        <w:bidi w:val="0"/>
        <w:spacing w:before="0" w:after="0"/>
        <w:jc w:val="left"/>
        <w:rPr/>
      </w:pPr>
      <w:r>
        <w:rPr/>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We define free cash flow as cash provided by operating activities from continuing operations less cash for capital expenditures and excluding separation-related cost payments, the Resideo indemnification and reimbursement agreement termination payment, the cash payment for settlement of divestiture of asbestos liabilities, and cash flows attributable to Quantinuum. We define adjusted net income attributable to Honeywell Technologies as net income attributable to Honeywell Technologies from continuing operations adjusted to exclude various items as listed above. We define adjusted free cash flow conversion as free cash flow divided by adjusted net income attributable to Honeywell Technologies.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ptos;sans-serif" w:hAnsi="Aptos;sans-serif"/>
          <w:b w:val="false"/>
          <w:color w:val="000000"/>
          <w:sz w:val="18"/>
        </w:rPr>
      </w:pPr>
      <w:r>
        <w:rPr>
          <w:rFonts w:ascii="Aptos;sans-serif" w:hAnsi="Aptos;sans-serif"/>
          <w:b w:val="false"/>
          <w:color w:val="000000"/>
          <w:sz w:val="18"/>
        </w:rPr>
        <w:t xml:space="preserve">We believe that free cash flow and adjusted free cash flow conversion are non-GAAP measures that are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These measures can also be used to evaluate our ability to generate cash flow from operations and the impact that this cash flow has on our liquidity.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7611</Words>
  <Characters>43288</Characters>
  <CharactersWithSpaces>50162</CharactersWithSpaces>
  <Paragraphs>1517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